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E03C71">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E03C71">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E03C71">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E03C71">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E03C71">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E03C71"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F4B4E"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48422DD2" w:rsidR="00377580" w:rsidRPr="00080A71" w:rsidRDefault="004F4B4E" w:rsidP="005F6927">
                <w:pPr>
                  <w:tabs>
                    <w:tab w:val="left" w:pos="426"/>
                  </w:tabs>
                  <w:rPr>
                    <w:bCs/>
                    <w:lang w:val="en-IE" w:eastAsia="en-GB"/>
                  </w:rPr>
                </w:pPr>
                <w:r>
                  <w:rPr>
                    <w:bCs/>
                    <w:lang w:val="fr-BE" w:eastAsia="en-GB"/>
                  </w:rPr>
                  <w:t>ENER.C4</w:t>
                </w:r>
              </w:p>
            </w:tc>
          </w:sdtContent>
        </w:sdt>
      </w:tr>
      <w:tr w:rsidR="00377580" w:rsidRPr="004F4B4E"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5B595677" w:rsidR="00377580" w:rsidRPr="00080A71" w:rsidRDefault="004F4B4E" w:rsidP="005F6927">
                <w:pPr>
                  <w:tabs>
                    <w:tab w:val="left" w:pos="426"/>
                  </w:tabs>
                  <w:rPr>
                    <w:bCs/>
                    <w:lang w:val="en-IE" w:eastAsia="en-GB"/>
                  </w:rPr>
                </w:pPr>
                <w:r>
                  <w:rPr>
                    <w:bCs/>
                    <w:lang w:val="fr-BE" w:eastAsia="en-GB"/>
                  </w:rPr>
                  <w:t>423721</w:t>
                </w:r>
              </w:p>
            </w:tc>
          </w:sdtContent>
        </w:sdt>
      </w:tr>
      <w:tr w:rsidR="00377580" w:rsidRPr="0051218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0AEDBF8" w:rsidR="00377580" w:rsidRPr="00080A71" w:rsidRDefault="004F4B4E" w:rsidP="005F6927">
                <w:pPr>
                  <w:tabs>
                    <w:tab w:val="left" w:pos="426"/>
                  </w:tabs>
                  <w:rPr>
                    <w:bCs/>
                    <w:lang w:val="en-IE" w:eastAsia="en-GB"/>
                  </w:rPr>
                </w:pPr>
                <w:r w:rsidRPr="004F4B4E">
                  <w:rPr>
                    <w:bCs/>
                    <w:lang w:val="en-IE" w:eastAsia="en-GB"/>
                  </w:rPr>
                  <w:t>Joachim</w:t>
                </w:r>
                <w:r>
                  <w:rPr>
                    <w:bCs/>
                    <w:lang w:val="en-IE" w:eastAsia="en-GB"/>
                  </w:rPr>
                  <w:t xml:space="preserve"> </w:t>
                </w:r>
                <w:proofErr w:type="spellStart"/>
                <w:r>
                  <w:rPr>
                    <w:bCs/>
                    <w:lang w:val="en-IE" w:eastAsia="en-GB"/>
                  </w:rPr>
                  <w:t>Balke</w:t>
                </w:r>
                <w:proofErr w:type="spellEnd"/>
              </w:p>
            </w:sdtContent>
          </w:sdt>
          <w:p w14:paraId="32DD8032" w14:textId="4C74352E" w:rsidR="00377580" w:rsidRPr="004F4B4E" w:rsidRDefault="00E03C71"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4F4B4E">
                  <w:rPr>
                    <w:bCs/>
                    <w:lang w:val="fr-BE" w:eastAsia="en-GB"/>
                  </w:rPr>
                  <w:t>3ème</w:t>
                </w:r>
                <w:r w:rsidR="00377580" w:rsidRPr="004F4B4E">
                  <w:rPr>
                    <w:bCs/>
                    <w:lang w:val="en-IE" w:eastAsia="en-GB"/>
                  </w:rPr>
                  <w:t>…</w:t>
                </w:r>
              </w:sdtContent>
            </w:sdt>
            <w:r w:rsidR="00377580" w:rsidRPr="004F4B4E">
              <w:rPr>
                <w:bCs/>
                <w:lang w:val="en-I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5B045C31" w:rsidR="00377580" w:rsidRPr="004F4B4E" w:rsidRDefault="00E03C71"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4F4B4E" w:rsidRPr="0051218F">
                  <w:rPr>
                    <w:bCs/>
                    <w:lang w:val="en-IE" w:eastAsia="en-GB"/>
                  </w:rPr>
                  <w:t>1</w:t>
                </w:r>
                <w:r w:rsidR="00377580" w:rsidRPr="004F4B4E">
                  <w:rPr>
                    <w:bCs/>
                    <w:lang w:val="en-IE" w:eastAsia="en-GB"/>
                  </w:rPr>
                  <w:t>…</w:t>
                </w:r>
              </w:sdtContent>
            </w:sdt>
            <w:r w:rsidR="00377580" w:rsidRPr="004F4B4E">
              <w:rPr>
                <w:bCs/>
                <w:lang w:val="en-IE" w:eastAsia="en-GB"/>
              </w:rPr>
              <w:t xml:space="preserve"> années</w:t>
            </w:r>
            <w:r w:rsidR="00377580" w:rsidRPr="004F4B4E">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51218F">
                  <w:rPr>
                    <w:rFonts w:ascii="MS Gothic" w:eastAsia="MS Gothic" w:hAnsi="MS Gothic" w:hint="eastAsia"/>
                    <w:bCs/>
                    <w:szCs w:val="24"/>
                    <w:lang w:val="en-IE" w:eastAsia="en-GB"/>
                  </w:rPr>
                  <w:t>☒</w:t>
                </w:r>
              </w:sdtContent>
            </w:sdt>
            <w:r w:rsidR="00377580" w:rsidRPr="004F4B4E">
              <w:rPr>
                <w:bCs/>
                <w:lang w:val="en-IE" w:eastAsia="en-GB"/>
              </w:rPr>
              <w:t xml:space="preserve"> Bruxelles </w:t>
            </w:r>
            <w:r w:rsidR="0092295D" w:rsidRPr="004F4B4E">
              <w:rPr>
                <w:bCs/>
                <w:lang w:val="en-IE" w:eastAsia="en-GB"/>
              </w:rPr>
              <w:t xml:space="preserve"> </w:t>
            </w:r>
            <w:r w:rsidR="00377580" w:rsidRPr="004F4B4E">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4F4B4E">
                  <w:rPr>
                    <w:rFonts w:ascii="MS Gothic" w:eastAsia="MS Gothic" w:hAnsi="MS Gothic"/>
                    <w:bCs/>
                    <w:szCs w:val="24"/>
                    <w:lang w:val="en-IE" w:eastAsia="en-GB"/>
                  </w:rPr>
                  <w:t>☐</w:t>
                </w:r>
              </w:sdtContent>
            </w:sdt>
            <w:r w:rsidR="00377580" w:rsidRPr="004F4B4E">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4F4B4E">
                  <w:rPr>
                    <w:rFonts w:ascii="MS Gothic" w:eastAsia="MS Gothic" w:hAnsi="MS Gothic"/>
                    <w:bCs/>
                    <w:szCs w:val="24"/>
                    <w:lang w:val="en-IE" w:eastAsia="en-GB"/>
                  </w:rPr>
                  <w:t>☐</w:t>
                </w:r>
              </w:sdtContent>
            </w:sdt>
            <w:r w:rsidR="00377580" w:rsidRPr="004F4B4E">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4F4B4E">
                  <w:rPr>
                    <w:rStyle w:val="PlaceholderText"/>
                    <w:lang w:val="en-IE"/>
                  </w:rPr>
                  <w:t>Click or tap here to enter text.</w:t>
                </w:r>
              </w:sdtContent>
            </w:sdt>
          </w:p>
          <w:p w14:paraId="6A0ABCA6" w14:textId="77777777" w:rsidR="00377580" w:rsidRPr="004F4B4E" w:rsidRDefault="00377580" w:rsidP="005F6927">
            <w:pPr>
              <w:tabs>
                <w:tab w:val="left" w:pos="426"/>
              </w:tabs>
              <w:spacing w:after="0"/>
              <w:contextualSpacing/>
              <w:rPr>
                <w:bCs/>
                <w:lang w:val="en-I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13A3F99"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58BA5DEB" w14:textId="1530E0FA"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proofErr w:type="gramStart"/>
            <w:r w:rsidRPr="00A65B97">
              <w:rPr>
                <w:bCs/>
                <w:szCs w:val="24"/>
                <w:lang w:val="fr-BE" w:eastAsia="en-GB"/>
              </w:rPr>
              <w:t>ainsi</w:t>
            </w:r>
            <w:proofErr w:type="gramEnd"/>
            <w:r w:rsidRPr="00A65B97">
              <w:rPr>
                <w:bCs/>
                <w:szCs w:val="24"/>
                <w:lang w:val="fr-BE" w:eastAsia="en-GB"/>
              </w:rPr>
              <w:t xml:space="preserve"> qu’aux</w:t>
            </w:r>
          </w:p>
          <w:p w14:paraId="592E0483" w14:textId="67D779D9" w:rsidR="00377580" w:rsidRPr="001D3EEC" w:rsidRDefault="00E03C71"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E03C71"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E03C71"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4C1E4D9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8688FEF"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0A4AEDC4" w14:textId="77777777" w:rsidR="00C30890" w:rsidRPr="00C30890" w:rsidRDefault="00C30890" w:rsidP="00C30890">
          <w:pPr>
            <w:rPr>
              <w:lang w:val="fr-BE" w:eastAsia="en-GB"/>
            </w:rPr>
          </w:pPr>
          <w:r w:rsidRPr="00C30890">
            <w:rPr>
              <w:lang w:val="fr-BE" w:eastAsia="en-GB"/>
            </w:rPr>
            <w:t xml:space="preserve">La DG ENERGY est responsable de l’élaboration et de la mise en œuvre d’une politique énergétique européenne coordonnée. La mission principale de l’unité C.4 (Infrastructures et coopération régionale) consiste à développer les réseaux transeuropéens d’infrastructures énergétiques nécessaires à l’achèvement d’un marché intérieur de l’énergie de l’UE, ainsi qu’à encourager la coopération régionale à cette fin. </w:t>
          </w:r>
        </w:p>
        <w:p w14:paraId="77904095" w14:textId="14C80412" w:rsidR="00C30890" w:rsidRPr="00C30890" w:rsidRDefault="00C30890" w:rsidP="00C30890">
          <w:pPr>
            <w:rPr>
              <w:lang w:val="fr-BE" w:eastAsia="en-GB"/>
            </w:rPr>
          </w:pPr>
          <w:r w:rsidRPr="00C30890">
            <w:rPr>
              <w:lang w:val="fr-BE" w:eastAsia="en-GB"/>
            </w:rPr>
            <w:t>Des infrastructures adéquates et bien intégrées so</w:t>
          </w:r>
          <w:r w:rsidR="00E03C71">
            <w:rPr>
              <w:lang w:val="fr-BE" w:eastAsia="en-GB"/>
            </w:rPr>
            <w:t>nt à la base du</w:t>
          </w:r>
          <w:r w:rsidRPr="00C30890">
            <w:rPr>
              <w:lang w:val="fr-BE" w:eastAsia="en-GB"/>
            </w:rPr>
            <w:t xml:space="preserve"> bon fonctionnement du marché intérieur de l’énergie</w:t>
          </w:r>
          <w:r w:rsidR="00D022E3">
            <w:rPr>
              <w:lang w:val="fr-BE" w:eastAsia="en-GB"/>
            </w:rPr>
            <w:t>. Elles</w:t>
          </w:r>
          <w:r w:rsidRPr="00C30890">
            <w:rPr>
              <w:lang w:val="fr-BE" w:eastAsia="en-GB"/>
            </w:rPr>
            <w:t xml:space="preserve"> sont essentielles pour renforcer la sécurité de l’approvisionnement et sont nécessaires à l’intégration des sources d’énergie renouvelables </w:t>
          </w:r>
          <w:r w:rsidRPr="00C30890">
            <w:rPr>
              <w:lang w:val="fr-BE" w:eastAsia="en-GB"/>
            </w:rPr>
            <w:lastRenderedPageBreak/>
            <w:t>et à la décarbon</w:t>
          </w:r>
          <w:r w:rsidR="007B444D">
            <w:rPr>
              <w:lang w:val="fr-BE" w:eastAsia="en-GB"/>
            </w:rPr>
            <w:t>isa</w:t>
          </w:r>
          <w:r w:rsidRPr="00C30890">
            <w:rPr>
              <w:lang w:val="fr-BE" w:eastAsia="en-GB"/>
            </w:rPr>
            <w:t xml:space="preserve">tion de notre système énergétique. Nous sommes convaincus que les objectifs de la politique en matière d’énergie et de climat ne peuvent être atteints que par une approche coordonnée du développement des infrastructures au niveau régional et au niveau de l’UE. En outre, le déploiement d’infrastructures de réseaux énergétiques plus interconnectées en Europe doit être accéléré afin d’éviter que les réseaux ne deviennent une </w:t>
          </w:r>
          <w:r w:rsidR="00D022E3">
            <w:rPr>
              <w:lang w:val="fr-BE" w:eastAsia="en-GB"/>
            </w:rPr>
            <w:t>entrave</w:t>
          </w:r>
          <w:r w:rsidRPr="00C30890">
            <w:rPr>
              <w:lang w:val="fr-BE" w:eastAsia="en-GB"/>
            </w:rPr>
            <w:t xml:space="preserve"> pour la réalisation de la transition vers une énergie propre. </w:t>
          </w:r>
        </w:p>
        <w:p w14:paraId="740A7FCC" w14:textId="0A647CC6" w:rsidR="00C30890" w:rsidRPr="00C30890" w:rsidRDefault="00C30890" w:rsidP="00C30890">
          <w:pPr>
            <w:rPr>
              <w:lang w:val="fr-BE" w:eastAsia="en-GB"/>
            </w:rPr>
          </w:pPr>
          <w:r w:rsidRPr="00C30890">
            <w:rPr>
              <w:lang w:val="fr-BE" w:eastAsia="en-GB"/>
            </w:rPr>
            <w:t>Les collègues de notre unité sont responsables du développement de la politique des infrastructures à l’échelle européenne dans le domaine de l’électricité, de l’hydrogène, du gaz naturel et du CO2, de l’évaluation des politiques et de</w:t>
          </w:r>
          <w:r w:rsidR="00D022E3">
            <w:rPr>
              <w:lang w:val="fr-BE" w:eastAsia="en-GB"/>
            </w:rPr>
            <w:t>s</w:t>
          </w:r>
          <w:r w:rsidRPr="00C30890">
            <w:rPr>
              <w:lang w:val="fr-BE" w:eastAsia="en-GB"/>
            </w:rPr>
            <w:t xml:space="preserve"> législation</w:t>
          </w:r>
          <w:r w:rsidR="00D022E3">
            <w:rPr>
              <w:lang w:val="fr-BE" w:eastAsia="en-GB"/>
            </w:rPr>
            <w:t>s</w:t>
          </w:r>
          <w:r w:rsidRPr="00C30890">
            <w:rPr>
              <w:lang w:val="fr-BE" w:eastAsia="en-GB"/>
            </w:rPr>
            <w:t xml:space="preserve"> nationale</w:t>
          </w:r>
          <w:r w:rsidR="007B444D">
            <w:rPr>
              <w:lang w:val="fr-BE" w:eastAsia="en-GB"/>
            </w:rPr>
            <w:t>s</w:t>
          </w:r>
          <w:r w:rsidRPr="00C30890">
            <w:rPr>
              <w:lang w:val="fr-BE" w:eastAsia="en-GB"/>
            </w:rPr>
            <w:t xml:space="preserve"> en matière d’énergie quant à leur compatibilité avec le droit de l’Union, de la mise en œuvre d’une politique européenne en matière de réseaux transeuropéens d’énergie, ainsi que des conseils stratégiques aux États membres. L’unité est également chargée de superviser, avec l’aide de l’Agence exécutive européenne pour le climat, les infrastructures et l’environnement (CINEA), le volet relatif aux infrastructures énergétiques du mécanisme pour l’interconnexion en Europe. </w:t>
          </w:r>
        </w:p>
        <w:p w14:paraId="51D5B60F" w14:textId="20F4B60B" w:rsidR="00C30890" w:rsidRPr="00C30890" w:rsidRDefault="00C30890" w:rsidP="00C30890">
          <w:pPr>
            <w:rPr>
              <w:lang w:val="fr-BE" w:eastAsia="en-GB"/>
            </w:rPr>
          </w:pPr>
          <w:r w:rsidRPr="00C30890">
            <w:rPr>
              <w:lang w:val="fr-BE" w:eastAsia="en-GB"/>
            </w:rPr>
            <w:t xml:space="preserve">Un autre volet important des responsabilités de l’unité est la mise en œuvre de la coopération régionale par l’intermédiaire d’un certain nombre de groupes de haut niveau. Celles-ci ont été mises en place dans certaines régions d’Europe pour relever des défis tels que la résolution de l’isolement énergétique ou l’exploitation commune des ressources renouvelables grâce à des formes de coopération politique et technique adaptées (région de la mer Baltique, région de la mer du Nord, Europe centrale et du </w:t>
          </w:r>
          <w:r w:rsidR="007B444D">
            <w:rPr>
              <w:lang w:val="fr-BE" w:eastAsia="en-GB"/>
            </w:rPr>
            <w:t>s</w:t>
          </w:r>
          <w:r w:rsidRPr="00C30890">
            <w:rPr>
              <w:lang w:val="fr-BE" w:eastAsia="en-GB"/>
            </w:rPr>
            <w:t>ud-</w:t>
          </w:r>
          <w:r w:rsidR="007B444D">
            <w:rPr>
              <w:lang w:val="fr-BE" w:eastAsia="en-GB"/>
            </w:rPr>
            <w:t>e</w:t>
          </w:r>
          <w:r w:rsidRPr="00C30890">
            <w:rPr>
              <w:lang w:val="fr-BE" w:eastAsia="en-GB"/>
            </w:rPr>
            <w:t xml:space="preserve">st, Europe du </w:t>
          </w:r>
          <w:r w:rsidR="007B444D">
            <w:rPr>
              <w:lang w:val="fr-BE" w:eastAsia="en-GB"/>
            </w:rPr>
            <w:t>s</w:t>
          </w:r>
          <w:r w:rsidRPr="00C30890">
            <w:rPr>
              <w:lang w:val="fr-BE" w:eastAsia="en-GB"/>
            </w:rPr>
            <w:t>ud-</w:t>
          </w:r>
          <w:r w:rsidR="007B444D">
            <w:rPr>
              <w:lang w:val="fr-BE" w:eastAsia="en-GB"/>
            </w:rPr>
            <w:t>oue</w:t>
          </w:r>
          <w:r w:rsidRPr="00C30890">
            <w:rPr>
              <w:lang w:val="fr-BE" w:eastAsia="en-GB"/>
            </w:rPr>
            <w:t xml:space="preserve">st). </w:t>
          </w:r>
        </w:p>
        <w:p w14:paraId="2E45A114" w14:textId="42566A12" w:rsidR="00C30890" w:rsidRPr="00C30890" w:rsidRDefault="00C30890" w:rsidP="00C30890">
          <w:pPr>
            <w:rPr>
              <w:lang w:val="fr-BE" w:eastAsia="en-GB"/>
            </w:rPr>
          </w:pPr>
          <w:r w:rsidRPr="00C30890">
            <w:rPr>
              <w:lang w:val="fr-BE" w:eastAsia="en-GB"/>
            </w:rPr>
            <w:t>Dans le cadre de la mise en œuvre des priorités du pacte vert pour l’Europe pour le secteur de l’énergie, les infrastructures énergétiques jouent un rôle essentiel en tant que condition préalable à la réussite de l’intégration des énergies renouvelables dans le système énergétique. Elle est également essentielle pour une meilleure intégration des systèmes électriques et des systèmes à hydrogène émergents par le couplage sectoriel, ainsi que, potentiellement, d’autres secteurs autres que l’énergie.</w:t>
          </w:r>
          <w:r>
            <w:rPr>
              <w:lang w:val="fr-BE" w:eastAsia="en-GB"/>
            </w:rPr>
            <w:t xml:space="preserve"> </w:t>
          </w:r>
          <w:r w:rsidRPr="00C30890">
            <w:rPr>
              <w:lang w:val="fr-BE" w:eastAsia="en-GB"/>
            </w:rPr>
            <w:t>Nous sommes donc en train de mettre en œuvre nos règles révisées en matière de politique des réseaux transeuropéens d’énergie en vue de mettre en avant les infrastructures nécessaires pour atteindre les objectifs du pacte vert et les trajectoires de décarbon</w:t>
          </w:r>
          <w:r w:rsidR="007B444D">
            <w:rPr>
              <w:lang w:val="fr-BE" w:eastAsia="en-GB"/>
            </w:rPr>
            <w:t>isa</w:t>
          </w:r>
          <w:r w:rsidRPr="00C30890">
            <w:rPr>
              <w:lang w:val="fr-BE" w:eastAsia="en-GB"/>
            </w:rPr>
            <w:t xml:space="preserve">tion à long terme sur lesquelles il repose.  </w:t>
          </w:r>
        </w:p>
        <w:p w14:paraId="18140A21" w14:textId="404137D5" w:rsidR="001A0074" w:rsidRPr="00C30890" w:rsidRDefault="00C30890" w:rsidP="00C30890">
          <w:pPr>
            <w:rPr>
              <w:lang w:val="fr-BE" w:eastAsia="en-GB"/>
            </w:rPr>
          </w:pPr>
          <w:r w:rsidRPr="00C30890">
            <w:rPr>
              <w:lang w:val="fr-BE" w:eastAsia="en-GB"/>
            </w:rPr>
            <w:t>Nous travaillons en étroite collaboration avec diverses parties prenantes, notamment les décideurs politiques, les gestionnaires de réseau de transport, les autorités de régulation, les ONG, la société civile et les institutions financières.</w:t>
          </w:r>
        </w:p>
      </w:sdtContent>
    </w:sdt>
    <w:p w14:paraId="30B422AA" w14:textId="77777777" w:rsidR="00301CA3" w:rsidRPr="00C30890"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4483CDE" w14:textId="77777777" w:rsidR="004F4B4E" w:rsidRPr="004F4B4E" w:rsidRDefault="004F4B4E" w:rsidP="004F4B4E">
          <w:pPr>
            <w:rPr>
              <w:lang w:val="fr-BE" w:eastAsia="en-GB"/>
            </w:rPr>
          </w:pPr>
          <w:r w:rsidRPr="004F4B4E">
            <w:rPr>
              <w:lang w:val="fr-BE" w:eastAsia="en-GB"/>
            </w:rPr>
            <w:t xml:space="preserve">Nous proposons un travail ambitieux dans une unité dynamique, qui dirige les politiques de la Commission en matière d’énergie et d’infrastructures. Le candidat retenu aura la possibilité de travailler en équipe avec des collègues hautement qualifiés et motivés. Dans le même temps, il jouira d’un niveau élevé d’autonomie et de responsabilité dans son travail quotidien. </w:t>
          </w:r>
        </w:p>
        <w:p w14:paraId="5253CD44" w14:textId="77777777" w:rsidR="004F4B4E" w:rsidRPr="004F4B4E" w:rsidRDefault="004F4B4E" w:rsidP="004F4B4E">
          <w:pPr>
            <w:rPr>
              <w:lang w:val="fr-BE" w:eastAsia="en-GB"/>
            </w:rPr>
          </w:pPr>
          <w:r w:rsidRPr="004F4B4E">
            <w:rPr>
              <w:lang w:val="fr-BE" w:eastAsia="en-GB"/>
            </w:rPr>
            <w:t xml:space="preserve">Le candidat aurait la possibilité de travailler sur un large éventail de tâches, </w:t>
          </w:r>
          <w:proofErr w:type="gramStart"/>
          <w:r w:rsidRPr="004F4B4E">
            <w:rPr>
              <w:lang w:val="fr-BE" w:eastAsia="en-GB"/>
            </w:rPr>
            <w:t>notamment:</w:t>
          </w:r>
          <w:proofErr w:type="gramEnd"/>
          <w:r w:rsidRPr="004F4B4E">
            <w:rPr>
              <w:lang w:val="fr-BE" w:eastAsia="en-GB"/>
            </w:rPr>
            <w:t xml:space="preserve"> </w:t>
          </w:r>
        </w:p>
        <w:p w14:paraId="73F68184" w14:textId="77777777" w:rsidR="004F4B4E" w:rsidRPr="004F4B4E" w:rsidRDefault="004F4B4E" w:rsidP="004F4B4E">
          <w:pPr>
            <w:rPr>
              <w:lang w:val="fr-BE" w:eastAsia="en-GB"/>
            </w:rPr>
          </w:pPr>
          <w:r w:rsidRPr="004F4B4E">
            <w:rPr>
              <w:lang w:val="fr-BE" w:eastAsia="en-GB"/>
            </w:rPr>
            <w:lastRenderedPageBreak/>
            <w:t xml:space="preserve">* Élaborer une politique en matière d’infrastructures pour les futurs réseaux d’électricité et d’hydrogène, en collaboration avec les gestionnaires de réseau, les décideurs politiques des États membres et les parties </w:t>
          </w:r>
          <w:proofErr w:type="gramStart"/>
          <w:r w:rsidRPr="004F4B4E">
            <w:rPr>
              <w:lang w:val="fr-BE" w:eastAsia="en-GB"/>
            </w:rPr>
            <w:t>prenantes;</w:t>
          </w:r>
          <w:proofErr w:type="gramEnd"/>
          <w:r w:rsidRPr="004F4B4E">
            <w:rPr>
              <w:lang w:val="fr-BE" w:eastAsia="en-GB"/>
            </w:rPr>
            <w:t xml:space="preserve"> </w:t>
          </w:r>
        </w:p>
        <w:p w14:paraId="52D3A0A9" w14:textId="77777777" w:rsidR="004F4B4E" w:rsidRPr="004F4B4E" w:rsidRDefault="004F4B4E" w:rsidP="004F4B4E">
          <w:pPr>
            <w:rPr>
              <w:lang w:val="fr-BE" w:eastAsia="en-GB"/>
            </w:rPr>
          </w:pPr>
          <w:r w:rsidRPr="004F4B4E">
            <w:rPr>
              <w:lang w:val="fr-BE" w:eastAsia="en-GB"/>
            </w:rPr>
            <w:t>* Analyser les exigences de notre politique en matière d’infrastructures, telles qu’elles découlent des priorités et des objectifs du pacte vert pour l’Europe ainsi que du plan REPowerEU, et formuler des propositions d’action. Cela concerne, entre autres, l’intégration de nouvelles infrastructures dans le cadre du label</w:t>
          </w:r>
          <w:proofErr w:type="gramStart"/>
          <w:r w:rsidRPr="004F4B4E">
            <w:rPr>
              <w:lang w:val="fr-BE" w:eastAsia="en-GB"/>
            </w:rPr>
            <w:t xml:space="preserve"> «projet</w:t>
          </w:r>
          <w:proofErr w:type="gramEnd"/>
          <w:r w:rsidRPr="004F4B4E">
            <w:rPr>
              <w:lang w:val="fr-BE" w:eastAsia="en-GB"/>
            </w:rPr>
            <w:t xml:space="preserve"> d’intérêt commun» ainsi que les politiques visant à accélérer leur mise en œuvre. </w:t>
          </w:r>
        </w:p>
        <w:p w14:paraId="1BC7490A" w14:textId="17D9DF00" w:rsidR="004F4B4E" w:rsidRPr="004F4B4E" w:rsidRDefault="004F4B4E" w:rsidP="004F4B4E">
          <w:pPr>
            <w:rPr>
              <w:lang w:val="fr-BE" w:eastAsia="en-GB"/>
            </w:rPr>
          </w:pPr>
          <w:r w:rsidRPr="004F4B4E">
            <w:rPr>
              <w:lang w:val="fr-BE" w:eastAsia="en-GB"/>
            </w:rPr>
            <w:t>* Coordonner les politiques en matière d’infrastructures entre les gestionnaires de réseau nationaux</w:t>
          </w:r>
          <w:r w:rsidR="00014118">
            <w:rPr>
              <w:lang w:val="fr-BE" w:eastAsia="en-GB"/>
            </w:rPr>
            <w:t>,</w:t>
          </w:r>
          <w:r w:rsidRPr="004F4B4E">
            <w:rPr>
              <w:lang w:val="fr-BE" w:eastAsia="en-GB"/>
            </w:rPr>
            <w:t xml:space="preserve"> les autorités de régulation et les États membres au sein de groupes de travail</w:t>
          </w:r>
          <w:r w:rsidR="00B6045D">
            <w:rPr>
              <w:lang w:val="fr-BE" w:eastAsia="en-GB"/>
            </w:rPr>
            <w:t xml:space="preserve"> en plus d</w:t>
          </w:r>
          <w:r w:rsidRPr="004F4B4E">
            <w:rPr>
              <w:lang w:val="fr-BE" w:eastAsia="en-GB"/>
            </w:rPr>
            <w:t xml:space="preserve">es REGRT (réseau européen des gestionnaires de réseau de transport) et </w:t>
          </w:r>
          <w:r w:rsidR="00B6045D">
            <w:rPr>
              <w:lang w:val="fr-BE" w:eastAsia="en-GB"/>
            </w:rPr>
            <w:t xml:space="preserve">de </w:t>
          </w:r>
          <w:r w:rsidRPr="004F4B4E">
            <w:rPr>
              <w:lang w:val="fr-BE" w:eastAsia="en-GB"/>
            </w:rPr>
            <w:t>l’ACER (l’agence de régulation de l’UE pour l’énergie</w:t>
          </w:r>
          <w:proofErr w:type="gramStart"/>
          <w:r w:rsidRPr="004F4B4E">
            <w:rPr>
              <w:lang w:val="fr-BE" w:eastAsia="en-GB"/>
            </w:rPr>
            <w:t>);</w:t>
          </w:r>
          <w:proofErr w:type="gramEnd"/>
          <w:r w:rsidRPr="004F4B4E">
            <w:rPr>
              <w:lang w:val="fr-BE" w:eastAsia="en-GB"/>
            </w:rPr>
            <w:t xml:space="preserve"> </w:t>
          </w:r>
        </w:p>
        <w:p w14:paraId="4749CFB6" w14:textId="75B398D9" w:rsidR="004F4B4E" w:rsidRPr="004F4B4E" w:rsidRDefault="004F4B4E" w:rsidP="004F4B4E">
          <w:pPr>
            <w:rPr>
              <w:lang w:val="fr-BE" w:eastAsia="en-GB"/>
            </w:rPr>
          </w:pPr>
          <w:r w:rsidRPr="004F4B4E">
            <w:rPr>
              <w:lang w:val="fr-BE" w:eastAsia="en-GB"/>
            </w:rPr>
            <w:t xml:space="preserve">* </w:t>
          </w:r>
          <w:r w:rsidR="0051218F">
            <w:rPr>
              <w:lang w:val="fr-BE" w:eastAsia="en-GB"/>
            </w:rPr>
            <w:t>Travailler sur</w:t>
          </w:r>
          <w:r w:rsidRPr="004F4B4E">
            <w:rPr>
              <w:lang w:val="fr-BE" w:eastAsia="en-GB"/>
            </w:rPr>
            <w:t xml:space="preserve"> la politique en matière d’infrastructures avec d’autres DG (par exemple, DG ENV, DG CLIMA, DG REGIO) et </w:t>
          </w:r>
          <w:proofErr w:type="gramStart"/>
          <w:r w:rsidRPr="004F4B4E">
            <w:rPr>
              <w:lang w:val="fr-BE" w:eastAsia="en-GB"/>
            </w:rPr>
            <w:t>institutions;</w:t>
          </w:r>
          <w:proofErr w:type="gramEnd"/>
          <w:r w:rsidRPr="004F4B4E">
            <w:rPr>
              <w:lang w:val="fr-BE" w:eastAsia="en-GB"/>
            </w:rPr>
            <w:t xml:space="preserve"> </w:t>
          </w:r>
        </w:p>
        <w:p w14:paraId="75B2531A" w14:textId="77777777" w:rsidR="004F4B4E" w:rsidRPr="004F4B4E" w:rsidRDefault="004F4B4E" w:rsidP="004F4B4E">
          <w:pPr>
            <w:rPr>
              <w:lang w:val="fr-BE" w:eastAsia="en-GB"/>
            </w:rPr>
          </w:pPr>
          <w:r w:rsidRPr="004F4B4E">
            <w:rPr>
              <w:lang w:val="fr-BE" w:eastAsia="en-GB"/>
            </w:rPr>
            <w:t xml:space="preserve">* Communiquer sur la politique énergétique de la Commission dans le cadre de séminaires et de conférences, rédiger des discours et des notes d’information à l’intention du commissaire et du directeur général.  </w:t>
          </w:r>
        </w:p>
        <w:p w14:paraId="3B1D2FA2" w14:textId="552B126B" w:rsidR="001A0074" w:rsidRPr="004F4B4E" w:rsidRDefault="004F4B4E" w:rsidP="004F4B4E">
          <w:pPr>
            <w:rPr>
              <w:lang w:val="fr-BE" w:eastAsia="en-GB"/>
            </w:rPr>
          </w:pPr>
          <w:r w:rsidRPr="004F4B4E">
            <w:rPr>
              <w:lang w:val="fr-BE" w:eastAsia="en-GB"/>
            </w:rPr>
            <w:t>Nous proposons des formations sur mesure pour intégrer sans heurts les nouveaux membres de l’équipe, quel que soit le niveau de leurs connaissances sectorielles.</w:t>
          </w:r>
        </w:p>
      </w:sdtContent>
    </w:sdt>
    <w:p w14:paraId="3D69C09B" w14:textId="77777777" w:rsidR="00301CA3" w:rsidRPr="004F4B4E"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9629102" w14:textId="77777777" w:rsidR="00B13485" w:rsidRPr="00B13485" w:rsidRDefault="00B13485" w:rsidP="00B13485">
          <w:pPr>
            <w:pStyle w:val="ListNumber"/>
            <w:numPr>
              <w:ilvl w:val="0"/>
              <w:numId w:val="0"/>
            </w:numPr>
            <w:ind w:left="709"/>
            <w:rPr>
              <w:lang w:val="fr-BE" w:eastAsia="en-GB"/>
            </w:rPr>
          </w:pPr>
          <w:r w:rsidRPr="00B13485">
            <w:rPr>
              <w:lang w:val="fr-BE" w:eastAsia="en-GB"/>
            </w:rPr>
            <w:t xml:space="preserve">Nous recherchons un membre d’équipe dynamique, motivé et ouvert d’esprit, possédant les qualifications </w:t>
          </w:r>
          <w:proofErr w:type="gramStart"/>
          <w:r w:rsidRPr="00B13485">
            <w:rPr>
              <w:lang w:val="fr-BE" w:eastAsia="en-GB"/>
            </w:rPr>
            <w:t>suivantes:</w:t>
          </w:r>
          <w:proofErr w:type="gramEnd"/>
          <w:r w:rsidRPr="00B13485">
            <w:rPr>
              <w:lang w:val="fr-BE" w:eastAsia="en-GB"/>
            </w:rPr>
            <w:t xml:space="preserve"> </w:t>
          </w:r>
        </w:p>
        <w:p w14:paraId="3561EA0C" w14:textId="77777777" w:rsidR="00B13485" w:rsidRPr="00B13485" w:rsidRDefault="00B13485" w:rsidP="00B13485">
          <w:pPr>
            <w:pStyle w:val="ListNumber"/>
            <w:rPr>
              <w:lang w:val="fr-BE" w:eastAsia="en-GB"/>
            </w:rPr>
          </w:pPr>
          <w:r w:rsidRPr="00B13485">
            <w:rPr>
              <w:lang w:val="fr-BE" w:eastAsia="en-GB"/>
            </w:rPr>
            <w:t xml:space="preserve">Posséder de solides compétences en matière d’analyse, de rédaction et de </w:t>
          </w:r>
          <w:proofErr w:type="gramStart"/>
          <w:r w:rsidRPr="00B13485">
            <w:rPr>
              <w:lang w:val="fr-BE" w:eastAsia="en-GB"/>
            </w:rPr>
            <w:t>communication;</w:t>
          </w:r>
          <w:proofErr w:type="gramEnd"/>
          <w:r w:rsidRPr="00B13485">
            <w:rPr>
              <w:lang w:val="fr-BE" w:eastAsia="en-GB"/>
            </w:rPr>
            <w:t xml:space="preserve"> </w:t>
          </w:r>
        </w:p>
        <w:p w14:paraId="085C8C8E" w14:textId="77777777" w:rsidR="00B13485" w:rsidRPr="00B13485" w:rsidRDefault="00B13485" w:rsidP="00B13485">
          <w:pPr>
            <w:pStyle w:val="ListNumber"/>
            <w:rPr>
              <w:lang w:val="fr-BE" w:eastAsia="en-GB"/>
            </w:rPr>
          </w:pPr>
          <w:r w:rsidRPr="00B13485">
            <w:rPr>
              <w:lang w:val="fr-BE" w:eastAsia="en-GB"/>
            </w:rPr>
            <w:t xml:space="preserve">Aptitude à la gestion de projets et à la </w:t>
          </w:r>
          <w:proofErr w:type="gramStart"/>
          <w:r w:rsidRPr="00B13485">
            <w:rPr>
              <w:lang w:val="fr-BE" w:eastAsia="en-GB"/>
            </w:rPr>
            <w:t>négociation;</w:t>
          </w:r>
          <w:proofErr w:type="gramEnd"/>
          <w:r w:rsidRPr="00B13485">
            <w:rPr>
              <w:lang w:val="fr-BE" w:eastAsia="en-GB"/>
            </w:rPr>
            <w:t xml:space="preserve"> </w:t>
          </w:r>
        </w:p>
        <w:p w14:paraId="6188CDEB" w14:textId="77777777" w:rsidR="00B13485" w:rsidRPr="00B13485" w:rsidRDefault="00B13485" w:rsidP="00B13485">
          <w:pPr>
            <w:pStyle w:val="ListNumber"/>
            <w:rPr>
              <w:lang w:val="fr-BE" w:eastAsia="en-GB"/>
            </w:rPr>
          </w:pPr>
          <w:r w:rsidRPr="00B13485">
            <w:rPr>
              <w:lang w:val="fr-BE" w:eastAsia="en-GB"/>
            </w:rPr>
            <w:t xml:space="preserve">Expérience dans la conception et la mise en œuvre de stratégies de participation des parties prenantes et de processus de </w:t>
          </w:r>
          <w:proofErr w:type="gramStart"/>
          <w:r w:rsidRPr="00B13485">
            <w:rPr>
              <w:lang w:val="fr-BE" w:eastAsia="en-GB"/>
            </w:rPr>
            <w:t>consultation;</w:t>
          </w:r>
          <w:proofErr w:type="gramEnd"/>
          <w:r w:rsidRPr="00B13485">
            <w:rPr>
              <w:lang w:val="fr-BE" w:eastAsia="en-GB"/>
            </w:rPr>
            <w:t xml:space="preserve"> </w:t>
          </w:r>
        </w:p>
        <w:p w14:paraId="5850A243" w14:textId="77777777" w:rsidR="00B13485" w:rsidRPr="00B13485" w:rsidRDefault="00B13485" w:rsidP="00B13485">
          <w:pPr>
            <w:pStyle w:val="ListNumber"/>
            <w:rPr>
              <w:lang w:val="fr-BE" w:eastAsia="en-GB"/>
            </w:rPr>
          </w:pPr>
          <w:r w:rsidRPr="00B13485">
            <w:rPr>
              <w:lang w:val="fr-BE" w:eastAsia="en-GB"/>
            </w:rPr>
            <w:t xml:space="preserve">Expérience dans la coordination d’événements et de plateformes destinés aux parties </w:t>
          </w:r>
          <w:proofErr w:type="gramStart"/>
          <w:r w:rsidRPr="00B13485">
            <w:rPr>
              <w:lang w:val="fr-BE" w:eastAsia="en-GB"/>
            </w:rPr>
            <w:t>prenantes;</w:t>
          </w:r>
          <w:proofErr w:type="gramEnd"/>
          <w:r w:rsidRPr="00B13485">
            <w:rPr>
              <w:lang w:val="fr-BE" w:eastAsia="en-GB"/>
            </w:rPr>
            <w:t xml:space="preserve"> </w:t>
          </w:r>
        </w:p>
        <w:p w14:paraId="286DC1C7" w14:textId="77777777" w:rsidR="00B13485" w:rsidRPr="00B13485" w:rsidRDefault="00B13485" w:rsidP="00B13485">
          <w:pPr>
            <w:pStyle w:val="ListNumber"/>
            <w:rPr>
              <w:lang w:val="fr-BE" w:eastAsia="en-GB"/>
            </w:rPr>
          </w:pPr>
          <w:r w:rsidRPr="00B13485">
            <w:rPr>
              <w:lang w:val="fr-BE" w:eastAsia="en-GB"/>
            </w:rPr>
            <w:t xml:space="preserve">Connaissance du droit de l’Union et des procédures internes de la </w:t>
          </w:r>
          <w:proofErr w:type="gramStart"/>
          <w:r w:rsidRPr="00B13485">
            <w:rPr>
              <w:lang w:val="fr-BE" w:eastAsia="en-GB"/>
            </w:rPr>
            <w:t>Commission;</w:t>
          </w:r>
          <w:proofErr w:type="gramEnd"/>
          <w:r w:rsidRPr="00B13485">
            <w:rPr>
              <w:lang w:val="fr-BE" w:eastAsia="en-GB"/>
            </w:rPr>
            <w:t xml:space="preserve"> </w:t>
          </w:r>
        </w:p>
        <w:p w14:paraId="15AFB62E" w14:textId="77777777" w:rsidR="00B13485" w:rsidRPr="00B13485" w:rsidRDefault="00B13485" w:rsidP="00B13485">
          <w:pPr>
            <w:pStyle w:val="ListNumber"/>
            <w:rPr>
              <w:lang w:val="fr-BE" w:eastAsia="en-GB"/>
            </w:rPr>
          </w:pPr>
          <w:r w:rsidRPr="00B13485">
            <w:rPr>
              <w:lang w:val="fr-BE" w:eastAsia="en-GB"/>
            </w:rPr>
            <w:t xml:space="preserve">Connaissance des relations </w:t>
          </w:r>
          <w:proofErr w:type="gramStart"/>
          <w:r w:rsidRPr="00B13485">
            <w:rPr>
              <w:lang w:val="fr-BE" w:eastAsia="en-GB"/>
            </w:rPr>
            <w:t>interinstitutionnelles;</w:t>
          </w:r>
          <w:proofErr w:type="gramEnd"/>
          <w:r w:rsidRPr="00B13485">
            <w:rPr>
              <w:lang w:val="fr-BE" w:eastAsia="en-GB"/>
            </w:rPr>
            <w:t xml:space="preserve"> </w:t>
          </w:r>
        </w:p>
        <w:p w14:paraId="10ECAFBF" w14:textId="77777777" w:rsidR="00B13485" w:rsidRPr="00B13485" w:rsidRDefault="00B13485" w:rsidP="00B13485">
          <w:pPr>
            <w:pStyle w:val="ListNumber"/>
            <w:rPr>
              <w:lang w:val="fr-BE" w:eastAsia="en-GB"/>
            </w:rPr>
          </w:pPr>
          <w:r w:rsidRPr="00B13485">
            <w:rPr>
              <w:lang w:val="fr-BE" w:eastAsia="en-GB"/>
            </w:rPr>
            <w:t xml:space="preserve">Un sens aigu de </w:t>
          </w:r>
          <w:proofErr w:type="gramStart"/>
          <w:r w:rsidRPr="00B13485">
            <w:rPr>
              <w:lang w:val="fr-BE" w:eastAsia="en-GB"/>
            </w:rPr>
            <w:t>l’initiative;</w:t>
          </w:r>
          <w:proofErr w:type="gramEnd"/>
          <w:r w:rsidRPr="00B13485">
            <w:rPr>
              <w:lang w:val="fr-BE" w:eastAsia="en-GB"/>
            </w:rPr>
            <w:t xml:space="preserve"> </w:t>
          </w:r>
        </w:p>
        <w:p w14:paraId="631EEC3B" w14:textId="3231A5E2" w:rsidR="00B13485" w:rsidRPr="00B13485" w:rsidRDefault="00B13485" w:rsidP="00B13485">
          <w:pPr>
            <w:pStyle w:val="ListNumber"/>
            <w:rPr>
              <w:lang w:val="fr-BE" w:eastAsia="en-GB"/>
            </w:rPr>
          </w:pPr>
          <w:r w:rsidRPr="00B13485">
            <w:rPr>
              <w:lang w:val="fr-BE" w:eastAsia="en-GB"/>
            </w:rPr>
            <w:t>L’intérêt et la capacité à s’immerger dans les aspects techniques de la politique en matière d’infrastructures énergétiques tout en comprenant les priorités globales en matière d’énergie et de climat qui so</w:t>
          </w:r>
          <w:r w:rsidR="00E03C71">
            <w:rPr>
              <w:lang w:val="fr-BE" w:eastAsia="en-GB"/>
            </w:rPr>
            <w:t>nt à l’origine de</w:t>
          </w:r>
          <w:r w:rsidRPr="00B13485">
            <w:rPr>
              <w:lang w:val="fr-BE" w:eastAsia="en-GB"/>
            </w:rPr>
            <w:t xml:space="preserve"> nos </w:t>
          </w:r>
          <w:proofErr w:type="gramStart"/>
          <w:r w:rsidRPr="00B13485">
            <w:rPr>
              <w:lang w:val="fr-BE" w:eastAsia="en-GB"/>
            </w:rPr>
            <w:t>politiques;</w:t>
          </w:r>
          <w:proofErr w:type="gramEnd"/>
          <w:r w:rsidRPr="00B13485">
            <w:rPr>
              <w:lang w:val="fr-BE" w:eastAsia="en-GB"/>
            </w:rPr>
            <w:t xml:space="preserve"> </w:t>
          </w:r>
        </w:p>
        <w:p w14:paraId="345975F7" w14:textId="6D8C054A" w:rsidR="00B13485" w:rsidRPr="00B13485" w:rsidRDefault="00B13485" w:rsidP="00B13485">
          <w:pPr>
            <w:pStyle w:val="ListNumber"/>
            <w:rPr>
              <w:lang w:val="fr-BE" w:eastAsia="en-GB"/>
            </w:rPr>
          </w:pPr>
          <w:r w:rsidRPr="00B13485">
            <w:rPr>
              <w:lang w:val="fr-BE" w:eastAsia="en-GB"/>
            </w:rPr>
            <w:lastRenderedPageBreak/>
            <w:t>Diplôme universitaire dans un domaine pertinent</w:t>
          </w:r>
          <w:r w:rsidR="00B77657">
            <w:rPr>
              <w:lang w:val="fr-BE" w:eastAsia="en-GB"/>
            </w:rPr>
            <w:t> :</w:t>
          </w:r>
          <w:r w:rsidRPr="00B13485">
            <w:rPr>
              <w:lang w:val="fr-BE" w:eastAsia="en-GB"/>
            </w:rPr>
            <w:t xml:space="preserve"> </w:t>
          </w:r>
          <w:r w:rsidR="00B6045D">
            <w:rPr>
              <w:lang w:val="fr-BE" w:eastAsia="en-GB"/>
            </w:rPr>
            <w:t>é</w:t>
          </w:r>
          <w:r w:rsidR="0051218F" w:rsidRPr="0051218F">
            <w:rPr>
              <w:lang w:val="fr-BE" w:eastAsia="en-GB"/>
            </w:rPr>
            <w:t>conomi</w:t>
          </w:r>
          <w:r w:rsidR="0051218F">
            <w:rPr>
              <w:lang w:val="fr-BE" w:eastAsia="en-GB"/>
            </w:rPr>
            <w:t>e</w:t>
          </w:r>
          <w:r w:rsidR="0051218F" w:rsidRPr="0051218F">
            <w:rPr>
              <w:lang w:val="fr-BE" w:eastAsia="en-GB"/>
            </w:rPr>
            <w:t xml:space="preserve">, </w:t>
          </w:r>
          <w:r w:rsidR="0051218F">
            <w:rPr>
              <w:lang w:val="fr-BE" w:eastAsia="en-GB"/>
            </w:rPr>
            <w:t>droit</w:t>
          </w:r>
          <w:r w:rsidR="0051218F" w:rsidRPr="0051218F">
            <w:rPr>
              <w:lang w:val="fr-BE" w:eastAsia="en-GB"/>
            </w:rPr>
            <w:t xml:space="preserve">, </w:t>
          </w:r>
          <w:proofErr w:type="spellStart"/>
          <w:r w:rsidR="0051218F">
            <w:rPr>
              <w:lang w:val="fr-BE" w:eastAsia="en-GB"/>
            </w:rPr>
            <w:t>ingénie</w:t>
          </w:r>
          <w:r w:rsidR="00B6045D">
            <w:rPr>
              <w:lang w:val="fr-BE" w:eastAsia="en-GB"/>
            </w:rPr>
            <w:t>u</w:t>
          </w:r>
          <w:r w:rsidR="0051218F">
            <w:rPr>
              <w:lang w:val="fr-BE" w:eastAsia="en-GB"/>
            </w:rPr>
            <w:t>rie</w:t>
          </w:r>
          <w:proofErr w:type="spellEnd"/>
          <w:r w:rsidR="0051218F" w:rsidRPr="0051218F">
            <w:rPr>
              <w:lang w:val="fr-BE" w:eastAsia="en-GB"/>
            </w:rPr>
            <w:t>, administration, science</w:t>
          </w:r>
          <w:r w:rsidR="0051218F">
            <w:rPr>
              <w:lang w:val="fr-BE" w:eastAsia="en-GB"/>
            </w:rPr>
            <w:t xml:space="preserve"> politique</w:t>
          </w:r>
          <w:r w:rsidR="00B77657">
            <w:rPr>
              <w:lang w:val="fr-BE" w:eastAsia="en-GB"/>
            </w:rPr>
            <w:t> ;</w:t>
          </w:r>
        </w:p>
        <w:p w14:paraId="670F5919" w14:textId="4465FFD1" w:rsidR="00B13485" w:rsidRPr="00B13485" w:rsidRDefault="00B13485" w:rsidP="00B13485">
          <w:pPr>
            <w:pStyle w:val="ListNumber"/>
            <w:rPr>
              <w:lang w:val="fr-BE" w:eastAsia="en-GB"/>
            </w:rPr>
          </w:pPr>
          <w:r w:rsidRPr="00B13485">
            <w:rPr>
              <w:lang w:val="fr-BE" w:eastAsia="en-GB"/>
            </w:rPr>
            <w:t xml:space="preserve">Une expérience dans le domaine de l’énergie et/ou de la politique climatique constituerait un atout majeur, que ce soit au sein de la Commission, dans une administration nationale ou dans le secteur privé. </w:t>
          </w:r>
        </w:p>
        <w:p w14:paraId="7E409EA7" w14:textId="52DA0227" w:rsidR="001A0074" w:rsidRPr="00B13485" w:rsidRDefault="00B13485" w:rsidP="00B13485">
          <w:pPr>
            <w:pStyle w:val="ListNumber"/>
            <w:numPr>
              <w:ilvl w:val="0"/>
              <w:numId w:val="0"/>
            </w:numPr>
            <w:rPr>
              <w:lang w:val="fr-BE" w:eastAsia="en-GB"/>
            </w:rPr>
          </w:pPr>
          <w:r w:rsidRPr="00B13485">
            <w:rPr>
              <w:lang w:val="fr-BE" w:eastAsia="en-GB"/>
            </w:rPr>
            <w:t xml:space="preserve">Le/la candidat (e) retenu (e) doit être capable de travailler de manière autonome ainsi qu’au sein d’une équipe. Le poste requiert une excellente maîtrise de </w:t>
          </w:r>
          <w:proofErr w:type="gramStart"/>
          <w:r w:rsidRPr="00B13485">
            <w:rPr>
              <w:lang w:val="fr-BE" w:eastAsia="en-GB"/>
            </w:rPr>
            <w:t>l’anglais;</w:t>
          </w:r>
          <w:proofErr w:type="gramEnd"/>
          <w:r w:rsidRPr="00B13485">
            <w:rPr>
              <w:lang w:val="fr-BE" w:eastAsia="en-GB"/>
            </w:rPr>
            <w:t xml:space="preserve"> d’autres langues, notamment le français, constitueraient un atout.</w:t>
          </w:r>
        </w:p>
      </w:sdtContent>
    </w:sdt>
    <w:p w14:paraId="5D76C15C" w14:textId="77777777" w:rsidR="00F65CC2" w:rsidRPr="00B13485"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 xml:space="preserve">au moins trois ans dans des fonctions administratives, judiciaires, scientifiques, techniques, de conseil ou de supervision, à un grade équivalant au groupe de fonctions administrateur </w:t>
      </w:r>
      <w:proofErr w:type="gramStart"/>
      <w:r w:rsidRPr="001D3EEC">
        <w:rPr>
          <w:lang w:val="fr-BE" w:eastAsia="en-GB"/>
        </w:rPr>
        <w:t>AD;</w:t>
      </w:r>
      <w:proofErr w:type="gramEnd"/>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xml:space="preserve">, dans un cadre statutaire ou </w:t>
      </w:r>
      <w:proofErr w:type="gramStart"/>
      <w:r w:rsidRPr="001D3EEC">
        <w:rPr>
          <w:lang w:val="fr-BE" w:eastAsia="en-GB"/>
        </w:rPr>
        <w:t>contractuel</w:t>
      </w:r>
      <w:r w:rsidR="00443957" w:rsidRPr="001D3EEC">
        <w:rPr>
          <w:lang w:val="fr-BE" w:eastAsia="en-GB"/>
        </w:rPr>
        <w:t>;</w:t>
      </w:r>
      <w:proofErr w:type="gramEnd"/>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w:t>
      </w:r>
      <w:proofErr w:type="gramStart"/>
      <w:r w:rsidR="00443957" w:rsidRPr="001D3EEC">
        <w:rPr>
          <w:lang w:val="fr-BE" w:eastAsia="en-GB"/>
        </w:rPr>
        <w:t>);</w:t>
      </w:r>
      <w:proofErr w:type="gramEnd"/>
      <w:r w:rsidR="00443957" w:rsidRPr="001D3EEC">
        <w:rPr>
          <w:lang w:val="fr-BE" w:eastAsia="en-GB"/>
        </w:rPr>
        <w:t xml:space="preserve">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lastRenderedPageBreak/>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4118"/>
    <w:rsid w:val="00017FBA"/>
    <w:rsid w:val="00080A71"/>
    <w:rsid w:val="00082A64"/>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F4B4E"/>
    <w:rsid w:val="0051218F"/>
    <w:rsid w:val="0053405E"/>
    <w:rsid w:val="00556CBD"/>
    <w:rsid w:val="006A1CB2"/>
    <w:rsid w:val="006F23BA"/>
    <w:rsid w:val="0074301E"/>
    <w:rsid w:val="007A10AA"/>
    <w:rsid w:val="007A1396"/>
    <w:rsid w:val="007B444D"/>
    <w:rsid w:val="007B5FAE"/>
    <w:rsid w:val="007E131B"/>
    <w:rsid w:val="008241B0"/>
    <w:rsid w:val="008315CD"/>
    <w:rsid w:val="00866E7F"/>
    <w:rsid w:val="008A0FF3"/>
    <w:rsid w:val="0092295D"/>
    <w:rsid w:val="00A65B97"/>
    <w:rsid w:val="00A917BE"/>
    <w:rsid w:val="00B0073D"/>
    <w:rsid w:val="00B13485"/>
    <w:rsid w:val="00B31DC8"/>
    <w:rsid w:val="00B6045D"/>
    <w:rsid w:val="00B77657"/>
    <w:rsid w:val="00C30890"/>
    <w:rsid w:val="00C518F5"/>
    <w:rsid w:val="00D022E3"/>
    <w:rsid w:val="00D703FC"/>
    <w:rsid w:val="00D82B48"/>
    <w:rsid w:val="00DC5C83"/>
    <w:rsid w:val="00E03C71"/>
    <w:rsid w:val="00E0579E"/>
    <w:rsid w:val="00E5708E"/>
    <w:rsid w:val="00E850B7"/>
    <w:rsid w:val="00E927FE"/>
    <w:rsid w:val="00EB7A05"/>
    <w:rsid w:val="00F60414"/>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803E4"/>
    <w:multiLevelType w:val="multilevel"/>
    <w:tmpl w:val="C7E426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28639F"/>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8639F"/>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135</TotalTime>
  <Pages>5</Pages>
  <Words>1888</Words>
  <Characters>10215</Characters>
  <Application>Microsoft Office Word</Application>
  <DocSecurity>0</DocSecurity>
  <PresentationFormat>Microsoft Word 14.0</PresentationFormat>
  <Lines>681</Lines>
  <Paragraphs>432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SOLYOM Szilvia (ENER)</cp:lastModifiedBy>
  <cp:revision>10</cp:revision>
  <cp:lastPrinted>2023-04-18T07:01:00Z</cp:lastPrinted>
  <dcterms:created xsi:type="dcterms:W3CDTF">2023-06-06T16:08:00Z</dcterms:created>
  <dcterms:modified xsi:type="dcterms:W3CDTF">2023-06-09T16:51:00Z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