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fr-BE"/>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DF3F39">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DF3F39">
                <w:pPr>
                  <w:pStyle w:val="ZDGName"/>
                  <w:rPr>
                    <w:caps/>
                    <w:lang w:val="fr-BE"/>
                  </w:rPr>
                </w:pPr>
                <w:sdt>
                  <w:sdtPr>
                    <w:rPr>
                      <w:caps/>
                      <w:lang w:val="fr-BE"/>
                    </w:rPr>
                    <w:id w:val="-1899195802"/>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DF3F39">
                <w:pPr>
                  <w:pStyle w:val="ZDGName"/>
                  <w:rPr>
                    <w:caps/>
                    <w:lang w:val="fr-BE"/>
                  </w:rPr>
                </w:pPr>
                <w:sdt>
                  <w:sdtPr>
                    <w:rPr>
                      <w:caps/>
                      <w:lang w:val="fr-BE"/>
                    </w:rPr>
                    <w:id w:val="-1257908893"/>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DF3F39">
                <w:pPr>
                  <w:pStyle w:val="ZDGName"/>
                  <w:rPr>
                    <w:lang w:val="fr-BE"/>
                  </w:rPr>
                </w:pPr>
                <w:sdt>
                  <w:sdtPr>
                    <w:rPr>
                      <w:lang w:val="fr-BE"/>
                    </w:rPr>
                    <w:id w:val="-1561940081"/>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DF3F39">
                <w:pPr>
                  <w:pStyle w:val="ZDGName"/>
                  <w:rPr>
                    <w:b/>
                    <w:lang w:val="fr-BE"/>
                  </w:rPr>
                </w:pPr>
                <w:sdt>
                  <w:sdtPr>
                    <w:rPr>
                      <w:b/>
                      <w:lang w:val="fr-BE"/>
                    </w:rPr>
                    <w:id w:val="1399240144"/>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DF3F39"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462268"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277ED5B5" w:rsidR="00377580" w:rsidRPr="00080A71" w:rsidRDefault="00EA52E1" w:rsidP="005F6927">
                <w:pPr>
                  <w:tabs>
                    <w:tab w:val="left" w:pos="426"/>
                  </w:tabs>
                  <w:rPr>
                    <w:bCs/>
                    <w:lang w:val="en-IE" w:eastAsia="en-GB"/>
                  </w:rPr>
                </w:pPr>
                <w:r>
                  <w:rPr>
                    <w:bCs/>
                    <w:lang w:val="fr-BE" w:eastAsia="en-GB"/>
                  </w:rPr>
                  <w:t>COMP-D-D4</w:t>
                </w:r>
              </w:p>
            </w:tc>
          </w:sdtContent>
        </w:sdt>
      </w:tr>
      <w:tr w:rsidR="00377580" w:rsidRPr="00EA52E1"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dtPr>
          <w:sdtEndPr/>
          <w:sdtContent>
            <w:tc>
              <w:tcPr>
                <w:tcW w:w="5491" w:type="dxa"/>
              </w:tcPr>
              <w:p w14:paraId="51C87C16" w14:textId="77DCC1BC" w:rsidR="00377580" w:rsidRPr="00080A71" w:rsidRDefault="00EA52E1" w:rsidP="005F6927">
                <w:pPr>
                  <w:tabs>
                    <w:tab w:val="left" w:pos="426"/>
                  </w:tabs>
                  <w:rPr>
                    <w:bCs/>
                    <w:lang w:val="en-IE" w:eastAsia="en-GB"/>
                  </w:rPr>
                </w:pPr>
                <w:r>
                  <w:rPr>
                    <w:bCs/>
                    <w:lang w:val="fr-BE" w:eastAsia="en-GB"/>
                  </w:rPr>
                  <w:t>381004</w:t>
                </w:r>
              </w:p>
            </w:tc>
          </w:sdtContent>
        </w:sdt>
      </w:tr>
      <w:tr w:rsidR="00377580" w:rsidRPr="00DF3F39"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6FDB498D" w:rsidR="00377580" w:rsidRPr="00EA52E1" w:rsidRDefault="00EA52E1" w:rsidP="005F6927">
                <w:pPr>
                  <w:tabs>
                    <w:tab w:val="left" w:pos="426"/>
                  </w:tabs>
                  <w:rPr>
                    <w:bCs/>
                    <w:lang w:val="en-IE" w:eastAsia="en-GB"/>
                  </w:rPr>
                </w:pPr>
                <w:r w:rsidRPr="00EA52E1">
                  <w:rPr>
                    <w:bCs/>
                    <w:lang w:val="en-IE" w:eastAsia="en-GB"/>
                  </w:rPr>
                  <w:t>Agata MAZURKIEWICZ</w:t>
                </w:r>
              </w:p>
            </w:sdtContent>
          </w:sdt>
          <w:p w14:paraId="32DD8032" w14:textId="54DA3EF4" w:rsidR="00377580" w:rsidRPr="00EA52E1" w:rsidRDefault="00DF3F39" w:rsidP="005F6927">
            <w:pPr>
              <w:tabs>
                <w:tab w:val="left" w:pos="426"/>
              </w:tabs>
              <w:contextualSpacing/>
              <w:rPr>
                <w:bCs/>
                <w:lang w:val="en-IE" w:eastAsia="en-GB"/>
              </w:rPr>
            </w:pPr>
            <w:sdt>
              <w:sdtPr>
                <w:rPr>
                  <w:bCs/>
                  <w:lang w:val="fr-BE" w:eastAsia="en-GB"/>
                </w:rPr>
                <w:id w:val="1175461244"/>
                <w:placeholder>
                  <w:docPart w:val="8C22AB55BBA54E638A78E6CCB625149B"/>
                </w:placeholder>
              </w:sdtPr>
              <w:sdtEndPr/>
              <w:sdtContent>
                <w:r w:rsidR="00EA52E1" w:rsidRPr="00EA52E1">
                  <w:rPr>
                    <w:bCs/>
                    <w:lang w:val="en-IE" w:eastAsia="en-GB"/>
                  </w:rPr>
                  <w:t>3 or 4</w:t>
                </w:r>
              </w:sdtContent>
            </w:sdt>
            <w:r w:rsidR="00377580" w:rsidRPr="00EA52E1">
              <w:rPr>
                <w:bCs/>
                <w:lang w:val="en-IE" w:eastAsia="en-GB"/>
              </w:rPr>
              <w:t xml:space="preserve"> trimestre </w:t>
            </w:r>
            <w:sdt>
              <w:sdtPr>
                <w:rPr>
                  <w:bCs/>
                  <w:lang w:val="fr-BE" w:eastAsia="en-GB"/>
                </w:rPr>
                <w:id w:val="1115250968"/>
                <w:placeholder>
                  <w:docPart w:val="DefaultPlaceholder_-1854013440"/>
                </w:placeholder>
              </w:sdtPr>
              <w:sdtEndPr/>
              <w:sdtContent>
                <w:r w:rsidR="00F65CC2" w:rsidRPr="00EA52E1">
                  <w:rPr>
                    <w:bCs/>
                    <w:lang w:val="en-IE" w:eastAsia="en-GB"/>
                  </w:rPr>
                  <w:t>202</w:t>
                </w:r>
              </w:sdtContent>
            </w:sdt>
          </w:p>
          <w:p w14:paraId="768BBE26" w14:textId="68057E32" w:rsidR="00377580" w:rsidRPr="00EA52E1" w:rsidRDefault="00DF3F39" w:rsidP="005F6927">
            <w:pPr>
              <w:tabs>
                <w:tab w:val="left" w:pos="426"/>
              </w:tabs>
              <w:contextualSpacing/>
              <w:jc w:val="left"/>
              <w:rPr>
                <w:bCs/>
                <w:szCs w:val="24"/>
                <w:lang w:val="en-IE" w:eastAsia="en-GB"/>
              </w:rPr>
            </w:pPr>
            <w:sdt>
              <w:sdtPr>
                <w:rPr>
                  <w:bCs/>
                  <w:lang w:val="fr-BE" w:eastAsia="en-GB"/>
                </w:rPr>
                <w:id w:val="202528730"/>
                <w:placeholder>
                  <w:docPart w:val="8C22AB55BBA54E638A78E6CCB625149B"/>
                </w:placeholder>
              </w:sdtPr>
              <w:sdtEndPr/>
              <w:sdtContent>
                <w:r w:rsidR="00EA52E1" w:rsidRPr="00EA52E1">
                  <w:rPr>
                    <w:bCs/>
                    <w:lang w:val="en-IE" w:eastAsia="en-GB"/>
                  </w:rPr>
                  <w:t>1</w:t>
                </w:r>
              </w:sdtContent>
            </w:sdt>
            <w:r w:rsidR="00377580" w:rsidRPr="00EA52E1">
              <w:rPr>
                <w:bCs/>
                <w:lang w:val="en-IE" w:eastAsia="en-GB"/>
              </w:rPr>
              <w:t xml:space="preserve"> années</w:t>
            </w:r>
            <w:r w:rsidR="00377580" w:rsidRPr="00EA52E1">
              <w:rPr>
                <w:bCs/>
                <w:lang w:val="en-IE" w:eastAsia="en-GB"/>
              </w:rPr>
              <w:br/>
            </w:r>
            <w:sdt>
              <w:sdtPr>
                <w:rPr>
                  <w:bCs/>
                  <w:szCs w:val="24"/>
                  <w:lang w:val="en-IE" w:eastAsia="en-GB"/>
                </w:rPr>
                <w:id w:val="-69433268"/>
                <w14:checkbox>
                  <w14:checked w14:val="1"/>
                  <w14:checkedState w14:val="2612" w14:font="MS Gothic"/>
                  <w14:uncheckedState w14:val="2610" w14:font="MS Gothic"/>
                </w14:checkbox>
              </w:sdtPr>
              <w:sdtEndPr/>
              <w:sdtContent>
                <w:r w:rsidR="00EA52E1" w:rsidRPr="00EA52E1">
                  <w:rPr>
                    <w:rFonts w:ascii="MS Gothic" w:eastAsia="MS Gothic" w:hAnsi="MS Gothic" w:hint="eastAsia"/>
                    <w:bCs/>
                    <w:szCs w:val="24"/>
                    <w:lang w:val="en-IE" w:eastAsia="en-GB"/>
                  </w:rPr>
                  <w:t>☒</w:t>
                </w:r>
              </w:sdtContent>
            </w:sdt>
            <w:r w:rsidR="00377580" w:rsidRPr="00EA52E1">
              <w:rPr>
                <w:bCs/>
                <w:lang w:val="en-IE" w:eastAsia="en-GB"/>
              </w:rPr>
              <w:t xml:space="preserve"> Bruxelles </w:t>
            </w:r>
            <w:r w:rsidR="0092295D" w:rsidRPr="00EA52E1">
              <w:rPr>
                <w:bCs/>
                <w:lang w:val="en-IE" w:eastAsia="en-GB"/>
              </w:rPr>
              <w:t xml:space="preserve"> </w:t>
            </w:r>
            <w:r w:rsidR="00377580" w:rsidRPr="00EA52E1">
              <w:rPr>
                <w:bCs/>
                <w:lang w:val="en-IE" w:eastAsia="en-GB"/>
              </w:rPr>
              <w:t xml:space="preserve"> </w:t>
            </w:r>
            <w:sdt>
              <w:sdtPr>
                <w:rPr>
                  <w:bCs/>
                  <w:szCs w:val="24"/>
                  <w:lang w:val="en-IE" w:eastAsia="en-GB"/>
                </w:rPr>
                <w:id w:val="1282158214"/>
                <w14:checkbox>
                  <w14:checked w14:val="0"/>
                  <w14:checkedState w14:val="2612" w14:font="MS Gothic"/>
                  <w14:uncheckedState w14:val="2610" w14:font="MS Gothic"/>
                </w14:checkbox>
              </w:sdtPr>
              <w:sdtEndPr/>
              <w:sdtContent>
                <w:r w:rsidR="00377580" w:rsidRPr="00EA52E1">
                  <w:rPr>
                    <w:rFonts w:ascii="MS Gothic" w:eastAsia="MS Gothic" w:hAnsi="MS Gothic"/>
                    <w:bCs/>
                    <w:szCs w:val="24"/>
                    <w:lang w:val="en-IE" w:eastAsia="en-GB"/>
                  </w:rPr>
                  <w:t>☐</w:t>
                </w:r>
              </w:sdtContent>
            </w:sdt>
            <w:r w:rsidR="00377580" w:rsidRPr="00EA52E1">
              <w:rPr>
                <w:bCs/>
                <w:szCs w:val="24"/>
                <w:lang w:val="en-IE" w:eastAsia="en-GB"/>
              </w:rPr>
              <w:t xml:space="preserve"> Luxembourg   </w:t>
            </w:r>
            <w:sdt>
              <w:sdtPr>
                <w:rPr>
                  <w:bCs/>
                  <w:szCs w:val="24"/>
                  <w:lang w:val="en-IE" w:eastAsia="en-GB"/>
                </w:rPr>
                <w:id w:val="-432676822"/>
                <w14:checkbox>
                  <w14:checked w14:val="0"/>
                  <w14:checkedState w14:val="2612" w14:font="MS Gothic"/>
                  <w14:uncheckedState w14:val="2610" w14:font="MS Gothic"/>
                </w14:checkbox>
              </w:sdtPr>
              <w:sdtEndPr/>
              <w:sdtContent>
                <w:r w:rsidR="00377580" w:rsidRPr="00EA52E1">
                  <w:rPr>
                    <w:rFonts w:ascii="MS Gothic" w:eastAsia="MS Gothic" w:hAnsi="MS Gothic"/>
                    <w:bCs/>
                    <w:szCs w:val="24"/>
                    <w:lang w:val="en-IE" w:eastAsia="en-GB"/>
                  </w:rPr>
                  <w:t>☐</w:t>
                </w:r>
              </w:sdtContent>
            </w:sdt>
            <w:r w:rsidR="00377580" w:rsidRPr="00EA52E1">
              <w:rPr>
                <w:bCs/>
                <w:szCs w:val="24"/>
                <w:lang w:val="en-IE"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EA52E1">
                  <w:rPr>
                    <w:rStyle w:val="PlaceholderText"/>
                    <w:lang w:val="en-IE"/>
                  </w:rPr>
                  <w:t>Click or tap here to enter text.</w:t>
                </w:r>
              </w:sdtContent>
            </w:sdt>
          </w:p>
          <w:p w14:paraId="6A0ABCA6" w14:textId="77777777" w:rsidR="00377580" w:rsidRPr="00EA52E1" w:rsidRDefault="00377580" w:rsidP="005F6927">
            <w:pPr>
              <w:tabs>
                <w:tab w:val="left" w:pos="426"/>
              </w:tabs>
              <w:spacing w:after="0"/>
              <w:contextualSpacing/>
              <w:rPr>
                <w:bCs/>
                <w:lang w:val="en-IE" w:eastAsia="en-GB"/>
              </w:rPr>
            </w:pPr>
          </w:p>
        </w:tc>
      </w:tr>
      <w:tr w:rsidR="00377580" w:rsidRPr="001D3EEC" w14:paraId="529DCF69" w14:textId="77777777" w:rsidTr="005F6927">
        <w:tc>
          <w:tcPr>
            <w:tcW w:w="3111" w:type="dxa"/>
          </w:tcPr>
          <w:p w14:paraId="0AA7058A" w14:textId="77777777" w:rsidR="00377580" w:rsidRPr="00EA52E1" w:rsidRDefault="00377580" w:rsidP="005F6927">
            <w:pPr>
              <w:tabs>
                <w:tab w:val="left" w:pos="426"/>
              </w:tabs>
              <w:spacing w:after="0"/>
              <w:rPr>
                <w:bCs/>
                <w:lang w:val="en-IE" w:eastAsia="en-GB"/>
              </w:rPr>
            </w:pPr>
          </w:p>
        </w:tc>
        <w:tc>
          <w:tcPr>
            <w:tcW w:w="5491" w:type="dxa"/>
          </w:tcPr>
          <w:p w14:paraId="448C3A1A" w14:textId="57E9AA36" w:rsidR="00377580" w:rsidRPr="001D3EEC" w:rsidRDefault="00DF3F39" w:rsidP="005F6927">
            <w:pPr>
              <w:tabs>
                <w:tab w:val="left" w:pos="426"/>
              </w:tabs>
              <w:rPr>
                <w:bCs/>
                <w:lang w:val="fr-BE" w:eastAsia="en-GB"/>
              </w:rPr>
            </w:pPr>
            <w:sdt>
              <w:sdtPr>
                <w:rPr>
                  <w:bCs/>
                  <w:szCs w:val="24"/>
                  <w:lang w:val="fr-BE" w:eastAsia="en-GB"/>
                </w:rPr>
                <w:id w:val="269588133"/>
                <w14:checkbox>
                  <w14:checked w14:val="1"/>
                  <w14:checkedState w14:val="2612" w14:font="MS Gothic"/>
                  <w14:uncheckedState w14:val="2610" w14:font="MS Gothic"/>
                </w14:checkbox>
              </w:sdtPr>
              <w:sdtEndPr/>
              <w:sdtContent>
                <w:r w:rsidR="00EA52E1">
                  <w:rPr>
                    <w:rFonts w:ascii="MS Gothic" w:eastAsia="MS Gothic" w:hAnsi="MS Gothic" w:hint="eastAsia"/>
                    <w:bCs/>
                    <w:szCs w:val="24"/>
                    <w:lang w:val="fr-BE" w:eastAsia="en-GB"/>
                  </w:rPr>
                  <w:t>☒</w:t>
                </w:r>
              </w:sdtContent>
            </w:sdt>
            <w:r w:rsidR="00377580" w:rsidRPr="001D3EEC">
              <w:rPr>
                <w:bCs/>
                <w:szCs w:val="24"/>
                <w:lang w:val="fr-BE" w:eastAsia="en-GB"/>
              </w:rPr>
              <w:t xml:space="preserve"> Avec </w:t>
            </w:r>
            <w:r w:rsidR="006F23BA" w:rsidRPr="001D3EEC">
              <w:rPr>
                <w:bCs/>
                <w:szCs w:val="24"/>
                <w:lang w:val="fr-BE" w:eastAsia="en-GB"/>
              </w:rPr>
              <w:t>indemnités</w:t>
            </w:r>
            <w:r w:rsidR="00377580" w:rsidRPr="001D3EEC">
              <w:rPr>
                <w:bCs/>
                <w:szCs w:val="24"/>
                <w:lang w:val="fr-BE" w:eastAsia="en-GB"/>
              </w:rPr>
              <w:t xml:space="preserve">   </w:t>
            </w:r>
            <w:sdt>
              <w:sdtPr>
                <w:rPr>
                  <w:bCs/>
                  <w:szCs w:val="24"/>
                  <w:lang w:val="fr-BE" w:eastAsia="en-GB"/>
                </w:rPr>
                <w:id w:val="-1683587035"/>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Sans frais</w:t>
            </w:r>
          </w:p>
        </w:tc>
      </w:tr>
      <w:tr w:rsidR="00377580" w:rsidRPr="001D3EEC" w14:paraId="124B8213" w14:textId="77777777" w:rsidTr="005F6927">
        <w:tc>
          <w:tcPr>
            <w:tcW w:w="8602" w:type="dxa"/>
            <w:gridSpan w:val="2"/>
          </w:tcPr>
          <w:p w14:paraId="0B2AD26E" w14:textId="1DDE5B24" w:rsidR="00377580" w:rsidRPr="001D3EEC" w:rsidRDefault="00377580" w:rsidP="005F6927">
            <w:pPr>
              <w:tabs>
                <w:tab w:val="left" w:pos="426"/>
              </w:tabs>
              <w:rPr>
                <w:bCs/>
                <w:lang w:val="fr-BE" w:eastAsia="en-GB"/>
              </w:rPr>
            </w:pPr>
            <w:r w:rsidRPr="001D3EEC">
              <w:rPr>
                <w:bCs/>
                <w:lang w:val="fr-BE" w:eastAsia="en-GB"/>
              </w:rPr>
              <w:t>Cet avis de vacance est ouvert aux:</w:t>
            </w:r>
          </w:p>
          <w:p w14:paraId="04D76CED" w14:textId="6DCE71C9" w:rsidR="00377580" w:rsidRPr="001D3EEC" w:rsidRDefault="00DF3F39" w:rsidP="005F6927">
            <w:pPr>
              <w:tabs>
                <w:tab w:val="left" w:pos="426"/>
              </w:tabs>
              <w:contextualSpacing/>
              <w:rPr>
                <w:bCs/>
                <w:szCs w:val="24"/>
                <w:lang w:val="fr-BE" w:eastAsia="en-GB"/>
              </w:rPr>
            </w:pPr>
            <w:sdt>
              <w:sdtPr>
                <w:rPr>
                  <w:bCs/>
                  <w:szCs w:val="24"/>
                  <w:lang w:val="fr-BE" w:eastAsia="en-GB"/>
                </w:rPr>
                <w:id w:val="-1853022140"/>
                <w14:checkbox>
                  <w14:checked w14:val="1"/>
                  <w14:checkedState w14:val="2612" w14:font="MS Gothic"/>
                  <w14:uncheckedState w14:val="2610" w14:font="MS Gothic"/>
                </w14:checkbox>
              </w:sdtPr>
              <w:sdtEndPr/>
              <w:sdtContent>
                <w:r w:rsidR="00EA52E1">
                  <w:rPr>
                    <w:rFonts w:ascii="MS Gothic" w:eastAsia="MS Gothic" w:hAnsi="MS Gothic" w:hint="eastAsia"/>
                    <w:bCs/>
                    <w:szCs w:val="24"/>
                    <w:lang w:val="fr-BE" w:eastAsia="en-GB"/>
                  </w:rPr>
                  <w:t>☒</w:t>
                </w:r>
              </w:sdtContent>
            </w:sdt>
            <w:r w:rsidR="00377580" w:rsidRPr="001D3EEC">
              <w:rPr>
                <w:bCs/>
                <w:szCs w:val="24"/>
                <w:lang w:val="fr-BE" w:eastAsia="en-GB"/>
              </w:rPr>
              <w:t xml:space="preserve"> États Membres de l</w:t>
            </w:r>
            <w:r w:rsidR="006F23BA" w:rsidRPr="001D3EEC">
              <w:rPr>
                <w:bCs/>
                <w:szCs w:val="24"/>
                <w:lang w:val="fr-BE" w:eastAsia="en-GB"/>
              </w:rPr>
              <w:t>’</w:t>
            </w:r>
            <w:r w:rsidR="00377580" w:rsidRPr="001D3EEC">
              <w:rPr>
                <w:bCs/>
                <w:szCs w:val="24"/>
                <w:lang w:val="fr-BE" w:eastAsia="en-GB"/>
              </w:rPr>
              <w:t>UE</w:t>
            </w:r>
          </w:p>
          <w:p w14:paraId="577A84F5" w14:textId="2B7A277B" w:rsidR="00377580" w:rsidRPr="001D3EEC" w:rsidRDefault="00DF3F39" w:rsidP="005F6927">
            <w:pPr>
              <w:tabs>
                <w:tab w:val="left" w:pos="426"/>
              </w:tabs>
              <w:rPr>
                <w:bCs/>
                <w:lang w:val="fr-BE" w:eastAsia="en-GB"/>
              </w:rPr>
            </w:pPr>
            <w:sdt>
              <w:sdtPr>
                <w:rPr>
                  <w:bCs/>
                  <w:szCs w:val="24"/>
                  <w:lang w:val="fr-BE" w:eastAsia="en-GB"/>
                </w:rPr>
                <w:id w:val="2041318910"/>
                <w14:checkbox>
                  <w14:checked w14:val="0"/>
                  <w14:checkedState w14:val="2612" w14:font="MS Gothic"/>
                  <w14:uncheckedState w14:val="2610" w14:font="MS Gothic"/>
                </w14:checkbox>
              </w:sdtPr>
              <w:sdtEndPr/>
              <w:sdtContent>
                <w:r>
                  <w:rPr>
                    <w:rFonts w:ascii="MS Gothic" w:eastAsia="MS Gothic" w:hAnsi="MS Gothic" w:hint="eastAsia"/>
                    <w:bCs/>
                    <w:szCs w:val="24"/>
                    <w:lang w:val="fr-BE" w:eastAsia="en-GB"/>
                  </w:rPr>
                  <w:t>☐</w:t>
                </w:r>
              </w:sdtContent>
            </w:sdt>
            <w:r w:rsidR="00377580" w:rsidRPr="001D3EEC">
              <w:rPr>
                <w:bCs/>
                <w:szCs w:val="24"/>
                <w:lang w:val="fr-BE" w:eastAsia="en-GB"/>
              </w:rPr>
              <w:t xml:space="preserve"> Accord AELE-EE</w:t>
            </w:r>
            <w:r w:rsidR="001A0074" w:rsidRPr="001D3EEC">
              <w:rPr>
                <w:bCs/>
                <w:szCs w:val="24"/>
                <w:lang w:val="fr-BE" w:eastAsia="en-GB"/>
              </w:rPr>
              <w:t>E</w:t>
            </w:r>
            <w:r w:rsidR="00377580" w:rsidRPr="001D3EEC">
              <w:rPr>
                <w:bCs/>
                <w:szCs w:val="24"/>
                <w:lang w:val="fr-BE" w:eastAsia="en-GB"/>
              </w:rPr>
              <w:t xml:space="preserve"> In-Kind (I</w:t>
            </w:r>
            <w:r w:rsidR="001A0074" w:rsidRPr="001D3EEC">
              <w:rPr>
                <w:bCs/>
                <w:szCs w:val="24"/>
                <w:lang w:val="fr-BE" w:eastAsia="en-GB"/>
              </w:rPr>
              <w:t>s</w:t>
            </w:r>
            <w:r w:rsidR="00377580" w:rsidRPr="001D3EEC">
              <w:rPr>
                <w:bCs/>
                <w:szCs w:val="24"/>
                <w:lang w:val="fr-BE" w:eastAsia="en-GB"/>
              </w:rPr>
              <w:t>land</w:t>
            </w:r>
            <w:r w:rsidR="001A0074" w:rsidRPr="001D3EEC">
              <w:rPr>
                <w:bCs/>
                <w:szCs w:val="24"/>
                <w:lang w:val="fr-BE" w:eastAsia="en-GB"/>
              </w:rPr>
              <w:t>e</w:t>
            </w:r>
            <w:r w:rsidR="00377580" w:rsidRPr="001D3EEC">
              <w:rPr>
                <w:bCs/>
                <w:szCs w:val="24"/>
                <w:lang w:val="fr-BE" w:eastAsia="en-GB"/>
              </w:rPr>
              <w:t>, Liechtenstein, Nor</w:t>
            </w:r>
            <w:r w:rsidR="001A0074" w:rsidRPr="001D3EEC">
              <w:rPr>
                <w:bCs/>
                <w:szCs w:val="24"/>
                <w:lang w:val="fr-BE" w:eastAsia="en-GB"/>
              </w:rPr>
              <w:t>vège</w:t>
            </w:r>
            <w:r w:rsidR="00377580" w:rsidRPr="001D3EEC">
              <w:rPr>
                <w:bCs/>
                <w:szCs w:val="24"/>
                <w:lang w:val="fr-BE" w:eastAsia="en-GB"/>
              </w:rPr>
              <w:t>)</w:t>
            </w:r>
          </w:p>
        </w:tc>
      </w:tr>
      <w:tr w:rsidR="00377580" w:rsidRPr="001D3EEC" w14:paraId="52DCBCF8" w14:textId="77777777" w:rsidTr="005F6927">
        <w:tc>
          <w:tcPr>
            <w:tcW w:w="8602" w:type="dxa"/>
            <w:gridSpan w:val="2"/>
          </w:tcPr>
          <w:p w14:paraId="75C9C8EC" w14:textId="0438F092" w:rsidR="00377580" w:rsidRPr="001D3EEC" w:rsidRDefault="001A0074" w:rsidP="005F6927">
            <w:pPr>
              <w:tabs>
                <w:tab w:val="left" w:pos="426"/>
              </w:tabs>
              <w:rPr>
                <w:bCs/>
                <w:lang w:val="fr-BE" w:eastAsia="en-GB"/>
              </w:rPr>
            </w:pPr>
            <w:r w:rsidRPr="001D3EEC">
              <w:rPr>
                <w:bCs/>
                <w:lang w:val="fr-BE" w:eastAsia="en-GB"/>
              </w:rPr>
              <w:t>Cet avis de vacance est également ouvert aux:</w:t>
            </w:r>
          </w:p>
          <w:p w14:paraId="592E0483" w14:textId="0D121E31" w:rsidR="00377580" w:rsidRPr="001D3EEC" w:rsidRDefault="00DF3F39" w:rsidP="005F6927">
            <w:pPr>
              <w:tabs>
                <w:tab w:val="left" w:pos="426"/>
              </w:tabs>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EA52E1">
                  <w:rPr>
                    <w:rFonts w:ascii="MS Gothic" w:eastAsia="MS Gothic" w:hAnsi="MS Gothic" w:hint="eastAsia"/>
                    <w:bCs/>
                    <w:szCs w:val="24"/>
                    <w:lang w:val="fr-BE" w:eastAsia="en-GB"/>
                  </w:rPr>
                  <w:t>☒</w:t>
                </w:r>
              </w:sdtContent>
            </w:sdt>
            <w:r w:rsidR="00377580" w:rsidRPr="001D3EEC">
              <w:rPr>
                <w:bCs/>
                <w:szCs w:val="24"/>
                <w:lang w:val="fr-BE" w:eastAsia="en-GB"/>
              </w:rPr>
              <w:tab/>
            </w:r>
            <w:r w:rsidR="001A0074" w:rsidRPr="001D3EEC">
              <w:rPr>
                <w:bCs/>
                <w:szCs w:val="24"/>
                <w:lang w:val="fr-BE" w:eastAsia="en-GB"/>
              </w:rPr>
              <w:t>pays AELE suivants</w:t>
            </w:r>
            <w:r w:rsidR="00377580" w:rsidRPr="001D3EEC">
              <w:rPr>
                <w:bCs/>
                <w:szCs w:val="24"/>
                <w:lang w:val="fr-BE" w:eastAsia="en-GB"/>
              </w:rPr>
              <w:t>:</w:t>
            </w:r>
          </w:p>
          <w:p w14:paraId="556FFC51" w14:textId="60578932" w:rsidR="00377580" w:rsidRPr="001D3EEC" w:rsidRDefault="00377580" w:rsidP="005F6927">
            <w:pPr>
              <w:tabs>
                <w:tab w:val="left" w:pos="426"/>
              </w:tabs>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1"/>
                  <w14:checkedState w14:val="2612" w14:font="MS Gothic"/>
                  <w14:uncheckedState w14:val="2610" w14:font="MS Gothic"/>
                </w14:checkbox>
              </w:sdtPr>
              <w:sdtEndPr/>
              <w:sdtContent>
                <w:r w:rsidR="00EA52E1">
                  <w:rPr>
                    <w:rFonts w:ascii="MS Gothic" w:eastAsia="MS Gothic" w:hAnsi="MS Gothic" w:hint="eastAsia"/>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1"/>
                  <w14:checkedState w14:val="2612" w14:font="MS Gothic"/>
                  <w14:uncheckedState w14:val="2610" w14:font="MS Gothic"/>
                </w14:checkbox>
              </w:sdtPr>
              <w:sdtEndPr/>
              <w:sdtContent>
                <w:r w:rsidR="00EA52E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EA52E1">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1"/>
                  <w14:checkedState w14:val="2612" w14:font="MS Gothic"/>
                  <w14:uncheckedState w14:val="2610" w14:font="MS Gothic"/>
                </w14:checkbox>
              </w:sdtPr>
              <w:sdtEndPr/>
              <w:sdtContent>
                <w:r w:rsidR="00EA52E1">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70DFF98" w:rsidR="00377580" w:rsidRPr="001D3EEC" w:rsidRDefault="00DF3F39" w:rsidP="005F6927">
            <w:pPr>
              <w:tabs>
                <w:tab w:val="left" w:pos="426"/>
              </w:tabs>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sdtContent>
            </w:sdt>
          </w:p>
          <w:p w14:paraId="2B5ABBA0" w14:textId="0F131A07" w:rsidR="00377580" w:rsidRPr="001D3EEC" w:rsidRDefault="00DF3F39" w:rsidP="00301CA3">
            <w:pPr>
              <w:tabs>
                <w:tab w:val="left" w:pos="426"/>
              </w:tabs>
              <w:rPr>
                <w:bCs/>
                <w:szCs w:val="24"/>
                <w:lang w:val="fr-BE" w:eastAsia="en-GB"/>
              </w:rPr>
            </w:pPr>
            <w:sdt>
              <w:sdtPr>
                <w:rPr>
                  <w:bCs/>
                  <w:szCs w:val="24"/>
                  <w:lang w:val="fr-BE" w:eastAsia="en-GB"/>
                </w:rPr>
                <w:id w:val="127444912"/>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ab/>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howingPlcHdr/>
              </w:sdtPr>
              <w:sdtEndPr/>
              <w:sdtContent>
                <w:r w:rsidR="00301CA3" w:rsidRPr="001D3EEC">
                  <w:rPr>
                    <w:rStyle w:val="PlaceholderText"/>
                    <w:lang w:val="fr-BE"/>
                  </w:rPr>
                  <w:t xml:space="preserve">     </w:t>
                </w:r>
              </w:sdtContent>
            </w:sdt>
          </w:p>
        </w:tc>
      </w:tr>
      <w:tr w:rsidR="00377580" w:rsidRPr="001D3EEC" w14:paraId="2A89F248" w14:textId="77777777" w:rsidTr="005F6927">
        <w:tc>
          <w:tcPr>
            <w:tcW w:w="3111" w:type="dxa"/>
          </w:tcPr>
          <w:p w14:paraId="794A59BF" w14:textId="6ADA2DAC" w:rsidR="00377580" w:rsidRPr="001D3EEC" w:rsidRDefault="001A0074" w:rsidP="005F6927">
            <w:pPr>
              <w:tabs>
                <w:tab w:val="left" w:pos="426"/>
              </w:tabs>
              <w:spacing w:after="0"/>
              <w:rPr>
                <w:bCs/>
                <w:lang w:val="fr-BE" w:eastAsia="en-GB"/>
              </w:rPr>
            </w:pPr>
            <w:r w:rsidRPr="001D3EEC">
              <w:rPr>
                <w:bCs/>
                <w:lang w:val="fr-BE" w:eastAsia="en-GB"/>
              </w:rPr>
              <w:t>Délai des candidatures</w:t>
            </w:r>
          </w:p>
        </w:tc>
        <w:tc>
          <w:tcPr>
            <w:tcW w:w="5491" w:type="dxa"/>
          </w:tcPr>
          <w:p w14:paraId="3461E48E" w14:textId="77656739" w:rsidR="00377580" w:rsidRPr="001D3EEC" w:rsidRDefault="00DF3F39" w:rsidP="005F6927">
            <w:pPr>
              <w:tabs>
                <w:tab w:val="left" w:pos="426"/>
              </w:tabs>
              <w:rPr>
                <w:bCs/>
                <w:lang w:val="fr-BE" w:eastAsia="en-GB"/>
              </w:rPr>
            </w:pPr>
            <w:sdt>
              <w:sdtPr>
                <w:rPr>
                  <w:bCs/>
                  <w:szCs w:val="24"/>
                  <w:lang w:val="fr-BE" w:eastAsia="en-GB"/>
                </w:rPr>
                <w:id w:val="-1076366056"/>
                <w14:checkbox>
                  <w14:checked w14:val="0"/>
                  <w14:checkedState w14:val="2612" w14:font="MS Gothic"/>
                  <w14:uncheckedState w14:val="2610" w14:font="MS Gothic"/>
                </w14:checkbox>
              </w:sdtPr>
              <w:sdtEndPr/>
              <w:sdtContent>
                <w:r w:rsidR="00377580" w:rsidRPr="001D3EEC">
                  <w:rPr>
                    <w:rFonts w:ascii="MS Gothic" w:eastAsia="MS Gothic" w:hAnsi="MS Gothic"/>
                    <w:bCs/>
                    <w:szCs w:val="24"/>
                    <w:lang w:val="fr-BE" w:eastAsia="en-GB"/>
                  </w:rPr>
                  <w:t>☐</w:t>
                </w:r>
              </w:sdtContent>
            </w:sdt>
            <w:r w:rsidR="00377580" w:rsidRPr="001D3EEC">
              <w:rPr>
                <w:bCs/>
                <w:szCs w:val="24"/>
                <w:lang w:val="fr-BE" w:eastAsia="en-GB"/>
              </w:rPr>
              <w:t xml:space="preserve"> 2 mo</w:t>
            </w:r>
            <w:r w:rsidR="001A0074" w:rsidRPr="001D3EEC">
              <w:rPr>
                <w:bCs/>
                <w:szCs w:val="24"/>
                <w:lang w:val="fr-BE" w:eastAsia="en-GB"/>
              </w:rPr>
              <w:t>is</w:t>
            </w:r>
            <w:r w:rsidR="00377580" w:rsidRPr="001D3EEC">
              <w:rPr>
                <w:bCs/>
                <w:szCs w:val="24"/>
                <w:lang w:val="fr-BE" w:eastAsia="en-GB"/>
              </w:rPr>
              <w:t xml:space="preserve">   </w:t>
            </w:r>
            <w:sdt>
              <w:sdtPr>
                <w:rPr>
                  <w:bCs/>
                  <w:szCs w:val="24"/>
                  <w:lang w:val="fr-BE" w:eastAsia="en-GB"/>
                </w:rPr>
                <w:id w:val="-1934659806"/>
                <w14:checkbox>
                  <w14:checked w14:val="1"/>
                  <w14:checkedState w14:val="2612" w14:font="MS Gothic"/>
                  <w14:uncheckedState w14:val="2610" w14:font="MS Gothic"/>
                </w14:checkbox>
              </w:sdtPr>
              <w:sdtEndPr/>
              <w:sdtContent>
                <w:r w:rsidR="00EA52E1">
                  <w:rPr>
                    <w:rFonts w:ascii="MS Gothic" w:eastAsia="MS Gothic" w:hAnsi="MS Gothic" w:hint="eastAsia"/>
                    <w:bCs/>
                    <w:szCs w:val="24"/>
                    <w:lang w:val="fr-BE" w:eastAsia="en-GB"/>
                  </w:rPr>
                  <w:t>☒</w:t>
                </w:r>
              </w:sdtContent>
            </w:sdt>
            <w:r w:rsidR="00377580" w:rsidRPr="001D3EEC">
              <w:rPr>
                <w:bCs/>
                <w:szCs w:val="24"/>
                <w:lang w:val="fr-BE" w:eastAsia="en-GB"/>
              </w:rPr>
              <w:t xml:space="preserve"> 1 mo</w:t>
            </w:r>
            <w:r w:rsidR="001A0074" w:rsidRPr="001D3EEC">
              <w:rPr>
                <w:bCs/>
                <w:szCs w:val="24"/>
                <w:lang w:val="fr-BE" w:eastAsia="en-GB"/>
              </w:rPr>
              <w:t>is</w:t>
            </w:r>
          </w:p>
        </w:tc>
      </w:tr>
    </w:tbl>
    <w:p w14:paraId="66881FF0" w14:textId="77777777" w:rsidR="00377580" w:rsidRPr="001D3EEC" w:rsidRDefault="00377580" w:rsidP="00377580">
      <w:pPr>
        <w:rPr>
          <w:b/>
          <w:bCs/>
          <w:lang w:val="fr-BE" w:eastAsia="en-GB"/>
        </w:rPr>
      </w:pPr>
    </w:p>
    <w:p w14:paraId="56FF37FF" w14:textId="7820A366"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bookmarkStart w:id="0" w:name="_Hlk136445840" w:displacedByCustomXml="next"/>
    <w:sdt>
      <w:sdtPr>
        <w:rPr>
          <w:lang w:val="fr-BE" w:eastAsia="en-GB"/>
        </w:rPr>
        <w:id w:val="1822233941"/>
        <w:placeholder>
          <w:docPart w:val="502342290B3541ABA4032C2AA949ADE4"/>
        </w:placeholder>
      </w:sdtPr>
      <w:sdtEndPr/>
      <w:sdtContent>
        <w:sdt>
          <w:sdtPr>
            <w:rPr>
              <w:sz w:val="22"/>
              <w:szCs w:val="22"/>
            </w:rPr>
            <w:id w:val="1905563372"/>
            <w:placeholder>
              <w:docPart w:val="D3AC7D42036D41B99B16BCC9C7287FA5"/>
            </w:placeholder>
          </w:sdtPr>
          <w:sdtEndPr/>
          <w:sdtContent>
            <w:p w14:paraId="18140A21" w14:textId="69C784F7" w:rsidR="001A0074" w:rsidRPr="00A317F0" w:rsidRDefault="00A317F0" w:rsidP="001A0074">
              <w:pPr>
                <w:rPr>
                  <w:sz w:val="22"/>
                  <w:szCs w:val="22"/>
                </w:rPr>
              </w:pPr>
              <w:r w:rsidRPr="008F5055">
                <w:rPr>
                  <w:sz w:val="22"/>
                  <w:szCs w:val="22"/>
                </w:rPr>
                <w:t>L’unité D</w:t>
              </w:r>
              <w:r>
                <w:rPr>
                  <w:sz w:val="22"/>
                  <w:szCs w:val="22"/>
                </w:rPr>
                <w:t>4</w:t>
              </w:r>
              <w:r w:rsidRPr="008F5055">
                <w:rPr>
                  <w:sz w:val="22"/>
                  <w:szCs w:val="22"/>
                </w:rPr>
                <w:t xml:space="preserve"> fait partie du département Aide d’État — Institutions financières de la DG Concurrence et travaille avec l</w:t>
              </w:r>
              <w:r>
                <w:rPr>
                  <w:sz w:val="22"/>
                  <w:szCs w:val="22"/>
                </w:rPr>
                <w:t>’u</w:t>
              </w:r>
              <w:r w:rsidRPr="008F5055">
                <w:rPr>
                  <w:sz w:val="22"/>
                  <w:szCs w:val="22"/>
                </w:rPr>
                <w:t>nité D</w:t>
              </w:r>
              <w:r>
                <w:rPr>
                  <w:sz w:val="22"/>
                  <w:szCs w:val="22"/>
                </w:rPr>
                <w:t>3</w:t>
              </w:r>
              <w:r w:rsidRPr="008F5055">
                <w:rPr>
                  <w:sz w:val="22"/>
                  <w:szCs w:val="22"/>
                </w:rPr>
                <w:t xml:space="preserve">, comme une </w:t>
              </w:r>
              <w:r>
                <w:rPr>
                  <w:sz w:val="22"/>
                  <w:szCs w:val="22"/>
                </w:rPr>
                <w:t xml:space="preserve">seule </w:t>
              </w:r>
              <w:r w:rsidRPr="008F5055">
                <w:rPr>
                  <w:sz w:val="22"/>
                  <w:szCs w:val="22"/>
                </w:rPr>
                <w:t>é</w:t>
              </w:r>
              <w:r>
                <w:rPr>
                  <w:sz w:val="22"/>
                  <w:szCs w:val="22"/>
                </w:rPr>
                <w:t>quipe</w:t>
              </w:r>
              <w:r w:rsidRPr="008F5055">
                <w:rPr>
                  <w:sz w:val="22"/>
                  <w:szCs w:val="22"/>
                </w:rPr>
                <w:t>. Cette équipe est chargée du contrôle des aides d’État accordées par les États membres dans le secteur des services financiers et ses activités ont un vaste champ d’application centré sur: I) les aides aux établissements financiers; II) l’aide acheminée par l’intermédiaire d’institutions financières pour soutenir l’économie réelle (y compris le financement des risques), e</w:t>
              </w:r>
              <w:r>
                <w:rPr>
                  <w:sz w:val="22"/>
                  <w:szCs w:val="22"/>
                </w:rPr>
                <w:t xml:space="preserve">t (iii) les travaux politiques. L’unité </w:t>
              </w:r>
              <w:proofErr w:type="gramStart"/>
              <w:r>
                <w:rPr>
                  <w:sz w:val="22"/>
                  <w:szCs w:val="22"/>
                </w:rPr>
                <w:t>est également en charge</w:t>
              </w:r>
              <w:proofErr w:type="gramEnd"/>
              <w:r>
                <w:rPr>
                  <w:sz w:val="22"/>
                  <w:szCs w:val="22"/>
                </w:rPr>
                <w:t xml:space="preserve"> de l’examen </w:t>
              </w:r>
              <w:r w:rsidRPr="000C2028">
                <w:rPr>
                  <w:sz w:val="22"/>
                  <w:szCs w:val="22"/>
                </w:rPr>
                <w:t>des mesures d’aide d’État</w:t>
              </w:r>
              <w:r>
                <w:rPr>
                  <w:sz w:val="22"/>
                  <w:szCs w:val="22"/>
                </w:rPr>
                <w:t xml:space="preserve"> octroyés en vertu de l’</w:t>
              </w:r>
              <w:r w:rsidRPr="000C2028">
                <w:rPr>
                  <w:sz w:val="22"/>
                  <w:szCs w:val="22"/>
                </w:rPr>
                <w:t xml:space="preserve">Encadrement temporaire </w:t>
              </w:r>
              <w:r>
                <w:rPr>
                  <w:sz w:val="22"/>
                  <w:szCs w:val="22"/>
                </w:rPr>
                <w:t>de crise et de transition</w:t>
              </w:r>
              <w:r w:rsidRPr="00B865C0">
                <w:rPr>
                  <w:sz w:val="22"/>
                  <w:szCs w:val="22"/>
                </w:rPr>
                <w:t xml:space="preserve"> à soutenir l’économie à la suite de l’agression de la Russie contre l’Ukraine</w:t>
              </w:r>
              <w:r>
                <w:rPr>
                  <w:sz w:val="22"/>
                  <w:szCs w:val="22"/>
                </w:rPr>
                <w:t>.</w:t>
              </w:r>
            </w:p>
          </w:sdtContent>
        </w:sdt>
      </w:sdtContent>
    </w:sdt>
    <w:bookmarkEnd w:id="0" w:displacedByCustomXml="prev"/>
    <w:p w14:paraId="30B422AA" w14:textId="77777777" w:rsidR="00301CA3" w:rsidRPr="00EA52E1" w:rsidRDefault="00301CA3" w:rsidP="001A0074">
      <w:pPr>
        <w:rPr>
          <w:b/>
          <w:bCs/>
          <w:lang w:val="fr-BE" w:eastAsia="en-GB"/>
        </w:rPr>
      </w:pPr>
    </w:p>
    <w:p w14:paraId="28AD0173" w14:textId="2B27CB6F" w:rsidR="00B31DC8" w:rsidRPr="001D3EEC" w:rsidRDefault="00B31DC8" w:rsidP="001A0074">
      <w:pPr>
        <w:rPr>
          <w:b/>
          <w:bCs/>
          <w:lang w:val="fr-BE" w:eastAsia="en-GB"/>
        </w:rPr>
      </w:pPr>
      <w:r w:rsidRPr="001D3EEC">
        <w:rPr>
          <w:b/>
          <w:bCs/>
          <w:lang w:val="fr-BE" w:eastAsia="en-GB"/>
        </w:rPr>
        <w:lastRenderedPageBreak/>
        <w:t>Présentation du poste (nous proposons)</w:t>
      </w:r>
    </w:p>
    <w:sdt>
      <w:sdtPr>
        <w:rPr>
          <w:lang w:val="fr-BE" w:eastAsia="en-GB"/>
        </w:rPr>
        <w:id w:val="-723136291"/>
        <w:placeholder>
          <w:docPart w:val="43375E7FB7294216B3B48CC222A08C2F"/>
        </w:placeholder>
      </w:sdtPr>
      <w:sdtEndPr/>
      <w:sdtContent>
        <w:p w14:paraId="0F49E1EA" w14:textId="30913088" w:rsidR="00EA52E1" w:rsidRDefault="00EA52E1" w:rsidP="001A0074">
          <w:pPr>
            <w:rPr>
              <w:sz w:val="22"/>
              <w:szCs w:val="22"/>
            </w:rPr>
          </w:pPr>
          <w:r w:rsidRPr="008F5055">
            <w:rPr>
              <w:sz w:val="22"/>
              <w:szCs w:val="22"/>
            </w:rPr>
            <w:t>Nous proposons un poste intéressant et stimulant comme</w:t>
          </w:r>
          <w:r>
            <w:rPr>
              <w:sz w:val="22"/>
              <w:szCs w:val="22"/>
            </w:rPr>
            <w:t xml:space="preserve"> </w:t>
          </w:r>
          <w:r w:rsidRPr="00CE6663">
            <w:rPr>
              <w:sz w:val="22"/>
              <w:szCs w:val="22"/>
            </w:rPr>
            <w:t>chargé d’affaires</w:t>
          </w:r>
          <w:r>
            <w:rPr>
              <w:sz w:val="22"/>
              <w:szCs w:val="22"/>
            </w:rPr>
            <w:t>.</w:t>
          </w:r>
          <w:r w:rsidRPr="00CE6663">
            <w:rPr>
              <w:sz w:val="22"/>
              <w:szCs w:val="22"/>
            </w:rPr>
            <w:t> </w:t>
          </w:r>
          <w:r w:rsidRPr="008F5055">
            <w:rPr>
              <w:sz w:val="22"/>
              <w:szCs w:val="22"/>
            </w:rPr>
            <w:t>Les tâches consistent à réaliser une analyse économique et juridique des mesures de soutien public à la fois au secteur des services financiers directement (en particulier aux entreprises bancaires et d’assurance) et à l’économie réelle acheminée par des intermédiaires financiers, par exemple sous la forme de instruments financiers.</w:t>
          </w:r>
        </w:p>
        <w:p w14:paraId="206C9591" w14:textId="77777777" w:rsidR="00EA52E1" w:rsidRPr="008F5055" w:rsidRDefault="00EA52E1" w:rsidP="00EA52E1">
          <w:pPr>
            <w:rPr>
              <w:sz w:val="22"/>
              <w:szCs w:val="22"/>
            </w:rPr>
          </w:pPr>
          <w:r w:rsidRPr="008F5055">
            <w:rPr>
              <w:sz w:val="22"/>
              <w:szCs w:val="22"/>
            </w:rPr>
            <w:t>En ce qui concerne les mesures d’aide en faveur des banques, le gestionnaire du dossier contribuera à l’analyse de l’équipe chargée de l’affaire sur la question de savoir si ces interventions sont qualifiées d’aides d’État, à quantifier l’aide et à déterminer si les critères pertinents pour l’autoriser sont remplis. Les travaux</w:t>
          </w:r>
          <w:r>
            <w:rPr>
              <w:sz w:val="22"/>
              <w:szCs w:val="22"/>
            </w:rPr>
            <w:t xml:space="preserve"> </w:t>
          </w:r>
          <w:r w:rsidRPr="008F5055">
            <w:rPr>
              <w:sz w:val="22"/>
              <w:szCs w:val="22"/>
            </w:rPr>
            <w:t xml:space="preserve">comprennent à la fois l’évaluation des mesures pour les différentes banques, en particulier les plans de restructuration des banques, ainsi que l’évaluation des dispositifs de soutien et de résolution des banques. </w:t>
          </w:r>
        </w:p>
        <w:p w14:paraId="5FD99DEE" w14:textId="77777777" w:rsidR="00EA52E1" w:rsidRPr="008F5055" w:rsidRDefault="00EA52E1" w:rsidP="00EA52E1">
          <w:pPr>
            <w:rPr>
              <w:sz w:val="22"/>
              <w:szCs w:val="22"/>
            </w:rPr>
          </w:pPr>
          <w:r w:rsidRPr="008F5055">
            <w:rPr>
              <w:sz w:val="22"/>
              <w:szCs w:val="22"/>
            </w:rPr>
            <w:t xml:space="preserve">En ce qui concerne les mesures d’aide à l’économie réelle, le gestionnaire du dossier contribuera à l’analyse de l’équipe chargée de l’affaire en ce qui concerne la compréhension de la structure économique de l’intervention financière, qui transite habituellement par les banques ou d’autres intermédiaires financiers (entre autres, les garanties de l’État et les régimes de garantie de prêts, le financement des risques ou l’aide au crédit à l’exportation à court terme), sa qualification en tant qu’aide d’État et l’évaluation des conditions d’autorisation. Le travail consiste à évaluer l’avantage restant de l’intermédiaire financier et de l’avantage transféré au bénéficiaire final. </w:t>
          </w:r>
        </w:p>
        <w:p w14:paraId="7D71A208" w14:textId="77777777" w:rsidR="00A317F0" w:rsidRDefault="00EA52E1" w:rsidP="00EA52E1">
          <w:pPr>
            <w:rPr>
              <w:sz w:val="22"/>
              <w:szCs w:val="22"/>
            </w:rPr>
          </w:pPr>
          <w:r w:rsidRPr="008F5055">
            <w:rPr>
              <w:sz w:val="22"/>
              <w:szCs w:val="22"/>
            </w:rPr>
            <w:t>Enfin, il existe des travaux axés sur les politiques qui concernent tous les domaines d’expertise de l’équipe, y compris divers problèmes liés au secteur financier, qui impliquent généralement un travail de coordination étroit avec d’autres directions générales et d’autres acteurs clés externes, par exemple dans le secteur bancaire.</w:t>
          </w:r>
        </w:p>
        <w:p w14:paraId="0B620073" w14:textId="77777777" w:rsidR="00A317F0" w:rsidRPr="008F5055" w:rsidRDefault="00A317F0" w:rsidP="00A317F0">
          <w:pPr>
            <w:rPr>
              <w:sz w:val="22"/>
              <w:szCs w:val="22"/>
            </w:rPr>
          </w:pPr>
          <w:r w:rsidRPr="008F5055">
            <w:rPr>
              <w:sz w:val="22"/>
              <w:szCs w:val="22"/>
            </w:rPr>
            <w:t>Le travail est généralement, mais pas exclusivement, organisé sous la forme de petites équipes. Les gestionnaires de dossiers sont responsables du traitement de toutes les étapes: de l’enquête initiale, de la décision finale de la Commission et de sa publication, ainsi que du contrôle de sa mise en œuvre correcte par l’État membre et les entreprises concernées.</w:t>
          </w:r>
        </w:p>
        <w:p w14:paraId="3B1D2FA2" w14:textId="6D51CB93" w:rsidR="001A0074" w:rsidRPr="00EA52E1" w:rsidRDefault="00A317F0" w:rsidP="00EA52E1">
          <w:pPr>
            <w:rPr>
              <w:sz w:val="22"/>
              <w:szCs w:val="22"/>
            </w:rPr>
          </w:pPr>
          <w:r w:rsidRPr="008F5055">
            <w:rPr>
              <w:sz w:val="22"/>
              <w:szCs w:val="22"/>
            </w:rPr>
            <w:t>L’unité offre un climat de travail convivial et stimulant dans une structure de gestion intégrée avec ses deux unités sœurs. Les gestionnaires de dossiers jouissent d’un degré élevé d’autonomie et de responsabilité. Les discussions et les échanges de vues sont encouragés.</w:t>
          </w:r>
        </w:p>
      </w:sdtContent>
    </w:sdt>
    <w:p w14:paraId="3D69C09B" w14:textId="77777777" w:rsidR="00301CA3" w:rsidRPr="00EA52E1" w:rsidRDefault="00301CA3" w:rsidP="001A0074">
      <w:pPr>
        <w:pStyle w:val="ListNumber"/>
        <w:numPr>
          <w:ilvl w:val="0"/>
          <w:numId w:val="0"/>
        </w:numPr>
        <w:ind w:left="709" w:hanging="709"/>
        <w:rPr>
          <w:b/>
          <w:bCs/>
          <w:lang w:val="fr-BE" w:eastAsia="en-GB"/>
        </w:rPr>
      </w:pPr>
    </w:p>
    <w:p w14:paraId="69B92155" w14:textId="09A29639" w:rsidR="001A0074" w:rsidRPr="001D3EEC" w:rsidRDefault="00B31DC8" w:rsidP="001A0074">
      <w:pPr>
        <w:pStyle w:val="ListNumber"/>
        <w:numPr>
          <w:ilvl w:val="0"/>
          <w:numId w:val="0"/>
        </w:numPr>
        <w:ind w:left="709" w:hanging="709"/>
        <w:rPr>
          <w:b/>
          <w:bCs/>
          <w:lang w:val="fr-BE" w:eastAsia="en-GB"/>
        </w:rPr>
      </w:pPr>
      <w:r w:rsidRPr="001D3EEC">
        <w:rPr>
          <w:b/>
          <w:bCs/>
          <w:lang w:val="fr-BE" w:eastAsia="en-GB"/>
        </w:rPr>
        <w:t>Profil du titulaire (nous recherchons)</w:t>
      </w:r>
    </w:p>
    <w:sdt>
      <w:sdtPr>
        <w:rPr>
          <w:b/>
          <w:bCs/>
          <w:lang w:val="fr-BE" w:eastAsia="en-GB"/>
        </w:rPr>
        <w:id w:val="-689827953"/>
        <w:placeholder>
          <w:docPart w:val="C681F6FA0FB94712B2C889AACA29AC9D"/>
        </w:placeholder>
      </w:sdtPr>
      <w:sdtEndPr/>
      <w:sdtContent>
        <w:p w14:paraId="74E0DE04" w14:textId="77777777" w:rsidR="00A317F0" w:rsidRPr="008F5055" w:rsidRDefault="00A317F0" w:rsidP="00A317F0">
          <w:pPr>
            <w:tabs>
              <w:tab w:val="left" w:pos="709"/>
            </w:tabs>
            <w:ind w:right="60"/>
            <w:rPr>
              <w:sz w:val="22"/>
              <w:szCs w:val="22"/>
            </w:rPr>
          </w:pPr>
          <w:r w:rsidRPr="008F5055">
            <w:rPr>
              <w:sz w:val="22"/>
              <w:szCs w:val="22"/>
            </w:rPr>
            <w:t xml:space="preserve">Nous sommes à la recherche de candidats ayant une bonne connaissance financière, économique ou juridique et ayant de bonnes compétences en matière d’analyse, de rédaction et de communication. Une analyse financière, ainsi qu’une bonne connaissance des services financiers (y compris le risque de crédit et la titrisation) et/ou une connaissance de la législation et des procédures en matière d’aides d’État, également dans d’autres domaines, constitueraient des avantages manifestes. </w:t>
          </w:r>
          <w:r>
            <w:rPr>
              <w:sz w:val="22"/>
              <w:szCs w:val="22"/>
            </w:rPr>
            <w:t xml:space="preserve">Une </w:t>
          </w:r>
          <w:r w:rsidRPr="008F5055">
            <w:rPr>
              <w:sz w:val="22"/>
              <w:szCs w:val="22"/>
            </w:rPr>
            <w:t xml:space="preserve">expérience </w:t>
          </w:r>
          <w:r>
            <w:rPr>
              <w:sz w:val="22"/>
              <w:szCs w:val="22"/>
            </w:rPr>
            <w:t xml:space="preserve">en contrôle, réglementation et/ou résolution bancaire </w:t>
          </w:r>
          <w:r w:rsidRPr="008F5055">
            <w:rPr>
              <w:sz w:val="22"/>
              <w:szCs w:val="22"/>
            </w:rPr>
            <w:t xml:space="preserve">est un atout. </w:t>
          </w:r>
        </w:p>
        <w:p w14:paraId="6FFFD77D" w14:textId="77777777" w:rsidR="00A317F0" w:rsidRDefault="00A317F0" w:rsidP="00A317F0">
          <w:pPr>
            <w:pStyle w:val="ListNumber"/>
            <w:numPr>
              <w:ilvl w:val="0"/>
              <w:numId w:val="0"/>
            </w:numPr>
            <w:rPr>
              <w:sz w:val="22"/>
              <w:szCs w:val="22"/>
            </w:rPr>
          </w:pPr>
          <w:r w:rsidRPr="008F5055">
            <w:rPr>
              <w:sz w:val="22"/>
              <w:szCs w:val="22"/>
            </w:rPr>
            <w:t>Les candidats doivent être capables de travailler de manière indépendante et au sein d’une équipe,</w:t>
          </w:r>
          <w:r>
            <w:rPr>
              <w:sz w:val="22"/>
              <w:szCs w:val="22"/>
            </w:rPr>
            <w:t xml:space="preserve"> </w:t>
          </w:r>
          <w:r w:rsidRPr="008F5055">
            <w:rPr>
              <w:sz w:val="22"/>
              <w:szCs w:val="22"/>
            </w:rPr>
            <w:t>de posséder de bonnes capacités d’analyse et de rédaction, de communiquer efficacement et de travailler en fonction de contraintes de temps et de pressions.</w:t>
          </w:r>
        </w:p>
        <w:p w14:paraId="7E409EA7" w14:textId="2ACAB0C5" w:rsidR="001A0074" w:rsidRPr="00A317F0" w:rsidRDefault="00A317F0" w:rsidP="00A317F0">
          <w:pPr>
            <w:tabs>
              <w:tab w:val="left" w:pos="709"/>
            </w:tabs>
            <w:ind w:right="60"/>
            <w:rPr>
              <w:sz w:val="22"/>
              <w:szCs w:val="22"/>
            </w:rPr>
          </w:pPr>
          <w:r w:rsidRPr="008F5055">
            <w:rPr>
              <w:sz w:val="22"/>
              <w:szCs w:val="22"/>
            </w:rPr>
            <w:t>Comme l'anglais est la langue principale de travail, une très bonne connaissance de l'anglais parlé et écrit est demandée. La connaissance d'autres langues communautaires est un atout</w:t>
          </w:r>
          <w:r>
            <w:rPr>
              <w:sz w:val="22"/>
              <w:szCs w:val="22"/>
            </w:rPr>
            <w:t>.</w:t>
          </w:r>
        </w:p>
      </w:sdtContent>
    </w:sdt>
    <w:p w14:paraId="5D76C15C" w14:textId="77777777" w:rsidR="00F65CC2" w:rsidRPr="00A317F0" w:rsidRDefault="00F65CC2" w:rsidP="00377580">
      <w:pPr>
        <w:rPr>
          <w:b/>
          <w:lang w:val="fr-B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lastRenderedPageBreak/>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155A89D0" w:rsidR="00443957" w:rsidRPr="001D3EEC" w:rsidRDefault="00B31DC8" w:rsidP="00377580">
      <w:pPr>
        <w:rPr>
          <w:lang w:val="fr-BE" w:eastAsia="en-GB"/>
        </w:rPr>
      </w:pPr>
      <w:r w:rsidRPr="001D3EEC">
        <w:rPr>
          <w:lang w:val="fr-BE" w:eastAsia="en-GB"/>
        </w:rPr>
        <w:t>Aux termes de la décision END, l</w:t>
      </w:r>
      <w:r w:rsidR="006F23BA" w:rsidRPr="001D3EEC">
        <w:rPr>
          <w:lang w:val="fr-BE" w:eastAsia="en-GB"/>
        </w:rPr>
        <w:t>’</w:t>
      </w:r>
      <w:r w:rsidRPr="001D3EEC">
        <w:rPr>
          <w:lang w:val="fr-BE" w:eastAsia="en-GB"/>
        </w:rPr>
        <w:t xml:space="preserve">expert national </w:t>
      </w:r>
      <w:r w:rsidR="00377580" w:rsidRPr="001D3EEC">
        <w:rPr>
          <w:lang w:val="fr-BE" w:eastAsia="en-GB"/>
        </w:rPr>
        <w:t>doi</w:t>
      </w:r>
      <w:r w:rsidRPr="001D3EEC">
        <w:rPr>
          <w:lang w:val="fr-BE" w:eastAsia="en-GB"/>
        </w:rPr>
        <w:t>t</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suivantes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détachement</w:t>
      </w:r>
      <w:r w:rsidR="00443957" w:rsidRPr="001D3EEC">
        <w:rPr>
          <w:lang w:val="fr-BE" w:eastAsia="en-GB"/>
        </w:rPr>
        <w:t>:</w:t>
      </w:r>
    </w:p>
    <w:p w14:paraId="1B97B0F3" w14:textId="5C5D2C69" w:rsidR="00443957" w:rsidRPr="001D3EEC" w:rsidRDefault="00443957" w:rsidP="00377580">
      <w:pPr>
        <w:rPr>
          <w:lang w:val="fr-BE" w:eastAsia="en-GB"/>
        </w:rPr>
      </w:pPr>
      <w:r w:rsidRPr="001D3EEC">
        <w:rPr>
          <w:u w:val="single"/>
          <w:lang w:val="fr-BE" w:eastAsia="en-GB"/>
        </w:rPr>
        <w:t>Expérience professionnelle</w:t>
      </w:r>
      <w:r w:rsidRPr="007E131B">
        <w:rPr>
          <w:lang w:val="fr-BE" w:eastAsia="en-GB"/>
        </w:rPr>
        <w:t>:</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19E0B3C4" w:rsidR="00443957" w:rsidRPr="001D3EEC" w:rsidRDefault="00377580" w:rsidP="00377580">
      <w:pPr>
        <w:rPr>
          <w:lang w:val="fr-BE" w:eastAsia="en-GB"/>
        </w:rPr>
      </w:pPr>
      <w:r w:rsidRPr="001D3EEC">
        <w:rPr>
          <w:u w:val="single"/>
          <w:lang w:val="fr-BE" w:eastAsia="en-GB"/>
        </w:rPr>
        <w:t>Ancienneté de service</w:t>
      </w:r>
      <w:r w:rsidRPr="007E131B">
        <w:rPr>
          <w:lang w:val="fr-BE" w:eastAsia="en-GB"/>
        </w:rPr>
        <w:t>:</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auprès de son employeur, dans un cadre statutaire ou contractuel</w:t>
      </w:r>
      <w:r w:rsidR="00443957" w:rsidRPr="001D3EEC">
        <w:rPr>
          <w:lang w:val="fr-BE" w:eastAsia="en-GB"/>
        </w:rPr>
        <w:t>;</w:t>
      </w:r>
    </w:p>
    <w:p w14:paraId="5C4AB867" w14:textId="56789528" w:rsidR="00443957" w:rsidRPr="001D3EEC" w:rsidRDefault="00443957" w:rsidP="00377580">
      <w:pPr>
        <w:rPr>
          <w:lang w:val="fr-BE" w:eastAsia="en-GB"/>
        </w:rPr>
      </w:pPr>
      <w:r w:rsidRPr="001D3EEC">
        <w:rPr>
          <w:u w:val="single"/>
          <w:lang w:val="fr-BE" w:eastAsia="en-GB"/>
        </w:rPr>
        <w:t>Employeur</w:t>
      </w:r>
      <w:r w:rsidRPr="007E131B">
        <w:rPr>
          <w:lang w:val="fr-BE" w:eastAsia="en-GB"/>
        </w:rPr>
        <w:t>:</w:t>
      </w:r>
      <w:r w:rsidRPr="001D3EEC">
        <w:rPr>
          <w:lang w:val="fr-BE" w:eastAsia="en-GB"/>
        </w:rPr>
        <w:t xml:space="preserve"> </w:t>
      </w:r>
      <w:r w:rsidR="000914BF" w:rsidRPr="001D3EEC">
        <w:rPr>
          <w:lang w:val="fr-BE" w:eastAsia="en-GB"/>
        </w:rPr>
        <w:t xml:space="preserve">être employé par </w:t>
      </w:r>
      <w:r w:rsidRPr="001D3EEC">
        <w:rPr>
          <w:lang w:val="fr-BE" w:eastAsia="en-GB"/>
        </w:rPr>
        <w:t xml:space="preserve">une administration publique nationale, régionale ou locale, ou </w:t>
      </w:r>
      <w:r w:rsidR="000914BF" w:rsidRPr="001D3EEC">
        <w:rPr>
          <w:lang w:val="fr-BE" w:eastAsia="en-GB"/>
        </w:rPr>
        <w:t>par une organisation intergouvernementale</w:t>
      </w:r>
      <w:r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4D3B51" w:rsidRPr="001D3EEC">
        <w:rPr>
          <w:lang w:val="fr-BE" w:eastAsia="en-GB"/>
        </w:rPr>
        <w:t>d</w:t>
      </w:r>
      <w:r w:rsidR="006F23BA" w:rsidRPr="001D3EEC">
        <w:rPr>
          <w:lang w:val="fr-BE" w:eastAsia="en-GB"/>
        </w:rPr>
        <w:t>’</w:t>
      </w:r>
      <w:r w:rsidR="004D3B51" w:rsidRPr="001D3EEC">
        <w:rPr>
          <w:lang w:val="fr-BE" w:eastAsia="en-GB"/>
        </w:rPr>
        <w:t xml:space="preserve">un </w:t>
      </w:r>
      <w:r w:rsidR="000914BF" w:rsidRPr="001D3EEC">
        <w:rPr>
          <w:lang w:val="fr-BE" w:eastAsia="en-GB"/>
        </w:rPr>
        <w:t>employeur rel</w:t>
      </w:r>
      <w:r w:rsidR="004D3B51" w:rsidRPr="001D3EEC">
        <w:rPr>
          <w:lang w:val="fr-BE" w:eastAsia="en-GB"/>
        </w:rPr>
        <w:t xml:space="preserve">evant </w:t>
      </w:r>
      <w:r w:rsidR="000914BF" w:rsidRPr="001D3EEC">
        <w:rPr>
          <w:lang w:val="fr-BE" w:eastAsia="en-GB"/>
        </w:rPr>
        <w:t>du secteur public (e.g. agence ou institut de régularisation)</w:t>
      </w:r>
      <w:r w:rsidR="006F23BA" w:rsidRPr="001D3EEC">
        <w:rPr>
          <w:lang w:val="fr-BE" w:eastAsia="en-GB"/>
        </w:rPr>
        <w:t xml:space="preserve">, </w:t>
      </w:r>
      <w:r w:rsidR="004D3B51" w:rsidRPr="001D3EEC">
        <w:rPr>
          <w:lang w:val="fr-BE" w:eastAsia="en-GB"/>
        </w:rPr>
        <w:t>d</w:t>
      </w:r>
      <w:r w:rsidR="006F23BA" w:rsidRPr="001D3EEC">
        <w:rPr>
          <w:lang w:val="fr-BE" w:eastAsia="en-GB"/>
        </w:rPr>
        <w:t>’</w:t>
      </w:r>
      <w:r w:rsidR="000914BF" w:rsidRPr="001D3EEC">
        <w:rPr>
          <w:lang w:val="fr-BE" w:eastAsia="en-GB"/>
        </w:rPr>
        <w:t xml:space="preserve">une université ou </w:t>
      </w:r>
      <w:r w:rsidR="004D3B51" w:rsidRPr="001D3EEC">
        <w:rPr>
          <w:lang w:val="fr-BE" w:eastAsia="en-GB"/>
        </w:rPr>
        <w:t>d</w:t>
      </w:r>
      <w:r w:rsidR="006F23BA" w:rsidRPr="001D3EEC">
        <w:rPr>
          <w:lang w:val="fr-BE" w:eastAsia="en-GB"/>
        </w:rPr>
        <w:t>’</w:t>
      </w:r>
      <w:r w:rsidR="000914BF" w:rsidRPr="001D3EEC">
        <w:rPr>
          <w:lang w:val="fr-BE" w:eastAsia="en-GB"/>
        </w:rPr>
        <w:t>un organisme de recherche indépendant.</w:t>
      </w:r>
    </w:p>
    <w:p w14:paraId="6DBB170A" w14:textId="538079DF" w:rsidR="00377580" w:rsidRPr="001D3EEC" w:rsidRDefault="00377580" w:rsidP="00377580">
      <w:pPr>
        <w:rPr>
          <w:lang w:val="fr-BE" w:eastAsia="en-GB"/>
        </w:rPr>
      </w:pPr>
      <w:r w:rsidRPr="001D3EEC">
        <w:rPr>
          <w:u w:val="single"/>
          <w:lang w:val="fr-BE" w:eastAsia="en-GB"/>
        </w:rPr>
        <w:t>Compétences linguistiques</w:t>
      </w:r>
      <w:r w:rsidRPr="007E131B">
        <w:rPr>
          <w:lang w:val="fr-BE" w:eastAsia="en-GB"/>
        </w:rPr>
        <w:t>:</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4D3B51" w:rsidRPr="001D3EEC">
        <w:rPr>
          <w:lang w:val="fr-BE" w:eastAsia="en-GB"/>
        </w:rPr>
        <w:t>L</w:t>
      </w:r>
      <w:r w:rsidR="006F23BA" w:rsidRPr="001D3EEC">
        <w:rPr>
          <w:lang w:val="fr-BE" w:eastAsia="en-GB"/>
        </w:rPr>
        <w:t>’</w:t>
      </w:r>
      <w:r w:rsidR="004D3B51" w:rsidRPr="001D3EEC">
        <w:rPr>
          <w:lang w:val="fr-BE" w:eastAsia="en-GB"/>
        </w:rPr>
        <w:t>expert national d</w:t>
      </w:r>
      <w:r w:rsidR="006F23BA" w:rsidRPr="001D3EEC">
        <w:rPr>
          <w:lang w:val="fr-BE" w:eastAsia="en-GB"/>
        </w:rPr>
        <w:t>’</w:t>
      </w:r>
      <w:r w:rsidRPr="001D3EEC">
        <w:rPr>
          <w:lang w:val="fr-BE" w:eastAsia="en-GB"/>
        </w:rPr>
        <w:t xml:space="preserve">un pays tiers doit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accomplissement des tâches qui lui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36AA9427" w:rsidR="004D3B51" w:rsidRPr="001D3EEC" w:rsidRDefault="007B5FAE" w:rsidP="004D3B51">
      <w:pPr>
        <w:rPr>
          <w:bCs/>
          <w:lang w:val="fr-BE" w:eastAsia="en-GB"/>
        </w:rPr>
      </w:pPr>
      <w:r w:rsidRPr="001D3EEC">
        <w:rPr>
          <w:bCs/>
          <w:lang w:val="fr-BE" w:eastAsia="en-GB"/>
        </w:rPr>
        <w:t>L’expert national</w:t>
      </w:r>
      <w:r w:rsidR="004D3B51" w:rsidRPr="001D3EEC">
        <w:rPr>
          <w:bCs/>
          <w:lang w:val="fr-BE" w:eastAsia="en-GB"/>
        </w:rPr>
        <w:t xml:space="preserve"> </w:t>
      </w:r>
      <w:r w:rsidRPr="001D3EEC">
        <w:rPr>
          <w:bCs/>
          <w:lang w:val="fr-BE" w:eastAsia="en-GB"/>
        </w:rPr>
        <w:t>restera</w:t>
      </w:r>
      <w:r w:rsidR="00377580" w:rsidRPr="001D3EEC">
        <w:rPr>
          <w:bCs/>
          <w:lang w:val="fr-BE" w:eastAsia="en-GB"/>
        </w:rPr>
        <w:t xml:space="preserve"> employé et rémunéré par son employeur durant toute la durée du détachement</w:t>
      </w:r>
      <w:r w:rsidR="004D3B51" w:rsidRPr="001D3EEC">
        <w:rPr>
          <w:bCs/>
          <w:lang w:val="fr-BE" w:eastAsia="en-GB"/>
        </w:rPr>
        <w:t xml:space="preserve"> et </w:t>
      </w:r>
      <w:r w:rsidR="00377580" w:rsidRPr="001D3EEC">
        <w:rPr>
          <w:bCs/>
          <w:lang w:val="fr-BE" w:eastAsia="en-GB"/>
        </w:rPr>
        <w:t xml:space="preserve">restera également couvert par </w:t>
      </w:r>
      <w:r w:rsidR="004D3B51" w:rsidRPr="001D3EEC">
        <w:rPr>
          <w:bCs/>
          <w:lang w:val="fr-BE" w:eastAsia="en-GB"/>
        </w:rPr>
        <w:t>s</w:t>
      </w:r>
      <w:r w:rsidR="00377580" w:rsidRPr="001D3EEC">
        <w:rPr>
          <w:bCs/>
          <w:lang w:val="fr-BE" w:eastAsia="en-GB"/>
        </w:rPr>
        <w:t xml:space="preserve">a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041EFBC5" w:rsidR="006F23BA" w:rsidRPr="001D3EEC" w:rsidRDefault="006F23BA" w:rsidP="00A917BE">
      <w:pPr>
        <w:rPr>
          <w:bCs/>
          <w:lang w:val="fr-BE" w:eastAsia="en-GB"/>
        </w:rPr>
      </w:pPr>
      <w:r w:rsidRPr="001D3EEC">
        <w:rPr>
          <w:bCs/>
          <w:lang w:val="fr-BE" w:eastAsia="en-GB"/>
        </w:rPr>
        <w:t xml:space="preserve">Il </w:t>
      </w:r>
      <w:r w:rsidR="007A1396" w:rsidRPr="001D3EEC">
        <w:rPr>
          <w:bCs/>
          <w:lang w:val="fr-BE" w:eastAsia="en-GB"/>
        </w:rPr>
        <w:t xml:space="preserve">/ elle </w:t>
      </w:r>
      <w:r w:rsidRPr="001D3EEC">
        <w:rPr>
          <w:bCs/>
          <w:lang w:val="fr-BE" w:eastAsia="en-GB"/>
        </w:rPr>
        <w:t xml:space="preserve">exerce ses fonctions au sein de la Commission dans les conditions fixées par la décision END précitée et </w:t>
      </w:r>
      <w:r w:rsidR="007B5FAE" w:rsidRPr="001D3EEC">
        <w:rPr>
          <w:bCs/>
          <w:lang w:val="fr-BE" w:eastAsia="en-GB"/>
        </w:rPr>
        <w:t xml:space="preserve">sera </w:t>
      </w:r>
      <w:r w:rsidRPr="001D3EEC">
        <w:rPr>
          <w:bCs/>
          <w:lang w:val="fr-BE" w:eastAsia="en-GB"/>
        </w:rPr>
        <w:t>soumis</w:t>
      </w:r>
      <w:r w:rsidR="007A1396" w:rsidRPr="001D3EEC">
        <w:rPr>
          <w:bCs/>
          <w:lang w:val="fr-BE" w:eastAsia="en-GB"/>
        </w:rPr>
        <w:t>(e)</w:t>
      </w:r>
      <w:r w:rsidRPr="001D3EEC">
        <w:rPr>
          <w:bCs/>
          <w:lang w:val="fr-BE" w:eastAsia="en-GB"/>
        </w:rPr>
        <w:t xml:space="preserve"> aux règles de confidentialité, de loyauté et d’absence de conflit d’intérêts qui y sont définies.</w:t>
      </w:r>
    </w:p>
    <w:p w14:paraId="43DCD3E1" w14:textId="02D043BF" w:rsidR="00443957" w:rsidRPr="001D3EEC" w:rsidRDefault="006F23BA" w:rsidP="006F23BA">
      <w:pPr>
        <w:pStyle w:val="Replace"/>
        <w:rPr>
          <w:lang w:val="fr-BE"/>
        </w:rPr>
      </w:pPr>
      <w:r w:rsidRPr="001D3EEC">
        <w:rPr>
          <w:lang w:val="fr-BE"/>
        </w:rPr>
        <w:t>L</w:t>
      </w:r>
      <w:r w:rsidR="00A917BE" w:rsidRPr="001D3EEC">
        <w:rPr>
          <w:lang w:val="fr-BE"/>
        </w:rPr>
        <w:t xml:space="preserve">es indemnités de séjour </w:t>
      </w:r>
      <w:r w:rsidRPr="001D3EEC">
        <w:rPr>
          <w:lang w:val="fr-BE"/>
        </w:rPr>
        <w:t xml:space="preserve">ne seront </w:t>
      </w:r>
      <w:r w:rsidR="007B5FAE" w:rsidRPr="001D3EEC">
        <w:rPr>
          <w:lang w:val="fr-BE"/>
        </w:rPr>
        <w:t>octroyées</w:t>
      </w:r>
      <w:r w:rsidRPr="001D3EEC">
        <w:rPr>
          <w:lang w:val="fr-BE"/>
        </w:rPr>
        <w:t xml:space="preserve"> à l’expert national </w:t>
      </w:r>
      <w:r w:rsidR="00F65CC2" w:rsidRPr="001D3EEC">
        <w:rPr>
          <w:lang w:val="fr-BE"/>
        </w:rPr>
        <w:t>qu</w:t>
      </w:r>
      <w:r w:rsidR="00A917BE" w:rsidRPr="001D3EEC">
        <w:rPr>
          <w:lang w:val="fr-BE"/>
        </w:rPr>
        <w:t>i rempli</w:t>
      </w:r>
      <w:r w:rsidR="00F65CC2" w:rsidRPr="001D3EEC">
        <w:rPr>
          <w:lang w:val="fr-BE"/>
        </w:rPr>
        <w:t>sse</w:t>
      </w:r>
      <w:r w:rsidR="00A917BE" w:rsidRPr="001D3EEC">
        <w:rPr>
          <w:lang w:val="fr-BE"/>
        </w:rPr>
        <w:t xml:space="preserve"> les conditions</w:t>
      </w:r>
      <w:r w:rsidRPr="001D3EEC">
        <w:rPr>
          <w:lang w:val="fr-BE"/>
        </w:rPr>
        <w:t xml:space="preserve"> prévues à </w:t>
      </w:r>
      <w:r w:rsidR="00A917BE" w:rsidRPr="001D3EEC">
        <w:rPr>
          <w:lang w:val="fr-BE"/>
        </w:rPr>
        <w:t>l</w:t>
      </w:r>
      <w:r w:rsidRPr="001D3EEC">
        <w:rPr>
          <w:lang w:val="fr-BE"/>
        </w:rPr>
        <w:t>’</w:t>
      </w:r>
      <w:r w:rsidR="00A917BE" w:rsidRPr="001D3EEC">
        <w:rPr>
          <w:lang w:val="fr-BE"/>
        </w:rPr>
        <w:t>article 17 de la décision END.</w:t>
      </w:r>
    </w:p>
    <w:p w14:paraId="1D83DC51" w14:textId="0AC3A0CD" w:rsidR="00377580" w:rsidRPr="001D3EEC" w:rsidRDefault="00377580" w:rsidP="00377580">
      <w:pPr>
        <w:rPr>
          <w:lang w:val="fr-BE" w:eastAsia="en-GB"/>
        </w:rPr>
      </w:pPr>
      <w:r w:rsidRPr="001D3EEC">
        <w:rPr>
          <w:lang w:val="fr-BE" w:eastAsia="en-GB"/>
        </w:rPr>
        <w:t xml:space="preserve">Toute personne postée dans une </w:t>
      </w:r>
      <w:r w:rsidRPr="001D3EEC">
        <w:rPr>
          <w:bCs/>
          <w:lang w:val="fr-BE" w:eastAsia="en-GB"/>
        </w:rPr>
        <w:t>délégation de l</w:t>
      </w:r>
      <w:r w:rsidR="006F23BA" w:rsidRPr="001D3EEC">
        <w:rPr>
          <w:bCs/>
          <w:lang w:val="fr-BE" w:eastAsia="en-GB"/>
        </w:rPr>
        <w:t>’</w:t>
      </w:r>
      <w:r w:rsidRPr="001D3EEC">
        <w:rPr>
          <w:bCs/>
          <w:lang w:val="fr-BE" w:eastAsia="en-GB"/>
        </w:rPr>
        <w:t>Union européenne</w:t>
      </w:r>
      <w:r w:rsidRPr="001D3EEC">
        <w:rPr>
          <w:lang w:val="fr-BE" w:eastAsia="en-GB"/>
        </w:rPr>
        <w:t xml:space="preserve"> doit avoir une habilitation de sécurité (jusqu</w:t>
      </w:r>
      <w:r w:rsidR="006F23BA" w:rsidRPr="001D3EEC">
        <w:rPr>
          <w:lang w:val="fr-BE" w:eastAsia="en-GB"/>
        </w:rPr>
        <w:t>’</w:t>
      </w:r>
      <w:r w:rsidRPr="001D3EEC">
        <w:rPr>
          <w:lang w:val="fr-BE" w:eastAsia="en-GB"/>
        </w:rPr>
        <w:t xml:space="preserve">au niveau SECRET UE/EU SECRET conformément </w:t>
      </w:r>
      <w:hyperlink r:id="rId12" w:history="1">
        <w:r w:rsidR="00F65CC2" w:rsidRPr="001D3EEC">
          <w:rPr>
            <w:rStyle w:val="Hyperlink"/>
            <w:lang w:val="fr-BE"/>
          </w:rPr>
          <w:t>à la décision de la Commission (EU – Euratom) 2015/444 du 13 mars 2015</w:t>
        </w:r>
      </w:hyperlink>
      <w:r w:rsidRPr="001D3EEC">
        <w:rPr>
          <w:lang w:val="fr-BE" w:eastAsia="en-GB"/>
        </w:rPr>
        <w:t xml:space="preserve">. </w:t>
      </w:r>
      <w:r w:rsidR="007B5FAE" w:rsidRPr="001D3EEC">
        <w:rPr>
          <w:lang w:val="fr-BE" w:eastAsia="en-GB"/>
        </w:rPr>
        <w:t>L’expert national</w:t>
      </w:r>
      <w:r w:rsidRPr="001D3EEC">
        <w:rPr>
          <w:lang w:val="fr-BE" w:eastAsia="en-GB"/>
        </w:rPr>
        <w:t xml:space="preserve"> aura l</w:t>
      </w:r>
      <w:r w:rsidR="006F23BA" w:rsidRPr="001D3EEC">
        <w:rPr>
          <w:lang w:val="fr-BE" w:eastAsia="en-GB"/>
        </w:rPr>
        <w:t>’</w:t>
      </w:r>
      <w:r w:rsidRPr="001D3EEC">
        <w:rPr>
          <w:lang w:val="fr-BE" w:eastAsia="en-GB"/>
        </w:rPr>
        <w:t>obligation de lancer cette procédure d</w:t>
      </w:r>
      <w:r w:rsidR="006F23BA" w:rsidRPr="001D3EEC">
        <w:rPr>
          <w:lang w:val="fr-BE" w:eastAsia="en-GB"/>
        </w:rPr>
        <w:t>’</w:t>
      </w:r>
      <w:r w:rsidRPr="001D3EEC">
        <w:rPr>
          <w:lang w:val="fr-BE" w:eastAsia="en-GB"/>
        </w:rPr>
        <w:t>habilitation de sécurité avant d</w:t>
      </w:r>
      <w:r w:rsidR="006F23BA" w:rsidRPr="001D3EEC">
        <w:rPr>
          <w:lang w:val="fr-BE" w:eastAsia="en-GB"/>
        </w:rPr>
        <w:t>’</w:t>
      </w:r>
      <w:r w:rsidRPr="001D3EEC">
        <w:rPr>
          <w:lang w:val="fr-BE" w:eastAsia="en-GB"/>
        </w:rPr>
        <w:t>obtenir la confirmation de son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3E74F7FF" w14:textId="0DFC849C" w:rsidR="007B5FAE" w:rsidRPr="001D3EEC" w:rsidRDefault="00443957" w:rsidP="00443957">
      <w:pPr>
        <w:rPr>
          <w:b/>
          <w:lang w:val="fr-BE" w:eastAsia="en-GB"/>
        </w:rPr>
      </w:pPr>
      <w:r w:rsidRPr="001D3EEC">
        <w:rPr>
          <w:lang w:val="fr-BE" w:eastAsia="en-GB"/>
        </w:rPr>
        <w:t>Les candidats doivent envoyer leur candidature</w:t>
      </w:r>
      <w:r w:rsidRPr="001D3EEC">
        <w:rPr>
          <w:b/>
          <w:color w:val="FF0000"/>
          <w:lang w:val="fr-BE" w:eastAsia="en-GB"/>
        </w:rPr>
        <w:t xml:space="preserve"> </w:t>
      </w:r>
      <w:r w:rsidRPr="001D3EEC">
        <w:rPr>
          <w:lang w:val="fr-BE" w:eastAsia="en-GB"/>
        </w:rPr>
        <w:t xml:space="preserve">sous format </w:t>
      </w:r>
      <w:r w:rsidRPr="001D3EEC">
        <w:rPr>
          <w:b/>
          <w:lang w:val="fr-BE" w:eastAsia="en-GB"/>
        </w:rPr>
        <w:t xml:space="preserve">CV Europass </w:t>
      </w:r>
      <w:r w:rsidRPr="001D3EEC">
        <w:rPr>
          <w:lang w:val="fr-BE" w:eastAsia="en-GB"/>
        </w:rPr>
        <w:t>(</w:t>
      </w:r>
      <w:hyperlink r:id="rId13" w:history="1">
        <w:r w:rsidR="00E5708E" w:rsidRPr="001D3EEC">
          <w:rPr>
            <w:rStyle w:val="Hyperlink"/>
            <w:lang w:val="fr-BE"/>
          </w:rPr>
          <w:t>Créez votre CV Europass | Europass</w:t>
        </w:r>
      </w:hyperlink>
      <w:r w:rsidRPr="001D3EEC">
        <w:rPr>
          <w:lang w:val="fr-BE" w:eastAsia="en-GB"/>
        </w:rPr>
        <w:t>)</w:t>
      </w:r>
      <w:r w:rsidRPr="001D3EEC">
        <w:rPr>
          <w:b/>
          <w:lang w:val="fr-BE" w:eastAsia="en-GB"/>
        </w:rPr>
        <w:t xml:space="preserve"> </w:t>
      </w:r>
      <w:r w:rsidRPr="001D3EEC">
        <w:rPr>
          <w:lang w:val="fr-BE" w:eastAsia="en-GB"/>
        </w:rPr>
        <w:t>en français, anglais ou allemand</w:t>
      </w:r>
      <w:r w:rsidRPr="001D3EEC">
        <w:rPr>
          <w:b/>
          <w:lang w:val="fr-BE" w:eastAsia="en-GB"/>
        </w:rPr>
        <w:t xml:space="preserve"> </w:t>
      </w:r>
      <w:r w:rsidRPr="001D3EEC">
        <w:rPr>
          <w:b/>
          <w:u w:val="single"/>
          <w:lang w:val="fr-BE" w:eastAsia="en-GB"/>
        </w:rPr>
        <w:t xml:space="preserve">uniquement à la </w:t>
      </w:r>
      <w:r w:rsidRPr="001D3EEC">
        <w:rPr>
          <w:b/>
          <w:u w:val="single"/>
          <w:lang w:val="fr-BE" w:eastAsia="en-GB"/>
        </w:rPr>
        <w:lastRenderedPageBreak/>
        <w:t>représentation permanente / mission diplomatique de leur pays auprès de l</w:t>
      </w:r>
      <w:r w:rsidR="006F23BA" w:rsidRPr="001D3EEC">
        <w:rPr>
          <w:b/>
          <w:u w:val="single"/>
          <w:lang w:val="fr-BE" w:eastAsia="en-GB"/>
        </w:rPr>
        <w:t>’</w:t>
      </w:r>
      <w:r w:rsidRPr="001D3EEC">
        <w:rPr>
          <w:b/>
          <w:u w:val="single"/>
          <w:lang w:val="fr-BE" w:eastAsia="en-GB"/>
        </w:rPr>
        <w:t>UE</w:t>
      </w:r>
      <w:r w:rsidRPr="001D3EEC">
        <w:rPr>
          <w:lang w:val="fr-BE" w:eastAsia="en-GB"/>
        </w:rPr>
        <w:t>,</w:t>
      </w:r>
      <w:r w:rsidRPr="001D3EEC">
        <w:rPr>
          <w:color w:val="FF0000"/>
          <w:lang w:val="fr-BE" w:eastAsia="en-GB"/>
        </w:rPr>
        <w:t xml:space="preserve"> </w:t>
      </w:r>
      <w:r w:rsidRPr="001D3EEC">
        <w:rPr>
          <w:lang w:val="fr-BE" w:eastAsia="en-GB"/>
        </w:rPr>
        <w:t>qui la transmettra aux services compétents de la Commission, dans les délais fixés par ces derniers. Le CV doit obligatoirement mentionner la date de naissance et la nationalité du candidat.</w:t>
      </w:r>
    </w:p>
    <w:p w14:paraId="0D20F032" w14:textId="2B781E9E" w:rsidR="00443957" w:rsidRPr="001D3EEC" w:rsidRDefault="00443957" w:rsidP="00443957">
      <w:pPr>
        <w:rPr>
          <w:lang w:val="fr-BE" w:eastAsia="en-GB"/>
        </w:rPr>
      </w:pPr>
      <w:r w:rsidRPr="001D3EEC">
        <w:rPr>
          <w:lang w:val="fr-BE" w:eastAsia="en-GB"/>
        </w:rPr>
        <w:t>Les candidats sont priés de ne pas joindre à leur candidature d</w:t>
      </w:r>
      <w:r w:rsidR="006F23BA" w:rsidRPr="001D3EEC">
        <w:rPr>
          <w:lang w:val="fr-BE" w:eastAsia="en-GB"/>
        </w:rPr>
        <w:t>’</w:t>
      </w:r>
      <w:r w:rsidRPr="001D3EEC">
        <w:rPr>
          <w:lang w:val="fr-BE" w:eastAsia="en-GB"/>
        </w:rPr>
        <w:t>autres documents</w:t>
      </w:r>
      <w:r w:rsidRPr="001D3EEC">
        <w:rPr>
          <w:b/>
          <w:lang w:val="fr-BE" w:eastAsia="en-GB"/>
        </w:rPr>
        <w:t xml:space="preserve"> </w:t>
      </w:r>
      <w:r w:rsidRPr="001D3EEC">
        <w:rPr>
          <w:lang w:val="fr-BE" w:eastAsia="en-GB"/>
        </w:rPr>
        <w:t>(tels que copie de carte d</w:t>
      </w:r>
      <w:r w:rsidR="006F23BA" w:rsidRPr="001D3EEC">
        <w:rPr>
          <w:lang w:val="fr-BE" w:eastAsia="en-GB"/>
        </w:rPr>
        <w:t>’</w:t>
      </w:r>
      <w:r w:rsidRPr="001D3EEC">
        <w:rPr>
          <w:lang w:val="fr-BE" w:eastAsia="en-GB"/>
        </w:rPr>
        <w:t>identité, copie des diplômes et attestations d</w:t>
      </w:r>
      <w:r w:rsidR="006F23BA" w:rsidRPr="001D3EEC">
        <w:rPr>
          <w:lang w:val="fr-BE" w:eastAsia="en-GB"/>
        </w:rPr>
        <w:t>’</w:t>
      </w:r>
      <w:r w:rsidRPr="001D3EEC">
        <w:rPr>
          <w:lang w:val="fr-BE" w:eastAsia="en-GB"/>
        </w:rPr>
        <w:t xml:space="preserve">expérience professionnelle,…). </w:t>
      </w:r>
      <w:r w:rsidR="00E5708E" w:rsidRPr="001D3EEC">
        <w:rPr>
          <w:lang w:val="fr-BE" w:eastAsia="en-GB"/>
        </w:rPr>
        <w:t>Le cas échéant, c</w:t>
      </w:r>
      <w:r w:rsidRPr="001D3EEC">
        <w:rPr>
          <w:lang w:val="fr-BE" w:eastAsia="en-GB"/>
        </w:rPr>
        <w:t>es documents seront demandés à un stade ultérieur de la procédure de sélection.</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La Commission européenne veillera à ce que les données à caractère personnel des candidats soient traitées dans le plein respect du règlement (UE) 2018/1725 du Parlement 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14"/>
      <w:headerReference w:type="default" r:id="rId15"/>
      <w:footerReference w:type="even" r:id="rId16"/>
      <w:footerReference w:type="default" r:id="rId17"/>
      <w:headerReference w:type="first" r:id="rId18"/>
      <w:footerReference w:type="first" r:id="rId19"/>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AD292" w14:textId="77777777" w:rsidR="00F36130" w:rsidRDefault="00F36130">
      <w:pPr>
        <w:spacing w:after="0"/>
      </w:pPr>
      <w:r>
        <w:separator/>
      </w:r>
    </w:p>
  </w:endnote>
  <w:endnote w:type="continuationSeparator" w:id="0">
    <w:p w14:paraId="5FFCF31E" w14:textId="77777777" w:rsidR="00F36130" w:rsidRDefault="00F361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518AE7"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CDC1B" w14:textId="77777777" w:rsidR="00F36130" w:rsidRDefault="00F36130">
      <w:pPr>
        <w:spacing w:after="0"/>
      </w:pPr>
      <w:r>
        <w:separator/>
      </w:r>
    </w:p>
  </w:footnote>
  <w:footnote w:type="continuationSeparator" w:id="0">
    <w:p w14:paraId="6F777FE1" w14:textId="77777777" w:rsidR="00F36130" w:rsidRDefault="00F36130">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755901044">
    <w:abstractNumId w:val="0"/>
  </w:num>
  <w:num w:numId="2" w16cid:durableId="1948195848">
    <w:abstractNumId w:val="11"/>
  </w:num>
  <w:num w:numId="3" w16cid:durableId="1283655466">
    <w:abstractNumId w:val="7"/>
  </w:num>
  <w:num w:numId="4" w16cid:durableId="627203124">
    <w:abstractNumId w:val="12"/>
  </w:num>
  <w:num w:numId="5" w16cid:durableId="1682463701">
    <w:abstractNumId w:val="17"/>
  </w:num>
  <w:num w:numId="6" w16cid:durableId="181284729">
    <w:abstractNumId w:val="21"/>
  </w:num>
  <w:num w:numId="7" w16cid:durableId="1703705955">
    <w:abstractNumId w:val="1"/>
  </w:num>
  <w:num w:numId="8" w16cid:durableId="1191845979">
    <w:abstractNumId w:val="6"/>
  </w:num>
  <w:num w:numId="9" w16cid:durableId="317001864">
    <w:abstractNumId w:val="14"/>
  </w:num>
  <w:num w:numId="10" w16cid:durableId="1149245481">
    <w:abstractNumId w:val="2"/>
  </w:num>
  <w:num w:numId="11" w16cid:durableId="1423138251">
    <w:abstractNumId w:val="4"/>
  </w:num>
  <w:num w:numId="12" w16cid:durableId="1835801341">
    <w:abstractNumId w:val="5"/>
  </w:num>
  <w:num w:numId="13" w16cid:durableId="773790429">
    <w:abstractNumId w:val="8"/>
  </w:num>
  <w:num w:numId="14" w16cid:durableId="440151463">
    <w:abstractNumId w:val="13"/>
  </w:num>
  <w:num w:numId="15" w16cid:durableId="1021391429">
    <w:abstractNumId w:val="16"/>
  </w:num>
  <w:num w:numId="16" w16cid:durableId="1891763309">
    <w:abstractNumId w:val="22"/>
  </w:num>
  <w:num w:numId="17" w16cid:durableId="359092911">
    <w:abstractNumId w:val="9"/>
  </w:num>
  <w:num w:numId="18" w16cid:durableId="308289900">
    <w:abstractNumId w:val="10"/>
  </w:num>
  <w:num w:numId="19" w16cid:durableId="1964581914">
    <w:abstractNumId w:val="23"/>
  </w:num>
  <w:num w:numId="20" w16cid:durableId="263345260">
    <w:abstractNumId w:val="15"/>
  </w:num>
  <w:num w:numId="21" w16cid:durableId="710300249">
    <w:abstractNumId w:val="18"/>
  </w:num>
  <w:num w:numId="22" w16cid:durableId="1059403124">
    <w:abstractNumId w:val="3"/>
  </w:num>
  <w:num w:numId="23" w16cid:durableId="482745588">
    <w:abstractNumId w:val="19"/>
  </w:num>
  <w:num w:numId="24" w16cid:durableId="1895769187">
    <w:abstractNumId w:val="20"/>
  </w:num>
  <w:num w:numId="25" w16cid:durableId="6819782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0"/>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EUROLOOK"/>
  </w:docVars>
  <w:rsids>
    <w:rsidRoot w:val="006A1CB2"/>
    <w:rsid w:val="00080A71"/>
    <w:rsid w:val="000914BF"/>
    <w:rsid w:val="001A0074"/>
    <w:rsid w:val="001D3EEC"/>
    <w:rsid w:val="00207C1B"/>
    <w:rsid w:val="002A6E30"/>
    <w:rsid w:val="002B37EB"/>
    <w:rsid w:val="00301CA3"/>
    <w:rsid w:val="00377580"/>
    <w:rsid w:val="00443957"/>
    <w:rsid w:val="00462268"/>
    <w:rsid w:val="004D3B51"/>
    <w:rsid w:val="006A1CB2"/>
    <w:rsid w:val="006F23BA"/>
    <w:rsid w:val="0074301E"/>
    <w:rsid w:val="007A1396"/>
    <w:rsid w:val="007B5FAE"/>
    <w:rsid w:val="007E131B"/>
    <w:rsid w:val="008241B0"/>
    <w:rsid w:val="008315CD"/>
    <w:rsid w:val="0092295D"/>
    <w:rsid w:val="00A317F0"/>
    <w:rsid w:val="00A917BE"/>
    <w:rsid w:val="00B31DC8"/>
    <w:rsid w:val="00C518F5"/>
    <w:rsid w:val="00DF3F39"/>
    <w:rsid w:val="00E0579E"/>
    <w:rsid w:val="00E5708E"/>
    <w:rsid w:val="00EA52E1"/>
    <w:rsid w:val="00F36130"/>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6">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opa.eu/europass/fr/create-your-europass-cv"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eur-lex.europa.eu/legal-content/FR/TXT/?uri=CELEX:32015D0444"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983F83" w:rsidP="00983F83">
          <w:pPr>
            <w:pStyle w:val="60106104C58244479DA9EA116B4F1602"/>
          </w:pPr>
          <w:r w:rsidRPr="00111AB6">
            <w:rPr>
              <w:rStyle w:val="PlaceholderText"/>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983F83" w:rsidP="00983F83">
          <w:pPr>
            <w:pStyle w:val="D8BE6C0997514348B27B45353A0FA576"/>
          </w:pPr>
          <w:r w:rsidRPr="00111AB6">
            <w:rPr>
              <w:rStyle w:val="PlaceholderText"/>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983F83" w:rsidP="00983F83">
          <w:pPr>
            <w:pStyle w:val="8C22AB55BBA54E638A78E6CCB625149B"/>
          </w:pPr>
          <w:r w:rsidRPr="00BD2312">
            <w:rPr>
              <w:rStyle w:val="PlaceholderText"/>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983F83" w:rsidP="00983F83">
          <w:pPr>
            <w:pStyle w:val="C9BBE078305549AA8306CFFC9A24E30A"/>
          </w:pPr>
          <w:r>
            <w:rPr>
              <w:rStyle w:val="PlaceholderText"/>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983F83" w:rsidP="00983F83">
          <w:pPr>
            <w:pStyle w:val="D4CF99CCBFBD4482AC69B080E182EC06"/>
          </w:pPr>
          <w:r>
            <w:rPr>
              <w:rStyle w:val="PlaceholderText"/>
            </w:rPr>
            <w:t xml:space="preserve">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983F83" w:rsidP="00983F83">
          <w:pPr>
            <w:pStyle w:val="502342290B3541ABA4032C2AA949ADE4"/>
          </w:pPr>
          <w:r w:rsidRPr="00BD2312">
            <w:rPr>
              <w:rStyle w:val="PlaceholderText"/>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983F83" w:rsidP="00983F83">
          <w:pPr>
            <w:pStyle w:val="43375E7FB7294216B3B48CC222A08C2F"/>
          </w:pPr>
          <w:r w:rsidRPr="00BD2312">
            <w:rPr>
              <w:rStyle w:val="PlaceholderText"/>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983F83" w:rsidP="00983F83">
          <w:pPr>
            <w:pStyle w:val="C681F6FA0FB94712B2C889AACA29AC9D"/>
          </w:pPr>
          <w:r w:rsidRPr="00BD2312">
            <w:rPr>
              <w:rStyle w:val="PlaceholderText"/>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983F83" w:rsidP="00983F83">
          <w:pPr>
            <w:pStyle w:val="3EA8CF6EEFEA4E0A8C856271A54D6DC1"/>
          </w:pPr>
          <w:r w:rsidRPr="00111AB6">
            <w:rPr>
              <w:rStyle w:val="PlaceholderText"/>
            </w:rPr>
            <w:t>Click or tap here to enter text.</w:t>
          </w:r>
        </w:p>
      </w:docPartBody>
    </w:docPart>
    <w:docPart>
      <w:docPartPr>
        <w:name w:val="D3AC7D42036D41B99B16BCC9C7287FA5"/>
        <w:category>
          <w:name w:val="General"/>
          <w:gallery w:val="placeholder"/>
        </w:category>
        <w:types>
          <w:type w:val="bbPlcHdr"/>
        </w:types>
        <w:behaviors>
          <w:behavior w:val="content"/>
        </w:behaviors>
        <w:guid w:val="{2FC9A8D4-3821-47FD-B1EC-A2AAE03B22BB}"/>
      </w:docPartPr>
      <w:docPartBody>
        <w:p w:rsidR="00FC0753" w:rsidRDefault="00CD5D8E" w:rsidP="00CD5D8E">
          <w:pPr>
            <w:pStyle w:val="D3AC7D42036D41B99B16BCC9C7287FA5"/>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F83"/>
    <w:rsid w:val="00534FB6"/>
    <w:rsid w:val="007818B4"/>
    <w:rsid w:val="007A090E"/>
    <w:rsid w:val="00983F83"/>
    <w:rsid w:val="00CD5D8E"/>
    <w:rsid w:val="00FC075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CD5D8E"/>
    <w:rPr>
      <w:color w:val="288061"/>
    </w:rPr>
  </w:style>
  <w:style w:type="paragraph" w:customStyle="1" w:styleId="60106104C58244479DA9EA116B4F1602">
    <w:name w:val="60106104C58244479DA9EA116B4F1602"/>
    <w:rsid w:val="00983F83"/>
  </w:style>
  <w:style w:type="paragraph" w:customStyle="1" w:styleId="D8BE6C0997514348B27B45353A0FA576">
    <w:name w:val="D8BE6C0997514348B27B45353A0FA576"/>
    <w:rsid w:val="00983F83"/>
  </w:style>
  <w:style w:type="paragraph" w:customStyle="1" w:styleId="8C22AB55BBA54E638A78E6CCB625149B">
    <w:name w:val="8C22AB55BBA54E638A78E6CCB625149B"/>
    <w:rsid w:val="00983F83"/>
  </w:style>
  <w:style w:type="paragraph" w:customStyle="1" w:styleId="C9BBE078305549AA8306CFFC9A24E30A">
    <w:name w:val="C9BBE078305549AA8306CFFC9A24E30A"/>
    <w:rsid w:val="00983F83"/>
  </w:style>
  <w:style w:type="paragraph" w:customStyle="1" w:styleId="D4CF99CCBFBD4482AC69B080E182EC06">
    <w:name w:val="D4CF99CCBFBD4482AC69B080E182EC06"/>
    <w:rsid w:val="00983F83"/>
  </w:style>
  <w:style w:type="paragraph" w:customStyle="1" w:styleId="502342290B3541ABA4032C2AA949ADE4">
    <w:name w:val="502342290B3541ABA4032C2AA949ADE4"/>
    <w:rsid w:val="00983F83"/>
  </w:style>
  <w:style w:type="paragraph" w:customStyle="1" w:styleId="43375E7FB7294216B3B48CC222A08C2F">
    <w:name w:val="43375E7FB7294216B3B48CC222A08C2F"/>
    <w:rsid w:val="00983F83"/>
  </w:style>
  <w:style w:type="paragraph" w:customStyle="1" w:styleId="C681F6FA0FB94712B2C889AACA29AC9D">
    <w:name w:val="C681F6FA0FB94712B2C889AACA29AC9D"/>
    <w:rsid w:val="00983F83"/>
  </w:style>
  <w:style w:type="paragraph" w:customStyle="1" w:styleId="3EA8CF6EEFEA4E0A8C856271A54D6DC1">
    <w:name w:val="3EA8CF6EEFEA4E0A8C856271A54D6DC1"/>
    <w:rsid w:val="00983F83"/>
  </w:style>
  <w:style w:type="paragraph" w:customStyle="1" w:styleId="D3AC7D42036D41B99B16BCC9C7287FA5">
    <w:name w:val="D3AC7D42036D41B99B16BCC9C7287FA5"/>
    <w:rsid w:val="00CD5D8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2.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3.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EA5527-7367-4268-9D83-5125C98D0ED2}">
  <ds:schemaRefs/>
</ds:datastoreItem>
</file>

<file path=customXml/itemProps2.xml><?xml version="1.0" encoding="utf-8"?>
<ds:datastoreItem xmlns:ds="http://schemas.openxmlformats.org/officeDocument/2006/customXml" ds:itemID="{4EF90DE6-88B6-4264-9629-4D8DFDFE87D2}">
  <ds:schemaRefs/>
</ds:datastoreItem>
</file>

<file path=customXml/itemProps3.xml><?xml version="1.0" encoding="utf-8"?>
<ds:datastoreItem xmlns:ds="http://schemas.openxmlformats.org/officeDocument/2006/customXml" ds:itemID="{54DD96F4-BBF0-45E7-A229-B4D6064D9A94}">
  <ds:schemaRefs/>
</ds:datastoreItem>
</file>

<file path=customXml/itemProps4.xml><?xml version="1.0" encoding="utf-8"?>
<ds:datastoreItem xmlns:ds="http://schemas.openxmlformats.org/officeDocument/2006/customXml" ds:itemID="{5A3E09A7-3F1C-435D-95D2-079C4C6E0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Eurolook.dotm</Template>
  <TotalTime>3</TotalTime>
  <Pages>4</Pages>
  <Words>1401</Words>
  <Characters>7866</Characters>
  <Application>Microsoft Office Word</Application>
  <DocSecurity>0</DocSecurity>
  <PresentationFormat>Microsoft Word 14.0</PresentationFormat>
  <Lines>178</Lines>
  <Paragraphs>87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JADOT Catherine (HR)</cp:lastModifiedBy>
  <cp:revision>4</cp:revision>
  <cp:lastPrinted>2023-04-18T07:01:00Z</cp:lastPrinted>
  <dcterms:created xsi:type="dcterms:W3CDTF">2023-05-31T15:25:00Z</dcterms:created>
  <dcterms:modified xsi:type="dcterms:W3CDTF">2023-06-06T13:08:00Z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