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F3AF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F3AF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F3AF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F3AF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F3AF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F3AF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6AEE7B3" w:rsidR="00546DB1" w:rsidRPr="00546DB1" w:rsidRDefault="003B6FC4" w:rsidP="00AB56F9">
                <w:pPr>
                  <w:tabs>
                    <w:tab w:val="left" w:pos="426"/>
                  </w:tabs>
                  <w:spacing w:before="120"/>
                  <w:rPr>
                    <w:bCs/>
                    <w:lang w:val="en-IE" w:eastAsia="en-GB"/>
                  </w:rPr>
                </w:pPr>
                <w:r w:rsidRPr="00E80983">
                  <w:rPr>
                    <w:b/>
                    <w:sz w:val="22"/>
                    <w:szCs w:val="22"/>
                  </w:rPr>
                  <w:t>HOME.A3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2323B84" w:rsidR="00546DB1" w:rsidRPr="003B2E38" w:rsidRDefault="003B6FC4" w:rsidP="00AB56F9">
                <w:pPr>
                  <w:tabs>
                    <w:tab w:val="left" w:pos="426"/>
                  </w:tabs>
                  <w:spacing w:before="120"/>
                  <w:rPr>
                    <w:bCs/>
                    <w:lang w:val="en-IE" w:eastAsia="en-GB"/>
                  </w:rPr>
                </w:pPr>
                <w:r>
                  <w:rPr>
                    <w:bCs/>
                    <w:lang w:eastAsia="en-GB"/>
                  </w:rPr>
                  <w:t>25444</w:t>
                </w:r>
                <w:r w:rsidR="00FB0789">
                  <w:rPr>
                    <w:bCs/>
                    <w:lang w:eastAsia="en-GB"/>
                  </w:rPr>
                  <w:t>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75875A63" w14:textId="77777777" w:rsidR="003B6FC4" w:rsidRDefault="003B6FC4" w:rsidP="005F6927">
            <w:pPr>
              <w:tabs>
                <w:tab w:val="left" w:pos="1697"/>
              </w:tabs>
              <w:ind w:right="-1739"/>
              <w:contextualSpacing/>
              <w:rPr>
                <w:bCs/>
                <w:szCs w:val="24"/>
                <w:lang w:eastAsia="en-GB"/>
              </w:rPr>
            </w:pPr>
          </w:p>
          <w:p w14:paraId="436ABA69" w14:textId="55B756B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2A6BC924" w14:textId="77777777" w:rsidR="003B6FC4" w:rsidRDefault="003B6FC4" w:rsidP="003B6FC4">
                <w:pPr>
                  <w:spacing w:after="0"/>
                  <w:ind w:right="1315"/>
                  <w:rPr>
                    <w:b/>
                    <w:sz w:val="22"/>
                    <w:szCs w:val="22"/>
                  </w:rPr>
                </w:pPr>
                <w:r w:rsidRPr="00E80983">
                  <w:rPr>
                    <w:b/>
                    <w:sz w:val="22"/>
                    <w:szCs w:val="22"/>
                  </w:rPr>
                  <w:t>Pawel Busiakiewicz</w:t>
                </w:r>
              </w:p>
              <w:p w14:paraId="04103443" w14:textId="77777777" w:rsidR="003B6FC4" w:rsidRPr="00E80983" w:rsidRDefault="003B6FC4" w:rsidP="003B6FC4">
                <w:pPr>
                  <w:spacing w:after="0"/>
                  <w:ind w:right="1315"/>
                  <w:rPr>
                    <w:b/>
                    <w:sz w:val="22"/>
                    <w:szCs w:val="22"/>
                  </w:rPr>
                </w:pPr>
                <w:r w:rsidRPr="00E80983">
                  <w:rPr>
                    <w:b/>
                    <w:sz w:val="22"/>
                    <w:szCs w:val="22"/>
                  </w:rPr>
                  <w:t>Pawel.busiakiewicz@ec.europa.eu</w:t>
                </w:r>
              </w:p>
              <w:p w14:paraId="65EBCF52" w14:textId="2E652022" w:rsidR="00546DB1" w:rsidRPr="003B6FC4" w:rsidRDefault="003B6FC4" w:rsidP="003B6FC4">
                <w:pPr>
                  <w:spacing w:after="0"/>
                  <w:ind w:right="1315"/>
                  <w:rPr>
                    <w:b/>
                    <w:sz w:val="22"/>
                    <w:szCs w:val="22"/>
                  </w:rPr>
                </w:pPr>
                <w:r w:rsidRPr="00E80983">
                  <w:rPr>
                    <w:b/>
                    <w:sz w:val="22"/>
                    <w:szCs w:val="22"/>
                  </w:rPr>
                  <w:t>+32 2 295 10 17</w:t>
                </w:r>
              </w:p>
            </w:sdtContent>
          </w:sdt>
          <w:p w14:paraId="227D6F6E" w14:textId="6F24BCF4" w:rsidR="00546DB1" w:rsidRPr="009F216F" w:rsidRDefault="003F3AF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B6FC4">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3429F545" w:rsidR="00546DB1" w:rsidRPr="00546DB1" w:rsidRDefault="003F3AF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B6FC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3B6FC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3B6FC4">
                  <w:rPr>
                    <w:b/>
                    <w:sz w:val="22"/>
                    <w:szCs w:val="22"/>
                  </w:rPr>
                  <w:t>Nigeria</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DA89A3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C80CD2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F3AF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F3AF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F3AF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DFCABF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384BF51"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7C90719" w14:textId="77777777" w:rsidR="00655C4C" w:rsidRPr="003F3AF0" w:rsidRDefault="00655C4C" w:rsidP="00655C4C">
          <w:pPr>
            <w:rPr>
              <w:lang w:eastAsia="en-GB"/>
            </w:rPr>
          </w:pPr>
          <w:r w:rsidRPr="00655C4C">
            <w:rPr>
              <w:lang w:eastAsia="en-GB"/>
            </w:rPr>
            <w:t xml:space="preserve">Allgemeiner Zweck: Intensivierung der Koordinierung, um die Wirkung der EU-Maßnahmen im Bereich der Migration in Drittländern zu maximieren und das Engagement der wichtigsten Herkunfts- und Transitländer für das gesamte Spektrum der Migrationsfragen zu verstärken. Die EMLO werden zur operativen Umsetzung des im </w:t>
          </w:r>
          <w:r w:rsidRPr="00655C4C">
            <w:rPr>
              <w:lang w:eastAsia="en-GB"/>
            </w:rPr>
            <w:lastRenderedPageBreak/>
            <w:t xml:space="preserve">Europäischen Migrations- und Asylpaket dargelegten umfassenden Ansatzes beitragen, indem sie unter anderem zur Migrationssteuerung und -steuerung beitragen, einschließlich der Prävention und Bekämpfung irregulärer Migration, Maßnahmen zur Bekämpfung der Schleusung und des Grenzschutzes, eine bessere Organisation der legalen Migration und Mobilität, eine wirksamere Rückkehr und Rückübernahme, den Nachweis von Schutz und Unterstützung für die Aufnahmegemeinschaften und die Schaffung wirtschaftlicher Möglichkeiten. </w:t>
          </w:r>
          <w:r w:rsidRPr="003F3AF0">
            <w:rPr>
              <w:lang w:eastAsia="en-GB"/>
            </w:rPr>
            <w:t xml:space="preserve">Die EMLO werden auch zur Umsetzung der bilateralen und regionalen Kooperationsrahmen im Bereich Migration beitragen. </w:t>
          </w:r>
        </w:p>
        <w:p w14:paraId="76DD1EEA" w14:textId="1621FDC9" w:rsidR="00803007" w:rsidRPr="003F3AF0" w:rsidRDefault="00655C4C" w:rsidP="00655C4C">
          <w:pPr>
            <w:rPr>
              <w:lang w:val="da-DK" w:eastAsia="en-GB"/>
            </w:rPr>
          </w:pPr>
          <w:r w:rsidRPr="003F3AF0">
            <w:rPr>
              <w:lang w:eastAsia="en-GB"/>
            </w:rPr>
            <w:t xml:space="preserve">Das tatsächliche Mandat jedes EMLO wird an die spezifische Situation des Aufnahmedrittlandes angepasst, insbesondere an die dort bestehenden Migrations- und Sicherheitsherausforderungen und den Umfang seiner Zusammenarbeit mit der EU. </w:t>
          </w:r>
          <w:r w:rsidRPr="003F3AF0">
            <w:rPr>
              <w:lang w:val="da-DK" w:eastAsia="en-GB"/>
            </w:rPr>
            <w:t>Er/sie unterliegt der direkten Aufsicht des Leiters der Politischen Abteilung und der allgemeinen Aufsicht des Delegationsleiters. Er/sie wird seinen Sitz in dem Land (in der EU-Delegation) haben und erforderlichenfalls in das Land und in die Region reisen müssen.</w:t>
          </w:r>
        </w:p>
      </w:sdtContent>
    </w:sdt>
    <w:p w14:paraId="3862387A" w14:textId="77777777" w:rsidR="00803007" w:rsidRPr="003F3AF0" w:rsidRDefault="00803007" w:rsidP="003B6FC4">
      <w:pPr>
        <w:pStyle w:val="ListNumber"/>
        <w:numPr>
          <w:ilvl w:val="0"/>
          <w:numId w:val="0"/>
        </w:numPr>
        <w:rPr>
          <w:b/>
          <w:bCs/>
          <w:lang w:val="da-DK"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363B247" w14:textId="6B21DDE8" w:rsidR="003B6FC4" w:rsidRPr="00E80983" w:rsidRDefault="003B6FC4" w:rsidP="003B6FC4">
          <w:pPr>
            <w:rPr>
              <w:sz w:val="22"/>
              <w:szCs w:val="22"/>
            </w:rPr>
          </w:pPr>
          <w:r w:rsidRPr="00E80983">
            <w:rPr>
              <w:sz w:val="22"/>
              <w:szCs w:val="22"/>
            </w:rPr>
            <w:t>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Verbindungsbeambter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14:paraId="12B9C59B" w14:textId="42BB0910" w:rsidR="00803007" w:rsidRPr="009F216F" w:rsidRDefault="003B6FC4" w:rsidP="003B6FC4">
          <w:pPr>
            <w:rPr>
              <w:lang w:eastAsia="en-GB"/>
            </w:rPr>
          </w:pPr>
          <w:r w:rsidRPr="00E80983">
            <w:rPr>
              <w:sz w:val="22"/>
              <w:szCs w:val="22"/>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w:t>
          </w:r>
          <w:r w:rsidRPr="00D1526A">
            <w:rPr>
              <w:sz w:val="22"/>
              <w:szCs w:val="22"/>
            </w:rPr>
            <w:t>(in der EU Delegation)</w:t>
          </w:r>
          <w:r w:rsidRPr="00584991">
            <w:t xml:space="preserve"> </w:t>
          </w:r>
          <w:r w:rsidRPr="00E80983">
            <w:rPr>
              <w:sz w:val="22"/>
              <w:szCs w:val="22"/>
            </w:rPr>
            <w:t>und wird erforderlichenfalls im Land und in der Region reisen müssen.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rFonts w:ascii="Calibri" w:eastAsia="Calibri" w:hAnsi="Calibri"/>
          <w:sz w:val="22"/>
          <w:szCs w:val="22"/>
          <w:lang w:val="en-US" w:eastAsia="en-GB"/>
        </w:rPr>
        <w:id w:val="-1767066427"/>
        <w:placeholder>
          <w:docPart w:val="B30E44B90B7F435497E9EE7D5097ED0B"/>
        </w:placeholder>
      </w:sdtPr>
      <w:sdtEndPr>
        <w:rPr>
          <w:lang w:val="de-DE"/>
        </w:rPr>
      </w:sdtEndPr>
      <w:sdtContent>
        <w:p w14:paraId="057ABB6E" w14:textId="77777777" w:rsidR="003B6FC4" w:rsidRPr="00E80983" w:rsidRDefault="003B6FC4" w:rsidP="003B6FC4">
          <w:pPr>
            <w:widowControl w:val="0"/>
            <w:tabs>
              <w:tab w:val="left" w:pos="4201"/>
            </w:tabs>
            <w:spacing w:after="213" w:line="190" w:lineRule="exact"/>
            <w:rPr>
              <w:sz w:val="22"/>
              <w:szCs w:val="22"/>
            </w:rPr>
          </w:pPr>
          <w:r w:rsidRPr="00E80983">
            <w:rPr>
              <w:rFonts w:eastAsia="Arial"/>
              <w:color w:val="000000"/>
              <w:sz w:val="22"/>
              <w:szCs w:val="22"/>
              <w:u w:val="single"/>
            </w:rPr>
            <w:t>Funktionen und Aufgaben:</w:t>
          </w:r>
          <w:r w:rsidRPr="00E80983">
            <w:rPr>
              <w:rFonts w:eastAsia="Arial"/>
              <w:color w:val="000000"/>
              <w:sz w:val="22"/>
              <w:szCs w:val="22"/>
            </w:rPr>
            <w:t xml:space="preserve"> </w:t>
          </w:r>
        </w:p>
        <w:p w14:paraId="5075299A" w14:textId="77777777" w:rsidR="003B6FC4" w:rsidRPr="00582B01" w:rsidRDefault="003B6FC4" w:rsidP="003B6FC4">
          <w:pPr>
            <w:widowControl w:val="0"/>
            <w:spacing w:after="162" w:line="190" w:lineRule="exact"/>
            <w:rPr>
              <w:sz w:val="22"/>
              <w:szCs w:val="22"/>
            </w:rPr>
          </w:pPr>
          <w:r w:rsidRPr="00582B01">
            <w:rPr>
              <w:rFonts w:eastAsia="Arial"/>
              <w:color w:val="000000"/>
              <w:sz w:val="22"/>
              <w:szCs w:val="22"/>
            </w:rPr>
            <w:t>Der Experte wird:</w:t>
          </w:r>
        </w:p>
        <w:p w14:paraId="0DCDC486" w14:textId="18DDDA7C" w:rsidR="003B6FC4" w:rsidRPr="00E80983" w:rsidRDefault="003B6FC4" w:rsidP="00E408D3">
          <w:pPr>
            <w:ind w:left="283" w:hanging="283"/>
            <w:rPr>
              <w:sz w:val="22"/>
              <w:szCs w:val="22"/>
            </w:rPr>
          </w:pPr>
          <w:r w:rsidRPr="00E80983">
            <w:rPr>
              <w:sz w:val="22"/>
              <w:szCs w:val="22"/>
            </w:rPr>
            <w:t>•</w:t>
          </w:r>
          <w:r w:rsidRPr="00E80983">
            <w:rPr>
              <w:sz w:val="22"/>
              <w:szCs w:val="22"/>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50CE921D" w14:textId="0A8A16AE" w:rsidR="003B6FC4" w:rsidRPr="00E80983" w:rsidRDefault="003B6FC4" w:rsidP="00E408D3">
          <w:pPr>
            <w:ind w:left="283" w:hanging="283"/>
            <w:rPr>
              <w:sz w:val="22"/>
              <w:szCs w:val="22"/>
            </w:rPr>
          </w:pPr>
          <w:r w:rsidRPr="00E80983">
            <w:rPr>
              <w:sz w:val="22"/>
              <w:szCs w:val="22"/>
            </w:rPr>
            <w:t>•</w:t>
          </w:r>
          <w:r w:rsidRPr="00E80983">
            <w:rPr>
              <w:sz w:val="22"/>
              <w:szCs w:val="22"/>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w:t>
          </w:r>
          <w:r w:rsidRPr="00E80983">
            <w:rPr>
              <w:sz w:val="22"/>
              <w:szCs w:val="22"/>
            </w:rPr>
            <w:lastRenderedPageBreak/>
            <w:t xml:space="preserve">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6341D832" w14:textId="6E94D984" w:rsidR="003B6FC4" w:rsidRDefault="003B6FC4" w:rsidP="00E408D3">
          <w:pPr>
            <w:ind w:left="283" w:hanging="283"/>
            <w:rPr>
              <w:sz w:val="22"/>
              <w:szCs w:val="22"/>
            </w:rPr>
          </w:pPr>
          <w:r w:rsidRPr="00E80983">
            <w:rPr>
              <w:sz w:val="22"/>
              <w:szCs w:val="22"/>
            </w:rPr>
            <w:t>•</w:t>
          </w:r>
          <w:r w:rsidRPr="00E80983">
            <w:rPr>
              <w:sz w:val="22"/>
              <w:szCs w:val="22"/>
            </w:rPr>
            <w:tab/>
            <w:t>Den auch strategische und operative Analysen und Empfehlungen liefern und zur Berichterstattung der betreffenden EU-Delegationen beitragen.</w:t>
          </w:r>
        </w:p>
        <w:p w14:paraId="21C77744" w14:textId="7C3742FE" w:rsidR="00E408D3" w:rsidRDefault="003B6FC4" w:rsidP="00E408D3">
          <w:pPr>
            <w:numPr>
              <w:ilvl w:val="0"/>
              <w:numId w:val="31"/>
            </w:numPr>
            <w:spacing w:after="0"/>
            <w:ind w:left="328" w:hanging="284"/>
            <w:rPr>
              <w:sz w:val="22"/>
              <w:szCs w:val="22"/>
            </w:rPr>
          </w:pPr>
          <w:r w:rsidRPr="00E80983">
            <w:rPr>
              <w:sz w:val="22"/>
              <w:szCs w:val="22"/>
            </w:rPr>
            <w:t>Unter der Aufsicht des Leiters der Politischen Abteilung das Netz der Verbindungsbeamten für Einwanderungsfragen in dem Land oder der Region, in dem/der sie entsandt wurden, koordinieren und unterstützen (im Einklang mit Verordnung Nr. 2019/1240).</w:t>
          </w:r>
          <w:r>
            <w:rPr>
              <w:sz w:val="22"/>
              <w:szCs w:val="22"/>
            </w:rPr>
            <w:t xml:space="preserve"> </w:t>
          </w:r>
          <w:r w:rsidRPr="00E80983">
            <w:rPr>
              <w:sz w:val="22"/>
              <w:szCs w:val="22"/>
            </w:rPr>
            <w:t>Aufbau und Leitung eines Netzwerks von Vertretern der MS und der EU-Agenturen, die sich mit Migrationsfragen im Gastland befassen, unter der Aufsicht des Leiters der politischen Sektion.</w:t>
          </w:r>
        </w:p>
        <w:p w14:paraId="6F11FB90" w14:textId="77777777" w:rsidR="00E408D3" w:rsidRDefault="00E408D3" w:rsidP="00E408D3">
          <w:pPr>
            <w:spacing w:after="0"/>
            <w:ind w:left="328"/>
            <w:rPr>
              <w:sz w:val="22"/>
              <w:szCs w:val="22"/>
            </w:rPr>
          </w:pPr>
        </w:p>
        <w:p w14:paraId="4217F550" w14:textId="0B965855" w:rsidR="003B6FC4" w:rsidRPr="00E408D3" w:rsidRDefault="003B6FC4" w:rsidP="00E408D3">
          <w:pPr>
            <w:numPr>
              <w:ilvl w:val="0"/>
              <w:numId w:val="31"/>
            </w:numPr>
            <w:spacing w:after="0"/>
            <w:ind w:left="328" w:hanging="284"/>
            <w:rPr>
              <w:sz w:val="22"/>
              <w:szCs w:val="22"/>
            </w:rPr>
          </w:pPr>
          <w:r w:rsidRPr="00E408D3">
            <w:rPr>
              <w:sz w:val="22"/>
              <w:szCs w:val="22"/>
              <w:lang w:eastAsia="en-GB"/>
            </w:rPr>
            <w:t>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w:t>
          </w:r>
        </w:p>
        <w:p w14:paraId="0178D84D" w14:textId="77777777" w:rsidR="003B6FC4" w:rsidRDefault="003B6FC4" w:rsidP="003B6FC4">
          <w:pPr>
            <w:pStyle w:val="ListParagraph"/>
            <w:ind w:left="283"/>
            <w:contextualSpacing/>
            <w:jc w:val="both"/>
            <w:rPr>
              <w:rFonts w:ascii="Times New Roman" w:eastAsia="Times New Roman" w:hAnsi="Times New Roman"/>
              <w:lang w:val="de-DE" w:eastAsia="en-GB"/>
            </w:rPr>
          </w:pPr>
        </w:p>
        <w:p w14:paraId="11C1F3F8" w14:textId="77777777" w:rsidR="003B6FC4" w:rsidRDefault="003B6FC4" w:rsidP="003B6FC4">
          <w:pPr>
            <w:pStyle w:val="ListParagraph"/>
            <w:numPr>
              <w:ilvl w:val="0"/>
              <w:numId w:val="30"/>
            </w:numPr>
            <w:ind w:left="283" w:hanging="283"/>
            <w:contextualSpacing/>
            <w:jc w:val="both"/>
            <w:rPr>
              <w:rFonts w:ascii="Times New Roman" w:eastAsia="Times New Roman" w:hAnsi="Times New Roman"/>
              <w:lang w:val="de-DE" w:eastAsia="en-GB"/>
            </w:rPr>
          </w:pPr>
          <w:r w:rsidRPr="003B6FC4">
            <w:rPr>
              <w:rFonts w:ascii="Times New Roman" w:eastAsia="Times New Roman" w:hAnsi="Times New Roman"/>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14:paraId="58B93427" w14:textId="77777777" w:rsidR="003B6FC4" w:rsidRPr="003B6FC4" w:rsidRDefault="003B6FC4" w:rsidP="003B6FC4">
          <w:pPr>
            <w:pStyle w:val="ListParagraph"/>
            <w:rPr>
              <w:lang w:val="de-DE"/>
            </w:rPr>
          </w:pPr>
        </w:p>
        <w:p w14:paraId="56FCE95C" w14:textId="77777777" w:rsidR="003B6FC4" w:rsidRDefault="003B6FC4" w:rsidP="003B6FC4">
          <w:pPr>
            <w:pStyle w:val="ListParagraph"/>
            <w:numPr>
              <w:ilvl w:val="0"/>
              <w:numId w:val="30"/>
            </w:numPr>
            <w:ind w:left="283" w:hanging="283"/>
            <w:contextualSpacing/>
            <w:jc w:val="both"/>
            <w:rPr>
              <w:rFonts w:ascii="Times New Roman" w:eastAsia="Times New Roman" w:hAnsi="Times New Roman"/>
              <w:lang w:val="de-DE" w:eastAsia="en-GB"/>
            </w:rPr>
          </w:pPr>
          <w:r w:rsidRPr="003B6FC4">
            <w:rPr>
              <w:rFonts w:ascii="Times New Roman" w:eastAsia="Times New Roman" w:hAnsi="Times New Roman"/>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3F915B11" w14:textId="77777777" w:rsidR="003B6FC4" w:rsidRPr="003B6FC4" w:rsidRDefault="003B6FC4" w:rsidP="003B6FC4">
          <w:pPr>
            <w:pStyle w:val="ListParagraph"/>
            <w:rPr>
              <w:lang w:val="de-DE"/>
            </w:rPr>
          </w:pPr>
        </w:p>
        <w:p w14:paraId="15917FC7" w14:textId="77777777" w:rsidR="003B6FC4" w:rsidRDefault="003B6FC4" w:rsidP="003B6FC4">
          <w:pPr>
            <w:pStyle w:val="ListParagraph"/>
            <w:numPr>
              <w:ilvl w:val="0"/>
              <w:numId w:val="30"/>
            </w:numPr>
            <w:ind w:left="283" w:hanging="283"/>
            <w:contextualSpacing/>
            <w:jc w:val="both"/>
            <w:rPr>
              <w:rFonts w:ascii="Times New Roman" w:eastAsia="Times New Roman" w:hAnsi="Times New Roman"/>
              <w:lang w:val="de-DE" w:eastAsia="en-GB"/>
            </w:rPr>
          </w:pPr>
          <w:r w:rsidRPr="003B6FC4">
            <w:rPr>
              <w:rFonts w:ascii="Times New Roman" w:eastAsia="Times New Roman" w:hAnsi="Times New Roman"/>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09DF9F68" w14:textId="77777777" w:rsidR="003B6FC4" w:rsidRPr="003B6FC4" w:rsidRDefault="003B6FC4" w:rsidP="003B6FC4">
          <w:pPr>
            <w:pStyle w:val="ListParagraph"/>
            <w:rPr>
              <w:lang w:val="de-DE"/>
            </w:rPr>
          </w:pPr>
        </w:p>
        <w:p w14:paraId="2A0F153A" w14:textId="524163C2" w:rsidR="009321C6" w:rsidRPr="003B6FC4" w:rsidRDefault="003B6FC4" w:rsidP="009321C6">
          <w:pPr>
            <w:pStyle w:val="ListParagraph"/>
            <w:numPr>
              <w:ilvl w:val="0"/>
              <w:numId w:val="30"/>
            </w:numPr>
            <w:ind w:left="283" w:hanging="283"/>
            <w:contextualSpacing/>
            <w:jc w:val="both"/>
            <w:rPr>
              <w:rFonts w:ascii="Times New Roman" w:eastAsia="Times New Roman" w:hAnsi="Times New Roman"/>
              <w:lang w:val="de-DE" w:eastAsia="en-GB"/>
            </w:rPr>
          </w:pPr>
          <w:r w:rsidRPr="003B6FC4">
            <w:rPr>
              <w:rFonts w:ascii="Times New Roman" w:eastAsia="Times New Roman" w:hAnsi="Times New Roman"/>
              <w:lang w:val="de-DE" w:eastAsia="en-GB"/>
            </w:rPr>
            <w:lastRenderedPageBreak/>
            <w:t xml:space="preserve">Die EMLO arbeiten eng mit den anderen Mitgliedern der Delegation zusammen, um sicherzustellen‚dass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3CF70F22" w14:textId="4A832C44" w:rsidR="00546DB1" w:rsidRDefault="00546DB1" w:rsidP="00546DB1">
      <w:pPr>
        <w:tabs>
          <w:tab w:val="left" w:pos="426"/>
        </w:tabs>
        <w:spacing w:after="0"/>
        <w:rPr>
          <w:b/>
          <w:lang w:eastAsia="en-GB"/>
        </w:rPr>
      </w:pPr>
    </w:p>
    <w:p w14:paraId="51B4F5F9" w14:textId="77777777" w:rsidR="003F3AF0" w:rsidRPr="00E408D3" w:rsidRDefault="003F3AF0" w:rsidP="003F3AF0">
      <w:pPr>
        <w:pStyle w:val="ListNumber"/>
        <w:numPr>
          <w:ilvl w:val="0"/>
          <w:numId w:val="0"/>
        </w:numPr>
        <w:spacing w:after="0"/>
        <w:ind w:left="709" w:hanging="709"/>
        <w:rPr>
          <w:b/>
          <w:bCs/>
          <w:u w:val="single"/>
          <w:lang w:eastAsia="en-GB"/>
        </w:rPr>
      </w:pPr>
      <w:r w:rsidRPr="00E408D3">
        <w:rPr>
          <w:b/>
          <w:sz w:val="22"/>
          <w:szCs w:val="22"/>
          <w:u w:val="single"/>
        </w:rPr>
        <w:t>Auswahlkriterien</w:t>
      </w:r>
    </w:p>
    <w:p w14:paraId="264D3A6F" w14:textId="77777777" w:rsidR="003F3AF0" w:rsidRPr="00E408D3" w:rsidRDefault="003F3AF0" w:rsidP="003F3AF0">
      <w:pPr>
        <w:tabs>
          <w:tab w:val="left" w:pos="709"/>
        </w:tabs>
        <w:spacing w:after="0"/>
        <w:ind w:right="60"/>
        <w:rPr>
          <w:sz w:val="22"/>
          <w:szCs w:val="22"/>
        </w:rPr>
      </w:pPr>
    </w:p>
    <w:p w14:paraId="7BC77A27" w14:textId="77777777" w:rsidR="003F3AF0" w:rsidRPr="00E408D3" w:rsidRDefault="003F3AF0" w:rsidP="003F3AF0">
      <w:pPr>
        <w:tabs>
          <w:tab w:val="left" w:pos="709"/>
        </w:tabs>
        <w:spacing w:after="0"/>
        <w:ind w:right="60"/>
        <w:rPr>
          <w:sz w:val="22"/>
          <w:szCs w:val="22"/>
        </w:rPr>
      </w:pPr>
      <w:r w:rsidRPr="00E408D3">
        <w:rPr>
          <w:sz w:val="22"/>
          <w:szCs w:val="22"/>
          <w:u w:val="single"/>
        </w:rPr>
        <w:t>Bildungsabschluss</w:t>
      </w:r>
      <w:r w:rsidRPr="00E408D3">
        <w:rPr>
          <w:sz w:val="22"/>
          <w:szCs w:val="22"/>
        </w:rPr>
        <w:t xml:space="preserve"> </w:t>
      </w:r>
    </w:p>
    <w:p w14:paraId="2EA63576" w14:textId="77777777" w:rsidR="003F3AF0" w:rsidRPr="00E408D3" w:rsidRDefault="003F3AF0" w:rsidP="003F3AF0">
      <w:pPr>
        <w:tabs>
          <w:tab w:val="left" w:pos="709"/>
        </w:tabs>
        <w:spacing w:after="0"/>
        <w:ind w:right="60"/>
        <w:rPr>
          <w:sz w:val="22"/>
          <w:szCs w:val="22"/>
        </w:rPr>
      </w:pPr>
    </w:p>
    <w:p w14:paraId="395DBD1E" w14:textId="77777777" w:rsidR="003F3AF0" w:rsidRPr="00E408D3" w:rsidRDefault="003F3AF0" w:rsidP="003F3AF0">
      <w:pPr>
        <w:tabs>
          <w:tab w:val="left" w:pos="709"/>
        </w:tabs>
        <w:spacing w:after="0"/>
        <w:ind w:right="1317"/>
        <w:rPr>
          <w:sz w:val="22"/>
          <w:szCs w:val="22"/>
        </w:rPr>
      </w:pPr>
      <w:r w:rsidRPr="00E408D3">
        <w:rPr>
          <w:sz w:val="22"/>
          <w:szCs w:val="22"/>
        </w:rPr>
        <w:t>- ein Universitätsabschluss oder</w:t>
      </w:r>
    </w:p>
    <w:p w14:paraId="5C2D0C27" w14:textId="77777777" w:rsidR="003F3AF0" w:rsidRPr="00E408D3" w:rsidRDefault="003F3AF0" w:rsidP="003F3AF0">
      <w:pPr>
        <w:tabs>
          <w:tab w:val="left" w:pos="709"/>
        </w:tabs>
        <w:spacing w:after="0"/>
        <w:ind w:right="1317"/>
        <w:rPr>
          <w:sz w:val="22"/>
          <w:szCs w:val="22"/>
        </w:rPr>
      </w:pPr>
      <w:r w:rsidRPr="00E408D3">
        <w:rPr>
          <w:sz w:val="22"/>
          <w:szCs w:val="22"/>
        </w:rPr>
        <w:t>- eine gleichwertige Berufsausbildung oder Berufserfahrung</w:t>
      </w:r>
    </w:p>
    <w:p w14:paraId="47380F5B" w14:textId="77777777" w:rsidR="003F3AF0" w:rsidRPr="00E408D3" w:rsidRDefault="003F3AF0" w:rsidP="003F3AF0">
      <w:pPr>
        <w:tabs>
          <w:tab w:val="left" w:pos="709"/>
        </w:tabs>
        <w:spacing w:after="0"/>
        <w:ind w:right="1317"/>
        <w:rPr>
          <w:sz w:val="22"/>
          <w:szCs w:val="22"/>
        </w:rPr>
      </w:pPr>
    </w:p>
    <w:p w14:paraId="4CB1F212" w14:textId="77777777" w:rsidR="003F3AF0" w:rsidRPr="00E408D3" w:rsidRDefault="003F3AF0" w:rsidP="003F3AF0">
      <w:pPr>
        <w:tabs>
          <w:tab w:val="left" w:pos="1134"/>
        </w:tabs>
        <w:spacing w:after="0"/>
        <w:ind w:left="142" w:right="60" w:hanging="142"/>
        <w:rPr>
          <w:sz w:val="22"/>
          <w:szCs w:val="22"/>
        </w:rPr>
      </w:pPr>
      <w:r w:rsidRPr="00E408D3">
        <w:rPr>
          <w:sz w:val="22"/>
          <w:szCs w:val="22"/>
        </w:rPr>
        <w:t xml:space="preserve">  im Bereich: Jura, Politikwissenschaft, Wirtschaft, Betriebswirtschaftslehre oder sonstiger verwandter Bereiche.</w:t>
      </w:r>
    </w:p>
    <w:p w14:paraId="61A07879" w14:textId="77777777" w:rsidR="003F3AF0" w:rsidRPr="00E408D3" w:rsidRDefault="003F3AF0" w:rsidP="003F3AF0">
      <w:pPr>
        <w:tabs>
          <w:tab w:val="left" w:pos="709"/>
        </w:tabs>
        <w:spacing w:after="0"/>
        <w:ind w:right="60"/>
        <w:rPr>
          <w:sz w:val="22"/>
          <w:szCs w:val="22"/>
        </w:rPr>
      </w:pPr>
    </w:p>
    <w:p w14:paraId="643AB54A" w14:textId="77777777" w:rsidR="003F3AF0" w:rsidRPr="00E408D3" w:rsidRDefault="003F3AF0" w:rsidP="003F3AF0">
      <w:pPr>
        <w:tabs>
          <w:tab w:val="left" w:pos="709"/>
        </w:tabs>
        <w:spacing w:after="0"/>
        <w:ind w:right="60"/>
        <w:rPr>
          <w:sz w:val="22"/>
          <w:szCs w:val="22"/>
          <w:u w:val="single"/>
        </w:rPr>
      </w:pPr>
      <w:r w:rsidRPr="00E408D3">
        <w:rPr>
          <w:sz w:val="22"/>
          <w:szCs w:val="22"/>
          <w:u w:val="single"/>
        </w:rPr>
        <w:t>Berufserfahrung</w:t>
      </w:r>
    </w:p>
    <w:p w14:paraId="3B49B0F9" w14:textId="77777777" w:rsidR="003F3AF0" w:rsidRPr="00E408D3" w:rsidRDefault="003F3AF0" w:rsidP="003F3AF0">
      <w:pPr>
        <w:tabs>
          <w:tab w:val="left" w:pos="709"/>
        </w:tabs>
        <w:spacing w:after="0"/>
        <w:ind w:left="709" w:right="60"/>
        <w:rPr>
          <w:sz w:val="22"/>
          <w:szCs w:val="22"/>
          <w:u w:val="single"/>
        </w:rPr>
      </w:pPr>
    </w:p>
    <w:p w14:paraId="1517192D" w14:textId="77777777" w:rsidR="003F3AF0" w:rsidRPr="00E408D3" w:rsidRDefault="003F3AF0" w:rsidP="003F3AF0">
      <w:pPr>
        <w:tabs>
          <w:tab w:val="left" w:pos="709"/>
        </w:tabs>
        <w:spacing w:after="0"/>
        <w:ind w:right="60"/>
        <w:rPr>
          <w:sz w:val="22"/>
          <w:szCs w:val="22"/>
        </w:rPr>
      </w:pPr>
      <w:r w:rsidRPr="00E408D3">
        <w:rPr>
          <w:sz w:val="22"/>
          <w:szCs w:val="22"/>
          <w:u w:val="single"/>
        </w:rPr>
        <w:t>Zwingend</w:t>
      </w:r>
      <w:r w:rsidRPr="00E408D3">
        <w:rPr>
          <w:sz w:val="22"/>
          <w:szCs w:val="22"/>
        </w:rPr>
        <w:t>: Ein solider Migrationshintergrund und besondere Erfahrung in den Beziehungen zu Drittländern in Migrationsfragen; Fähigkeit zur Erfassung und strategischen Analyse von Informationen über Migrationsfragen; gute Verhandlungsfähigkeiten; Teamplayer.</w:t>
      </w:r>
    </w:p>
    <w:p w14:paraId="322D8939" w14:textId="77777777" w:rsidR="003F3AF0" w:rsidRPr="00E408D3" w:rsidRDefault="003F3AF0" w:rsidP="003F3AF0">
      <w:pPr>
        <w:tabs>
          <w:tab w:val="left" w:pos="709"/>
        </w:tabs>
        <w:spacing w:after="0"/>
        <w:ind w:left="709" w:right="60"/>
        <w:rPr>
          <w:sz w:val="22"/>
          <w:szCs w:val="22"/>
        </w:rPr>
      </w:pPr>
    </w:p>
    <w:p w14:paraId="17F61A30" w14:textId="77777777" w:rsidR="003F3AF0" w:rsidRPr="00E408D3" w:rsidRDefault="003F3AF0" w:rsidP="003F3AF0">
      <w:pPr>
        <w:tabs>
          <w:tab w:val="left" w:pos="709"/>
        </w:tabs>
        <w:spacing w:after="0"/>
        <w:ind w:right="60"/>
        <w:rPr>
          <w:sz w:val="22"/>
          <w:szCs w:val="22"/>
        </w:rPr>
      </w:pPr>
      <w:r w:rsidRPr="00E408D3">
        <w:rPr>
          <w:sz w:val="22"/>
          <w:szCs w:val="22"/>
          <w:u w:val="single"/>
        </w:rPr>
        <w:t>Erwünscht</w:t>
      </w:r>
      <w:r w:rsidRPr="00E408D3">
        <w:rPr>
          <w:sz w:val="22"/>
          <w:szCs w:val="22"/>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57576C0B" w14:textId="77777777" w:rsidR="003F3AF0" w:rsidRPr="00E408D3" w:rsidRDefault="003F3AF0" w:rsidP="003F3AF0">
      <w:pPr>
        <w:tabs>
          <w:tab w:val="left" w:pos="709"/>
        </w:tabs>
        <w:spacing w:after="0"/>
        <w:ind w:left="709" w:right="60"/>
        <w:rPr>
          <w:sz w:val="22"/>
          <w:szCs w:val="22"/>
        </w:rPr>
      </w:pPr>
    </w:p>
    <w:p w14:paraId="4FD8BC36" w14:textId="77777777" w:rsidR="003F3AF0" w:rsidRPr="00E408D3" w:rsidRDefault="003F3AF0" w:rsidP="003F3AF0">
      <w:pPr>
        <w:tabs>
          <w:tab w:val="left" w:pos="709"/>
        </w:tabs>
        <w:spacing w:after="0"/>
        <w:ind w:right="60"/>
        <w:rPr>
          <w:sz w:val="22"/>
          <w:szCs w:val="22"/>
          <w:u w:val="single"/>
        </w:rPr>
      </w:pPr>
      <w:r w:rsidRPr="00E408D3">
        <w:rPr>
          <w:sz w:val="22"/>
          <w:szCs w:val="22"/>
          <w:u w:val="single"/>
        </w:rPr>
        <w:t>Zur Ausübung der Tätigkeit erforderliche Sprachkenntnisse</w:t>
      </w:r>
    </w:p>
    <w:p w14:paraId="48B931C4" w14:textId="77777777" w:rsidR="003F3AF0" w:rsidRPr="00E408D3" w:rsidRDefault="003F3AF0" w:rsidP="003F3AF0">
      <w:pPr>
        <w:tabs>
          <w:tab w:val="left" w:pos="709"/>
        </w:tabs>
        <w:spacing w:after="0"/>
        <w:ind w:left="709" w:right="60"/>
        <w:rPr>
          <w:sz w:val="22"/>
          <w:szCs w:val="22"/>
        </w:rPr>
      </w:pPr>
    </w:p>
    <w:p w14:paraId="03B7175B" w14:textId="77777777" w:rsidR="003F3AF0" w:rsidRDefault="003F3AF0" w:rsidP="003F3AF0">
      <w:pPr>
        <w:pStyle w:val="ListNumber"/>
        <w:numPr>
          <w:ilvl w:val="0"/>
          <w:numId w:val="0"/>
        </w:numPr>
        <w:spacing w:after="0"/>
        <w:rPr>
          <w:b/>
          <w:bCs/>
          <w:u w:val="single"/>
          <w:lang w:eastAsia="en-GB"/>
        </w:rPr>
      </w:pPr>
      <w:r w:rsidRPr="00E408D3">
        <w:rPr>
          <w:sz w:val="22"/>
          <w:szCs w:val="22"/>
        </w:rPr>
        <w:t>Gründliche Kenntnisse der englischen Sprache in Wort und Schrift. Kenntnisse der Amtssprache</w:t>
      </w:r>
      <w:r>
        <w:rPr>
          <w:sz w:val="22"/>
          <w:szCs w:val="22"/>
        </w:rPr>
        <w:t xml:space="preserve"> </w:t>
      </w:r>
      <w:r w:rsidRPr="00E408D3">
        <w:rPr>
          <w:sz w:val="22"/>
          <w:szCs w:val="22"/>
        </w:rPr>
        <w:t>des Gastlandes wären von großem Vorteil.</w:t>
      </w:r>
    </w:p>
    <w:p w14:paraId="2207A7CC" w14:textId="77777777" w:rsidR="003F3AF0" w:rsidRDefault="003F3AF0" w:rsidP="003F3AF0">
      <w:pPr>
        <w:pStyle w:val="ListNumber"/>
        <w:numPr>
          <w:ilvl w:val="0"/>
          <w:numId w:val="0"/>
        </w:numPr>
        <w:ind w:left="709" w:hanging="709"/>
        <w:rPr>
          <w:b/>
          <w:bCs/>
          <w:u w:val="single"/>
          <w:lang w:eastAsia="en-GB"/>
        </w:rPr>
      </w:pPr>
    </w:p>
    <w:p w14:paraId="0C0698E7" w14:textId="590EC031"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5342C76D"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9757626">
    <w:abstractNumId w:val="15"/>
  </w:num>
  <w:num w:numId="31" w16cid:durableId="20284065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B6FC4"/>
    <w:rsid w:val="003F3AF0"/>
    <w:rsid w:val="004D75AF"/>
    <w:rsid w:val="00546DB1"/>
    <w:rsid w:val="00582B01"/>
    <w:rsid w:val="006243BB"/>
    <w:rsid w:val="00655C4C"/>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408D3"/>
    <w:rsid w:val="00EB3060"/>
    <w:rsid w:val="00EC5C6B"/>
    <w:rsid w:val="00F60E71"/>
    <w:rsid w:val="00FB07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3B6FC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C554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C554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C5541"/>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6</Pages>
  <Words>2134</Words>
  <Characters>12016</Characters>
  <Application>Microsoft Office Word</Application>
  <DocSecurity>4</DocSecurity>
  <PresentationFormat>Microsoft Word 14.0</PresentationFormat>
  <Lines>255</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NIELSEN Simone (HOME)</cp:lastModifiedBy>
  <cp:revision>2</cp:revision>
  <dcterms:created xsi:type="dcterms:W3CDTF">2023-06-09T10:13:00Z</dcterms:created>
  <dcterms:modified xsi:type="dcterms:W3CDTF">2023-06-09T10:13:00Z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