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5"/>
        <w:ind w:left="3576" w:right="3912" w:firstLine="0"/>
        <w:jc w:val="center"/>
        <w:rPr>
          <w:b/>
          <w:sz w:val="24"/>
        </w:rPr>
      </w:pPr>
      <w:r>
        <w:rPr>
          <w:b/>
          <w:spacing w:val="-2"/>
          <w:sz w:val="24"/>
        </w:rPr>
        <w:t>STELLENAUSSCHREIBUNG</w:t>
      </w:r>
    </w:p>
    <w:p>
      <w:pPr>
        <w:pStyle w:val="BodyText"/>
        <w:rPr>
          <w:b/>
          <w:sz w:val="24"/>
        </w:rPr>
      </w:pPr>
    </w:p>
    <w:p>
      <w:pPr>
        <w:spacing w:before="0"/>
        <w:ind w:left="1742" w:right="1279"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8"/>
        <w:gridCol w:w="5596"/>
      </w:tblGrid>
      <w:tr>
        <w:trPr>
          <w:trHeight w:val="1746" w:hRule="atLeast"/>
        </w:trPr>
        <w:tc>
          <w:tcPr>
            <w:tcW w:w="4358" w:type="dxa"/>
          </w:tcPr>
          <w:p>
            <w:pPr>
              <w:pStyle w:val="TableParagraph"/>
              <w:spacing w:line="252" w:lineRule="exact" w:before="1"/>
              <w:rPr>
                <w:b/>
                <w:sz w:val="22"/>
              </w:rPr>
            </w:pPr>
            <w:r>
              <w:rPr>
                <w:b/>
                <w:sz w:val="22"/>
              </w:rPr>
              <w:t>Identifizierung</w:t>
            </w:r>
            <w:r>
              <w:rPr>
                <w:b/>
                <w:spacing w:val="-6"/>
                <w:sz w:val="22"/>
              </w:rPr>
              <w:t> </w:t>
            </w:r>
            <w:r>
              <w:rPr>
                <w:b/>
                <w:sz w:val="22"/>
              </w:rPr>
              <w:t>der</w:t>
            </w:r>
            <w:r>
              <w:rPr>
                <w:b/>
                <w:spacing w:val="-5"/>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6" w:type="dxa"/>
          </w:tcPr>
          <w:p>
            <w:pPr>
              <w:pStyle w:val="TableParagraph"/>
              <w:spacing w:before="90"/>
              <w:ind w:right="1402"/>
              <w:rPr>
                <w:sz w:val="24"/>
              </w:rPr>
            </w:pPr>
            <w:r>
              <w:rPr>
                <w:sz w:val="24"/>
              </w:rPr>
              <w:t>Europäische Kommission Generaldirektion</w:t>
            </w:r>
            <w:r>
              <w:rPr>
                <w:spacing w:val="-15"/>
                <w:sz w:val="24"/>
              </w:rPr>
              <w:t> </w:t>
            </w:r>
            <w:r>
              <w:rPr>
                <w:sz w:val="24"/>
              </w:rPr>
              <w:t>Finanzstabilität,</w:t>
            </w:r>
          </w:p>
          <w:p>
            <w:pPr>
              <w:pStyle w:val="TableParagraph"/>
              <w:ind w:right="145"/>
              <w:rPr>
                <w:sz w:val="24"/>
              </w:rPr>
            </w:pPr>
            <w:r>
              <w:rPr>
                <w:sz w:val="24"/>
              </w:rPr>
              <w:t>Finanzdienstleistungen</w:t>
            </w:r>
            <w:r>
              <w:rPr>
                <w:spacing w:val="-15"/>
                <w:sz w:val="24"/>
              </w:rPr>
              <w:t> </w:t>
            </w:r>
            <w:r>
              <w:rPr>
                <w:sz w:val="24"/>
              </w:rPr>
              <w:t>und</w:t>
            </w:r>
            <w:r>
              <w:rPr>
                <w:spacing w:val="-15"/>
                <w:sz w:val="24"/>
              </w:rPr>
              <w:t> </w:t>
            </w:r>
            <w:r>
              <w:rPr>
                <w:sz w:val="24"/>
              </w:rPr>
              <w:t>Kapitalmarktunion </w:t>
            </w:r>
            <w:r>
              <w:rPr>
                <w:spacing w:val="-2"/>
                <w:sz w:val="24"/>
              </w:rPr>
              <w:t>(FISMA)</w:t>
            </w:r>
          </w:p>
          <w:p>
            <w:pPr>
              <w:pStyle w:val="TableParagraph"/>
              <w:rPr>
                <w:sz w:val="24"/>
              </w:rPr>
            </w:pPr>
            <w:r>
              <w:rPr>
                <w:sz w:val="24"/>
              </w:rPr>
              <w:t>Bank,</w:t>
            </w:r>
            <w:r>
              <w:rPr>
                <w:spacing w:val="-2"/>
                <w:sz w:val="24"/>
              </w:rPr>
              <w:t> </w:t>
            </w:r>
            <w:r>
              <w:rPr>
                <w:sz w:val="24"/>
              </w:rPr>
              <w:t>Versicherung</w:t>
            </w:r>
            <w:r>
              <w:rPr>
                <w:spacing w:val="-2"/>
                <w:sz w:val="24"/>
              </w:rPr>
              <w:t> </w:t>
            </w:r>
            <w:r>
              <w:rPr>
                <w:sz w:val="24"/>
              </w:rPr>
              <w:t>und</w:t>
            </w:r>
            <w:r>
              <w:rPr>
                <w:spacing w:val="1"/>
                <w:sz w:val="24"/>
              </w:rPr>
              <w:t> </w:t>
            </w:r>
            <w:r>
              <w:rPr>
                <w:spacing w:val="-2"/>
                <w:sz w:val="24"/>
              </w:rPr>
              <w:t>Finanzkriminalität</w:t>
            </w:r>
          </w:p>
          <w:p>
            <w:pPr>
              <w:pStyle w:val="TableParagraph"/>
              <w:spacing w:line="257" w:lineRule="exact"/>
              <w:rPr>
                <w:sz w:val="24"/>
              </w:rPr>
            </w:pPr>
            <w:r>
              <w:rPr>
                <w:sz w:val="24"/>
              </w:rPr>
              <w:t>Referat FISMA</w:t>
            </w:r>
            <w:r>
              <w:rPr>
                <w:spacing w:val="-3"/>
                <w:sz w:val="24"/>
              </w:rPr>
              <w:t> </w:t>
            </w:r>
            <w:r>
              <w:rPr>
                <w:sz w:val="24"/>
              </w:rPr>
              <w:t>D.1</w:t>
            </w:r>
            <w:r>
              <w:rPr>
                <w:spacing w:val="-3"/>
                <w:sz w:val="24"/>
              </w:rPr>
              <w:t> </w:t>
            </w:r>
            <w:r>
              <w:rPr>
                <w:sz w:val="24"/>
              </w:rPr>
              <w:t>-</w:t>
            </w:r>
            <w:r>
              <w:rPr>
                <w:spacing w:val="-3"/>
                <w:sz w:val="24"/>
              </w:rPr>
              <w:t> </w:t>
            </w:r>
            <w:r>
              <w:rPr>
                <w:sz w:val="24"/>
              </w:rPr>
              <w:t>Bankenregulierung</w:t>
            </w:r>
            <w:r>
              <w:rPr>
                <w:spacing w:val="-2"/>
                <w:sz w:val="24"/>
              </w:rPr>
              <w:t> </w:t>
            </w:r>
            <w:r>
              <w:rPr>
                <w:sz w:val="24"/>
              </w:rPr>
              <w:t>und</w:t>
            </w:r>
            <w:r>
              <w:rPr>
                <w:spacing w:val="1"/>
                <w:sz w:val="24"/>
              </w:rPr>
              <w:t> </w:t>
            </w:r>
            <w:r>
              <w:rPr>
                <w:spacing w:val="-2"/>
                <w:sz w:val="24"/>
              </w:rPr>
              <w:t>Aufsicht</w:t>
            </w:r>
          </w:p>
        </w:tc>
      </w:tr>
      <w:tr>
        <w:trPr>
          <w:trHeight w:val="2116" w:hRule="atLeast"/>
        </w:trPr>
        <w:tc>
          <w:tcPr>
            <w:tcW w:w="4358"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ind w:right="529"/>
              <w:rPr>
                <w:b/>
                <w:sz w:val="22"/>
              </w:rPr>
            </w:pPr>
            <w:r>
              <w:rPr>
                <w:b/>
                <w:sz w:val="22"/>
              </w:rPr>
              <w:t>Anzahl</w:t>
            </w:r>
            <w:r>
              <w:rPr>
                <w:b/>
                <w:spacing w:val="-9"/>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before="1"/>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6" w:type="dxa"/>
          </w:tcPr>
          <w:p>
            <w:pPr>
              <w:pStyle w:val="TableParagraph"/>
              <w:spacing w:line="275" w:lineRule="exact"/>
              <w:rPr>
                <w:sz w:val="24"/>
              </w:rPr>
            </w:pPr>
            <w:r>
              <w:rPr>
                <w:sz w:val="24"/>
              </w:rPr>
              <w:t>Almorò</w:t>
            </w:r>
            <w:r>
              <w:rPr>
                <w:spacing w:val="-3"/>
                <w:sz w:val="24"/>
              </w:rPr>
              <w:t> </w:t>
            </w:r>
            <w:r>
              <w:rPr>
                <w:sz w:val="24"/>
              </w:rPr>
              <w:t>RUBIN</w:t>
            </w:r>
            <w:r>
              <w:rPr>
                <w:spacing w:val="-3"/>
                <w:sz w:val="24"/>
              </w:rPr>
              <w:t> </w:t>
            </w:r>
            <w:r>
              <w:rPr>
                <w:sz w:val="24"/>
              </w:rPr>
              <w:t>DE</w:t>
            </w:r>
            <w:r>
              <w:rPr>
                <w:spacing w:val="-2"/>
                <w:sz w:val="24"/>
              </w:rPr>
              <w:t> CERVIN</w:t>
            </w:r>
          </w:p>
          <w:p>
            <w:pPr>
              <w:pStyle w:val="TableParagraph"/>
              <w:rPr>
                <w:sz w:val="24"/>
              </w:rPr>
            </w:pPr>
            <w:hyperlink r:id="rId7">
              <w:r>
                <w:rPr>
                  <w:color w:val="0000FF"/>
                  <w:spacing w:val="-2"/>
                  <w:sz w:val="24"/>
                  <w:u w:val="single" w:color="0000FF"/>
                </w:rPr>
                <w:t>Almoro.RUBIN-DE-CERVIN@ec.europa.eu</w:t>
              </w:r>
            </w:hyperlink>
          </w:p>
          <w:p>
            <w:pPr>
              <w:pStyle w:val="TableParagraph"/>
              <w:rPr>
                <w:sz w:val="24"/>
              </w:rPr>
            </w:pPr>
            <w:r>
              <w:rPr>
                <w:sz w:val="24"/>
              </w:rPr>
              <w:t>+32</w:t>
            </w:r>
            <w:r>
              <w:rPr>
                <w:spacing w:val="-2"/>
                <w:sz w:val="24"/>
              </w:rPr>
              <w:t> </w:t>
            </w:r>
            <w:r>
              <w:rPr>
                <w:sz w:val="24"/>
              </w:rPr>
              <w:t>229-</w:t>
            </w:r>
            <w:r>
              <w:rPr>
                <w:spacing w:val="-2"/>
                <w:sz w:val="24"/>
              </w:rPr>
              <w:t>55008</w:t>
            </w:r>
          </w:p>
          <w:p>
            <w:pPr>
              <w:pStyle w:val="TableParagraph"/>
              <w:spacing w:line="276" w:lineRule="exact"/>
              <w:rPr>
                <w:sz w:val="24"/>
              </w:rPr>
            </w:pPr>
            <w:r>
              <w:rPr>
                <w:sz w:val="24"/>
              </w:rPr>
              <w:t>1</w:t>
            </w:r>
          </w:p>
          <w:p>
            <w:pPr>
              <w:pStyle w:val="TableParagraph"/>
              <w:spacing w:line="253" w:lineRule="exact"/>
              <w:ind w:left="139"/>
              <w:rPr>
                <w:b/>
                <w:sz w:val="22"/>
              </w:rPr>
            </w:pPr>
            <w:r>
              <w:rPr>
                <w:b/>
                <w:sz w:val="22"/>
              </w:rPr>
              <w:t>16</w:t>
            </w:r>
            <w:r>
              <w:rPr>
                <w:b/>
                <w:spacing w:val="-6"/>
                <w:sz w:val="22"/>
              </w:rPr>
              <w:t> </w:t>
            </w:r>
            <w:r>
              <w:rPr>
                <w:b/>
                <w:sz w:val="22"/>
              </w:rPr>
              <w:t>September</w:t>
            </w:r>
            <w:r>
              <w:rPr>
                <w:b/>
                <w:spacing w:val="-3"/>
                <w:sz w:val="22"/>
              </w:rPr>
              <w:t> </w:t>
            </w:r>
            <w:r>
              <w:rPr>
                <w:b/>
                <w:sz w:val="22"/>
              </w:rPr>
              <w:t>2023</w:t>
            </w:r>
            <w:r>
              <w:rPr>
                <w:b/>
                <w:spacing w:val="-6"/>
                <w:sz w:val="22"/>
              </w:rPr>
              <w:t> </w:t>
            </w:r>
            <w:r>
              <w:rPr>
                <w:b/>
                <w:spacing w:val="-10"/>
                <w:sz w:val="22"/>
                <w:vertAlign w:val="superscript"/>
              </w:rPr>
              <w:t>1</w:t>
            </w:r>
          </w:p>
          <w:p>
            <w:pPr>
              <w:pStyle w:val="TableParagraph"/>
              <w:spacing w:before="1"/>
              <w:rPr>
                <w:b/>
                <w:sz w:val="22"/>
              </w:rPr>
            </w:pPr>
            <w:r>
              <w:rPr>
                <w:b/>
                <w:sz w:val="22"/>
              </w:rPr>
              <w:t>2</w:t>
            </w:r>
            <w:r>
              <w:rPr>
                <w:b/>
                <w:spacing w:val="-2"/>
                <w:sz w:val="22"/>
              </w:rPr>
              <w:t> </w:t>
            </w:r>
            <w:r>
              <w:rPr>
                <w:b/>
                <w:sz w:val="22"/>
              </w:rPr>
              <w:t>(zwei)</w:t>
            </w:r>
            <w:r>
              <w:rPr>
                <w:b/>
                <w:spacing w:val="-2"/>
                <w:sz w:val="22"/>
              </w:rPr>
              <w:t> </w:t>
            </w:r>
            <w:r>
              <w:rPr>
                <w:b/>
                <w:sz w:val="22"/>
              </w:rPr>
              <w:t>Jahre</w:t>
            </w:r>
            <w:r>
              <w:rPr>
                <w:b/>
                <w:spacing w:val="-1"/>
                <w:sz w:val="22"/>
              </w:rPr>
              <w:t> </w:t>
            </w:r>
            <w:r>
              <w:rPr>
                <w:b/>
                <w:spacing w:val="-10"/>
                <w:sz w:val="22"/>
                <w:vertAlign w:val="superscript"/>
              </w:rPr>
              <w:t>1</w:t>
            </w:r>
          </w:p>
          <w:p>
            <w:pPr>
              <w:pStyle w:val="TableParagraph"/>
              <w:spacing w:before="10"/>
              <w:ind w:left="0"/>
              <w:rPr>
                <w:b/>
                <w:sz w:val="21"/>
              </w:rPr>
            </w:pPr>
          </w:p>
          <w:p>
            <w:pPr>
              <w:pStyle w:val="TableParagraph"/>
              <w:numPr>
                <w:ilvl w:val="0"/>
                <w:numId w:val="1"/>
              </w:numPr>
              <w:tabs>
                <w:tab w:pos="469" w:val="left" w:leader="none"/>
                <w:tab w:pos="1521" w:val="left" w:leader="none"/>
              </w:tabs>
              <w:spacing w:line="236" w:lineRule="exact" w:before="0" w:after="0"/>
              <w:ind w:left="468" w:right="0" w:hanging="364"/>
              <w:jc w:val="left"/>
              <w:rPr>
                <w:b/>
                <w:sz w:val="22"/>
              </w:rPr>
            </w:pPr>
            <w:r>
              <w:rPr>
                <w:b/>
                <w:spacing w:val="-2"/>
                <w:sz w:val="22"/>
              </w:rPr>
              <w:t>Brüssel</w:t>
            </w:r>
            <w:r>
              <w:rPr>
                <w:b/>
                <w:sz w:val="22"/>
              </w:rPr>
              <w:tab/>
            </w:r>
            <w:r>
              <w:rPr>
                <w:rFonts w:ascii="Wingdings 2" w:hAnsi="Wingdings 2"/>
                <w:sz w:val="22"/>
              </w:rPr>
              <w:t></w:t>
            </w:r>
            <w:r>
              <w:rPr>
                <w:spacing w:val="79"/>
                <w:w w:val="150"/>
                <w:sz w:val="22"/>
              </w:rPr>
              <w:t> </w:t>
            </w:r>
            <w:r>
              <w:rPr>
                <w:b/>
                <w:sz w:val="22"/>
              </w:rPr>
              <w:t>Luxemburg</w:t>
            </w:r>
            <w:r>
              <w:rPr>
                <w:b/>
                <w:spacing w:val="78"/>
                <w:w w:val="150"/>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8" w:type="dxa"/>
            <w:vMerge/>
            <w:tcBorders>
              <w:top w:val="nil"/>
            </w:tcBorders>
          </w:tcPr>
          <w:p>
            <w:pPr>
              <w:rPr>
                <w:sz w:val="2"/>
                <w:szCs w:val="2"/>
              </w:rPr>
            </w:pPr>
          </w:p>
        </w:tc>
        <w:tc>
          <w:tcPr>
            <w:tcW w:w="5596" w:type="dxa"/>
          </w:tcPr>
          <w:p>
            <w:pPr>
              <w:pStyle w:val="TableParagraph"/>
              <w:numPr>
                <w:ilvl w:val="0"/>
                <w:numId w:val="2"/>
              </w:numPr>
              <w:tabs>
                <w:tab w:pos="413" w:val="left" w:leader="none"/>
              </w:tabs>
              <w:spacing w:line="240" w:lineRule="auto" w:before="145" w:after="0"/>
              <w:ind w:left="412" w:right="0" w:hanging="308"/>
              <w:jc w:val="left"/>
              <w:rPr>
                <w:b/>
                <w:sz w:val="22"/>
              </w:rPr>
            </w:pPr>
            <w:r>
              <w:rPr>
                <w:b/>
                <w:sz w:val="22"/>
              </w:rPr>
              <w:t>Mit</w:t>
            </w:r>
            <w:r>
              <w:rPr>
                <w:b/>
                <w:spacing w:val="-4"/>
                <w:sz w:val="22"/>
              </w:rPr>
              <w:t> </w:t>
            </w:r>
            <w:r>
              <w:rPr>
                <w:b/>
                <w:sz w:val="22"/>
              </w:rPr>
              <w:t>Vergütungen</w:t>
            </w:r>
            <w:r>
              <w:rPr>
                <w:b/>
                <w:spacing w:val="76"/>
                <w:w w:val="150"/>
                <w:sz w:val="22"/>
              </w:rPr>
              <w:t> </w:t>
            </w:r>
            <w:r>
              <w:rPr>
                <w:rFonts w:ascii="Wingdings 2" w:hAnsi="Wingdings 2"/>
                <w:sz w:val="22"/>
              </w:rPr>
              <w:t></w:t>
            </w:r>
            <w:r>
              <w:rPr>
                <w:spacing w:val="49"/>
                <w:sz w:val="22"/>
              </w:rPr>
              <w:t> </w:t>
            </w:r>
            <w:r>
              <w:rPr>
                <w:b/>
                <w:sz w:val="22"/>
              </w:rPr>
              <w:t>Unentgeltlich</w:t>
            </w:r>
            <w:r>
              <w:rPr>
                <w:b/>
                <w:spacing w:val="-5"/>
                <w:sz w:val="22"/>
              </w:rPr>
              <w:t> </w:t>
            </w:r>
            <w:r>
              <w:rPr>
                <w:b/>
                <w:spacing w:val="-2"/>
                <w:sz w:val="22"/>
              </w:rPr>
              <w:t>Abgeordnet</w:t>
            </w:r>
          </w:p>
        </w:tc>
      </w:tr>
      <w:tr>
        <w:trPr>
          <w:trHeight w:val="2111" w:hRule="atLeast"/>
        </w:trPr>
        <w:tc>
          <w:tcPr>
            <w:tcW w:w="9954" w:type="dxa"/>
            <w:gridSpan w:val="2"/>
          </w:tcPr>
          <w:p>
            <w:pPr>
              <w:pStyle w:val="TableParagraph"/>
              <w:spacing w:before="169"/>
              <w:rPr>
                <w:b/>
                <w:sz w:val="22"/>
              </w:rPr>
            </w:pPr>
            <w:r>
              <w:rPr>
                <w:b/>
                <w:sz w:val="22"/>
              </w:rPr>
              <w:t>Auf</w:t>
            </w:r>
            <w:r>
              <w:rPr>
                <w:b/>
                <w:spacing w:val="-5"/>
                <w:sz w:val="22"/>
              </w:rPr>
              <w:t> </w:t>
            </w:r>
            <w:r>
              <w:rPr>
                <w:b/>
                <w:sz w:val="22"/>
              </w:rPr>
              <w:t>diese</w:t>
            </w:r>
            <w:r>
              <w:rPr>
                <w:b/>
                <w:spacing w:val="-6"/>
                <w:sz w:val="22"/>
              </w:rPr>
              <w:t> </w:t>
            </w:r>
            <w:r>
              <w:rPr>
                <w:b/>
                <w:sz w:val="22"/>
              </w:rPr>
              <w:t>Stellenausschreibung</w:t>
            </w:r>
            <w:r>
              <w:rPr>
                <w:b/>
                <w:spacing w:val="-5"/>
                <w:sz w:val="22"/>
              </w:rPr>
              <w:t> </w:t>
            </w:r>
            <w:r>
              <w:rPr>
                <w:b/>
                <w:sz w:val="22"/>
              </w:rPr>
              <w:t>können</w:t>
            </w:r>
            <w:r>
              <w:rPr>
                <w:b/>
                <w:spacing w:val="-7"/>
                <w:sz w:val="22"/>
              </w:rPr>
              <w:t> </w:t>
            </w:r>
            <w:r>
              <w:rPr>
                <w:b/>
                <w:sz w:val="22"/>
              </w:rPr>
              <w:t>sich</w:t>
            </w:r>
            <w:r>
              <w:rPr>
                <w:b/>
                <w:spacing w:val="-6"/>
                <w:sz w:val="22"/>
              </w:rPr>
              <w:t> </w:t>
            </w:r>
            <w:r>
              <w:rPr>
                <w:b/>
                <w:spacing w:val="-4"/>
                <w:sz w:val="22"/>
              </w:rPr>
              <w:t>auch</w:t>
            </w:r>
          </w:p>
          <w:p>
            <w:pPr>
              <w:pStyle w:val="TableParagraph"/>
              <w:ind w:left="0"/>
              <w:rPr>
                <w:b/>
                <w:sz w:val="22"/>
              </w:rPr>
            </w:pPr>
          </w:p>
          <w:p>
            <w:pPr>
              <w:pStyle w:val="TableParagraph"/>
              <w:numPr>
                <w:ilvl w:val="0"/>
                <w:numId w:val="3"/>
              </w:numPr>
              <w:tabs>
                <w:tab w:pos="522" w:val="left" w:leader="none"/>
                <w:tab w:pos="523" w:val="left" w:leader="none"/>
              </w:tabs>
              <w:spacing w:line="240" w:lineRule="auto" w:before="0" w:after="0"/>
              <w:ind w:left="522" w:right="0" w:hanging="418"/>
              <w:jc w:val="left"/>
              <w:rPr>
                <w:b/>
                <w:sz w:val="22"/>
              </w:rPr>
            </w:pPr>
            <w:r>
              <w:rPr>
                <w:b/>
                <w:sz w:val="22"/>
              </w:rPr>
              <w:t>Bedienstete</w:t>
            </w:r>
            <w:r>
              <w:rPr>
                <w:b/>
                <w:spacing w:val="-7"/>
                <w:sz w:val="22"/>
              </w:rPr>
              <w:t> </w:t>
            </w:r>
            <w:r>
              <w:rPr>
                <w:b/>
                <w:sz w:val="22"/>
              </w:rPr>
              <w:t>der</w:t>
            </w:r>
            <w:r>
              <w:rPr>
                <w:b/>
                <w:spacing w:val="-8"/>
                <w:sz w:val="22"/>
              </w:rPr>
              <w:t> </w:t>
            </w:r>
            <w:r>
              <w:rPr>
                <w:b/>
                <w:sz w:val="22"/>
              </w:rPr>
              <w:t>folgenden</w:t>
            </w:r>
            <w:r>
              <w:rPr>
                <w:b/>
                <w:spacing w:val="-8"/>
                <w:sz w:val="22"/>
              </w:rPr>
              <w:t> </w:t>
            </w:r>
            <w:r>
              <w:rPr>
                <w:b/>
                <w:sz w:val="22"/>
              </w:rPr>
              <w:t>EFTA-Staaten</w:t>
            </w:r>
            <w:r>
              <w:rPr>
                <w:b/>
                <w:spacing w:val="-7"/>
                <w:sz w:val="22"/>
              </w:rPr>
              <w:t> </w:t>
            </w:r>
            <w:r>
              <w:rPr>
                <w:b/>
                <w:spacing w:val="-2"/>
                <w:sz w:val="22"/>
              </w:rPr>
              <w:t>bewerben:</w:t>
            </w:r>
          </w:p>
          <w:p>
            <w:pPr>
              <w:pStyle w:val="TableParagraph"/>
              <w:numPr>
                <w:ilvl w:val="1"/>
                <w:numId w:val="3"/>
              </w:numPr>
              <w:tabs>
                <w:tab w:pos="816" w:val="left" w:leader="none"/>
              </w:tabs>
              <w:spacing w:line="252" w:lineRule="exact" w:before="1" w:after="0"/>
              <w:ind w:left="815"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6"/>
                <w:sz w:val="22"/>
              </w:rPr>
              <w:t> </w:t>
            </w:r>
            <w:r>
              <w:rPr>
                <w:rFonts w:ascii="Wingdings 2" w:hAnsi="Wingdings 2"/>
                <w:sz w:val="22"/>
              </w:rPr>
              <w:t></w:t>
            </w:r>
            <w:r>
              <w:rPr>
                <w:spacing w:val="-3"/>
                <w:sz w:val="22"/>
              </w:rPr>
              <w:t> </w:t>
            </w:r>
            <w:r>
              <w:rPr>
                <w:b/>
                <w:sz w:val="22"/>
              </w:rPr>
              <w:t>Norwegen</w:t>
            </w:r>
            <w:r>
              <w:rPr>
                <w:b/>
                <w:spacing w:val="-6"/>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3"/>
              </w:numPr>
              <w:tabs>
                <w:tab w:pos="816" w:val="left" w:leader="none"/>
              </w:tabs>
              <w:spacing w:line="252" w:lineRule="exact" w:before="0" w:after="0"/>
              <w:ind w:left="815" w:right="0" w:hanging="253"/>
              <w:jc w:val="left"/>
              <w:rPr>
                <w:b/>
                <w:sz w:val="22"/>
              </w:rPr>
            </w:pPr>
            <w:r>
              <w:rPr>
                <w:b/>
                <w:sz w:val="22"/>
              </w:rPr>
              <w:t>EFTA-EEA</w:t>
            </w:r>
            <w:r>
              <w:rPr>
                <w:b/>
                <w:spacing w:val="-12"/>
                <w:sz w:val="22"/>
              </w:rPr>
              <w:t> </w:t>
            </w:r>
            <w:r>
              <w:rPr>
                <w:b/>
                <w:sz w:val="22"/>
              </w:rPr>
              <w:t>Sachleistungsabkommen</w:t>
            </w:r>
            <w:r>
              <w:rPr>
                <w:b/>
                <w:spacing w:val="-12"/>
                <w:sz w:val="22"/>
              </w:rPr>
              <w:t> </w:t>
            </w:r>
            <w:r>
              <w:rPr>
                <w:b/>
                <w:sz w:val="22"/>
              </w:rPr>
              <w:t>(Island,</w:t>
            </w:r>
            <w:r>
              <w:rPr>
                <w:b/>
                <w:spacing w:val="-11"/>
                <w:sz w:val="22"/>
              </w:rPr>
              <w:t> </w:t>
            </w:r>
            <w:r>
              <w:rPr>
                <w:b/>
                <w:sz w:val="22"/>
              </w:rPr>
              <w:t>Liechtenstein,</w:t>
            </w:r>
            <w:r>
              <w:rPr>
                <w:b/>
                <w:spacing w:val="-9"/>
                <w:sz w:val="22"/>
              </w:rPr>
              <w:t> </w:t>
            </w:r>
            <w:r>
              <w:rPr>
                <w:b/>
                <w:spacing w:val="-2"/>
                <w:sz w:val="22"/>
              </w:rPr>
              <w:t>Norwegen)</w:t>
            </w:r>
          </w:p>
          <w:p>
            <w:pPr>
              <w:pStyle w:val="TableParagraph"/>
              <w:numPr>
                <w:ilvl w:val="0"/>
                <w:numId w:val="3"/>
              </w:numPr>
              <w:tabs>
                <w:tab w:pos="522" w:val="left" w:leader="none"/>
                <w:tab w:pos="523" w:val="left" w:leader="none"/>
              </w:tabs>
              <w:spacing w:line="252" w:lineRule="exact" w:before="0" w:after="0"/>
              <w:ind w:left="522" w:right="0" w:hanging="418"/>
              <w:jc w:val="left"/>
              <w:rPr>
                <w:b/>
                <w:sz w:val="22"/>
              </w:rPr>
            </w:pPr>
            <w:r>
              <w:rPr>
                <w:b/>
                <w:sz w:val="22"/>
              </w:rPr>
              <w:t>Bedienstete</w:t>
            </w:r>
            <w:r>
              <w:rPr>
                <w:b/>
                <w:spacing w:val="-7"/>
                <w:sz w:val="22"/>
              </w:rPr>
              <w:t> </w:t>
            </w:r>
            <w:r>
              <w:rPr>
                <w:b/>
                <w:sz w:val="22"/>
              </w:rPr>
              <w:t>der</w:t>
            </w:r>
            <w:r>
              <w:rPr>
                <w:b/>
                <w:spacing w:val="-7"/>
                <w:sz w:val="22"/>
              </w:rPr>
              <w:t> </w:t>
            </w:r>
            <w:r>
              <w:rPr>
                <w:b/>
                <w:sz w:val="22"/>
              </w:rPr>
              <w:t>folgenden</w:t>
            </w:r>
            <w:r>
              <w:rPr>
                <w:b/>
                <w:spacing w:val="-7"/>
                <w:sz w:val="22"/>
              </w:rPr>
              <w:t> </w:t>
            </w:r>
            <w:r>
              <w:rPr>
                <w:b/>
                <w:sz w:val="22"/>
              </w:rPr>
              <w:t>Drittländer</w:t>
            </w:r>
            <w:r>
              <w:rPr>
                <w:b/>
                <w:spacing w:val="-6"/>
                <w:sz w:val="22"/>
              </w:rPr>
              <w:t> </w:t>
            </w:r>
            <w:r>
              <w:rPr>
                <w:b/>
                <w:spacing w:val="-2"/>
                <w:sz w:val="22"/>
              </w:rPr>
              <w:t>bewerben:</w:t>
            </w:r>
          </w:p>
          <w:p>
            <w:pPr>
              <w:pStyle w:val="TableParagraph"/>
              <w:numPr>
                <w:ilvl w:val="0"/>
                <w:numId w:val="3"/>
              </w:numPr>
              <w:tabs>
                <w:tab w:pos="522" w:val="left" w:leader="none"/>
                <w:tab w:pos="523" w:val="left" w:leader="none"/>
              </w:tabs>
              <w:spacing w:line="240" w:lineRule="auto" w:before="2" w:after="0"/>
              <w:ind w:left="522" w:right="0" w:hanging="418"/>
              <w:jc w:val="left"/>
              <w:rPr>
                <w:b/>
                <w:sz w:val="22"/>
              </w:rPr>
            </w:pPr>
            <w:r>
              <w:rPr>
                <w:b/>
                <w:sz w:val="22"/>
              </w:rPr>
              <w:t>Bedienstete</w:t>
            </w:r>
            <w:r>
              <w:rPr>
                <w:b/>
                <w:spacing w:val="-11"/>
                <w:sz w:val="22"/>
              </w:rPr>
              <w:t> </w:t>
            </w:r>
            <w:r>
              <w:rPr>
                <w:b/>
                <w:sz w:val="22"/>
              </w:rPr>
              <w:t>folgender</w:t>
            </w:r>
            <w:r>
              <w:rPr>
                <w:b/>
                <w:spacing w:val="-11"/>
                <w:sz w:val="22"/>
              </w:rPr>
              <w:t> </w:t>
            </w:r>
            <w:r>
              <w:rPr>
                <w:b/>
                <w:sz w:val="22"/>
              </w:rPr>
              <w:t>zwischenstaatlicher</w:t>
            </w:r>
            <w:r>
              <w:rPr>
                <w:b/>
                <w:spacing w:val="-11"/>
                <w:sz w:val="22"/>
              </w:rPr>
              <w:t> </w:t>
            </w:r>
            <w:r>
              <w:rPr>
                <w:b/>
                <w:sz w:val="22"/>
              </w:rPr>
              <w:t>Organisationen</w:t>
            </w:r>
            <w:r>
              <w:rPr>
                <w:b/>
                <w:spacing w:val="-9"/>
                <w:sz w:val="22"/>
              </w:rPr>
              <w:t> </w:t>
            </w:r>
            <w:r>
              <w:rPr>
                <w:b/>
                <w:spacing w:val="-2"/>
                <w:sz w:val="22"/>
              </w:rPr>
              <w:t>bewerben:</w:t>
            </w:r>
          </w:p>
        </w:tc>
      </w:tr>
    </w:tbl>
    <w:p>
      <w:pPr>
        <w:pStyle w:val="BodyText"/>
        <w:rPr>
          <w:b/>
          <w:sz w:val="24"/>
        </w:rPr>
      </w:pPr>
    </w:p>
    <w:p>
      <w:pPr>
        <w:pStyle w:val="ListParagraph"/>
        <w:numPr>
          <w:ilvl w:val="0"/>
          <w:numId w:val="4"/>
        </w:numPr>
        <w:tabs>
          <w:tab w:pos="799" w:val="left" w:leader="none"/>
          <w:tab w:pos="800" w:val="left" w:leader="none"/>
        </w:tabs>
        <w:spacing w:line="240" w:lineRule="auto" w:before="1" w:after="0"/>
        <w:ind w:left="799" w:right="0" w:hanging="428"/>
        <w:jc w:val="left"/>
        <w:rPr>
          <w:b/>
          <w:sz w:val="24"/>
        </w:rPr>
      </w:pPr>
      <w:r>
        <w:rPr>
          <w:b/>
          <w:sz w:val="24"/>
          <w:u w:val="single"/>
        </w:rPr>
        <w:t>Art</w:t>
      </w:r>
      <w:r>
        <w:rPr>
          <w:b/>
          <w:spacing w:val="-3"/>
          <w:sz w:val="24"/>
          <w:u w:val="single"/>
        </w:rPr>
        <w:t> </w:t>
      </w:r>
      <w:r>
        <w:rPr>
          <w:b/>
          <w:sz w:val="24"/>
          <w:u w:val="single"/>
        </w:rPr>
        <w:t>der</w:t>
      </w:r>
      <w:r>
        <w:rPr>
          <w:b/>
          <w:spacing w:val="-2"/>
          <w:sz w:val="24"/>
          <w:u w:val="single"/>
        </w:rPr>
        <w:t> Tätigkeit</w:t>
      </w:r>
    </w:p>
    <w:p>
      <w:pPr>
        <w:pStyle w:val="BodyText"/>
        <w:rPr>
          <w:b/>
          <w:sz w:val="16"/>
        </w:rPr>
      </w:pPr>
    </w:p>
    <w:p>
      <w:pPr>
        <w:pStyle w:val="BodyText"/>
        <w:spacing w:before="91"/>
        <w:ind w:left="372" w:right="141" w:hanging="1"/>
      </w:pPr>
      <w:r>
        <w:rPr/>
        <w:t>Wir</w:t>
      </w:r>
      <w:r>
        <w:rPr>
          <w:spacing w:val="-4"/>
        </w:rPr>
        <w:t> </w:t>
      </w:r>
      <w:r>
        <w:rPr/>
        <w:t>suchen</w:t>
      </w:r>
      <w:r>
        <w:rPr>
          <w:spacing w:val="-2"/>
        </w:rPr>
        <w:t> </w:t>
      </w:r>
      <w:r>
        <w:rPr/>
        <w:t>einen</w:t>
      </w:r>
      <w:r>
        <w:rPr>
          <w:spacing w:val="-2"/>
        </w:rPr>
        <w:t> </w:t>
      </w:r>
      <w:r>
        <w:rPr/>
        <w:t>Experten/eine</w:t>
      </w:r>
      <w:r>
        <w:rPr>
          <w:spacing w:val="-2"/>
        </w:rPr>
        <w:t> </w:t>
      </w:r>
      <w:r>
        <w:rPr/>
        <w:t>Expertin</w:t>
      </w:r>
      <w:r>
        <w:rPr>
          <w:spacing w:val="-4"/>
        </w:rPr>
        <w:t> </w:t>
      </w:r>
      <w:r>
        <w:rPr/>
        <w:t>mit</w:t>
      </w:r>
      <w:r>
        <w:rPr>
          <w:spacing w:val="-1"/>
        </w:rPr>
        <w:t> </w:t>
      </w:r>
      <w:r>
        <w:rPr/>
        <w:t>Erfahrung</w:t>
      </w:r>
      <w:r>
        <w:rPr>
          <w:spacing w:val="-2"/>
        </w:rPr>
        <w:t> </w:t>
      </w:r>
      <w:r>
        <w:rPr/>
        <w:t>in</w:t>
      </w:r>
      <w:r>
        <w:rPr>
          <w:spacing w:val="-2"/>
        </w:rPr>
        <w:t> </w:t>
      </w:r>
      <w:r>
        <w:rPr/>
        <w:t>der</w:t>
      </w:r>
      <w:r>
        <w:rPr>
          <w:spacing w:val="-1"/>
        </w:rPr>
        <w:t> </w:t>
      </w:r>
      <w:r>
        <w:rPr/>
        <w:t>Politikgestaltung</w:t>
      </w:r>
      <w:r>
        <w:rPr>
          <w:spacing w:val="-2"/>
        </w:rPr>
        <w:t> </w:t>
      </w:r>
      <w:r>
        <w:rPr/>
        <w:t>und</w:t>
      </w:r>
      <w:r>
        <w:rPr>
          <w:spacing w:val="-2"/>
        </w:rPr>
        <w:t> </w:t>
      </w:r>
      <w:r>
        <w:rPr/>
        <w:t>in</w:t>
      </w:r>
      <w:r>
        <w:rPr>
          <w:spacing w:val="-5"/>
        </w:rPr>
        <w:t> </w:t>
      </w:r>
      <w:r>
        <w:rPr/>
        <w:t>technischen</w:t>
      </w:r>
      <w:r>
        <w:rPr>
          <w:spacing w:val="-5"/>
        </w:rPr>
        <w:t> </w:t>
      </w:r>
      <w:r>
        <w:rPr/>
        <w:t>Beratungen</w:t>
      </w:r>
      <w:r>
        <w:rPr>
          <w:spacing w:val="-2"/>
        </w:rPr>
        <w:t> </w:t>
      </w:r>
      <w:r>
        <w:rPr/>
        <w:t>im Bereich der Bankenregulierung und -aufsicht, u. a. zu Themen im Zusammenhang mit den Liquiditätsanforderungen für Kreditinstitute.</w:t>
      </w:r>
    </w:p>
    <w:p>
      <w:pPr>
        <w:pStyle w:val="BodyText"/>
        <w:spacing w:before="1"/>
      </w:pPr>
    </w:p>
    <w:p>
      <w:pPr>
        <w:pStyle w:val="BodyText"/>
        <w:ind w:left="372" w:right="141"/>
      </w:pPr>
      <w:r>
        <w:rPr/>
        <w:t>Vom</w:t>
      </w:r>
      <w:r>
        <w:rPr>
          <w:spacing w:val="-2"/>
        </w:rPr>
        <w:t> </w:t>
      </w:r>
      <w:r>
        <w:rPr/>
        <w:t>erfolgreichen</w:t>
      </w:r>
      <w:r>
        <w:rPr>
          <w:spacing w:val="-3"/>
        </w:rPr>
        <w:t> </w:t>
      </w:r>
      <w:r>
        <w:rPr/>
        <w:t>Bewerber/der</w:t>
      </w:r>
      <w:r>
        <w:rPr>
          <w:spacing w:val="-5"/>
        </w:rPr>
        <w:t> </w:t>
      </w:r>
      <w:r>
        <w:rPr/>
        <w:t>erfolgreichen</w:t>
      </w:r>
      <w:r>
        <w:rPr>
          <w:spacing w:val="-3"/>
        </w:rPr>
        <w:t> </w:t>
      </w:r>
      <w:r>
        <w:rPr/>
        <w:t>Bewerberin</w:t>
      </w:r>
      <w:r>
        <w:rPr>
          <w:spacing w:val="-3"/>
        </w:rPr>
        <w:t> </w:t>
      </w:r>
      <w:r>
        <w:rPr/>
        <w:t>wird</w:t>
      </w:r>
      <w:r>
        <w:rPr>
          <w:spacing w:val="-3"/>
        </w:rPr>
        <w:t> </w:t>
      </w:r>
      <w:r>
        <w:rPr/>
        <w:t>erwartet,</w:t>
      </w:r>
      <w:r>
        <w:rPr>
          <w:spacing w:val="-3"/>
        </w:rPr>
        <w:t> </w:t>
      </w:r>
      <w:r>
        <w:rPr/>
        <w:t>dass</w:t>
      </w:r>
      <w:r>
        <w:rPr>
          <w:spacing w:val="-3"/>
        </w:rPr>
        <w:t> </w:t>
      </w:r>
      <w:r>
        <w:rPr/>
        <w:t>er/sie</w:t>
      </w:r>
      <w:r>
        <w:rPr>
          <w:spacing w:val="-3"/>
        </w:rPr>
        <w:t> </w:t>
      </w:r>
      <w:r>
        <w:rPr/>
        <w:t>zur</w:t>
      </w:r>
      <w:r>
        <w:rPr>
          <w:spacing w:val="-2"/>
        </w:rPr>
        <w:t> </w:t>
      </w:r>
      <w:r>
        <w:rPr/>
        <w:t>Entwicklung</w:t>
      </w:r>
      <w:r>
        <w:rPr>
          <w:spacing w:val="-6"/>
        </w:rPr>
        <w:t> </w:t>
      </w:r>
      <w:r>
        <w:rPr/>
        <w:t>der</w:t>
      </w:r>
      <w:r>
        <w:rPr>
          <w:spacing w:val="-2"/>
        </w:rPr>
        <w:t> </w:t>
      </w:r>
      <w:r>
        <w:rPr/>
        <w:t>EU- Politik im Bereich der Bankenregulierung und Bankenaufsicht beiträgt, insbesondere bei der Lösung von Problemen im Zusammenhang mit den Liquiditätsanforderungen für Kreditinstitute.</w:t>
      </w:r>
    </w:p>
    <w:p>
      <w:pPr>
        <w:pStyle w:val="BodyText"/>
      </w:pPr>
    </w:p>
    <w:p>
      <w:pPr>
        <w:pStyle w:val="BodyText"/>
        <w:spacing w:line="252" w:lineRule="exact" w:before="1"/>
        <w:ind w:left="372"/>
      </w:pPr>
      <w:r>
        <w:rPr/>
        <w:t>Unser</w:t>
      </w:r>
      <w:r>
        <w:rPr>
          <w:spacing w:val="-3"/>
        </w:rPr>
        <w:t> </w:t>
      </w:r>
      <w:r>
        <w:rPr/>
        <w:t>Team</w:t>
      </w:r>
      <w:r>
        <w:rPr>
          <w:spacing w:val="-4"/>
        </w:rPr>
        <w:t> </w:t>
      </w:r>
      <w:r>
        <w:rPr/>
        <w:t>benötigt</w:t>
      </w:r>
      <w:r>
        <w:rPr>
          <w:spacing w:val="-5"/>
        </w:rPr>
        <w:t> </w:t>
      </w:r>
      <w:r>
        <w:rPr/>
        <w:t>ihn/sie,</w:t>
      </w:r>
      <w:r>
        <w:rPr>
          <w:spacing w:val="-3"/>
        </w:rPr>
        <w:t> </w:t>
      </w:r>
      <w:r>
        <w:rPr/>
        <w:t>für</w:t>
      </w:r>
      <w:r>
        <w:rPr>
          <w:spacing w:val="-2"/>
        </w:rPr>
        <w:t> </w:t>
      </w:r>
      <w:r>
        <w:rPr>
          <w:spacing w:val="-4"/>
        </w:rPr>
        <w:t>die:</w:t>
      </w:r>
    </w:p>
    <w:p>
      <w:pPr>
        <w:pStyle w:val="ListParagraph"/>
        <w:numPr>
          <w:ilvl w:val="1"/>
          <w:numId w:val="4"/>
        </w:numPr>
        <w:tabs>
          <w:tab w:pos="505" w:val="left" w:leader="none"/>
        </w:tabs>
        <w:spacing w:line="240" w:lineRule="auto" w:before="0" w:after="0"/>
        <w:ind w:left="372" w:right="945" w:firstLine="0"/>
        <w:jc w:val="left"/>
        <w:rPr>
          <w:sz w:val="22"/>
        </w:rPr>
      </w:pPr>
      <w:r>
        <w:rPr>
          <w:sz w:val="22"/>
        </w:rPr>
        <w:t>Unterstützung</w:t>
      </w:r>
      <w:r>
        <w:rPr>
          <w:spacing w:val="-2"/>
          <w:sz w:val="22"/>
        </w:rPr>
        <w:t> </w:t>
      </w:r>
      <w:r>
        <w:rPr>
          <w:sz w:val="22"/>
        </w:rPr>
        <w:t>der</w:t>
      </w:r>
      <w:r>
        <w:rPr>
          <w:spacing w:val="-1"/>
          <w:sz w:val="22"/>
        </w:rPr>
        <w:t> </w:t>
      </w:r>
      <w:r>
        <w:rPr>
          <w:sz w:val="22"/>
        </w:rPr>
        <w:t>Kollegen</w:t>
      </w:r>
      <w:r>
        <w:rPr>
          <w:spacing w:val="-2"/>
          <w:sz w:val="22"/>
        </w:rPr>
        <w:t> </w:t>
      </w:r>
      <w:r>
        <w:rPr>
          <w:sz w:val="22"/>
        </w:rPr>
        <w:t>bei</w:t>
      </w:r>
      <w:r>
        <w:rPr>
          <w:spacing w:val="-1"/>
          <w:sz w:val="22"/>
        </w:rPr>
        <w:t> </w:t>
      </w:r>
      <w:r>
        <w:rPr>
          <w:sz w:val="22"/>
        </w:rPr>
        <w:t>der</w:t>
      </w:r>
      <w:r>
        <w:rPr>
          <w:spacing w:val="-1"/>
          <w:sz w:val="22"/>
        </w:rPr>
        <w:t> </w:t>
      </w:r>
      <w:r>
        <w:rPr>
          <w:sz w:val="22"/>
        </w:rPr>
        <w:t>Entwicklung</w:t>
      </w:r>
      <w:r>
        <w:rPr>
          <w:spacing w:val="-2"/>
          <w:sz w:val="22"/>
        </w:rPr>
        <w:t> </w:t>
      </w:r>
      <w:r>
        <w:rPr>
          <w:sz w:val="22"/>
        </w:rPr>
        <w:t>von</w:t>
      </w:r>
      <w:r>
        <w:rPr>
          <w:spacing w:val="-5"/>
          <w:sz w:val="22"/>
        </w:rPr>
        <w:t> </w:t>
      </w:r>
      <w:r>
        <w:rPr>
          <w:sz w:val="22"/>
        </w:rPr>
        <w:t>Strategien</w:t>
      </w:r>
      <w:r>
        <w:rPr>
          <w:spacing w:val="-5"/>
          <w:sz w:val="22"/>
        </w:rPr>
        <w:t> </w:t>
      </w:r>
      <w:r>
        <w:rPr>
          <w:sz w:val="22"/>
        </w:rPr>
        <w:t>im</w:t>
      </w:r>
      <w:r>
        <w:rPr>
          <w:spacing w:val="-1"/>
          <w:sz w:val="22"/>
        </w:rPr>
        <w:t> </w:t>
      </w:r>
      <w:r>
        <w:rPr>
          <w:sz w:val="22"/>
        </w:rPr>
        <w:t>Bereich</w:t>
      </w:r>
      <w:r>
        <w:rPr>
          <w:spacing w:val="-2"/>
          <w:sz w:val="22"/>
        </w:rPr>
        <w:t> </w:t>
      </w:r>
      <w:r>
        <w:rPr>
          <w:sz w:val="22"/>
        </w:rPr>
        <w:t>der</w:t>
      </w:r>
      <w:r>
        <w:rPr>
          <w:spacing w:val="-4"/>
          <w:sz w:val="22"/>
        </w:rPr>
        <w:t> </w:t>
      </w:r>
      <w:r>
        <w:rPr>
          <w:sz w:val="22"/>
        </w:rPr>
        <w:t>Bankenregulierung</w:t>
      </w:r>
      <w:r>
        <w:rPr>
          <w:spacing w:val="-5"/>
          <w:sz w:val="22"/>
        </w:rPr>
        <w:t> </w:t>
      </w:r>
      <w:r>
        <w:rPr>
          <w:sz w:val="22"/>
        </w:rPr>
        <w:t>und</w:t>
      </w:r>
      <w:r>
        <w:rPr>
          <w:spacing w:val="-2"/>
          <w:sz w:val="22"/>
        </w:rPr>
        <w:t> </w:t>
      </w:r>
      <w:r>
        <w:rPr>
          <w:sz w:val="22"/>
        </w:rPr>
        <w:t>- aufsicht/Liquiditätsanforderungen und Beitrag zur Ausarbeitung von Rechtsvorschriften im Bereich der Bankenregulierung und der -aufsicht sowie der Liquiditätsanforderungen;</w:t>
      </w:r>
    </w:p>
    <w:p>
      <w:pPr>
        <w:pStyle w:val="ListParagraph"/>
        <w:numPr>
          <w:ilvl w:val="1"/>
          <w:numId w:val="4"/>
        </w:numPr>
        <w:tabs>
          <w:tab w:pos="505" w:val="left" w:leader="none"/>
        </w:tabs>
        <w:spacing w:line="240" w:lineRule="auto" w:before="0" w:after="0"/>
        <w:ind w:left="372" w:right="321" w:firstLine="0"/>
        <w:jc w:val="left"/>
        <w:rPr>
          <w:sz w:val="22"/>
        </w:rPr>
      </w:pPr>
      <w:r>
        <w:rPr>
          <w:sz w:val="22"/>
        </w:rPr>
        <w:t>Weiterverfolgung</w:t>
      </w:r>
      <w:r>
        <w:rPr>
          <w:spacing w:val="-6"/>
          <w:sz w:val="22"/>
        </w:rPr>
        <w:t> </w:t>
      </w:r>
      <w:r>
        <w:rPr>
          <w:sz w:val="22"/>
        </w:rPr>
        <w:t>von</w:t>
      </w:r>
      <w:r>
        <w:rPr>
          <w:spacing w:val="-3"/>
          <w:sz w:val="22"/>
        </w:rPr>
        <w:t> </w:t>
      </w:r>
      <w:r>
        <w:rPr>
          <w:sz w:val="22"/>
        </w:rPr>
        <w:t>Legislativvorschlägen</w:t>
      </w:r>
      <w:r>
        <w:rPr>
          <w:spacing w:val="-6"/>
          <w:sz w:val="22"/>
        </w:rPr>
        <w:t> </w:t>
      </w:r>
      <w:r>
        <w:rPr>
          <w:sz w:val="22"/>
        </w:rPr>
        <w:t>im</w:t>
      </w:r>
      <w:r>
        <w:rPr>
          <w:spacing w:val="-5"/>
          <w:sz w:val="22"/>
        </w:rPr>
        <w:t> </w:t>
      </w:r>
      <w:r>
        <w:rPr>
          <w:sz w:val="22"/>
        </w:rPr>
        <w:t>Rahmen</w:t>
      </w:r>
      <w:r>
        <w:rPr>
          <w:spacing w:val="-3"/>
          <w:sz w:val="22"/>
        </w:rPr>
        <w:t> </w:t>
      </w:r>
      <w:r>
        <w:rPr>
          <w:sz w:val="22"/>
        </w:rPr>
        <w:t>des</w:t>
      </w:r>
      <w:r>
        <w:rPr>
          <w:spacing w:val="-5"/>
          <w:sz w:val="22"/>
        </w:rPr>
        <w:t> </w:t>
      </w:r>
      <w:r>
        <w:rPr>
          <w:sz w:val="22"/>
        </w:rPr>
        <w:t>interinstitutionellen</w:t>
      </w:r>
      <w:r>
        <w:rPr>
          <w:spacing w:val="-3"/>
          <w:sz w:val="22"/>
        </w:rPr>
        <w:t> </w:t>
      </w:r>
      <w:r>
        <w:rPr>
          <w:sz w:val="22"/>
        </w:rPr>
        <w:t>Entscheidungsprozesses,</w:t>
      </w:r>
      <w:r>
        <w:rPr>
          <w:spacing w:val="-6"/>
          <w:sz w:val="22"/>
        </w:rPr>
        <w:t> </w:t>
      </w:r>
      <w:r>
        <w:rPr>
          <w:sz w:val="22"/>
        </w:rPr>
        <w:t>auch durch die Kommission, das Europäische Parlament und/oder den Rat der Europäischen Union, sowie von Liquiditätsanforderungen bei der Bankenregulierung und allgemeinerer Bankenregulierung und Aufsicht;</w:t>
      </w:r>
    </w:p>
    <w:p>
      <w:pPr>
        <w:pStyle w:val="ListParagraph"/>
        <w:numPr>
          <w:ilvl w:val="1"/>
          <w:numId w:val="4"/>
        </w:numPr>
        <w:tabs>
          <w:tab w:pos="505" w:val="left" w:leader="none"/>
        </w:tabs>
        <w:spacing w:line="240" w:lineRule="auto" w:before="0" w:after="0"/>
        <w:ind w:left="372" w:right="1281" w:firstLine="0"/>
        <w:jc w:val="left"/>
        <w:rPr>
          <w:sz w:val="22"/>
        </w:rPr>
      </w:pPr>
      <w:r>
        <w:rPr>
          <w:sz w:val="22"/>
        </w:rPr>
        <w:t>Diskussion</w:t>
      </w:r>
      <w:r>
        <w:rPr>
          <w:spacing w:val="-5"/>
          <w:sz w:val="22"/>
        </w:rPr>
        <w:t> </w:t>
      </w:r>
      <w:r>
        <w:rPr>
          <w:sz w:val="22"/>
        </w:rPr>
        <w:t>über</w:t>
      </w:r>
      <w:r>
        <w:rPr>
          <w:spacing w:val="-1"/>
          <w:sz w:val="22"/>
        </w:rPr>
        <w:t> </w:t>
      </w:r>
      <w:r>
        <w:rPr>
          <w:sz w:val="22"/>
        </w:rPr>
        <w:t>Rechtsvorschriften</w:t>
      </w:r>
      <w:r>
        <w:rPr>
          <w:spacing w:val="-2"/>
          <w:sz w:val="22"/>
        </w:rPr>
        <w:t> </w:t>
      </w:r>
      <w:r>
        <w:rPr>
          <w:sz w:val="22"/>
        </w:rPr>
        <w:t>auf</w:t>
      </w:r>
      <w:r>
        <w:rPr>
          <w:spacing w:val="-1"/>
          <w:sz w:val="22"/>
        </w:rPr>
        <w:t> </w:t>
      </w:r>
      <w:r>
        <w:rPr>
          <w:sz w:val="22"/>
        </w:rPr>
        <w:t>der</w:t>
      </w:r>
      <w:r>
        <w:rPr>
          <w:spacing w:val="-1"/>
          <w:sz w:val="22"/>
        </w:rPr>
        <w:t> </w:t>
      </w:r>
      <w:r>
        <w:rPr>
          <w:sz w:val="22"/>
        </w:rPr>
        <w:t>Ebene</w:t>
      </w:r>
      <w:r>
        <w:rPr>
          <w:spacing w:val="-2"/>
          <w:sz w:val="22"/>
        </w:rPr>
        <w:t> </w:t>
      </w:r>
      <w:r>
        <w:rPr>
          <w:sz w:val="22"/>
        </w:rPr>
        <w:t>der</w:t>
      </w:r>
      <w:r>
        <w:rPr>
          <w:spacing w:val="-4"/>
          <w:sz w:val="22"/>
        </w:rPr>
        <w:t> </w:t>
      </w:r>
      <w:r>
        <w:rPr>
          <w:sz w:val="22"/>
        </w:rPr>
        <w:t>Kommission</w:t>
      </w:r>
      <w:r>
        <w:rPr>
          <w:spacing w:val="-5"/>
          <w:sz w:val="22"/>
        </w:rPr>
        <w:t> </w:t>
      </w:r>
      <w:r>
        <w:rPr>
          <w:sz w:val="22"/>
        </w:rPr>
        <w:t>mit</w:t>
      </w:r>
      <w:r>
        <w:rPr>
          <w:spacing w:val="-4"/>
          <w:sz w:val="22"/>
        </w:rPr>
        <w:t> </w:t>
      </w:r>
      <w:r>
        <w:rPr>
          <w:sz w:val="22"/>
        </w:rPr>
        <w:t>den</w:t>
      </w:r>
      <w:r>
        <w:rPr>
          <w:spacing w:val="-5"/>
          <w:sz w:val="22"/>
        </w:rPr>
        <w:t> </w:t>
      </w:r>
      <w:r>
        <w:rPr>
          <w:sz w:val="22"/>
        </w:rPr>
        <w:t>Mitgliedstaaten</w:t>
      </w:r>
      <w:r>
        <w:rPr>
          <w:spacing w:val="-5"/>
          <w:sz w:val="22"/>
        </w:rPr>
        <w:t> </w:t>
      </w:r>
      <w:r>
        <w:rPr>
          <w:sz w:val="22"/>
        </w:rPr>
        <w:t>und</w:t>
      </w:r>
      <w:r>
        <w:rPr>
          <w:spacing w:val="-2"/>
          <w:sz w:val="22"/>
        </w:rPr>
        <w:t> </w:t>
      </w:r>
      <w:r>
        <w:rPr>
          <w:sz w:val="22"/>
        </w:rPr>
        <w:t>dem Europäischen Parlament in dem Bereich, der in den Tätigkeitsbereich des Referats fällt;</w:t>
      </w:r>
    </w:p>
    <w:p>
      <w:pPr>
        <w:pStyle w:val="BodyText"/>
        <w:spacing w:before="10"/>
        <w:rPr>
          <w:sz w:val="29"/>
        </w:rPr>
      </w:pPr>
      <w:r>
        <w:rPr/>
        <w:pict>
          <v:rect style="position:absolute;margin-left:42.599998pt;margin-top:18.387533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101"/>
        <w:ind w:left="372" w:right="1279" w:hanging="1"/>
        <w:jc w:val="left"/>
        <w:rPr>
          <w:sz w:val="20"/>
        </w:rPr>
      </w:pPr>
      <w:r>
        <w:rPr>
          <w:sz w:val="20"/>
          <w:vertAlign w:val="superscript"/>
        </w:rPr>
        <w:t>1</w:t>
      </w:r>
      <w:r>
        <w:rPr>
          <w:spacing w:val="29"/>
          <w:sz w:val="20"/>
          <w:vertAlign w:val="baseline"/>
        </w:rPr>
        <w:t> </w:t>
      </w:r>
      <w:r>
        <w:rPr>
          <w:sz w:val="20"/>
          <w:vertAlign w:val="baseline"/>
        </w:rPr>
        <w:t>Die</w:t>
      </w:r>
      <w:r>
        <w:rPr>
          <w:spacing w:val="30"/>
          <w:sz w:val="20"/>
          <w:vertAlign w:val="baseline"/>
        </w:rPr>
        <w:t> </w:t>
      </w:r>
      <w:r>
        <w:rPr>
          <w:sz w:val="20"/>
          <w:vertAlign w:val="baseline"/>
        </w:rPr>
        <w:t>Angaben</w:t>
      </w:r>
      <w:r>
        <w:rPr>
          <w:spacing w:val="30"/>
          <w:sz w:val="20"/>
          <w:vertAlign w:val="baseline"/>
        </w:rPr>
        <w:t> </w:t>
      </w:r>
      <w:r>
        <w:rPr>
          <w:sz w:val="20"/>
          <w:vertAlign w:val="baseline"/>
        </w:rPr>
        <w:t>zum</w:t>
      </w:r>
      <w:r>
        <w:rPr>
          <w:spacing w:val="30"/>
          <w:sz w:val="20"/>
          <w:vertAlign w:val="baseline"/>
        </w:rPr>
        <w:t> </w:t>
      </w:r>
      <w:r>
        <w:rPr>
          <w:sz w:val="20"/>
          <w:vertAlign w:val="baseline"/>
        </w:rPr>
        <w:t>Datum</w:t>
      </w:r>
      <w:r>
        <w:rPr>
          <w:spacing w:val="30"/>
          <w:sz w:val="20"/>
          <w:vertAlign w:val="baseline"/>
        </w:rPr>
        <w:t> </w:t>
      </w:r>
      <w:r>
        <w:rPr>
          <w:sz w:val="20"/>
          <w:vertAlign w:val="baseline"/>
        </w:rPr>
        <w:t>des</w:t>
      </w:r>
      <w:r>
        <w:rPr>
          <w:spacing w:val="28"/>
          <w:sz w:val="20"/>
          <w:vertAlign w:val="baseline"/>
        </w:rPr>
        <w:t> </w:t>
      </w:r>
      <w:r>
        <w:rPr>
          <w:sz w:val="20"/>
          <w:vertAlign w:val="baseline"/>
        </w:rPr>
        <w:t>Dienstantritts</w:t>
      </w:r>
      <w:r>
        <w:rPr>
          <w:spacing w:val="28"/>
          <w:sz w:val="20"/>
          <w:vertAlign w:val="baseline"/>
        </w:rPr>
        <w:t> </w:t>
      </w:r>
      <w:r>
        <w:rPr>
          <w:sz w:val="20"/>
          <w:vertAlign w:val="baseline"/>
        </w:rPr>
        <w:t>und</w:t>
      </w:r>
      <w:r>
        <w:rPr>
          <w:spacing w:val="30"/>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30"/>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87" w:header="0" w:top="520" w:bottom="880" w:left="480" w:right="740"/>
          <w:pgNumType w:start="1"/>
        </w:sectPr>
      </w:pPr>
    </w:p>
    <w:p>
      <w:pPr>
        <w:pStyle w:val="ListParagraph"/>
        <w:numPr>
          <w:ilvl w:val="1"/>
          <w:numId w:val="4"/>
        </w:numPr>
        <w:tabs>
          <w:tab w:pos="505" w:val="left" w:leader="none"/>
        </w:tabs>
        <w:spacing w:line="240" w:lineRule="auto" w:before="73" w:after="0"/>
        <w:ind w:left="372" w:right="199" w:firstLine="0"/>
        <w:jc w:val="left"/>
        <w:rPr>
          <w:sz w:val="22"/>
        </w:rPr>
      </w:pPr>
      <w:r>
        <w:rPr>
          <w:sz w:val="22"/>
        </w:rPr>
        <w:t>Teilnahme an Sitzungen der Kommission mit externen Interessenträgern, einschließlich der Mitgliedstaaten, des Europäischen</w:t>
      </w:r>
      <w:r>
        <w:rPr>
          <w:spacing w:val="-3"/>
          <w:sz w:val="22"/>
        </w:rPr>
        <w:t> </w:t>
      </w:r>
      <w:r>
        <w:rPr>
          <w:sz w:val="22"/>
        </w:rPr>
        <w:t>Parlaments,</w:t>
      </w:r>
      <w:r>
        <w:rPr>
          <w:spacing w:val="-3"/>
          <w:sz w:val="22"/>
        </w:rPr>
        <w:t> </w:t>
      </w:r>
      <w:r>
        <w:rPr>
          <w:sz w:val="22"/>
        </w:rPr>
        <w:t>der</w:t>
      </w:r>
      <w:r>
        <w:rPr>
          <w:spacing w:val="-2"/>
          <w:sz w:val="22"/>
        </w:rPr>
        <w:t> </w:t>
      </w:r>
      <w:r>
        <w:rPr>
          <w:sz w:val="22"/>
        </w:rPr>
        <w:t>Industrie</w:t>
      </w:r>
      <w:r>
        <w:rPr>
          <w:spacing w:val="-3"/>
          <w:sz w:val="22"/>
        </w:rPr>
        <w:t> </w:t>
      </w:r>
      <w:r>
        <w:rPr>
          <w:sz w:val="22"/>
        </w:rPr>
        <w:t>und</w:t>
      </w:r>
      <w:r>
        <w:rPr>
          <w:spacing w:val="-3"/>
          <w:sz w:val="22"/>
        </w:rPr>
        <w:t> </w:t>
      </w:r>
      <w:r>
        <w:rPr>
          <w:sz w:val="22"/>
        </w:rPr>
        <w:t>anderer</w:t>
      </w:r>
      <w:r>
        <w:rPr>
          <w:spacing w:val="-2"/>
          <w:sz w:val="22"/>
        </w:rPr>
        <w:t> </w:t>
      </w:r>
      <w:r>
        <w:rPr>
          <w:sz w:val="22"/>
        </w:rPr>
        <w:t>Interessenträger;</w:t>
      </w:r>
      <w:r>
        <w:rPr>
          <w:spacing w:val="-5"/>
          <w:sz w:val="22"/>
        </w:rPr>
        <w:t> </w:t>
      </w:r>
      <w:r>
        <w:rPr>
          <w:sz w:val="22"/>
        </w:rPr>
        <w:t>im</w:t>
      </w:r>
      <w:r>
        <w:rPr>
          <w:spacing w:val="-2"/>
          <w:sz w:val="22"/>
        </w:rPr>
        <w:t> </w:t>
      </w:r>
      <w:r>
        <w:rPr>
          <w:sz w:val="22"/>
        </w:rPr>
        <w:t>Namen</w:t>
      </w:r>
      <w:r>
        <w:rPr>
          <w:spacing w:val="-3"/>
          <w:sz w:val="22"/>
        </w:rPr>
        <w:t> </w:t>
      </w:r>
      <w:r>
        <w:rPr>
          <w:sz w:val="22"/>
        </w:rPr>
        <w:t>der</w:t>
      </w:r>
      <w:r>
        <w:rPr>
          <w:spacing w:val="-2"/>
          <w:sz w:val="22"/>
        </w:rPr>
        <w:t> </w:t>
      </w:r>
      <w:r>
        <w:rPr>
          <w:sz w:val="22"/>
        </w:rPr>
        <w:t>Kommission,</w:t>
      </w:r>
      <w:r>
        <w:rPr>
          <w:spacing w:val="-3"/>
          <w:sz w:val="22"/>
        </w:rPr>
        <w:t> </w:t>
      </w:r>
      <w:r>
        <w:rPr>
          <w:sz w:val="22"/>
        </w:rPr>
        <w:t>Treffen</w:t>
      </w:r>
      <w:r>
        <w:rPr>
          <w:spacing w:val="-3"/>
          <w:sz w:val="22"/>
        </w:rPr>
        <w:t> </w:t>
      </w:r>
      <w:r>
        <w:rPr>
          <w:sz w:val="22"/>
        </w:rPr>
        <w:t>mit</w:t>
      </w:r>
      <w:r>
        <w:rPr>
          <w:spacing w:val="-2"/>
          <w:sz w:val="22"/>
        </w:rPr>
        <w:t> </w:t>
      </w:r>
      <w:r>
        <w:rPr>
          <w:sz w:val="22"/>
        </w:rPr>
        <w:t>EU- und internationalen Standardsetzungsgremien und -behörden (z. B. EBA, EZB, Basler Ausschuss für </w:t>
      </w:r>
      <w:r>
        <w:rPr>
          <w:spacing w:val="-2"/>
          <w:sz w:val="22"/>
        </w:rPr>
        <w:t>Bankenaufsicht);</w:t>
      </w:r>
    </w:p>
    <w:p>
      <w:pPr>
        <w:pStyle w:val="ListParagraph"/>
        <w:numPr>
          <w:ilvl w:val="1"/>
          <w:numId w:val="4"/>
        </w:numPr>
        <w:tabs>
          <w:tab w:pos="505" w:val="left" w:leader="none"/>
        </w:tabs>
        <w:spacing w:line="240" w:lineRule="auto" w:before="0" w:after="0"/>
        <w:ind w:left="372" w:right="236" w:firstLine="0"/>
        <w:jc w:val="left"/>
        <w:rPr>
          <w:sz w:val="22"/>
        </w:rPr>
      </w:pPr>
      <w:r>
        <w:rPr>
          <w:sz w:val="22"/>
        </w:rPr>
        <w:t>Zusammenarbeit</w:t>
      </w:r>
      <w:r>
        <w:rPr>
          <w:spacing w:val="-5"/>
          <w:sz w:val="22"/>
        </w:rPr>
        <w:t> </w:t>
      </w:r>
      <w:r>
        <w:rPr>
          <w:sz w:val="22"/>
        </w:rPr>
        <w:t>mit</w:t>
      </w:r>
      <w:r>
        <w:rPr>
          <w:spacing w:val="-2"/>
          <w:sz w:val="22"/>
        </w:rPr>
        <w:t> </w:t>
      </w:r>
      <w:r>
        <w:rPr>
          <w:sz w:val="22"/>
        </w:rPr>
        <w:t>der</w:t>
      </w:r>
      <w:r>
        <w:rPr>
          <w:spacing w:val="-5"/>
          <w:sz w:val="22"/>
        </w:rPr>
        <w:t> </w:t>
      </w:r>
      <w:r>
        <w:rPr>
          <w:sz w:val="22"/>
        </w:rPr>
        <w:t>EBA</w:t>
      </w:r>
      <w:r>
        <w:rPr>
          <w:spacing w:val="-4"/>
          <w:sz w:val="22"/>
        </w:rPr>
        <w:t> </w:t>
      </w:r>
      <w:r>
        <w:rPr>
          <w:sz w:val="22"/>
        </w:rPr>
        <w:t>und</w:t>
      </w:r>
      <w:r>
        <w:rPr>
          <w:spacing w:val="-3"/>
          <w:sz w:val="22"/>
        </w:rPr>
        <w:t> </w:t>
      </w:r>
      <w:r>
        <w:rPr>
          <w:sz w:val="22"/>
        </w:rPr>
        <w:t>der</w:t>
      </w:r>
      <w:r>
        <w:rPr>
          <w:spacing w:val="-2"/>
          <w:sz w:val="22"/>
        </w:rPr>
        <w:t> </w:t>
      </w:r>
      <w:r>
        <w:rPr>
          <w:sz w:val="22"/>
        </w:rPr>
        <w:t>EZB/dem</w:t>
      </w:r>
      <w:r>
        <w:rPr>
          <w:spacing w:val="-2"/>
          <w:sz w:val="22"/>
        </w:rPr>
        <w:t> </w:t>
      </w:r>
      <w:r>
        <w:rPr>
          <w:sz w:val="22"/>
        </w:rPr>
        <w:t>SSM</w:t>
      </w:r>
      <w:r>
        <w:rPr>
          <w:spacing w:val="-3"/>
          <w:sz w:val="22"/>
        </w:rPr>
        <w:t> </w:t>
      </w:r>
      <w:r>
        <w:rPr>
          <w:sz w:val="22"/>
        </w:rPr>
        <w:t>in</w:t>
      </w:r>
      <w:r>
        <w:rPr>
          <w:spacing w:val="-3"/>
          <w:sz w:val="22"/>
        </w:rPr>
        <w:t> </w:t>
      </w:r>
      <w:r>
        <w:rPr>
          <w:sz w:val="22"/>
        </w:rPr>
        <w:t>Fragen</w:t>
      </w:r>
      <w:r>
        <w:rPr>
          <w:spacing w:val="-3"/>
          <w:sz w:val="22"/>
        </w:rPr>
        <w:t> </w:t>
      </w:r>
      <w:r>
        <w:rPr>
          <w:sz w:val="22"/>
        </w:rPr>
        <w:t>der</w:t>
      </w:r>
      <w:r>
        <w:rPr>
          <w:spacing w:val="-2"/>
          <w:sz w:val="22"/>
        </w:rPr>
        <w:t> </w:t>
      </w:r>
      <w:r>
        <w:rPr>
          <w:sz w:val="22"/>
        </w:rPr>
        <w:t>Rechtsauslegung,</w:t>
      </w:r>
      <w:r>
        <w:rPr>
          <w:spacing w:val="-3"/>
          <w:sz w:val="22"/>
        </w:rPr>
        <w:t> </w:t>
      </w:r>
      <w:r>
        <w:rPr>
          <w:sz w:val="22"/>
        </w:rPr>
        <w:t>einschließlich</w:t>
      </w:r>
      <w:r>
        <w:rPr>
          <w:spacing w:val="-3"/>
          <w:sz w:val="22"/>
        </w:rPr>
        <w:t> </w:t>
      </w:r>
      <w:r>
        <w:rPr>
          <w:sz w:val="22"/>
        </w:rPr>
        <w:t>Fragen</w:t>
      </w:r>
      <w:r>
        <w:rPr>
          <w:spacing w:val="-3"/>
          <w:sz w:val="22"/>
        </w:rPr>
        <w:t> </w:t>
      </w:r>
      <w:r>
        <w:rPr>
          <w:sz w:val="22"/>
        </w:rPr>
        <w:t>und Geber im Bereich der Liquiditätsanforderungen für Kreditinstitute;</w:t>
      </w:r>
    </w:p>
    <w:p>
      <w:pPr>
        <w:pStyle w:val="ListParagraph"/>
        <w:numPr>
          <w:ilvl w:val="1"/>
          <w:numId w:val="4"/>
        </w:numPr>
        <w:tabs>
          <w:tab w:pos="505" w:val="left" w:leader="none"/>
        </w:tabs>
        <w:spacing w:line="240" w:lineRule="auto" w:before="1" w:after="0"/>
        <w:ind w:left="372" w:right="681" w:firstLine="0"/>
        <w:jc w:val="left"/>
        <w:rPr>
          <w:sz w:val="22"/>
        </w:rPr>
      </w:pPr>
      <w:r>
        <w:rPr>
          <w:sz w:val="22"/>
        </w:rPr>
        <w:t>Spezifische</w:t>
      </w:r>
      <w:r>
        <w:rPr>
          <w:spacing w:val="-5"/>
          <w:sz w:val="22"/>
        </w:rPr>
        <w:t> </w:t>
      </w:r>
      <w:r>
        <w:rPr>
          <w:sz w:val="22"/>
        </w:rPr>
        <w:t>Beiträge</w:t>
      </w:r>
      <w:r>
        <w:rPr>
          <w:spacing w:val="-3"/>
          <w:sz w:val="22"/>
        </w:rPr>
        <w:t> </w:t>
      </w:r>
      <w:r>
        <w:rPr>
          <w:sz w:val="22"/>
        </w:rPr>
        <w:t>und</w:t>
      </w:r>
      <w:r>
        <w:rPr>
          <w:spacing w:val="-6"/>
          <w:sz w:val="22"/>
        </w:rPr>
        <w:t> </w:t>
      </w:r>
      <w:r>
        <w:rPr>
          <w:sz w:val="22"/>
        </w:rPr>
        <w:t>Beratung</w:t>
      </w:r>
      <w:r>
        <w:rPr>
          <w:spacing w:val="-6"/>
          <w:sz w:val="22"/>
        </w:rPr>
        <w:t> </w:t>
      </w:r>
      <w:r>
        <w:rPr>
          <w:sz w:val="22"/>
        </w:rPr>
        <w:t>im</w:t>
      </w:r>
      <w:r>
        <w:rPr>
          <w:spacing w:val="-2"/>
          <w:sz w:val="22"/>
        </w:rPr>
        <w:t> </w:t>
      </w:r>
      <w:r>
        <w:rPr>
          <w:sz w:val="22"/>
        </w:rPr>
        <w:t>Zusammenhang</w:t>
      </w:r>
      <w:r>
        <w:rPr>
          <w:spacing w:val="-3"/>
          <w:sz w:val="22"/>
        </w:rPr>
        <w:t> </w:t>
      </w:r>
      <w:r>
        <w:rPr>
          <w:sz w:val="22"/>
        </w:rPr>
        <w:t>mit</w:t>
      </w:r>
      <w:r>
        <w:rPr>
          <w:spacing w:val="-2"/>
          <w:sz w:val="22"/>
        </w:rPr>
        <w:t> </w:t>
      </w:r>
      <w:r>
        <w:rPr>
          <w:sz w:val="22"/>
        </w:rPr>
        <w:t>aufsichtsrechtlichen</w:t>
      </w:r>
      <w:r>
        <w:rPr>
          <w:spacing w:val="-5"/>
          <w:sz w:val="22"/>
        </w:rPr>
        <w:t> </w:t>
      </w:r>
      <w:r>
        <w:rPr>
          <w:sz w:val="22"/>
        </w:rPr>
        <w:t>Vorschriften</w:t>
      </w:r>
      <w:r>
        <w:rPr>
          <w:spacing w:val="-3"/>
          <w:sz w:val="22"/>
        </w:rPr>
        <w:t> </w:t>
      </w:r>
      <w:r>
        <w:rPr>
          <w:sz w:val="22"/>
        </w:rPr>
        <w:t>im</w:t>
      </w:r>
      <w:r>
        <w:rPr>
          <w:spacing w:val="-2"/>
          <w:sz w:val="22"/>
        </w:rPr>
        <w:t> </w:t>
      </w:r>
      <w:r>
        <w:rPr>
          <w:sz w:val="22"/>
        </w:rPr>
        <w:t>Bereich</w:t>
      </w:r>
      <w:r>
        <w:rPr>
          <w:spacing w:val="-3"/>
          <w:sz w:val="22"/>
        </w:rPr>
        <w:t> </w:t>
      </w:r>
      <w:r>
        <w:rPr>
          <w:sz w:val="22"/>
        </w:rPr>
        <w:t>der Liquiditätsanforderungen an Kreditinstitute;</w:t>
      </w:r>
    </w:p>
    <w:p>
      <w:pPr>
        <w:pStyle w:val="ListParagraph"/>
        <w:numPr>
          <w:ilvl w:val="1"/>
          <w:numId w:val="4"/>
        </w:numPr>
        <w:tabs>
          <w:tab w:pos="505" w:val="left" w:leader="none"/>
        </w:tabs>
        <w:spacing w:line="240" w:lineRule="auto" w:before="0" w:after="0"/>
        <w:ind w:left="372" w:right="208" w:firstLine="0"/>
        <w:jc w:val="left"/>
        <w:rPr>
          <w:sz w:val="22"/>
        </w:rPr>
      </w:pPr>
      <w:r>
        <w:rPr>
          <w:sz w:val="22"/>
        </w:rPr>
        <w:t>Umsetzung,</w:t>
      </w:r>
      <w:r>
        <w:rPr>
          <w:spacing w:val="-4"/>
          <w:sz w:val="22"/>
        </w:rPr>
        <w:t> </w:t>
      </w:r>
      <w:r>
        <w:rPr>
          <w:sz w:val="22"/>
        </w:rPr>
        <w:t>Sicherstellung</w:t>
      </w:r>
      <w:r>
        <w:rPr>
          <w:spacing w:val="-4"/>
          <w:sz w:val="22"/>
        </w:rPr>
        <w:t> </w:t>
      </w:r>
      <w:r>
        <w:rPr>
          <w:sz w:val="22"/>
        </w:rPr>
        <w:t>und</w:t>
      </w:r>
      <w:r>
        <w:rPr>
          <w:spacing w:val="-4"/>
          <w:sz w:val="22"/>
        </w:rPr>
        <w:t> </w:t>
      </w:r>
      <w:r>
        <w:rPr>
          <w:sz w:val="22"/>
        </w:rPr>
        <w:t>Überwachung</w:t>
      </w:r>
      <w:r>
        <w:rPr>
          <w:spacing w:val="-4"/>
          <w:sz w:val="22"/>
        </w:rPr>
        <w:t> </w:t>
      </w:r>
      <w:r>
        <w:rPr>
          <w:sz w:val="22"/>
        </w:rPr>
        <w:t>der</w:t>
      </w:r>
      <w:r>
        <w:rPr>
          <w:spacing w:val="-3"/>
          <w:sz w:val="22"/>
        </w:rPr>
        <w:t> </w:t>
      </w:r>
      <w:r>
        <w:rPr>
          <w:sz w:val="22"/>
        </w:rPr>
        <w:t>ordnungsgemäßen</w:t>
      </w:r>
      <w:r>
        <w:rPr>
          <w:spacing w:val="-4"/>
          <w:sz w:val="22"/>
        </w:rPr>
        <w:t> </w:t>
      </w:r>
      <w:r>
        <w:rPr>
          <w:sz w:val="22"/>
        </w:rPr>
        <w:t>Umsetzung</w:t>
      </w:r>
      <w:r>
        <w:rPr>
          <w:spacing w:val="-4"/>
          <w:sz w:val="22"/>
        </w:rPr>
        <w:t> </w:t>
      </w:r>
      <w:r>
        <w:rPr>
          <w:sz w:val="22"/>
        </w:rPr>
        <w:t>und</w:t>
      </w:r>
      <w:r>
        <w:rPr>
          <w:spacing w:val="-4"/>
          <w:sz w:val="22"/>
        </w:rPr>
        <w:t> </w:t>
      </w:r>
      <w:r>
        <w:rPr>
          <w:sz w:val="22"/>
        </w:rPr>
        <w:t>Anwendung</w:t>
      </w:r>
      <w:r>
        <w:rPr>
          <w:spacing w:val="-4"/>
          <w:sz w:val="22"/>
        </w:rPr>
        <w:t> </w:t>
      </w:r>
      <w:r>
        <w:rPr>
          <w:sz w:val="22"/>
        </w:rPr>
        <w:t>der</w:t>
      </w:r>
      <w:r>
        <w:rPr>
          <w:spacing w:val="-3"/>
          <w:sz w:val="22"/>
        </w:rPr>
        <w:t> </w:t>
      </w:r>
      <w:r>
        <w:rPr>
          <w:sz w:val="22"/>
        </w:rPr>
        <w:t>EU-Politik im Bereich der Bankenregulierung/Liquiditätsanforderungen für Kreditinstitute;</w:t>
      </w:r>
    </w:p>
    <w:p>
      <w:pPr>
        <w:pStyle w:val="ListParagraph"/>
        <w:numPr>
          <w:ilvl w:val="1"/>
          <w:numId w:val="4"/>
        </w:numPr>
        <w:tabs>
          <w:tab w:pos="505" w:val="left" w:leader="none"/>
        </w:tabs>
        <w:spacing w:line="240" w:lineRule="auto" w:before="0" w:after="0"/>
        <w:ind w:left="372" w:right="628" w:firstLine="0"/>
        <w:jc w:val="left"/>
        <w:rPr>
          <w:sz w:val="22"/>
        </w:rPr>
      </w:pPr>
      <w:r>
        <w:rPr>
          <w:sz w:val="22"/>
        </w:rPr>
        <w:t>Teilnahme</w:t>
      </w:r>
      <w:r>
        <w:rPr>
          <w:spacing w:val="-4"/>
          <w:sz w:val="22"/>
        </w:rPr>
        <w:t> </w:t>
      </w:r>
      <w:r>
        <w:rPr>
          <w:sz w:val="22"/>
        </w:rPr>
        <w:t>an</w:t>
      </w:r>
      <w:r>
        <w:rPr>
          <w:spacing w:val="-4"/>
          <w:sz w:val="22"/>
        </w:rPr>
        <w:t> </w:t>
      </w:r>
      <w:r>
        <w:rPr>
          <w:sz w:val="22"/>
        </w:rPr>
        <w:t>Beratungs-,</w:t>
      </w:r>
      <w:r>
        <w:rPr>
          <w:spacing w:val="-4"/>
          <w:sz w:val="22"/>
        </w:rPr>
        <w:t> </w:t>
      </w:r>
      <w:r>
        <w:rPr>
          <w:sz w:val="22"/>
        </w:rPr>
        <w:t>Management-</w:t>
      </w:r>
      <w:r>
        <w:rPr>
          <w:spacing w:val="-5"/>
          <w:sz w:val="22"/>
        </w:rPr>
        <w:t> </w:t>
      </w:r>
      <w:r>
        <w:rPr>
          <w:sz w:val="22"/>
        </w:rPr>
        <w:t>und</w:t>
      </w:r>
      <w:r>
        <w:rPr>
          <w:spacing w:val="-4"/>
          <w:sz w:val="22"/>
        </w:rPr>
        <w:t> </w:t>
      </w:r>
      <w:r>
        <w:rPr>
          <w:sz w:val="22"/>
        </w:rPr>
        <w:t>Regulierungssitzungen,</w:t>
      </w:r>
      <w:r>
        <w:rPr>
          <w:spacing w:val="-4"/>
          <w:sz w:val="22"/>
        </w:rPr>
        <w:t> </w:t>
      </w:r>
      <w:r>
        <w:rPr>
          <w:sz w:val="22"/>
        </w:rPr>
        <w:t>Arbeitsgruppen</w:t>
      </w:r>
      <w:r>
        <w:rPr>
          <w:spacing w:val="-4"/>
          <w:sz w:val="22"/>
        </w:rPr>
        <w:t> </w:t>
      </w:r>
      <w:r>
        <w:rPr>
          <w:sz w:val="22"/>
        </w:rPr>
        <w:t>und</w:t>
      </w:r>
      <w:r>
        <w:rPr>
          <w:spacing w:val="-6"/>
          <w:sz w:val="22"/>
        </w:rPr>
        <w:t> </w:t>
      </w:r>
      <w:r>
        <w:rPr>
          <w:sz w:val="22"/>
        </w:rPr>
        <w:t>sonstigen</w:t>
      </w:r>
      <w:r>
        <w:rPr>
          <w:spacing w:val="-4"/>
          <w:sz w:val="22"/>
        </w:rPr>
        <w:t> </w:t>
      </w:r>
      <w:r>
        <w:rPr>
          <w:sz w:val="22"/>
        </w:rPr>
        <w:t>Ad-hoc- Gruppen und Vertretung der Kommission bei jenen Sitzungen; und</w:t>
      </w:r>
    </w:p>
    <w:p>
      <w:pPr>
        <w:pStyle w:val="ListParagraph"/>
        <w:numPr>
          <w:ilvl w:val="1"/>
          <w:numId w:val="4"/>
        </w:numPr>
        <w:tabs>
          <w:tab w:pos="505" w:val="left" w:leader="none"/>
        </w:tabs>
        <w:spacing w:line="251" w:lineRule="exact" w:before="0" w:after="0"/>
        <w:ind w:left="504" w:right="0" w:hanging="133"/>
        <w:jc w:val="left"/>
        <w:rPr>
          <w:sz w:val="22"/>
        </w:rPr>
      </w:pPr>
      <w:r>
        <w:rPr>
          <w:sz w:val="22"/>
        </w:rPr>
        <w:t>Bericht</w:t>
      </w:r>
      <w:r>
        <w:rPr>
          <w:spacing w:val="-3"/>
          <w:sz w:val="22"/>
        </w:rPr>
        <w:t> </w:t>
      </w:r>
      <w:r>
        <w:rPr>
          <w:sz w:val="22"/>
        </w:rPr>
        <w:t>über</w:t>
      </w:r>
      <w:r>
        <w:rPr>
          <w:spacing w:val="-4"/>
          <w:sz w:val="22"/>
        </w:rPr>
        <w:t> </w:t>
      </w:r>
      <w:r>
        <w:rPr>
          <w:sz w:val="22"/>
        </w:rPr>
        <w:t>die</w:t>
      </w:r>
      <w:r>
        <w:rPr>
          <w:spacing w:val="-5"/>
          <w:sz w:val="22"/>
        </w:rPr>
        <w:t> </w:t>
      </w:r>
      <w:r>
        <w:rPr>
          <w:sz w:val="22"/>
        </w:rPr>
        <w:t>Umsetzung</w:t>
      </w:r>
      <w:r>
        <w:rPr>
          <w:spacing w:val="-3"/>
          <w:sz w:val="22"/>
        </w:rPr>
        <w:t> </w:t>
      </w:r>
      <w:r>
        <w:rPr>
          <w:sz w:val="22"/>
        </w:rPr>
        <w:t>und</w:t>
      </w:r>
      <w:r>
        <w:rPr>
          <w:spacing w:val="-3"/>
          <w:sz w:val="22"/>
        </w:rPr>
        <w:t> </w:t>
      </w:r>
      <w:r>
        <w:rPr>
          <w:sz w:val="22"/>
        </w:rPr>
        <w:t>Anwendung</w:t>
      </w:r>
      <w:r>
        <w:rPr>
          <w:spacing w:val="-3"/>
          <w:sz w:val="22"/>
        </w:rPr>
        <w:t> </w:t>
      </w:r>
      <w:r>
        <w:rPr>
          <w:sz w:val="22"/>
        </w:rPr>
        <w:t>der</w:t>
      </w:r>
      <w:r>
        <w:rPr>
          <w:spacing w:val="-3"/>
          <w:sz w:val="22"/>
        </w:rPr>
        <w:t> </w:t>
      </w:r>
      <w:r>
        <w:rPr>
          <w:sz w:val="22"/>
        </w:rPr>
        <w:t>EU-Politik</w:t>
      </w:r>
      <w:r>
        <w:rPr>
          <w:spacing w:val="-5"/>
          <w:sz w:val="22"/>
        </w:rPr>
        <w:t> </w:t>
      </w:r>
      <w:r>
        <w:rPr>
          <w:sz w:val="22"/>
        </w:rPr>
        <w:t>im</w:t>
      </w:r>
      <w:r>
        <w:rPr>
          <w:spacing w:val="-2"/>
          <w:sz w:val="22"/>
        </w:rPr>
        <w:t> Bankensektor.</w:t>
      </w:r>
    </w:p>
    <w:p>
      <w:pPr>
        <w:pStyle w:val="BodyText"/>
        <w:spacing w:before="1"/>
      </w:pPr>
    </w:p>
    <w:p>
      <w:pPr>
        <w:pStyle w:val="BodyText"/>
        <w:ind w:left="372"/>
      </w:pPr>
      <w:r>
        <w:rPr/>
        <w:t>Einige</w:t>
      </w:r>
      <w:r>
        <w:rPr>
          <w:spacing w:val="-5"/>
        </w:rPr>
        <w:t> </w:t>
      </w:r>
      <w:r>
        <w:rPr/>
        <w:t>der</w:t>
      </w:r>
      <w:r>
        <w:rPr>
          <w:spacing w:val="-3"/>
        </w:rPr>
        <w:t> </w:t>
      </w:r>
      <w:r>
        <w:rPr/>
        <w:t>oben</w:t>
      </w:r>
      <w:r>
        <w:rPr>
          <w:spacing w:val="-5"/>
        </w:rPr>
        <w:t> </w:t>
      </w:r>
      <w:r>
        <w:rPr/>
        <w:t>genannten</w:t>
      </w:r>
      <w:r>
        <w:rPr>
          <w:spacing w:val="-7"/>
        </w:rPr>
        <w:t> </w:t>
      </w:r>
      <w:r>
        <w:rPr/>
        <w:t>Aufgaben</w:t>
      </w:r>
      <w:r>
        <w:rPr>
          <w:spacing w:val="-4"/>
        </w:rPr>
        <w:t> </w:t>
      </w:r>
      <w:r>
        <w:rPr/>
        <w:t>müssen</w:t>
      </w:r>
      <w:r>
        <w:rPr>
          <w:spacing w:val="-5"/>
        </w:rPr>
        <w:t> </w:t>
      </w:r>
      <w:r>
        <w:rPr/>
        <w:t>unter</w:t>
      </w:r>
      <w:r>
        <w:rPr>
          <w:spacing w:val="-6"/>
        </w:rPr>
        <w:t> </w:t>
      </w:r>
      <w:r>
        <w:rPr/>
        <w:t>der</w:t>
      </w:r>
      <w:r>
        <w:rPr>
          <w:spacing w:val="-6"/>
        </w:rPr>
        <w:t> </w:t>
      </w:r>
      <w:r>
        <w:rPr/>
        <w:t>Aufsicht</w:t>
      </w:r>
      <w:r>
        <w:rPr>
          <w:spacing w:val="-6"/>
        </w:rPr>
        <w:t> </w:t>
      </w:r>
      <w:r>
        <w:rPr/>
        <w:t>eines</w:t>
      </w:r>
      <w:r>
        <w:rPr>
          <w:spacing w:val="-5"/>
        </w:rPr>
        <w:t> </w:t>
      </w:r>
      <w:r>
        <w:rPr/>
        <w:t>Verwaltungsbeamten</w:t>
      </w:r>
      <w:r>
        <w:rPr>
          <w:spacing w:val="-4"/>
        </w:rPr>
        <w:t> </w:t>
      </w:r>
      <w:r>
        <w:rPr/>
        <w:t>ausgeführt</w:t>
      </w:r>
      <w:r>
        <w:rPr>
          <w:spacing w:val="-3"/>
        </w:rPr>
        <w:t> </w:t>
      </w:r>
      <w:r>
        <w:rPr>
          <w:spacing w:val="-2"/>
        </w:rPr>
        <w:t>werden.</w:t>
      </w:r>
    </w:p>
    <w:p>
      <w:pPr>
        <w:pStyle w:val="BodyText"/>
      </w:pPr>
    </w:p>
    <w:p>
      <w:pPr>
        <w:pStyle w:val="BodyText"/>
        <w:ind w:left="372" w:right="141"/>
      </w:pPr>
      <w:r>
        <w:rPr/>
        <w:t>Der erfolgreiche Bewerber/die erfolgreiche Bewerberin muss eine rigorose Politikanalyse erstellen und den Interessenträgern</w:t>
      </w:r>
      <w:r>
        <w:rPr>
          <w:spacing w:val="-2"/>
        </w:rPr>
        <w:t> </w:t>
      </w:r>
      <w:r>
        <w:rPr/>
        <w:t>in</w:t>
      </w:r>
      <w:r>
        <w:rPr>
          <w:spacing w:val="-2"/>
        </w:rPr>
        <w:t> </w:t>
      </w:r>
      <w:r>
        <w:rPr/>
        <w:t>europäischen</w:t>
      </w:r>
      <w:r>
        <w:rPr>
          <w:spacing w:val="-5"/>
        </w:rPr>
        <w:t> </w:t>
      </w:r>
      <w:r>
        <w:rPr/>
        <w:t>und</w:t>
      </w:r>
      <w:r>
        <w:rPr>
          <w:spacing w:val="-2"/>
        </w:rPr>
        <w:t> </w:t>
      </w:r>
      <w:r>
        <w:rPr/>
        <w:t>internationalen</w:t>
      </w:r>
      <w:r>
        <w:rPr>
          <w:spacing w:val="-5"/>
        </w:rPr>
        <w:t> </w:t>
      </w:r>
      <w:r>
        <w:rPr/>
        <w:t>Aufsichtsgremien</w:t>
      </w:r>
      <w:r>
        <w:rPr>
          <w:spacing w:val="-5"/>
        </w:rPr>
        <w:t> </w:t>
      </w:r>
      <w:r>
        <w:rPr/>
        <w:t>und</w:t>
      </w:r>
      <w:r>
        <w:rPr>
          <w:spacing w:val="-2"/>
        </w:rPr>
        <w:t> </w:t>
      </w:r>
      <w:r>
        <w:rPr/>
        <w:t>in</w:t>
      </w:r>
      <w:r>
        <w:rPr>
          <w:spacing w:val="-2"/>
        </w:rPr>
        <w:t> </w:t>
      </w:r>
      <w:r>
        <w:rPr/>
        <w:t>den</w:t>
      </w:r>
      <w:r>
        <w:rPr>
          <w:spacing w:val="-2"/>
        </w:rPr>
        <w:t> </w:t>
      </w:r>
      <w:r>
        <w:rPr/>
        <w:t>Legislativverhandlungen</w:t>
      </w:r>
      <w:r>
        <w:rPr>
          <w:spacing w:val="-5"/>
        </w:rPr>
        <w:t> </w:t>
      </w:r>
      <w:r>
        <w:rPr/>
        <w:t>in Brüssel die politischen Standpunkte der Kommission erläutern.</w:t>
      </w:r>
    </w:p>
    <w:p>
      <w:pPr>
        <w:pStyle w:val="BodyText"/>
        <w:spacing w:before="1"/>
      </w:pPr>
    </w:p>
    <w:p>
      <w:pPr>
        <w:pStyle w:val="BodyText"/>
        <w:ind w:left="372" w:right="141"/>
      </w:pPr>
      <w:r>
        <w:rPr/>
        <w:t>Der</w:t>
      </w:r>
      <w:r>
        <w:rPr>
          <w:spacing w:val="-2"/>
        </w:rPr>
        <w:t> </w:t>
      </w:r>
      <w:r>
        <w:rPr/>
        <w:t>erfolgreiche</w:t>
      </w:r>
      <w:r>
        <w:rPr>
          <w:spacing w:val="-3"/>
        </w:rPr>
        <w:t> </w:t>
      </w:r>
      <w:r>
        <w:rPr/>
        <w:t>Bewerber/die</w:t>
      </w:r>
      <w:r>
        <w:rPr>
          <w:spacing w:val="-3"/>
        </w:rPr>
        <w:t> </w:t>
      </w:r>
      <w:r>
        <w:rPr/>
        <w:t>erfolgreiche</w:t>
      </w:r>
      <w:r>
        <w:rPr>
          <w:spacing w:val="-3"/>
        </w:rPr>
        <w:t> </w:t>
      </w:r>
      <w:r>
        <w:rPr/>
        <w:t>Bewerberin</w:t>
      </w:r>
      <w:r>
        <w:rPr>
          <w:spacing w:val="-3"/>
        </w:rPr>
        <w:t> </w:t>
      </w:r>
      <w:r>
        <w:rPr/>
        <w:t>muss</w:t>
      </w:r>
      <w:r>
        <w:rPr>
          <w:spacing w:val="-3"/>
        </w:rPr>
        <w:t> </w:t>
      </w:r>
      <w:r>
        <w:rPr/>
        <w:t>auch</w:t>
      </w:r>
      <w:r>
        <w:rPr>
          <w:spacing w:val="-3"/>
        </w:rPr>
        <w:t> </w:t>
      </w:r>
      <w:r>
        <w:rPr/>
        <w:t>viel</w:t>
      </w:r>
      <w:r>
        <w:rPr>
          <w:spacing w:val="-2"/>
        </w:rPr>
        <w:t> </w:t>
      </w:r>
      <w:r>
        <w:rPr/>
        <w:t>Zeit</w:t>
      </w:r>
      <w:r>
        <w:rPr>
          <w:spacing w:val="-2"/>
        </w:rPr>
        <w:t> </w:t>
      </w:r>
      <w:r>
        <w:rPr/>
        <w:t>für</w:t>
      </w:r>
      <w:r>
        <w:rPr>
          <w:spacing w:val="-2"/>
        </w:rPr>
        <w:t> </w:t>
      </w:r>
      <w:r>
        <w:rPr/>
        <w:t>Fragen</w:t>
      </w:r>
      <w:r>
        <w:rPr>
          <w:spacing w:val="-3"/>
        </w:rPr>
        <w:t> </w:t>
      </w:r>
      <w:r>
        <w:rPr/>
        <w:t>der</w:t>
      </w:r>
      <w:r>
        <w:rPr>
          <w:spacing w:val="-2"/>
        </w:rPr>
        <w:t> </w:t>
      </w:r>
      <w:r>
        <w:rPr/>
        <w:t>Umsetzung</w:t>
      </w:r>
      <w:r>
        <w:rPr>
          <w:spacing w:val="-3"/>
        </w:rPr>
        <w:t> </w:t>
      </w:r>
      <w:r>
        <w:rPr/>
        <w:t>aufwenden, einschließlich der Annahme von delegierten Rechtsakten und Durchführungsvorschriften sowie Fragen der Auslegung des Unionsrechts.</w:t>
      </w:r>
    </w:p>
    <w:p>
      <w:pPr>
        <w:pStyle w:val="BodyText"/>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rPr>
          <w:b/>
          <w:sz w:val="16"/>
        </w:rPr>
      </w:pPr>
    </w:p>
    <w:p>
      <w:pPr>
        <w:pStyle w:val="Heading1"/>
        <w:numPr>
          <w:ilvl w:val="0"/>
          <w:numId w:val="5"/>
        </w:numPr>
        <w:tabs>
          <w:tab w:pos="1040" w:val="left" w:leader="none"/>
        </w:tabs>
        <w:spacing w:line="240" w:lineRule="auto" w:before="91" w:after="0"/>
        <w:ind w:left="1039" w:right="0" w:hanging="241"/>
        <w:jc w:val="left"/>
      </w:pPr>
      <w:r>
        <w:rPr>
          <w:spacing w:val="-2"/>
          <w:u w:val="single"/>
        </w:rPr>
        <w:t>Zulassungskriterien</w:t>
      </w:r>
    </w:p>
    <w:p>
      <w:pPr>
        <w:pStyle w:val="BodyText"/>
        <w:spacing w:before="1"/>
        <w:rPr>
          <w:b/>
          <w:sz w:val="14"/>
        </w:rPr>
      </w:pPr>
    </w:p>
    <w:p>
      <w:pPr>
        <w:pStyle w:val="BodyText"/>
        <w:spacing w:before="92"/>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1"/>
          <w:numId w:val="4"/>
        </w:numPr>
        <w:tabs>
          <w:tab w:pos="1081" w:val="left" w:leader="none"/>
        </w:tabs>
        <w:spacing w:line="240" w:lineRule="auto" w:before="1" w:after="0"/>
        <w:ind w:left="1080" w:right="105"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11"/>
        <w:rPr>
          <w:sz w:val="21"/>
        </w:rPr>
      </w:pPr>
    </w:p>
    <w:p>
      <w:pPr>
        <w:pStyle w:val="ListParagraph"/>
        <w:numPr>
          <w:ilvl w:val="1"/>
          <w:numId w:val="4"/>
        </w:numPr>
        <w:tabs>
          <w:tab w:pos="1081" w:val="left" w:leader="none"/>
        </w:tabs>
        <w:spacing w:line="240" w:lineRule="auto" w:before="0" w:after="0"/>
        <w:ind w:left="1079" w:right="104"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1"/>
          <w:numId w:val="4"/>
        </w:numPr>
        <w:tabs>
          <w:tab w:pos="1081" w:val="left" w:leader="none"/>
        </w:tabs>
        <w:spacing w:line="240" w:lineRule="auto" w:before="0" w:after="0"/>
        <w:ind w:left="1080" w:right="106"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w:t>
      </w:r>
      <w:r>
        <w:rPr>
          <w:spacing w:val="-2"/>
          <w:sz w:val="22"/>
        </w:rPr>
        <w:t> </w:t>
      </w:r>
      <w:r>
        <w:rPr>
          <w:sz w:val="22"/>
        </w:rPr>
        <w:t>muss nachweisen, dass er über gründliche Kenntnisse in</w:t>
      </w:r>
      <w:r>
        <w:rPr>
          <w:spacing w:val="-1"/>
          <w:sz w:val="22"/>
        </w:rPr>
        <w:t> </w:t>
      </w:r>
      <w:r>
        <w:rPr>
          <w:sz w:val="22"/>
        </w:rPr>
        <w:t>einer zur Ausübung seiner Tätigkeit erforderlichen Sprache der Europäischen Union verfügt.</w:t>
      </w:r>
    </w:p>
    <w:p>
      <w:pPr>
        <w:pStyle w:val="BodyText"/>
        <w:rPr>
          <w:sz w:val="24"/>
        </w:rPr>
      </w:pPr>
    </w:p>
    <w:p>
      <w:pPr>
        <w:pStyle w:val="Heading1"/>
        <w:numPr>
          <w:ilvl w:val="0"/>
          <w:numId w:val="5"/>
        </w:numPr>
        <w:tabs>
          <w:tab w:pos="1080" w:val="left" w:leader="none"/>
        </w:tabs>
        <w:spacing w:line="240" w:lineRule="auto" w:before="0" w:after="0"/>
        <w:ind w:left="1079" w:right="0" w:hanging="281"/>
        <w:jc w:val="left"/>
      </w:pPr>
      <w:r>
        <w:rPr>
          <w:spacing w:val="-2"/>
          <w:u w:val="single"/>
        </w:rPr>
        <w:t>Auswahlkriterien</w:t>
      </w:r>
    </w:p>
    <w:p>
      <w:pPr>
        <w:pStyle w:val="BodyText"/>
        <w:spacing w:before="2"/>
        <w:rPr>
          <w:b/>
          <w:sz w:val="16"/>
        </w:rPr>
      </w:pPr>
    </w:p>
    <w:p>
      <w:pPr>
        <w:pStyle w:val="BodyText"/>
        <w:spacing w:line="252" w:lineRule="exact" w:before="91"/>
        <w:ind w:left="1080"/>
      </w:pPr>
      <w:r>
        <w:rPr>
          <w:spacing w:val="-2"/>
          <w:u w:val="single"/>
        </w:rPr>
        <w:t>Bildungsabschluss</w:t>
      </w:r>
    </w:p>
    <w:p>
      <w:pPr>
        <w:pStyle w:val="ListParagraph"/>
        <w:numPr>
          <w:ilvl w:val="1"/>
          <w:numId w:val="5"/>
        </w:numPr>
        <w:tabs>
          <w:tab w:pos="1208" w:val="left" w:leader="none"/>
        </w:tabs>
        <w:spacing w:line="252" w:lineRule="exact" w:before="0" w:after="0"/>
        <w:ind w:left="1207" w:right="0" w:hanging="128"/>
        <w:jc w:val="left"/>
        <w:rPr>
          <w:sz w:val="22"/>
        </w:rPr>
      </w:pPr>
      <w:r>
        <w:rPr>
          <w:sz w:val="22"/>
        </w:rPr>
        <w:t>ein</w:t>
      </w:r>
      <w:r>
        <w:rPr>
          <w:spacing w:val="-7"/>
          <w:sz w:val="22"/>
        </w:rPr>
        <w:t> </w:t>
      </w:r>
      <w:r>
        <w:rPr>
          <w:sz w:val="22"/>
        </w:rPr>
        <w:t>Universitätsabschluss</w:t>
      </w:r>
      <w:r>
        <w:rPr>
          <w:spacing w:val="-8"/>
          <w:sz w:val="22"/>
        </w:rPr>
        <w:t> </w:t>
      </w:r>
      <w:r>
        <w:rPr>
          <w:spacing w:val="-4"/>
          <w:sz w:val="22"/>
        </w:rPr>
        <w:t>oder</w:t>
      </w:r>
    </w:p>
    <w:p>
      <w:pPr>
        <w:pStyle w:val="ListParagraph"/>
        <w:numPr>
          <w:ilvl w:val="1"/>
          <w:numId w:val="5"/>
        </w:numPr>
        <w:tabs>
          <w:tab w:pos="1207" w:val="left" w:leader="none"/>
        </w:tabs>
        <w:spacing w:line="477" w:lineRule="auto" w:before="2" w:after="0"/>
        <w:ind w:left="1190" w:right="4305" w:hanging="111"/>
        <w:jc w:val="left"/>
        <w:rPr>
          <w:sz w:val="22"/>
        </w:rPr>
      </w:pPr>
      <w:r>
        <w:rPr>
          <w:sz w:val="22"/>
        </w:rPr>
        <w:t>eine</w:t>
      </w:r>
      <w:r>
        <w:rPr>
          <w:spacing w:val="-4"/>
          <w:sz w:val="22"/>
        </w:rPr>
        <w:t> </w:t>
      </w:r>
      <w:r>
        <w:rPr>
          <w:sz w:val="22"/>
        </w:rPr>
        <w:t>gleichwertige</w:t>
      </w:r>
      <w:r>
        <w:rPr>
          <w:spacing w:val="-4"/>
          <w:sz w:val="22"/>
        </w:rPr>
        <w:t> </w:t>
      </w:r>
      <w:r>
        <w:rPr>
          <w:sz w:val="22"/>
        </w:rPr>
        <w:t>Berufsausbildung</w:t>
      </w:r>
      <w:r>
        <w:rPr>
          <w:spacing w:val="-4"/>
          <w:sz w:val="22"/>
        </w:rPr>
        <w:t> </w:t>
      </w:r>
      <w:r>
        <w:rPr>
          <w:sz w:val="22"/>
        </w:rPr>
        <w:t>oder</w:t>
      </w:r>
      <w:r>
        <w:rPr>
          <w:spacing w:val="-3"/>
          <w:sz w:val="22"/>
        </w:rPr>
        <w:t> </w:t>
      </w:r>
      <w:r>
        <w:rPr>
          <w:sz w:val="22"/>
        </w:rPr>
        <w:t>Berufserfahrung im Bereich: Recht, Finanzen, Wirtschaft</w:t>
      </w:r>
    </w:p>
    <w:p>
      <w:pPr>
        <w:pStyle w:val="BodyText"/>
        <w:spacing w:before="3"/>
        <w:ind w:left="1080"/>
      </w:pPr>
      <w:r>
        <w:rPr>
          <w:spacing w:val="-2"/>
          <w:u w:val="single"/>
        </w:rPr>
        <w:t>Berufserfahrung</w:t>
      </w:r>
    </w:p>
    <w:p>
      <w:pPr>
        <w:spacing w:after="0"/>
        <w:sectPr>
          <w:pgSz w:w="11910" w:h="16840"/>
          <w:pgMar w:header="0" w:footer="687" w:top="1040" w:bottom="880" w:left="480" w:right="740"/>
        </w:sectPr>
      </w:pPr>
    </w:p>
    <w:p>
      <w:pPr>
        <w:pStyle w:val="BodyText"/>
        <w:spacing w:before="73"/>
        <w:ind w:left="1080" w:right="164"/>
        <w:jc w:val="both"/>
      </w:pPr>
      <w:r>
        <w:rPr>
          <w:spacing w:val="-1"/>
          <w:u w:val="single"/>
        </w:rPr>
        <w:t> </w:t>
      </w:r>
      <w:r>
        <w:rPr>
          <w:u w:val="single"/>
        </w:rPr>
        <w:t>Nachgewiesene mindestens dreijährige Berufserfahrung in administrativen, rechtlichen,</w:t>
      </w:r>
      <w:r>
        <w:rPr/>
        <w:t> </w:t>
      </w:r>
      <w:r>
        <w:rPr>
          <w:u w:val="single"/>
        </w:rPr>
        <w:t>wissenschaftlichen, technischen, Beratungs-</w:t>
      </w:r>
      <w:r>
        <w:rPr>
          <w:spacing w:val="-1"/>
          <w:u w:val="single"/>
        </w:rPr>
        <w:t> </w:t>
      </w:r>
      <w:r>
        <w:rPr>
          <w:u w:val="single"/>
        </w:rPr>
        <w:t>oder Aufsichtsfunktionen, die</w:t>
      </w:r>
      <w:r>
        <w:rPr>
          <w:spacing w:val="-1"/>
          <w:u w:val="single"/>
        </w:rPr>
        <w:t> </w:t>
      </w:r>
      <w:r>
        <w:rPr>
          <w:u w:val="single"/>
        </w:rPr>
        <w:t>denen</w:t>
      </w:r>
      <w:r>
        <w:rPr>
          <w:spacing w:val="-3"/>
          <w:u w:val="single"/>
        </w:rPr>
        <w:t> </w:t>
      </w:r>
      <w:r>
        <w:rPr>
          <w:u w:val="single"/>
        </w:rPr>
        <w:t>der Funktionsgruppe AD</w:t>
      </w:r>
      <w:r>
        <w:rPr/>
        <w:t> </w:t>
      </w:r>
      <w:r>
        <w:rPr>
          <w:u w:val="single"/>
        </w:rPr>
        <w:t>gleichwertig sind und sich auf den Bereich der Bankenregulierung und -aufsicht beziehen, zum Teil in</w:t>
      </w:r>
      <w:r>
        <w:rPr/>
        <w:t> </w:t>
      </w:r>
      <w:r>
        <w:rPr>
          <w:u w:val="single"/>
        </w:rPr>
        <w:t>Bezug auf Fragen im Zusammenhang mit den Liquiditäts- und Liquiditätsanforderungen für</w:t>
      </w:r>
      <w:r>
        <w:rPr>
          <w:spacing w:val="40"/>
        </w:rPr>
        <w:t> </w:t>
      </w:r>
      <w:r>
        <w:rPr>
          <w:spacing w:val="-2"/>
          <w:u w:val="single"/>
        </w:rPr>
        <w:t>Kreditinstitute.</w:t>
      </w:r>
    </w:p>
    <w:p>
      <w:pPr>
        <w:pStyle w:val="BodyText"/>
        <w:spacing w:before="1"/>
        <w:rPr>
          <w:sz w:val="14"/>
        </w:rPr>
      </w:pPr>
    </w:p>
    <w:p>
      <w:pPr>
        <w:pStyle w:val="BodyText"/>
        <w:spacing w:before="92"/>
        <w:ind w:left="1080"/>
      </w:pPr>
      <w:r>
        <w:rPr>
          <w:u w:val="single"/>
        </w:rPr>
        <w:t>Zur</w:t>
      </w:r>
      <w:r>
        <w:rPr>
          <w:spacing w:val="-4"/>
          <w:u w:val="single"/>
        </w:rPr>
        <w:t> </w:t>
      </w:r>
      <w:r>
        <w:rPr>
          <w:u w:val="single"/>
        </w:rPr>
        <w:t>Ausübung</w:t>
      </w:r>
      <w:r>
        <w:rPr>
          <w:spacing w:val="-5"/>
          <w:u w:val="single"/>
        </w:rPr>
        <w:t> </w:t>
      </w:r>
      <w:r>
        <w:rPr>
          <w:u w:val="single"/>
        </w:rPr>
        <w:t>der</w:t>
      </w:r>
      <w:r>
        <w:rPr>
          <w:spacing w:val="-3"/>
          <w:u w:val="single"/>
        </w:rPr>
        <w:t> </w:t>
      </w:r>
      <w:r>
        <w:rPr>
          <w:u w:val="single"/>
        </w:rPr>
        <w:t>Tätigkeit</w:t>
      </w:r>
      <w:r>
        <w:rPr>
          <w:spacing w:val="-4"/>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right="141"/>
      </w:pPr>
      <w:r>
        <w:rPr>
          <w:u w:val="single"/>
        </w:rPr>
        <w:t>Ausgezeichnete</w:t>
      </w:r>
      <w:r>
        <w:rPr>
          <w:spacing w:val="-3"/>
          <w:u w:val="single"/>
        </w:rPr>
        <w:t> </w:t>
      </w:r>
      <w:r>
        <w:rPr>
          <w:u w:val="single"/>
        </w:rPr>
        <w:t>mündliche</w:t>
      </w:r>
      <w:r>
        <w:rPr>
          <w:spacing w:val="-5"/>
          <w:u w:val="single"/>
        </w:rPr>
        <w:t> </w:t>
      </w:r>
      <w:r>
        <w:rPr>
          <w:u w:val="single"/>
        </w:rPr>
        <w:t>und</w:t>
      </w:r>
      <w:r>
        <w:rPr>
          <w:spacing w:val="-3"/>
          <w:u w:val="single"/>
        </w:rPr>
        <w:t> </w:t>
      </w:r>
      <w:r>
        <w:rPr>
          <w:u w:val="single"/>
        </w:rPr>
        <w:t>schriftliche</w:t>
      </w:r>
      <w:r>
        <w:rPr>
          <w:spacing w:val="-3"/>
          <w:u w:val="single"/>
        </w:rPr>
        <w:t> </w:t>
      </w:r>
      <w:r>
        <w:rPr>
          <w:u w:val="single"/>
        </w:rPr>
        <w:t>Englischkenntnisse.</w:t>
      </w:r>
      <w:r>
        <w:rPr>
          <w:spacing w:val="-3"/>
          <w:u w:val="single"/>
        </w:rPr>
        <w:t> </w:t>
      </w:r>
      <w:r>
        <w:rPr>
          <w:u w:val="single"/>
        </w:rPr>
        <w:t>Gute</w:t>
      </w:r>
      <w:r>
        <w:rPr>
          <w:spacing w:val="-3"/>
          <w:u w:val="single"/>
        </w:rPr>
        <w:t> </w:t>
      </w:r>
      <w:r>
        <w:rPr>
          <w:u w:val="single"/>
        </w:rPr>
        <w:t>Französisch-</w:t>
      </w:r>
      <w:r>
        <w:rPr>
          <w:spacing w:val="-5"/>
          <w:u w:val="single"/>
        </w:rPr>
        <w:t> </w:t>
      </w:r>
      <w:r>
        <w:rPr>
          <w:u w:val="single"/>
        </w:rPr>
        <w:t>oder</w:t>
      </w:r>
      <w:r>
        <w:rPr>
          <w:spacing w:val="-2"/>
          <w:u w:val="single"/>
        </w:rPr>
        <w:t> </w:t>
      </w:r>
      <w:r>
        <w:rPr>
          <w:u w:val="single"/>
        </w:rPr>
        <w:t>Deutschkenntnisse</w:t>
      </w:r>
      <w:r>
        <w:rPr/>
        <w:t> </w:t>
      </w:r>
      <w:r>
        <w:rPr>
          <w:u w:val="single"/>
        </w:rPr>
        <w:t>wären von Vorteil.</w:t>
      </w:r>
    </w:p>
    <w:p>
      <w:pPr>
        <w:pStyle w:val="BodyText"/>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3"/>
          <w:sz w:val="24"/>
          <w:u w:val="single"/>
        </w:rPr>
        <w:t> </w:t>
      </w:r>
      <w:r>
        <w:rPr>
          <w:b/>
          <w:sz w:val="24"/>
          <w:u w:val="single"/>
        </w:rPr>
        <w:t>und</w:t>
      </w:r>
      <w:r>
        <w:rPr>
          <w:b/>
          <w:spacing w:val="-2"/>
          <w:sz w:val="24"/>
          <w:u w:val="single"/>
        </w:rPr>
        <w:t> Auswahlverfahren</w:t>
      </w:r>
    </w:p>
    <w:p>
      <w:pPr>
        <w:pStyle w:val="BodyText"/>
        <w:rPr>
          <w:b/>
          <w:sz w:val="16"/>
        </w:rPr>
      </w:pPr>
    </w:p>
    <w:p>
      <w:pPr>
        <w:spacing w:before="92"/>
        <w:ind w:left="799" w:right="277"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0"/>
        <w:jc w:val="both"/>
      </w:pPr>
      <w:r>
        <w:rPr/>
        <w:t>Die Bewerberinnen und Bewerber werden von dem einstellenden Referat über den Stand ihrer Bewerbung </w:t>
      </w:r>
      <w:r>
        <w:rPr>
          <w:spacing w:val="-2"/>
        </w:rPr>
        <w:t>informiert.</w:t>
      </w:r>
    </w:p>
    <w:p>
      <w:pPr>
        <w:pStyle w:val="BodyText"/>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6"/>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4"/>
          <w:sz w:val="24"/>
          <w:u w:val="single"/>
        </w:rPr>
        <w:t> </w:t>
      </w:r>
      <w:r>
        <w:rPr>
          <w:b/>
          <w:sz w:val="24"/>
          <w:u w:val="single"/>
        </w:rPr>
        <w:t>nationaler</w:t>
      </w:r>
      <w:r>
        <w:rPr>
          <w:b/>
          <w:spacing w:val="-4"/>
          <w:sz w:val="24"/>
          <w:u w:val="single"/>
        </w:rPr>
        <w:t> </w:t>
      </w:r>
      <w:r>
        <w:rPr>
          <w:b/>
          <w:spacing w:val="-2"/>
          <w:sz w:val="24"/>
          <w:u w:val="single"/>
        </w:rPr>
        <w:t>Sachverständiger</w:t>
      </w:r>
    </w:p>
    <w:p>
      <w:pPr>
        <w:pStyle w:val="BodyText"/>
        <w:rPr>
          <w:b/>
          <w:sz w:val="16"/>
        </w:rPr>
      </w:pPr>
    </w:p>
    <w:p>
      <w:pPr>
        <w:spacing w:before="91"/>
        <w:ind w:left="799" w:right="278"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0"/>
        <w:jc w:val="both"/>
      </w:pPr>
      <w:r>
        <w:rPr/>
        <w:t>Mit Ausnahme der unentgeltlich abgeordneten Sachverständigen können den ANS, die die Bedingungen nach Artikel 17 des ANS-Beschlusses erfüllen, Tagegelder gezahlt werden.</w:t>
      </w:r>
    </w:p>
    <w:p>
      <w:pPr>
        <w:pStyle w:val="BodyText"/>
        <w:spacing w:before="1"/>
        <w:ind w:left="798" w:right="279"/>
        <w:jc w:val="both"/>
      </w:pPr>
      <w:r>
        <w:rPr/>
        <w:t>Während der Abordnung unterliegen die ANS den in den Artikeln</w:t>
      </w:r>
      <w:r>
        <w:rPr>
          <w:spacing w:val="-4"/>
        </w:rPr>
        <w:t> </w:t>
      </w:r>
      <w:r>
        <w:rPr/>
        <w:t>6 und</w:t>
      </w:r>
      <w:r>
        <w:rPr>
          <w:spacing w:val="-1"/>
        </w:rPr>
        <w:t> </w:t>
      </w:r>
      <w:r>
        <w:rPr/>
        <w:t>7 des ANS-Beschlusses vorgesehenen Verpflichtungen zur Vertraulichkeit, zur Loyalität und zum Nichtbestehen von </w:t>
      </w:r>
      <w:r>
        <w:rPr>
          <w:spacing w:val="-2"/>
        </w:rPr>
        <w:t>Interessenkonflikten.</w:t>
      </w:r>
    </w:p>
    <w:p>
      <w:pPr>
        <w:pStyle w:val="BodyText"/>
      </w:pPr>
    </w:p>
    <w:p>
      <w:pPr>
        <w:pStyle w:val="BodyText"/>
        <w:ind w:left="796"/>
        <w:jc w:val="both"/>
      </w:pPr>
      <w:r>
        <w:rPr/>
        <w:t>Bei</w:t>
      </w:r>
      <w:r>
        <w:rPr>
          <w:spacing w:val="-4"/>
        </w:rPr>
        <w:t> </w:t>
      </w:r>
      <w:r>
        <w:rPr/>
        <w:t>unvollständigen</w:t>
      </w:r>
      <w:r>
        <w:rPr>
          <w:spacing w:val="-4"/>
        </w:rPr>
        <w:t> </w:t>
      </w:r>
      <w:r>
        <w:rPr/>
        <w:t>oder</w:t>
      </w:r>
      <w:r>
        <w:rPr>
          <w:spacing w:val="-6"/>
        </w:rPr>
        <w:t> </w:t>
      </w:r>
      <w:r>
        <w:rPr/>
        <w:t>falschen</w:t>
      </w:r>
      <w:r>
        <w:rPr>
          <w:spacing w:val="-5"/>
        </w:rPr>
        <w:t> </w:t>
      </w:r>
      <w:r>
        <w:rPr/>
        <w:t>Angaben</w:t>
      </w:r>
      <w:r>
        <w:rPr>
          <w:spacing w:val="-4"/>
        </w:rPr>
        <w:t> </w:t>
      </w:r>
      <w:r>
        <w:rPr/>
        <w:t>kann</w:t>
      </w:r>
      <w:r>
        <w:rPr>
          <w:spacing w:val="-4"/>
        </w:rPr>
        <w:t> </w:t>
      </w:r>
      <w:r>
        <w:rPr/>
        <w:t>die</w:t>
      </w:r>
      <w:r>
        <w:rPr>
          <w:spacing w:val="-5"/>
        </w:rPr>
        <w:t> </w:t>
      </w:r>
      <w:r>
        <w:rPr/>
        <w:t>Bewerbung</w:t>
      </w:r>
      <w:r>
        <w:rPr>
          <w:spacing w:val="-4"/>
        </w:rPr>
        <w:t> </w:t>
      </w:r>
      <w:r>
        <w:rPr/>
        <w:t>abgelehnt</w:t>
      </w:r>
      <w:r>
        <w:rPr>
          <w:spacing w:val="-3"/>
        </w:rPr>
        <w:t> </w:t>
      </w:r>
      <w:r>
        <w:rPr>
          <w:spacing w:val="-2"/>
        </w:rPr>
        <w:t>werden.</w:t>
      </w:r>
    </w:p>
    <w:p>
      <w:pPr>
        <w:pStyle w:val="BodyText"/>
        <w:spacing w:before="9"/>
        <w:rPr>
          <w:sz w:val="21"/>
        </w:rPr>
      </w:pPr>
    </w:p>
    <w:p>
      <w:pPr>
        <w:pStyle w:val="BodyText"/>
        <w:spacing w:before="1"/>
        <w:ind w:left="798"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2"/>
        <w:rPr>
          <w:sz w:val="24"/>
        </w:rPr>
      </w:pPr>
    </w:p>
    <w:p>
      <w:pPr>
        <w:pStyle w:val="ListParagraph"/>
        <w:numPr>
          <w:ilvl w:val="0"/>
          <w:numId w:val="4"/>
        </w:numPr>
        <w:tabs>
          <w:tab w:pos="799" w:val="left" w:leader="none"/>
          <w:tab w:pos="800" w:val="left" w:leader="none"/>
        </w:tabs>
        <w:spacing w:line="240" w:lineRule="auto" w:before="0" w:after="0"/>
        <w:ind w:left="799" w:right="0" w:hanging="428"/>
        <w:jc w:val="left"/>
        <w:rPr>
          <w:b/>
          <w:sz w:val="24"/>
        </w:rPr>
      </w:pPr>
      <w:r>
        <w:rPr>
          <w:b/>
          <w:sz w:val="24"/>
          <w:u w:val="single"/>
        </w:rPr>
        <w:t>Verarbeitung</w:t>
      </w:r>
      <w:r>
        <w:rPr>
          <w:b/>
          <w:spacing w:val="-5"/>
          <w:sz w:val="24"/>
          <w:u w:val="single"/>
        </w:rPr>
        <w:t> </w:t>
      </w:r>
      <w:r>
        <w:rPr>
          <w:b/>
          <w:sz w:val="24"/>
          <w:u w:val="single"/>
        </w:rPr>
        <w:t>personenbezogener</w:t>
      </w:r>
      <w:r>
        <w:rPr>
          <w:b/>
          <w:spacing w:val="-4"/>
          <w:sz w:val="24"/>
          <w:u w:val="single"/>
        </w:rPr>
        <w:t> Daten</w:t>
      </w:r>
    </w:p>
    <w:p>
      <w:pPr>
        <w:pStyle w:val="BodyText"/>
        <w:rPr>
          <w:b/>
          <w:sz w:val="16"/>
        </w:rPr>
      </w:pPr>
    </w:p>
    <w:p>
      <w:pPr>
        <w:pStyle w:val="BodyText"/>
        <w:spacing w:before="91"/>
        <w:ind w:left="799" w:right="106"/>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spacing w:after="0"/>
        <w:jc w:val="both"/>
        <w:sectPr>
          <w:pgSz w:w="11910" w:h="16840"/>
          <w:pgMar w:header="0" w:footer="687" w:top="1040" w:bottom="880" w:left="480" w:right="740"/>
        </w:sectPr>
      </w:pPr>
    </w:p>
    <w:p>
      <w:pPr>
        <w:pStyle w:val="BodyText"/>
        <w:spacing w:before="73"/>
        <w:ind w:left="799" w:right="279"/>
        <w:jc w:val="both"/>
      </w:pPr>
      <w:r>
        <w:rPr/>
        <w:t>Die Daten der ANS werden für die Dauer von zehn Jahren ab dem Ende der Abordnung aufbewahrt (zwei Jahre bei ANS, deren Bewerbung zurückgezogen oder nicht berücksichtigt wurde).</w:t>
      </w:r>
    </w:p>
    <w:p>
      <w:pPr>
        <w:pStyle w:val="BodyText"/>
        <w:ind w:left="799" w:right="105"/>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spacing w:before="1"/>
        <w:ind w:left="799" w:right="104"/>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9" w:firstLine="0"/>
      </w:pPr>
      <w:r>
        <w:rPr>
          <w:spacing w:val="-2"/>
          <w:u w:val="single"/>
        </w:rPr>
        <w:t>Kontaktinformationen</w:t>
      </w:r>
    </w:p>
    <w:p>
      <w:pPr>
        <w:pStyle w:val="ListParagraph"/>
        <w:numPr>
          <w:ilvl w:val="0"/>
          <w:numId w:val="6"/>
        </w:numPr>
        <w:tabs>
          <w:tab w:pos="1079" w:val="left" w:leader="none"/>
          <w:tab w:pos="1081" w:val="left" w:leader="none"/>
        </w:tabs>
        <w:spacing w:line="252" w:lineRule="exact" w:before="0" w:after="0"/>
        <w:ind w:left="1080" w:right="0" w:hanging="282"/>
        <w:jc w:val="left"/>
        <w:rPr>
          <w:b/>
          <w:sz w:val="22"/>
        </w:rPr>
      </w:pPr>
      <w:r>
        <w:rPr>
          <w:b/>
          <w:sz w:val="22"/>
        </w:rPr>
        <w:t>Data</w:t>
      </w:r>
      <w:r>
        <w:rPr>
          <w:b/>
          <w:spacing w:val="-4"/>
          <w:sz w:val="22"/>
        </w:rPr>
        <w:t> </w:t>
      </w:r>
      <w:r>
        <w:rPr>
          <w:b/>
          <w:spacing w:val="-2"/>
          <w:sz w:val="22"/>
        </w:rPr>
        <w:t>Controller</w:t>
      </w:r>
    </w:p>
    <w:p>
      <w:pPr>
        <w:pStyle w:val="BodyText"/>
        <w:ind w:left="1080" w:right="141"/>
      </w:pPr>
      <w:r>
        <w:rPr/>
        <w:t>Wenn</w:t>
      </w:r>
      <w:r>
        <w:rPr>
          <w:spacing w:val="-2"/>
        </w:rPr>
        <w:t> </w:t>
      </w:r>
      <w:r>
        <w:rPr/>
        <w:t>Sie</w:t>
      </w:r>
      <w:r>
        <w:rPr>
          <w:spacing w:val="-2"/>
        </w:rPr>
        <w:t> </w:t>
      </w:r>
      <w:r>
        <w:rPr/>
        <w:t>Ihre</w:t>
      </w:r>
      <w:r>
        <w:rPr>
          <w:spacing w:val="-2"/>
        </w:rPr>
        <w:t> </w:t>
      </w:r>
      <w:r>
        <w:rPr/>
        <w:t>Rechte</w:t>
      </w:r>
      <w:r>
        <w:rPr>
          <w:spacing w:val="-2"/>
        </w:rPr>
        <w:t> </w:t>
      </w:r>
      <w:r>
        <w:rPr/>
        <w:t>gemäß</w:t>
      </w:r>
      <w:r>
        <w:rPr>
          <w:spacing w:val="-2"/>
        </w:rPr>
        <w:t> </w:t>
      </w:r>
      <w:r>
        <w:rPr/>
        <w:t>der</w:t>
      </w:r>
      <w:r>
        <w:rPr>
          <w:spacing w:val="-2"/>
        </w:rPr>
        <w:t> </w:t>
      </w:r>
      <w:r>
        <w:rPr/>
        <w:t>Verordnung</w:t>
      </w:r>
      <w:r>
        <w:rPr>
          <w:spacing w:val="-2"/>
        </w:rPr>
        <w:t> </w:t>
      </w:r>
      <w:r>
        <w:rPr/>
        <w:t>(EU)</w:t>
      </w:r>
      <w:r>
        <w:rPr>
          <w:spacing w:val="-4"/>
        </w:rPr>
        <w:t> </w:t>
      </w:r>
      <w:r>
        <w:rPr/>
        <w:t>2018/1725</w:t>
      </w:r>
      <w:r>
        <w:rPr>
          <w:spacing w:val="-2"/>
        </w:rPr>
        <w:t> </w:t>
      </w:r>
      <w:r>
        <w:rPr/>
        <w:t>geltend</w:t>
      </w:r>
      <w:r>
        <w:rPr>
          <w:spacing w:val="-5"/>
        </w:rPr>
        <w:t> </w:t>
      </w:r>
      <w:r>
        <w:rPr/>
        <w:t>machen</w:t>
      </w:r>
      <w:r>
        <w:rPr>
          <w:spacing w:val="-5"/>
        </w:rPr>
        <w:t> </w:t>
      </w:r>
      <w:r>
        <w:rPr/>
        <w:t>möchten,</w:t>
      </w:r>
      <w:r>
        <w:rPr>
          <w:spacing w:val="-2"/>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rPr>
          <w:sz w:val="14"/>
        </w:rPr>
      </w:pPr>
    </w:p>
    <w:p>
      <w:pPr>
        <w:pStyle w:val="Heading1"/>
        <w:numPr>
          <w:ilvl w:val="0"/>
          <w:numId w:val="6"/>
        </w:numPr>
        <w:tabs>
          <w:tab w:pos="1079" w:val="left" w:leader="none"/>
          <w:tab w:pos="1081" w:val="left" w:leader="none"/>
        </w:tabs>
        <w:spacing w:line="240" w:lineRule="auto" w:before="91" w:after="0"/>
        <w:ind w:left="1080" w:right="0" w:hanging="282"/>
        <w:jc w:val="left"/>
      </w:pPr>
      <w:r>
        <w:rPr/>
        <w:t>Datenschutzbeauftragte</w:t>
      </w:r>
      <w:r>
        <w:rPr>
          <w:spacing w:val="-10"/>
        </w:rPr>
        <w:t> </w:t>
      </w:r>
      <w:r>
        <w:rPr/>
        <w:t>(DPO)</w:t>
      </w:r>
      <w:r>
        <w:rPr>
          <w:spacing w:val="-7"/>
        </w:rPr>
        <w:t> </w:t>
      </w:r>
      <w:r>
        <w:rPr/>
        <w:t>der</w:t>
      </w:r>
      <w:r>
        <w:rPr>
          <w:spacing w:val="-7"/>
        </w:rPr>
        <w:t> </w:t>
      </w:r>
      <w:r>
        <w:rPr>
          <w:spacing w:val="-2"/>
        </w:rPr>
        <w:t>Kommission</w:t>
      </w:r>
    </w:p>
    <w:p>
      <w:pPr>
        <w:pStyle w:val="BodyText"/>
        <w:spacing w:before="2"/>
        <w:ind w:left="1080" w:right="141"/>
      </w:pPr>
      <w:r>
        <w:rPr/>
        <w:t>Sie können sich an den Datenschutzbeauftragten (</w:t>
      </w:r>
      <w:hyperlink r:id="rId10">
        <w:r>
          <w:rPr>
            <w:color w:val="0000FF"/>
            <w:u w:val="single" w:color="0000FF"/>
          </w:rPr>
          <w:t>DATA-PROTECTION-OFFICER@ec.europa.eu</w:t>
        </w:r>
      </w:hyperlink>
      <w:r>
        <w:rPr/>
        <w:t>) wenden,</w:t>
      </w:r>
      <w:r>
        <w:rPr>
          <w:spacing w:val="-3"/>
        </w:rPr>
        <w:t> </w:t>
      </w:r>
      <w:r>
        <w:rPr/>
        <w:t>wenn</w:t>
      </w:r>
      <w:r>
        <w:rPr>
          <w:spacing w:val="-3"/>
        </w:rPr>
        <w:t> </w:t>
      </w:r>
      <w:r>
        <w:rPr/>
        <w:t>Sie</w:t>
      </w:r>
      <w:r>
        <w:rPr>
          <w:spacing w:val="-5"/>
        </w:rPr>
        <w:t> </w:t>
      </w:r>
      <w:r>
        <w:rPr/>
        <w:t>Fragen</w:t>
      </w:r>
      <w:r>
        <w:rPr>
          <w:spacing w:val="-3"/>
        </w:rPr>
        <w:t> </w:t>
      </w:r>
      <w:r>
        <w:rPr/>
        <w:t>zur</w:t>
      </w:r>
      <w:r>
        <w:rPr>
          <w:spacing w:val="-2"/>
        </w:rPr>
        <w:t> </w:t>
      </w:r>
      <w:r>
        <w:rPr/>
        <w:t>Verarbeitung</w:t>
      </w:r>
      <w:r>
        <w:rPr>
          <w:spacing w:val="-3"/>
        </w:rPr>
        <w:t> </w:t>
      </w:r>
      <w:r>
        <w:rPr/>
        <w:t>Ihrer</w:t>
      </w:r>
      <w:r>
        <w:rPr>
          <w:spacing w:val="-2"/>
        </w:rPr>
        <w:t> </w:t>
      </w:r>
      <w:r>
        <w:rPr/>
        <w:t>personenbezogenen</w:t>
      </w:r>
      <w:r>
        <w:rPr>
          <w:spacing w:val="-3"/>
        </w:rPr>
        <w:t> </w:t>
      </w:r>
      <w:r>
        <w:rPr/>
        <w:t>Daten</w:t>
      </w:r>
      <w:r>
        <w:rPr>
          <w:spacing w:val="-3"/>
        </w:rPr>
        <w:t> </w:t>
      </w:r>
      <w:r>
        <w:rPr/>
        <w:t>gemäß</w:t>
      </w:r>
      <w:r>
        <w:rPr>
          <w:spacing w:val="-3"/>
        </w:rPr>
        <w:t> </w:t>
      </w:r>
      <w:r>
        <w:rPr/>
        <w:t>der</w:t>
      </w:r>
      <w:r>
        <w:rPr>
          <w:spacing w:val="-2"/>
        </w:rPr>
        <w:t> </w:t>
      </w:r>
      <w:r>
        <w:rPr/>
        <w:t>Verordnung</w:t>
      </w:r>
      <w:r>
        <w:rPr>
          <w:spacing w:val="-6"/>
        </w:rPr>
        <w:t> </w:t>
      </w:r>
      <w:r>
        <w:rPr/>
        <w:t>(EU) 2018/1725 haben.</w:t>
      </w:r>
    </w:p>
    <w:p>
      <w:pPr>
        <w:pStyle w:val="BodyText"/>
        <w:spacing w:before="10"/>
        <w:rPr>
          <w:sz w:val="21"/>
        </w:rPr>
      </w:pPr>
    </w:p>
    <w:p>
      <w:pPr>
        <w:pStyle w:val="Heading1"/>
        <w:numPr>
          <w:ilvl w:val="0"/>
          <w:numId w:val="6"/>
        </w:numPr>
        <w:tabs>
          <w:tab w:pos="1079" w:val="left" w:leader="none"/>
          <w:tab w:pos="1081" w:val="left" w:leader="none"/>
        </w:tabs>
        <w:spacing w:line="240" w:lineRule="auto" w:before="0" w:after="0"/>
        <w:ind w:left="1080" w:right="0" w:hanging="282"/>
        <w:jc w:val="left"/>
      </w:pPr>
      <w:r>
        <w:rPr/>
        <w:t>Europäische</w:t>
      </w:r>
      <w:r>
        <w:rPr>
          <w:spacing w:val="-13"/>
        </w:rPr>
        <w:t> </w:t>
      </w:r>
      <w:r>
        <w:rPr/>
        <w:t>Datenschutzbeauftragte</w:t>
      </w:r>
      <w:r>
        <w:rPr>
          <w:spacing w:val="-13"/>
        </w:rPr>
        <w:t> </w:t>
      </w:r>
      <w:r>
        <w:rPr>
          <w:spacing w:val="-2"/>
        </w:rPr>
        <w:t>(EDSB)</w:t>
      </w:r>
    </w:p>
    <w:p>
      <w:pPr>
        <w:pStyle w:val="BodyText"/>
        <w:spacing w:before="1"/>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2"/>
        </w:rPr>
        <w:t> </w:t>
      </w:r>
      <w:r>
        <w:rPr/>
        <w:t>Verordnung</w:t>
      </w:r>
      <w:r>
        <w:rPr>
          <w:spacing w:val="-6"/>
        </w:rPr>
        <w:t> </w:t>
      </w:r>
      <w:r>
        <w:rPr/>
        <w:t>(EU)</w:t>
      </w:r>
      <w:r>
        <w:rPr>
          <w:spacing w:val="-2"/>
        </w:rPr>
        <w:t> </w:t>
      </w:r>
      <w:r>
        <w:rPr/>
        <w:t>2018/1725</w:t>
      </w:r>
      <w:r>
        <w:rPr>
          <w:spacing w:val="-3"/>
        </w:rPr>
        <w:t> </w:t>
      </w:r>
      <w:r>
        <w:rPr/>
        <w:t>bei</w:t>
      </w:r>
      <w:r>
        <w:rPr>
          <w:spacing w:val="-2"/>
        </w:rPr>
        <w:t> </w:t>
      </w:r>
      <w:r>
        <w:rPr/>
        <w:t>der</w:t>
      </w:r>
      <w:r>
        <w:rPr>
          <w:spacing w:val="-2"/>
        </w:rPr>
        <w:t> </w:t>
      </w:r>
      <w:r>
        <w:rPr/>
        <w:t>Verarbeitung</w:t>
      </w:r>
      <w:r>
        <w:rPr>
          <w:spacing w:val="-3"/>
        </w:rPr>
        <w:t> </w:t>
      </w:r>
      <w:r>
        <w:rPr/>
        <w:t>Ihrer</w:t>
      </w:r>
      <w:r>
        <w:rPr>
          <w:spacing w:val="-5"/>
        </w:rPr>
        <w:t> </w:t>
      </w:r>
      <w:r>
        <w:rPr/>
        <w:t>persönlichen</w:t>
      </w:r>
      <w:r>
        <w:rPr>
          <w:spacing w:val="-3"/>
        </w:rPr>
        <w:t> </w:t>
      </w:r>
      <w:r>
        <w:rPr/>
        <w:t>Daten</w:t>
      </w:r>
      <w:r>
        <w:rPr>
          <w:spacing w:val="-6"/>
        </w:rPr>
        <w:t> </w:t>
      </w:r>
      <w:r>
        <w:rPr/>
        <w:t>durch</w:t>
      </w:r>
      <w:r>
        <w:rPr>
          <w:spacing w:val="-3"/>
        </w:rPr>
        <w:t> </w:t>
      </w:r>
      <w:r>
        <w:rPr/>
        <w:t>den</w:t>
      </w:r>
      <w:r>
        <w:rPr>
          <w:spacing w:val="-3"/>
        </w:rPr>
        <w:t> </w:t>
      </w:r>
      <w:r>
        <w:rPr/>
        <w:t>Data</w:t>
      </w:r>
      <w:r>
        <w:rPr>
          <w:spacing w:val="-3"/>
        </w:rPr>
        <w:t> </w:t>
      </w:r>
      <w:r>
        <w:rPr/>
        <w:t>Controller verletzt wurden.</w:t>
      </w:r>
    </w:p>
    <w:p>
      <w:pPr>
        <w:pStyle w:val="BodyText"/>
      </w:pPr>
    </w:p>
    <w:p>
      <w:pPr>
        <w:pStyle w:val="BodyText"/>
        <w:ind w:left="1080" w:right="141" w:hanging="1"/>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87"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839996pt;margin-top:796.55542pt;width:56.1pt;height:10.95pt;mso-position-horizontal-relative:page;mso-position-vertical-relative:page;z-index:-15824896" type="#_x0000_t202" id="docshape1" filled="false" stroked="false">
          <v:textbox inset="0,0,0,0">
            <w:txbxContent>
              <w:p>
                <w:pPr>
                  <w:spacing w:before="14"/>
                  <w:ind w:left="20" w:right="0" w:firstLine="0"/>
                  <w:jc w:val="left"/>
                  <w:rPr>
                    <w:sz w:val="16"/>
                  </w:rPr>
                </w:pPr>
                <w:r>
                  <w:rPr>
                    <w:sz w:val="16"/>
                  </w:rPr>
                  <w:t>Version</w:t>
                </w:r>
                <w:r>
                  <w:rPr>
                    <w:spacing w:val="-10"/>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3"/>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972" w:hanging="363"/>
      </w:pPr>
      <w:rPr>
        <w:rFonts w:hint="default"/>
        <w:lang w:val="de-DE" w:eastAsia="en-US" w:bidi="ar-SA"/>
      </w:rPr>
    </w:lvl>
    <w:lvl w:ilvl="2">
      <w:start w:val="0"/>
      <w:numFmt w:val="bullet"/>
      <w:lvlText w:val="•"/>
      <w:lvlJc w:val="left"/>
      <w:pPr>
        <w:ind w:left="1485" w:hanging="363"/>
      </w:pPr>
      <w:rPr>
        <w:rFonts w:hint="default"/>
        <w:lang w:val="de-DE" w:eastAsia="en-US" w:bidi="ar-SA"/>
      </w:rPr>
    </w:lvl>
    <w:lvl w:ilvl="3">
      <w:start w:val="0"/>
      <w:numFmt w:val="bullet"/>
      <w:lvlText w:val="•"/>
      <w:lvlJc w:val="left"/>
      <w:pPr>
        <w:ind w:left="1997" w:hanging="363"/>
      </w:pPr>
      <w:rPr>
        <w:rFonts w:hint="default"/>
        <w:lang w:val="de-DE" w:eastAsia="en-US" w:bidi="ar-SA"/>
      </w:rPr>
    </w:lvl>
    <w:lvl w:ilvl="4">
      <w:start w:val="0"/>
      <w:numFmt w:val="bullet"/>
      <w:lvlText w:val="•"/>
      <w:lvlJc w:val="left"/>
      <w:pPr>
        <w:ind w:left="2510" w:hanging="363"/>
      </w:pPr>
      <w:rPr>
        <w:rFonts w:hint="default"/>
        <w:lang w:val="de-DE" w:eastAsia="en-US" w:bidi="ar-SA"/>
      </w:rPr>
    </w:lvl>
    <w:lvl w:ilvl="5">
      <w:start w:val="0"/>
      <w:numFmt w:val="bullet"/>
      <w:lvlText w:val="•"/>
      <w:lvlJc w:val="left"/>
      <w:pPr>
        <w:ind w:left="3023" w:hanging="363"/>
      </w:pPr>
      <w:rPr>
        <w:rFonts w:hint="default"/>
        <w:lang w:val="de-DE" w:eastAsia="en-US" w:bidi="ar-SA"/>
      </w:rPr>
    </w:lvl>
    <w:lvl w:ilvl="6">
      <w:start w:val="0"/>
      <w:numFmt w:val="bullet"/>
      <w:lvlText w:val="•"/>
      <w:lvlJc w:val="left"/>
      <w:pPr>
        <w:ind w:left="3535" w:hanging="363"/>
      </w:pPr>
      <w:rPr>
        <w:rFonts w:hint="default"/>
        <w:lang w:val="de-DE" w:eastAsia="en-US" w:bidi="ar-SA"/>
      </w:rPr>
    </w:lvl>
    <w:lvl w:ilvl="7">
      <w:start w:val="0"/>
      <w:numFmt w:val="bullet"/>
      <w:lvlText w:val="•"/>
      <w:lvlJc w:val="left"/>
      <w:pPr>
        <w:ind w:left="4048" w:hanging="363"/>
      </w:pPr>
      <w:rPr>
        <w:rFonts w:hint="default"/>
        <w:lang w:val="de-DE" w:eastAsia="en-US" w:bidi="ar-SA"/>
      </w:rPr>
    </w:lvl>
    <w:lvl w:ilvl="8">
      <w:start w:val="0"/>
      <w:numFmt w:val="bullet"/>
      <w:lvlText w:val="•"/>
      <w:lvlJc w:val="left"/>
      <w:pPr>
        <w:ind w:left="4560" w:hanging="363"/>
      </w:pPr>
      <w:rPr>
        <w:rFonts w:hint="default"/>
        <w:lang w:val="de-DE" w:eastAsia="en-US" w:bidi="ar-SA"/>
      </w:rPr>
    </w:lvl>
  </w:abstractNum>
  <w:abstractNum w:abstractNumId="5">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4">
    <w:multiLevelType w:val="hybridMultilevel"/>
    <w:lvl w:ilvl="0">
      <w:start w:val="1"/>
      <w:numFmt w:val="lowerLetter"/>
      <w:lvlText w:val="%1)"/>
      <w:lvlJc w:val="left"/>
      <w:pPr>
        <w:ind w:left="1039" w:hanging="241"/>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190" w:hanging="128"/>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8"/>
      </w:pPr>
      <w:rPr>
        <w:rFonts w:hint="default"/>
        <w:lang w:val="de-DE" w:eastAsia="en-US" w:bidi="ar-SA"/>
      </w:rPr>
    </w:lvl>
    <w:lvl w:ilvl="3">
      <w:start w:val="0"/>
      <w:numFmt w:val="bullet"/>
      <w:lvlText w:val="•"/>
      <w:lvlJc w:val="left"/>
      <w:pPr>
        <w:ind w:left="3308" w:hanging="128"/>
      </w:pPr>
      <w:rPr>
        <w:rFonts w:hint="default"/>
        <w:lang w:val="de-DE" w:eastAsia="en-US" w:bidi="ar-SA"/>
      </w:rPr>
    </w:lvl>
    <w:lvl w:ilvl="4">
      <w:start w:val="0"/>
      <w:numFmt w:val="bullet"/>
      <w:lvlText w:val="•"/>
      <w:lvlJc w:val="left"/>
      <w:pPr>
        <w:ind w:left="4362" w:hanging="128"/>
      </w:pPr>
      <w:rPr>
        <w:rFonts w:hint="default"/>
        <w:lang w:val="de-DE" w:eastAsia="en-US" w:bidi="ar-SA"/>
      </w:rPr>
    </w:lvl>
    <w:lvl w:ilvl="5">
      <w:start w:val="0"/>
      <w:numFmt w:val="bullet"/>
      <w:lvlText w:val="•"/>
      <w:lvlJc w:val="left"/>
      <w:pPr>
        <w:ind w:left="5416" w:hanging="128"/>
      </w:pPr>
      <w:rPr>
        <w:rFonts w:hint="default"/>
        <w:lang w:val="de-DE" w:eastAsia="en-US" w:bidi="ar-SA"/>
      </w:rPr>
    </w:lvl>
    <w:lvl w:ilvl="6">
      <w:start w:val="0"/>
      <w:numFmt w:val="bullet"/>
      <w:lvlText w:val="•"/>
      <w:lvlJc w:val="left"/>
      <w:pPr>
        <w:ind w:left="6470" w:hanging="128"/>
      </w:pPr>
      <w:rPr>
        <w:rFonts w:hint="default"/>
        <w:lang w:val="de-DE" w:eastAsia="en-US" w:bidi="ar-SA"/>
      </w:rPr>
    </w:lvl>
    <w:lvl w:ilvl="7">
      <w:start w:val="0"/>
      <w:numFmt w:val="bullet"/>
      <w:lvlText w:val="•"/>
      <w:lvlJc w:val="left"/>
      <w:pPr>
        <w:ind w:left="7524" w:hanging="128"/>
      </w:pPr>
      <w:rPr>
        <w:rFonts w:hint="default"/>
        <w:lang w:val="de-DE" w:eastAsia="en-US" w:bidi="ar-SA"/>
      </w:rPr>
    </w:lvl>
    <w:lvl w:ilvl="8">
      <w:start w:val="0"/>
      <w:numFmt w:val="bullet"/>
      <w:lvlText w:val="•"/>
      <w:lvlJc w:val="left"/>
      <w:pPr>
        <w:ind w:left="8578" w:hanging="128"/>
      </w:pPr>
      <w:rPr>
        <w:rFonts w:hint="default"/>
        <w:lang w:val="de-DE" w:eastAsia="en-US" w:bidi="ar-SA"/>
      </w:rPr>
    </w:lvl>
  </w:abstractNum>
  <w:abstractNum w:abstractNumId="2">
    <w:multiLevelType w:val="hybridMultilevel"/>
    <w:lvl w:ilvl="0">
      <w:start w:val="0"/>
      <w:numFmt w:val="bullet"/>
      <w:lvlText w:val=""/>
      <w:lvlJc w:val="left"/>
      <w:pPr>
        <w:ind w:left="522" w:hanging="41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5"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3" w:hanging="252"/>
      </w:pPr>
      <w:rPr>
        <w:rFonts w:hint="default"/>
        <w:lang w:val="de-DE" w:eastAsia="en-US" w:bidi="ar-SA"/>
      </w:rPr>
    </w:lvl>
    <w:lvl w:ilvl="3">
      <w:start w:val="0"/>
      <w:numFmt w:val="bullet"/>
      <w:lvlText w:val="•"/>
      <w:lvlJc w:val="left"/>
      <w:pPr>
        <w:ind w:left="2847" w:hanging="252"/>
      </w:pPr>
      <w:rPr>
        <w:rFonts w:hint="default"/>
        <w:lang w:val="de-DE" w:eastAsia="en-US" w:bidi="ar-SA"/>
      </w:rPr>
    </w:lvl>
    <w:lvl w:ilvl="4">
      <w:start w:val="0"/>
      <w:numFmt w:val="bullet"/>
      <w:lvlText w:val="•"/>
      <w:lvlJc w:val="left"/>
      <w:pPr>
        <w:ind w:left="3861" w:hanging="252"/>
      </w:pPr>
      <w:rPr>
        <w:rFonts w:hint="default"/>
        <w:lang w:val="de-DE" w:eastAsia="en-US" w:bidi="ar-SA"/>
      </w:rPr>
    </w:lvl>
    <w:lvl w:ilvl="5">
      <w:start w:val="0"/>
      <w:numFmt w:val="bullet"/>
      <w:lvlText w:val="•"/>
      <w:lvlJc w:val="left"/>
      <w:pPr>
        <w:ind w:left="4875" w:hanging="252"/>
      </w:pPr>
      <w:rPr>
        <w:rFonts w:hint="default"/>
        <w:lang w:val="de-DE" w:eastAsia="en-US" w:bidi="ar-SA"/>
      </w:rPr>
    </w:lvl>
    <w:lvl w:ilvl="6">
      <w:start w:val="0"/>
      <w:numFmt w:val="bullet"/>
      <w:lvlText w:val="•"/>
      <w:lvlJc w:val="left"/>
      <w:pPr>
        <w:ind w:left="5888" w:hanging="252"/>
      </w:pPr>
      <w:rPr>
        <w:rFonts w:hint="default"/>
        <w:lang w:val="de-DE" w:eastAsia="en-US" w:bidi="ar-SA"/>
      </w:rPr>
    </w:lvl>
    <w:lvl w:ilvl="7">
      <w:start w:val="0"/>
      <w:numFmt w:val="bullet"/>
      <w:lvlText w:val="•"/>
      <w:lvlJc w:val="left"/>
      <w:pPr>
        <w:ind w:left="6902" w:hanging="252"/>
      </w:pPr>
      <w:rPr>
        <w:rFonts w:hint="default"/>
        <w:lang w:val="de-DE" w:eastAsia="en-US" w:bidi="ar-SA"/>
      </w:rPr>
    </w:lvl>
    <w:lvl w:ilvl="8">
      <w:start w:val="0"/>
      <w:numFmt w:val="bullet"/>
      <w:lvlText w:val="•"/>
      <w:lvlJc w:val="left"/>
      <w:pPr>
        <w:ind w:left="7916" w:hanging="252"/>
      </w:pPr>
      <w:rPr>
        <w:rFonts w:hint="default"/>
        <w:lang w:val="de-DE" w:eastAsia="en-US" w:bidi="ar-SA"/>
      </w:rPr>
    </w:lvl>
  </w:abstractNum>
  <w:abstractNum w:abstractNumId="1">
    <w:multiLevelType w:val="hybridMultilevel"/>
    <w:lvl w:ilvl="0">
      <w:start w:val="0"/>
      <w:numFmt w:val="bullet"/>
      <w:lvlText w:val=""/>
      <w:lvlJc w:val="left"/>
      <w:pPr>
        <w:ind w:left="412" w:hanging="308"/>
      </w:pPr>
      <w:rPr>
        <w:rFonts w:hint="default" w:ascii="Wingdings" w:hAnsi="Wingdings" w:eastAsia="Wingdings" w:cs="Wingdings"/>
        <w:b w:val="0"/>
        <w:bCs w:val="0"/>
        <w:i w:val="0"/>
        <w:iCs w:val="0"/>
        <w:w w:val="100"/>
        <w:sz w:val="22"/>
        <w:szCs w:val="22"/>
        <w:lang w:val="de-DE" w:eastAsia="en-US" w:bidi="ar-SA"/>
      </w:rPr>
    </w:lvl>
    <w:lvl w:ilvl="1">
      <w:start w:val="0"/>
      <w:numFmt w:val="bullet"/>
      <w:lvlText w:val="•"/>
      <w:lvlJc w:val="left"/>
      <w:pPr>
        <w:ind w:left="936" w:hanging="308"/>
      </w:pPr>
      <w:rPr>
        <w:rFonts w:hint="default"/>
        <w:lang w:val="de-DE" w:eastAsia="en-US" w:bidi="ar-SA"/>
      </w:rPr>
    </w:lvl>
    <w:lvl w:ilvl="2">
      <w:start w:val="0"/>
      <w:numFmt w:val="bullet"/>
      <w:lvlText w:val="•"/>
      <w:lvlJc w:val="left"/>
      <w:pPr>
        <w:ind w:left="1453" w:hanging="308"/>
      </w:pPr>
      <w:rPr>
        <w:rFonts w:hint="default"/>
        <w:lang w:val="de-DE" w:eastAsia="en-US" w:bidi="ar-SA"/>
      </w:rPr>
    </w:lvl>
    <w:lvl w:ilvl="3">
      <w:start w:val="0"/>
      <w:numFmt w:val="bullet"/>
      <w:lvlText w:val="•"/>
      <w:lvlJc w:val="left"/>
      <w:pPr>
        <w:ind w:left="1969" w:hanging="308"/>
      </w:pPr>
      <w:rPr>
        <w:rFonts w:hint="default"/>
        <w:lang w:val="de-DE" w:eastAsia="en-US" w:bidi="ar-SA"/>
      </w:rPr>
    </w:lvl>
    <w:lvl w:ilvl="4">
      <w:start w:val="0"/>
      <w:numFmt w:val="bullet"/>
      <w:lvlText w:val="•"/>
      <w:lvlJc w:val="left"/>
      <w:pPr>
        <w:ind w:left="2486" w:hanging="308"/>
      </w:pPr>
      <w:rPr>
        <w:rFonts w:hint="default"/>
        <w:lang w:val="de-DE" w:eastAsia="en-US" w:bidi="ar-SA"/>
      </w:rPr>
    </w:lvl>
    <w:lvl w:ilvl="5">
      <w:start w:val="0"/>
      <w:numFmt w:val="bullet"/>
      <w:lvlText w:val="•"/>
      <w:lvlJc w:val="left"/>
      <w:pPr>
        <w:ind w:left="3003" w:hanging="308"/>
      </w:pPr>
      <w:rPr>
        <w:rFonts w:hint="default"/>
        <w:lang w:val="de-DE" w:eastAsia="en-US" w:bidi="ar-SA"/>
      </w:rPr>
    </w:lvl>
    <w:lvl w:ilvl="6">
      <w:start w:val="0"/>
      <w:numFmt w:val="bullet"/>
      <w:lvlText w:val="•"/>
      <w:lvlJc w:val="left"/>
      <w:pPr>
        <w:ind w:left="3519" w:hanging="308"/>
      </w:pPr>
      <w:rPr>
        <w:rFonts w:hint="default"/>
        <w:lang w:val="de-DE" w:eastAsia="en-US" w:bidi="ar-SA"/>
      </w:rPr>
    </w:lvl>
    <w:lvl w:ilvl="7">
      <w:start w:val="0"/>
      <w:numFmt w:val="bullet"/>
      <w:lvlText w:val="•"/>
      <w:lvlJc w:val="left"/>
      <w:pPr>
        <w:ind w:left="4036" w:hanging="308"/>
      </w:pPr>
      <w:rPr>
        <w:rFonts w:hint="default"/>
        <w:lang w:val="de-DE" w:eastAsia="en-US" w:bidi="ar-SA"/>
      </w:rPr>
    </w:lvl>
    <w:lvl w:ilvl="8">
      <w:start w:val="0"/>
      <w:numFmt w:val="bullet"/>
      <w:lvlText w:val="•"/>
      <w:lvlJc w:val="left"/>
      <w:pPr>
        <w:ind w:left="4552" w:hanging="308"/>
      </w:pPr>
      <w:rPr>
        <w:rFonts w:hint="default"/>
        <w:lang w:val="de-DE" w:eastAsia="en-US" w:bidi="ar-SA"/>
      </w:rPr>
    </w:lvl>
  </w:abstractNum>
  <w:abstractNum w:abstractNumId="3">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2" w:hanging="132"/>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080" w:hanging="132"/>
      </w:pPr>
      <w:rPr>
        <w:rFonts w:hint="default"/>
        <w:lang w:val="de-DE" w:eastAsia="en-US" w:bidi="ar-SA"/>
      </w:rPr>
    </w:lvl>
    <w:lvl w:ilvl="3">
      <w:start w:val="0"/>
      <w:numFmt w:val="bullet"/>
      <w:lvlText w:val="•"/>
      <w:lvlJc w:val="left"/>
      <w:pPr>
        <w:ind w:left="2280" w:hanging="132"/>
      </w:pPr>
      <w:rPr>
        <w:rFonts w:hint="default"/>
        <w:lang w:val="de-DE" w:eastAsia="en-US" w:bidi="ar-SA"/>
      </w:rPr>
    </w:lvl>
    <w:lvl w:ilvl="4">
      <w:start w:val="0"/>
      <w:numFmt w:val="bullet"/>
      <w:lvlText w:val="•"/>
      <w:lvlJc w:val="left"/>
      <w:pPr>
        <w:ind w:left="3481" w:hanging="132"/>
      </w:pPr>
      <w:rPr>
        <w:rFonts w:hint="default"/>
        <w:lang w:val="de-DE" w:eastAsia="en-US" w:bidi="ar-SA"/>
      </w:rPr>
    </w:lvl>
    <w:lvl w:ilvl="5">
      <w:start w:val="0"/>
      <w:numFmt w:val="bullet"/>
      <w:lvlText w:val="•"/>
      <w:lvlJc w:val="left"/>
      <w:pPr>
        <w:ind w:left="4682" w:hanging="132"/>
      </w:pPr>
      <w:rPr>
        <w:rFonts w:hint="default"/>
        <w:lang w:val="de-DE" w:eastAsia="en-US" w:bidi="ar-SA"/>
      </w:rPr>
    </w:lvl>
    <w:lvl w:ilvl="6">
      <w:start w:val="0"/>
      <w:numFmt w:val="bullet"/>
      <w:lvlText w:val="•"/>
      <w:lvlJc w:val="left"/>
      <w:pPr>
        <w:ind w:left="5883" w:hanging="132"/>
      </w:pPr>
      <w:rPr>
        <w:rFonts w:hint="default"/>
        <w:lang w:val="de-DE" w:eastAsia="en-US" w:bidi="ar-SA"/>
      </w:rPr>
    </w:lvl>
    <w:lvl w:ilvl="7">
      <w:start w:val="0"/>
      <w:numFmt w:val="bullet"/>
      <w:lvlText w:val="•"/>
      <w:lvlJc w:val="left"/>
      <w:pPr>
        <w:ind w:left="7084" w:hanging="132"/>
      </w:pPr>
      <w:rPr>
        <w:rFonts w:hint="default"/>
        <w:lang w:val="de-DE" w:eastAsia="en-US" w:bidi="ar-SA"/>
      </w:rPr>
    </w:lvl>
    <w:lvl w:ilvl="8">
      <w:start w:val="0"/>
      <w:numFmt w:val="bullet"/>
      <w:lvlText w:val="•"/>
      <w:lvlJc w:val="left"/>
      <w:pPr>
        <w:ind w:left="8284" w:hanging="132"/>
      </w:pPr>
      <w:rPr>
        <w:rFonts w:hint="default"/>
        <w:lang w:val="de-DE" w:eastAsia="en-US" w:bidi="ar-SA"/>
      </w:rPr>
    </w:lvl>
  </w:abstractNum>
  <w:num w:numId="1">
    <w:abstractNumId w:val="0"/>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372"/>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moro.RUBIN-DE-CERVI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2023-06-06T13:18:16Z</dcterms:created>
  <dcterms:modified xsi:type="dcterms:W3CDTF">2023-06-06T13:18:16Z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2023-06-06T00:00:00Z</vt:filetime>
  </property>
  <property fmtid="{D5CDD505-2E9C-101B-9397-08002B2CF9AE}" pid="3" name="Creator">
    <vt:lpwstr>Acrobat PDFMaker 23 for Word</vt:lpwstr>
  </property>
  <property fmtid="{D5CDD505-2E9C-101B-9397-08002B2CF9AE}" pid="4" name="LastSaved">
    <vt:filetime>2023-06-06T00:00:00Z</vt:filetime>
  </property>
  <property fmtid="{D5CDD505-2E9C-101B-9397-08002B2CF9AE}" pid="5" name="MSIP_Label_6bd9ddd1-4d20-43f6-abfa-fc3c07406f94_ActionId">
    <vt:lpwstr>e80419cb-e79e-44fc-a90f-723cd02d3646</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2023-03-03T13:55:02Z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D:20230303141400</vt:lpwstr>
  </property>
</Properties>
</file>