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B6FF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B6FF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B6FF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B6FF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B6FF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B6FF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A4D00D4598774584ADCF02911B544FBE"/>
                </w:placeholder>
              </w:sdtPr>
              <w:sdtEndPr>
                <w:rPr>
                  <w:lang w:val="en-IE"/>
                </w:rPr>
              </w:sdtEndPr>
              <w:sdtContent>
                <w:tc>
                  <w:tcPr>
                    <w:tcW w:w="5491" w:type="dxa"/>
                  </w:tcPr>
                  <w:p w14:paraId="163192D7" w14:textId="3F6633A2" w:rsidR="00546DB1" w:rsidRPr="00546DB1" w:rsidRDefault="0017550F" w:rsidP="00AB56F9">
                    <w:pPr>
                      <w:tabs>
                        <w:tab w:val="left" w:pos="426"/>
                      </w:tabs>
                      <w:spacing w:before="120"/>
                      <w:rPr>
                        <w:bCs/>
                        <w:lang w:val="en-IE" w:eastAsia="en-GB"/>
                      </w:rPr>
                    </w:pPr>
                    <w:r>
                      <w:rPr>
                        <w:bCs/>
                        <w:lang w:val="en-IE" w:eastAsia="en-GB"/>
                      </w:rPr>
                      <w:t>CNECT – E - 4</w:t>
                    </w:r>
                  </w:p>
                </w:tc>
              </w:sdtContent>
            </w:sdt>
          </w:sdtContent>
        </w:sdt>
      </w:tr>
      <w:tr w:rsidR="00546DB1" w:rsidRPr="00CB6FF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77777777" w:rsidR="00546DB1" w:rsidRPr="003B2E38" w:rsidRDefault="00546DB1" w:rsidP="00AB56F9">
                <w:pPr>
                  <w:tabs>
                    <w:tab w:val="left" w:pos="426"/>
                  </w:tabs>
                  <w:spacing w:before="120"/>
                  <w:rPr>
                    <w:bCs/>
                    <w:lang w:val="en-IE" w:eastAsia="en-GB"/>
                  </w:rPr>
                </w:pPr>
                <w:r w:rsidRPr="00CB6FF1">
                  <w:rPr>
                    <w:rStyle w:val="PlaceholderText"/>
                    <w:bCs/>
                    <w:lang w:val="en-GB"/>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7BA83E2" w:rsidR="00546DB1" w:rsidRPr="00CB6FF1" w:rsidRDefault="0017550F" w:rsidP="00AB56F9">
                <w:pPr>
                  <w:tabs>
                    <w:tab w:val="left" w:pos="426"/>
                  </w:tabs>
                  <w:spacing w:before="120"/>
                  <w:rPr>
                    <w:bCs/>
                    <w:lang w:eastAsia="en-GB"/>
                  </w:rPr>
                </w:pPr>
                <w:r>
                  <w:rPr>
                    <w:bCs/>
                    <w:lang w:eastAsia="en-GB"/>
                  </w:rPr>
                  <w:t>Max Lemke</w:t>
                </w:r>
              </w:p>
            </w:sdtContent>
          </w:sdt>
          <w:p w14:paraId="227D6F6E" w14:textId="76C6DB68" w:rsidR="00546DB1" w:rsidRPr="009F216F" w:rsidRDefault="00CB6FF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7550F">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7967AD77" w:rsidR="00546DB1" w:rsidRPr="00546DB1" w:rsidRDefault="00CB6FF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7550F">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7550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0A5EB9C"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8pt" o:ole="">
                  <v:imagedata r:id="rId12" o:title=""/>
                </v:shape>
                <w:control r:id="rId13" w:name="OptionButton6" w:shapeid="_x0000_i1037"/>
              </w:object>
            </w:r>
            <w:r>
              <w:rPr>
                <w:bCs/>
                <w:szCs w:val="24"/>
              </w:rPr>
              <w:object w:dxaOrig="225" w:dyaOrig="225" w14:anchorId="28F21F18">
                <v:shape id="_x0000_i1039" type="#_x0000_t75" style="width:158.8pt;height:21.8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1934C47"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8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B6FF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588FCE99"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17550F">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B6FF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506BDC16" w:rsidR="00AB56F9" w:rsidRDefault="00CB6FF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17550F">
              <w:rPr>
                <w:b/>
                <w:bCs/>
                <w:lang w:eastAsia="en-GB"/>
              </w:rPr>
              <w:t xml:space="preserve"> </w:t>
            </w:r>
            <w:r w:rsidR="0017550F" w:rsidRPr="0017550F">
              <w:rPr>
                <w:lang w:eastAsia="en-GB"/>
              </w:rPr>
              <w:t>UN-Agenturen, OECD</w:t>
            </w:r>
            <w:r w:rsidR="002C5752" w:rsidRPr="0017550F">
              <w:rPr>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902A1A7"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4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54B78F01"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2pt;height:21.8pt" o:ole="">
                  <v:imagedata r:id="rId20" o:title=""/>
                </v:shape>
                <w:control r:id="rId21" w:name="OptionButton2" w:shapeid="_x0000_i1045"/>
              </w:object>
            </w:r>
            <w:r>
              <w:rPr>
                <w:bCs/>
                <w:szCs w:val="24"/>
              </w:rPr>
              <w:object w:dxaOrig="225" w:dyaOrig="225" w14:anchorId="50596B69">
                <v:shape id="_x0000_i1047" type="#_x0000_t75" style="width:108.2pt;height:21.8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5B8BC15" w14:textId="77777777" w:rsidR="008372E0" w:rsidRPr="00B73C78" w:rsidRDefault="008372E0" w:rsidP="008372E0">
          <w:pPr>
            <w:spacing w:after="160" w:line="259" w:lineRule="auto"/>
          </w:pPr>
          <w:r w:rsidRPr="00B73C78">
            <w:t xml:space="preserve">Die Direktion widmet sich der strategischen Weiterentwicklung von Politik, Technologieforschung und Standardisierung im gesamten Spektrum des Future Internet. Dies stellt eine kohärente Integration aller Aspekte sicher und positioniert Europa als </w:t>
          </w:r>
          <w:r w:rsidRPr="00B73C78">
            <w:lastRenderedPageBreak/>
            <w:t>Vorreiter bei der Gestaltung, Aufrechterhaltung und Bereitstellung des Internets von morgen. Die strategische Agenda priorisiert wesentliche Komponenten für die digitale Wirtschaft, wie die Förderung globaler 5G/6G-Richtlinien, die Erforschung und Innovation zukünftiger mobiler Systeme, die strategische Nutzung von Frequenzen, die Implementierung von Cloud-Richtlinien und die Unterstützung von Softwarestrategien. Die Agenda umfasst auch die Entwicklung und Umsetzung einer gemeinsamen europäischen IoT-Agenda sowie die Förderung der Entwicklung einer Internetsicherheits- und Offenheitspolitik. Darüber hinaus unterstützt die Agenda die Next Generation Internet Initiative, die Internet-Innovatoren bei der Entwicklung der Bausteine ​​für ein menschenzentriertes Internet unterstützt und gleichzeitig die langfristigen Aussichten des Internets berücksichtigt.</w:t>
          </w:r>
        </w:p>
        <w:p w14:paraId="7B145043" w14:textId="77777777" w:rsidR="008372E0" w:rsidRPr="00B73C78" w:rsidRDefault="008372E0" w:rsidP="008372E0">
          <w:pPr>
            <w:spacing w:after="160" w:line="259" w:lineRule="auto"/>
          </w:pPr>
          <w:r w:rsidRPr="00B73C78">
            <w:t>Die Direktion fungiert als Kompetenzzentrum für Fragen des Übergangs zum grünen digitalen Zwilling, Cloud-Richtlinien, freien Datenfluss und IoT-Haftung, wobei der Schwerpunkt auf offenen Serviceplattformen liegt. Die Direktion arbeitet mit einer globalen Perspektive, nutzt die multilaterale Zusammenarbeit und stärkt die Internet-Governance. Es fördert groß angelegte, experimentelle Forschung, Validierung und Pilotierung zukünftiger Internetsysteme, -dienste und -architekturen. Darüber hinaus setzt die Direktion eine innovative Industriestrategie um, die die Vorteile des Internets in allen wirtschaftlichen und sozialen Bereichen untersucht und sich an den Prioritäten der digitalen Transformation der europäischen Wirtschaft orientiert. Dazu gehört die Förderung des digitalen und grünen Wandels in den Bereichen Landwirtschaft, Energie und Mobilität sowie die Leitung der Implementierung von Datenräumen in diesen jeweiligen Bereichen (im Rahmen des Programms „Digitales Europa“)</w:t>
          </w:r>
        </w:p>
        <w:p w14:paraId="76DD1EEA" w14:textId="555803FD" w:rsidR="00803007" w:rsidRDefault="00CB6FF1"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1F77789" w14:textId="77777777" w:rsidR="0017550F" w:rsidRDefault="0017550F" w:rsidP="0017550F">
          <w:pPr>
            <w:spacing w:after="0"/>
            <w:rPr>
              <w:lang w:eastAsia="en-GB"/>
            </w:rPr>
          </w:pPr>
          <w:r>
            <w:rPr>
              <w:lang w:eastAsia="en-GB"/>
            </w:rPr>
            <w:t>Unter der Aufsicht von Kommissionsbeamten soll der ANS zur Entwicklung und Umsetzung der Kommissionspolitik im Bereich der digitalen Aspekte des grünen Wandels (gemeinsamer grüner und digitaler Übergang / Twin Transition) beitragen. Die Arbeit wird die Koordinierung bestehender Initiativen im Zusammenhang mit der Ökologisierung von IKT, digitalen Lösungen für Umwelt und Klima mit Schwerpunkt auf Kreislaufwirtschaft (digitaler Produktpass) umfassen.</w:t>
          </w:r>
        </w:p>
        <w:p w14:paraId="5DB1909E" w14:textId="77777777" w:rsidR="0017550F" w:rsidRDefault="0017550F" w:rsidP="0017550F">
          <w:pPr>
            <w:spacing w:after="0"/>
            <w:rPr>
              <w:lang w:eastAsia="en-GB"/>
            </w:rPr>
          </w:pPr>
        </w:p>
        <w:p w14:paraId="0005F30A" w14:textId="677709DE" w:rsidR="0017550F" w:rsidRDefault="0017550F" w:rsidP="0017550F">
          <w:pPr>
            <w:spacing w:after="0"/>
            <w:rPr>
              <w:lang w:eastAsia="en-GB"/>
            </w:rPr>
          </w:pPr>
          <w:r>
            <w:rPr>
              <w:lang w:eastAsia="en-GB"/>
            </w:rPr>
            <w:t>Sie/ er wird zur Koordinierung der grünen digitalen Themen intern im CNECT zwischen den Dienststellen der Kommission (anderen Generaldirektionen und Agenturen) beitragen. Sie/er wird mit dem Europäischen Parlament, den Mitgliedstaaten, Verbänden, Unternehmen, NRO, der Wissenschaft und Denkfabriken zusammenarbeiten zu europäischen, internationalen und multilateralen Dimension nachhaltiger Aspekte der Digitalpolitik der Europäischen Kommission. Die Arbeit umfasst auch die Bereitstellung strategischer Analysen, einschließlich der Analyse von Märkten und Technologien, Beiträge zur Ausarbeitung und Verwaltung von Zuschüssen und Ausschreibungen, die Vorbereitung von Briefing-Unterlagen und Reden zu bestimmten politischen Bereichen und Themen sowie die Organisation relevanter hochrangiger Veranstaltungen. Der ANS wird eng mit dem Berater zusammenarbeiten, der für die digitalen Aspekte des grünen Übergangs zuständig ist.</w:t>
          </w:r>
        </w:p>
        <w:p w14:paraId="5CC26775" w14:textId="77777777" w:rsidR="0017550F" w:rsidRDefault="0017550F" w:rsidP="0017550F">
          <w:pPr>
            <w:spacing w:after="0"/>
            <w:rPr>
              <w:lang w:eastAsia="en-GB"/>
            </w:rPr>
          </w:pPr>
        </w:p>
        <w:p w14:paraId="2CCEAD79" w14:textId="77777777" w:rsidR="0017550F" w:rsidRDefault="0017550F" w:rsidP="0017550F">
          <w:pPr>
            <w:spacing w:after="0"/>
            <w:rPr>
              <w:lang w:eastAsia="en-GB"/>
            </w:rPr>
          </w:pPr>
          <w:r>
            <w:rPr>
              <w:lang w:eastAsia="en-GB"/>
            </w:rPr>
            <w:lastRenderedPageBreak/>
            <w:t>Die offenen Stellen für abgeordnete nationale Sachverständige (ANS) sind in folgende politische Rahmenbedingungen eingebettet:</w:t>
          </w:r>
        </w:p>
        <w:p w14:paraId="0FE1BBB3" w14:textId="77777777" w:rsidR="0017550F" w:rsidRDefault="0017550F" w:rsidP="0017550F">
          <w:pPr>
            <w:spacing w:after="0"/>
            <w:rPr>
              <w:lang w:eastAsia="en-GB"/>
            </w:rPr>
          </w:pPr>
          <w:r>
            <w:rPr>
              <w:lang w:eastAsia="en-GB"/>
            </w:rPr>
            <w:t>Eine übergeordnete Priorität der Europäischen Grünen Deals ist die Partnerschaft der jeweiligen digitalen und ökologischen (grünen) Transformationen, wie sie im kürzlich vorgelegten Strategic Foresight Report 2022 zum Ausdruck kommen. Die Mitgliedstaaten erkannten die Notwendigkeit einer doppelten Transformation an und unterstrichen die Notwendigkeit, mit der Annahme der Schlussfolgerungen des Rates „Digitalisierung zum Wohle der Umwelt“ im Dezember 2020 und einer anschließenden gemeinsamen Ministererklärung „The Declaration on a Green and Digital Transformation der EU“ im März 2021 im Rahmen des Digital Day 4 in Lissabon und eine Ministererklärung „Call for Green Digital Transformation“ im Rahmen der Digital Assembly in Toulouse im Jahr 2022. Beim Digital Day 4 haben 26 CEOs von European und internationale IKT-Unternehmen haben eine Koalition gegründet und sich verpflichtet, gemeinsam Metriken zu erstellen, um den Netto-Umweltnutzen digitaler Lösungen zu messen. Auf Anfrage des Europäischen Parlaments initiierte die GD CNECT ein Pilotprojekt zur Unterstützung der European Green Digital Coalition.</w:t>
          </w:r>
        </w:p>
        <w:p w14:paraId="76FD6C69" w14:textId="77777777" w:rsidR="0017550F" w:rsidRDefault="0017550F" w:rsidP="0017550F">
          <w:pPr>
            <w:spacing w:after="0"/>
            <w:rPr>
              <w:lang w:eastAsia="en-GB"/>
            </w:rPr>
          </w:pPr>
        </w:p>
        <w:p w14:paraId="7F4980D9" w14:textId="77777777" w:rsidR="0017550F" w:rsidRDefault="0017550F" w:rsidP="0017550F">
          <w:pPr>
            <w:spacing w:after="0"/>
            <w:rPr>
              <w:lang w:eastAsia="en-GB"/>
            </w:rPr>
          </w:pPr>
        </w:p>
        <w:p w14:paraId="41E10A35" w14:textId="77777777" w:rsidR="0017550F" w:rsidRDefault="0017550F" w:rsidP="0017550F">
          <w:pPr>
            <w:spacing w:after="0"/>
            <w:rPr>
              <w:lang w:eastAsia="en-GB"/>
            </w:rPr>
          </w:pPr>
          <w:r>
            <w:rPr>
              <w:lang w:eastAsia="en-GB"/>
            </w:rPr>
            <w:t>Unbeschadet des Grundsatzes der loyalen Zusammenarbeit zwischen den nationalen/regionalen und europäischen Verwaltungen wird der ANS nicht an Vorgängen oder direkt benachbarter Fälle arbeiten, die sie/er in ihrer/seiner nationalen Verwaltung, in den 2 Jahren vor Eintritt in die Kommission, hätte bearbeiten müssen. In keinem Fall darf er die Kommission vertreten, um finanzielle oder sonstige Verpflichtungen einzugehen oder im Namen der Kommission zu verhandeln.</w:t>
          </w:r>
        </w:p>
        <w:p w14:paraId="12B9C59B" w14:textId="715160F4" w:rsidR="00803007" w:rsidRPr="009F216F" w:rsidRDefault="00CB6FF1"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49A062C" w14:textId="1A8EE4F3" w:rsidR="008372E0" w:rsidRDefault="00CB6FF1" w:rsidP="008372E0">
          <w:pPr>
            <w:spacing w:after="0"/>
            <w:rPr>
              <w:lang w:eastAsia="en-GB"/>
            </w:rPr>
          </w:pPr>
          <w:r w:rsidRPr="00CB6FF1">
            <w:rPr>
              <w:lang w:eastAsia="en-GB"/>
            </w:rPr>
            <w:t>Wir suchen einen sympathischen Teamplayer, der Interesse daran hat, an einer oder mehreren der folgenden Aufgaben mitzuarbeiten:</w:t>
          </w:r>
        </w:p>
        <w:p w14:paraId="76F2115F" w14:textId="77777777" w:rsidR="00CB6FF1" w:rsidRDefault="00CB6FF1" w:rsidP="008372E0">
          <w:pPr>
            <w:spacing w:after="0"/>
            <w:rPr>
              <w:lang w:eastAsia="en-GB"/>
            </w:rPr>
          </w:pPr>
          <w:bookmarkStart w:id="1" w:name="_GoBack"/>
          <w:bookmarkEnd w:id="1"/>
        </w:p>
        <w:p w14:paraId="23EB781D" w14:textId="77777777" w:rsidR="008372E0" w:rsidRDefault="008372E0" w:rsidP="008372E0">
          <w:pPr>
            <w:spacing w:after="0"/>
            <w:rPr>
              <w:lang w:eastAsia="en-GB"/>
            </w:rPr>
          </w:pPr>
          <w:r>
            <w:rPr>
              <w:lang w:eastAsia="en-GB"/>
            </w:rPr>
            <w:t>POLITIKENTWICKLUNG</w:t>
          </w:r>
        </w:p>
        <w:p w14:paraId="1B6BB7DF" w14:textId="77777777" w:rsidR="008372E0" w:rsidRDefault="008372E0" w:rsidP="008372E0">
          <w:pPr>
            <w:spacing w:after="0"/>
            <w:rPr>
              <w:lang w:eastAsia="en-GB"/>
            </w:rPr>
          </w:pPr>
          <w:r>
            <w:rPr>
              <w:lang w:eastAsia="en-GB"/>
            </w:rPr>
            <w:t>• Beitrag zur Entwicklung und zur konkreten Umsetzung des Twinnings der grünen und digitalen Transformation in einem oder mehreren der folgenden Bereiche:</w:t>
          </w:r>
        </w:p>
        <w:p w14:paraId="0E79967E" w14:textId="77777777" w:rsidR="008372E0" w:rsidRDefault="008372E0" w:rsidP="008372E0">
          <w:pPr>
            <w:spacing w:after="0"/>
            <w:rPr>
              <w:lang w:eastAsia="en-GB"/>
            </w:rPr>
          </w:pPr>
          <w:r>
            <w:rPr>
              <w:lang w:eastAsia="en-GB"/>
            </w:rPr>
            <w:t>- Minimierung der negativen Auswirkungen von IKT auf die Umwelt und Maximierung der positiven Auswirkungen (Befähigung). Beitrag zur Erreichung von Energie- und Materialeffizienz (Nachhaltigkeit) von digitalen Infrastrukturen (Rechenzentren, Telekommunikationsdienste, Zirkularität elektronischer Geräte)</w:t>
          </w:r>
        </w:p>
        <w:p w14:paraId="698F2741" w14:textId="77777777" w:rsidR="008372E0" w:rsidRDefault="008372E0" w:rsidP="008372E0">
          <w:pPr>
            <w:spacing w:after="0"/>
            <w:rPr>
              <w:lang w:eastAsia="en-GB"/>
            </w:rPr>
          </w:pPr>
        </w:p>
        <w:p w14:paraId="33E1CD65" w14:textId="77777777" w:rsidR="008372E0" w:rsidRDefault="008372E0" w:rsidP="008372E0">
          <w:pPr>
            <w:spacing w:after="0"/>
            <w:rPr>
              <w:lang w:eastAsia="en-GB"/>
            </w:rPr>
          </w:pPr>
          <w:r>
            <w:rPr>
              <w:lang w:eastAsia="en-GB"/>
            </w:rPr>
            <w:t>- Maximierung der positiven Auswirkungen (Befähigung) digitaler Lösungen in wichtigen Sektoren wie Energie, Verkehr, Landwirtschaft sowie in der Kreislaufwirtschaft. Insbesondere durch die Unterstützung bei der Entwicklung und Umsetzung des digitalen Produktpasses (DPP), wie er durch im Vorschlag über eine Ökodesign-Verordnung für nachhaltige Produkte (COM (2022) 142 final) eingeführt wurde.</w:t>
          </w:r>
        </w:p>
        <w:p w14:paraId="78915AEE" w14:textId="77777777" w:rsidR="008372E0" w:rsidRDefault="008372E0" w:rsidP="008372E0">
          <w:pPr>
            <w:spacing w:after="0"/>
            <w:rPr>
              <w:lang w:eastAsia="en-GB"/>
            </w:rPr>
          </w:pPr>
        </w:p>
        <w:p w14:paraId="7B5A41FC" w14:textId="77777777" w:rsidR="008372E0" w:rsidRDefault="008372E0" w:rsidP="008372E0">
          <w:pPr>
            <w:spacing w:after="0"/>
            <w:rPr>
              <w:lang w:eastAsia="en-GB"/>
            </w:rPr>
          </w:pPr>
          <w:r>
            <w:rPr>
              <w:lang w:eastAsia="en-GB"/>
            </w:rPr>
            <w:t>• Koordination und Überwachung der Ergebnisse von Projekten und Ausschreibungen, die von externen Auftragnehmern durchgeführt werden, zum Beispiel relevante Projekte, die durch das Programm „Digitales Europa“ finanziert werden und sich mit dem digitalen Produktpass befassen, und Ausschreibungen und Initiativen wie die European Green Digital Coalition.</w:t>
          </w:r>
        </w:p>
        <w:p w14:paraId="50A2658B" w14:textId="77777777" w:rsidR="008372E0" w:rsidRDefault="008372E0" w:rsidP="008372E0">
          <w:pPr>
            <w:spacing w:after="0"/>
            <w:rPr>
              <w:lang w:eastAsia="en-GB"/>
            </w:rPr>
          </w:pPr>
        </w:p>
        <w:p w14:paraId="011E6F39" w14:textId="77777777" w:rsidR="008372E0" w:rsidRDefault="008372E0" w:rsidP="008372E0">
          <w:pPr>
            <w:spacing w:after="0"/>
            <w:rPr>
              <w:lang w:eastAsia="en-GB"/>
            </w:rPr>
          </w:pPr>
          <w:r>
            <w:rPr>
              <w:lang w:eastAsia="en-GB"/>
            </w:rPr>
            <w:t>• Arbeit an der Fertigstellung und Implementierung der EU-Taxonomie, Unterstützung bei der Entwicklung von Berechnungsmethoden und Indikatoren, durch die digitale Infrastrukturen und Lösungen als nachhaltige Wirtschaftsaktivitäten anerkannt werden und insofern von nachhaltiger Finanzierung profitieren können.</w:t>
          </w:r>
        </w:p>
        <w:p w14:paraId="079D9C80" w14:textId="77777777" w:rsidR="008372E0" w:rsidRDefault="008372E0" w:rsidP="008372E0">
          <w:pPr>
            <w:spacing w:after="0"/>
            <w:rPr>
              <w:lang w:eastAsia="en-GB"/>
            </w:rPr>
          </w:pPr>
        </w:p>
        <w:p w14:paraId="44899638" w14:textId="77777777" w:rsidR="008372E0" w:rsidRDefault="008372E0" w:rsidP="008372E0">
          <w:pPr>
            <w:spacing w:after="0"/>
            <w:rPr>
              <w:lang w:eastAsia="en-GB"/>
            </w:rPr>
          </w:pPr>
          <w:r>
            <w:rPr>
              <w:lang w:eastAsia="en-GB"/>
            </w:rPr>
            <w:t>• Beitrag zu den Bemühungen der GD CNECT auf internationaler Ebene zur Förderung der EU-Politik und der Auswirkungen von EU-Initiativen (z. B. D4D HUB) durch Zusammenarbeit mit relevanten zwischenstaatlichen, unternehmensbasierten und anderen Foren wie Organisationen der Vereinten Nationen (z. B. CODES), CEN/CENELEC, ETSI , ITU und andere Standardisierungsorganisationen zu Standardentwicklungen, World Economic Forum, World Business Forum und andere.</w:t>
          </w:r>
        </w:p>
        <w:p w14:paraId="6D54BEC4" w14:textId="77777777" w:rsidR="008372E0" w:rsidRDefault="008372E0" w:rsidP="008372E0">
          <w:pPr>
            <w:spacing w:after="0"/>
            <w:rPr>
              <w:lang w:eastAsia="en-GB"/>
            </w:rPr>
          </w:pPr>
        </w:p>
        <w:p w14:paraId="6727543F" w14:textId="77777777" w:rsidR="008372E0" w:rsidRDefault="008372E0" w:rsidP="008372E0">
          <w:pPr>
            <w:spacing w:after="0"/>
            <w:rPr>
              <w:lang w:eastAsia="en-GB"/>
            </w:rPr>
          </w:pPr>
          <w:r>
            <w:rPr>
              <w:lang w:eastAsia="en-GB"/>
            </w:rPr>
            <w:t>INTERNE VERWALTUNG und KOORDINATION</w:t>
          </w:r>
        </w:p>
        <w:p w14:paraId="6AD7D637" w14:textId="77777777" w:rsidR="008372E0" w:rsidRDefault="008372E0" w:rsidP="008372E0">
          <w:pPr>
            <w:spacing w:after="0"/>
            <w:rPr>
              <w:lang w:eastAsia="en-GB"/>
            </w:rPr>
          </w:pPr>
          <w:r>
            <w:rPr>
              <w:lang w:eastAsia="en-GB"/>
            </w:rPr>
            <w:t>• Koordinierung der Aktivitäten in der Generaldirektion, die sich auf die Ökologisierung von IKT oder IKT für Nachhaltigkeit beziehen, sowie mit anderen Generaldirektionen, insbesondere den GDs ENV, CLIMA, GROW, ENER, AGRI, JRC.</w:t>
          </w:r>
        </w:p>
        <w:p w14:paraId="7541FA4F" w14:textId="77777777" w:rsidR="008372E0" w:rsidRDefault="008372E0" w:rsidP="008372E0">
          <w:pPr>
            <w:spacing w:after="0"/>
            <w:rPr>
              <w:lang w:eastAsia="en-GB"/>
            </w:rPr>
          </w:pPr>
          <w:r>
            <w:rPr>
              <w:lang w:eastAsia="en-GB"/>
            </w:rPr>
            <w:t>• Entwurf relevanter Briefings, Strategiedokumente und Notizen zu den im Gesamtzweck genannten Bereichen</w:t>
          </w:r>
        </w:p>
        <w:p w14:paraId="7F2C8C20" w14:textId="77777777" w:rsidR="008372E0" w:rsidRDefault="008372E0" w:rsidP="008372E0">
          <w:pPr>
            <w:spacing w:after="0"/>
            <w:rPr>
              <w:lang w:eastAsia="en-GB"/>
            </w:rPr>
          </w:pPr>
          <w:r>
            <w:rPr>
              <w:lang w:eastAsia="en-GB"/>
            </w:rPr>
            <w:t>• Teilnahme an dienststellenübergreifenden Sitzungen, die von Fachabteilungen einberufen werden, und Entwurf von Antworten auf dienststellenübergreifende Konsultationen</w:t>
          </w:r>
        </w:p>
        <w:p w14:paraId="6B08A953" w14:textId="77777777" w:rsidR="008372E0" w:rsidRDefault="008372E0" w:rsidP="008372E0">
          <w:pPr>
            <w:spacing w:after="0"/>
            <w:rPr>
              <w:lang w:eastAsia="en-GB"/>
            </w:rPr>
          </w:pPr>
          <w:r>
            <w:rPr>
              <w:lang w:eastAsia="en-GB"/>
            </w:rPr>
            <w:t>• Unterstützung der Ausarbeitung und Umsetzung der nachhaltigen Dimension der Digitalpolitik der Europäischen Kommission, beispielsweise der Ziele und Grundsätze des Politikprogramms „Digitales Jahrzehnt“ für 2030.</w:t>
          </w:r>
        </w:p>
        <w:p w14:paraId="4654BF2D" w14:textId="77777777" w:rsidR="008372E0" w:rsidRDefault="008372E0" w:rsidP="008372E0">
          <w:pPr>
            <w:spacing w:after="0"/>
            <w:rPr>
              <w:lang w:eastAsia="en-GB"/>
            </w:rPr>
          </w:pPr>
        </w:p>
        <w:p w14:paraId="3C36FC16" w14:textId="77777777" w:rsidR="008372E0" w:rsidRDefault="008372E0" w:rsidP="008372E0">
          <w:pPr>
            <w:spacing w:after="0"/>
            <w:rPr>
              <w:lang w:eastAsia="en-GB"/>
            </w:rPr>
          </w:pPr>
          <w:r>
            <w:rPr>
              <w:lang w:eastAsia="en-GB"/>
            </w:rPr>
            <w:t>VERTRETUNG, VERHANDLUNG und BETEILIGUNG</w:t>
          </w:r>
        </w:p>
        <w:p w14:paraId="2471B08F" w14:textId="77777777" w:rsidR="008372E0" w:rsidRDefault="008372E0" w:rsidP="008372E0">
          <w:pPr>
            <w:spacing w:after="0"/>
            <w:rPr>
              <w:lang w:eastAsia="en-GB"/>
            </w:rPr>
          </w:pPr>
          <w:r>
            <w:rPr>
              <w:lang w:eastAsia="en-GB"/>
            </w:rPr>
            <w:t>• Vertretung der Arbeiten zum gemeinsamen grünen und digitalen Wandel und dem digitalen Produktpass (DPP) in Treffen mit Wissenschaftlern und Interessenvertretern</w:t>
          </w:r>
        </w:p>
        <w:p w14:paraId="388F2C40" w14:textId="77777777" w:rsidR="008372E0" w:rsidRDefault="008372E0" w:rsidP="008372E0">
          <w:pPr>
            <w:spacing w:after="0"/>
            <w:rPr>
              <w:lang w:eastAsia="en-GB"/>
            </w:rPr>
          </w:pPr>
          <w:r>
            <w:rPr>
              <w:lang w:eastAsia="en-GB"/>
            </w:rPr>
            <w:t>• Koordinierung von Aktivitäten mit Mitgliedstaaten und dem Europäischen Parlament und Unterstützung der  Organisation hochrangiger Veranstaltungen.</w:t>
          </w:r>
        </w:p>
        <w:p w14:paraId="2A0F153A" w14:textId="67A165F8" w:rsidR="009321C6" w:rsidRPr="009F216F" w:rsidRDefault="00CB6FF1"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29005DB6" w:rsidR="007D0EC6" w:rsidRDefault="007716E4">
    <w:pPr>
      <w:pStyle w:val="FooterLine"/>
      <w:jc w:val="center"/>
    </w:pPr>
    <w:r>
      <w:fldChar w:fldCharType="begin"/>
    </w:r>
    <w:r>
      <w:instrText>PAGE   \* MERGEFORMAT</w:instrText>
    </w:r>
    <w:r>
      <w:fldChar w:fldCharType="separate"/>
    </w:r>
    <w:r w:rsidR="00CB6FF1">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17550F"/>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372E0"/>
    <w:rsid w:val="0089735C"/>
    <w:rsid w:val="008D52CF"/>
    <w:rsid w:val="009321C6"/>
    <w:rsid w:val="009442BE"/>
    <w:rsid w:val="009F216F"/>
    <w:rsid w:val="00AB56F9"/>
    <w:rsid w:val="00BF6139"/>
    <w:rsid w:val="00C07259"/>
    <w:rsid w:val="00C27C81"/>
    <w:rsid w:val="00CB6FF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56980">
      <w:bodyDiv w:val="1"/>
      <w:marLeft w:val="0"/>
      <w:marRight w:val="0"/>
      <w:marTop w:val="0"/>
      <w:marBottom w:val="0"/>
      <w:divBdr>
        <w:top w:val="none" w:sz="0" w:space="0" w:color="auto"/>
        <w:left w:val="none" w:sz="0" w:space="0" w:color="auto"/>
        <w:bottom w:val="none" w:sz="0" w:space="0" w:color="auto"/>
        <w:right w:val="none" w:sz="0" w:space="0" w:color="auto"/>
      </w:divBdr>
    </w:div>
    <w:div w:id="163472877">
      <w:bodyDiv w:val="1"/>
      <w:marLeft w:val="0"/>
      <w:marRight w:val="0"/>
      <w:marTop w:val="0"/>
      <w:marBottom w:val="0"/>
      <w:divBdr>
        <w:top w:val="none" w:sz="0" w:space="0" w:color="auto"/>
        <w:left w:val="none" w:sz="0" w:space="0" w:color="auto"/>
        <w:bottom w:val="none" w:sz="0" w:space="0" w:color="auto"/>
        <w:right w:val="none" w:sz="0" w:space="0" w:color="auto"/>
      </w:divBdr>
    </w:div>
    <w:div w:id="1785542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05106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05106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4D00D4598774584ADCF02911B544FBE"/>
        <w:category>
          <w:name w:val="General"/>
          <w:gallery w:val="placeholder"/>
        </w:category>
        <w:types>
          <w:type w:val="bbPlcHdr"/>
        </w:types>
        <w:behaviors>
          <w:behavior w:val="content"/>
        </w:behaviors>
        <w:guid w:val="{CDA65A73-093A-4543-884F-61E148D83A1E}"/>
      </w:docPartPr>
      <w:docPartBody>
        <w:p w:rsidR="00764DE6" w:rsidRDefault="0005106D" w:rsidP="0005106D">
          <w:pPr>
            <w:pStyle w:val="A4D00D4598774584ADCF02911B544FBE"/>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5106D"/>
    <w:rsid w:val="000A4922"/>
    <w:rsid w:val="0056186B"/>
    <w:rsid w:val="00764DE6"/>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5106D"/>
    <w:rPr>
      <w:color w:val="288061"/>
    </w:rPr>
  </w:style>
  <w:style w:type="paragraph" w:customStyle="1" w:styleId="3F8B7399541147C1B1E84701FCECAED2">
    <w:name w:val="3F8B7399541147C1B1E84701FCECAED2"/>
    <w:rsid w:val="00A71FAD"/>
  </w:style>
  <w:style w:type="paragraph" w:customStyle="1" w:styleId="A4D00D4598774584ADCF02911B544FBE">
    <w:name w:val="A4D00D4598774584ADCF02911B544FBE"/>
    <w:rsid w:val="0005106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815564CC-D4CE-4F41-9D25-DBA9ADEC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2016</Words>
  <Characters>11496</Characters>
  <Application>Microsoft Office Word</Application>
  <DocSecurity>4</DocSecurity>
  <PresentationFormat>Microsoft Word 14.0</PresentationFormat>
  <Lines>95</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IAKOVIDIS Ilias (CNECT)</cp:lastModifiedBy>
  <cp:revision>2</cp:revision>
  <dcterms:created xsi:type="dcterms:W3CDTF">2023-06-09T14:48:00Z</dcterms:created>
  <dcterms:modified xsi:type="dcterms:W3CDTF">2023-06-09T14:48:00Z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