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3"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rPr>
                <w:sz w:val="22"/>
              </w:rPr>
            </w:pPr>
            <w:r>
              <w:rPr>
                <w:spacing w:val="-2"/>
                <w:sz w:val="22"/>
              </w:rPr>
              <w:t>(GD-DIR-</w:t>
            </w:r>
            <w:r>
              <w:rPr>
                <w:spacing w:val="-4"/>
                <w:sz w:val="22"/>
              </w:rPr>
              <w:t>REF)</w:t>
            </w:r>
          </w:p>
        </w:tc>
        <w:tc>
          <w:tcPr>
            <w:tcW w:w="5597" w:type="dxa"/>
          </w:tcPr>
          <w:p>
            <w:pPr>
              <w:pStyle w:val="TableParagraph"/>
              <w:spacing w:before="168"/>
              <w:rPr>
                <w:sz w:val="24"/>
              </w:rPr>
            </w:pPr>
            <w:r>
              <w:rPr>
                <w:sz w:val="24"/>
              </w:rPr>
              <w:t>FPI.2</w:t>
            </w:r>
            <w:r>
              <w:rPr>
                <w:spacing w:val="-2"/>
                <w:sz w:val="24"/>
              </w:rPr>
              <w:t> </w:t>
            </w:r>
            <w:r>
              <w:rPr>
                <w:sz w:val="24"/>
              </w:rPr>
              <w:t>–</w:t>
            </w:r>
            <w:r>
              <w:rPr>
                <w:spacing w:val="-1"/>
                <w:sz w:val="24"/>
              </w:rPr>
              <w:t> </w:t>
            </w:r>
            <w:r>
              <w:rPr>
                <w:sz w:val="24"/>
              </w:rPr>
              <w:t>Rasche</w:t>
            </w:r>
            <w:r>
              <w:rPr>
                <w:spacing w:val="-1"/>
                <w:sz w:val="24"/>
              </w:rPr>
              <w:t> </w:t>
            </w:r>
            <w:r>
              <w:rPr>
                <w:sz w:val="24"/>
              </w:rPr>
              <w:t>Reaktion</w:t>
            </w:r>
            <w:r>
              <w:rPr>
                <w:spacing w:val="-1"/>
                <w:sz w:val="24"/>
              </w:rPr>
              <w:t> </w:t>
            </w:r>
            <w:r>
              <w:rPr>
                <w:sz w:val="24"/>
              </w:rPr>
              <w:t>–</w:t>
            </w:r>
            <w:r>
              <w:rPr>
                <w:spacing w:val="-2"/>
                <w:sz w:val="24"/>
              </w:rPr>
              <w:t> </w:t>
            </w:r>
            <w:r>
              <w:rPr>
                <w:sz w:val="24"/>
              </w:rPr>
              <w:t>Afrika</w:t>
            </w:r>
            <w:r>
              <w:rPr>
                <w:spacing w:val="-1"/>
                <w:sz w:val="24"/>
              </w:rPr>
              <w:t> </w:t>
            </w:r>
            <w:r>
              <w:rPr>
                <w:sz w:val="24"/>
              </w:rPr>
              <w:t>und</w:t>
            </w:r>
            <w:r>
              <w:rPr>
                <w:spacing w:val="-1"/>
                <w:sz w:val="24"/>
              </w:rPr>
              <w:t> </w:t>
            </w:r>
            <w:r>
              <w:rPr>
                <w:sz w:val="24"/>
              </w:rPr>
              <w:t>Naher</w:t>
            </w:r>
            <w:r>
              <w:rPr>
                <w:spacing w:val="-1"/>
                <w:sz w:val="24"/>
              </w:rPr>
              <w:t> </w:t>
            </w:r>
            <w:r>
              <w:rPr>
                <w:spacing w:val="-2"/>
                <w:sz w:val="24"/>
              </w:rPr>
              <w:t>Osten</w:t>
            </w:r>
          </w:p>
        </w:tc>
      </w:tr>
      <w:tr>
        <w:trPr>
          <w:trHeight w:val="2392"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11"/>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before="1"/>
              <w:ind w:right="1083"/>
              <w:rPr>
                <w:sz w:val="24"/>
              </w:rPr>
            </w:pPr>
            <w:r>
              <w:rPr>
                <w:sz w:val="24"/>
              </w:rPr>
              <w:t>Jesper Pedersen </w:t>
            </w:r>
            <w:hyperlink r:id="rId7">
              <w:r>
                <w:rPr>
                  <w:spacing w:val="-2"/>
                  <w:sz w:val="24"/>
                </w:rPr>
                <w:t>Jesper.pedersen@ec.europa.eu</w:t>
              </w:r>
            </w:hyperlink>
          </w:p>
          <w:p>
            <w:pPr>
              <w:pStyle w:val="TableParagraph"/>
              <w:ind w:left="0"/>
              <w:rPr>
                <w:b/>
                <w:sz w:val="26"/>
              </w:rPr>
            </w:pPr>
          </w:p>
          <w:p>
            <w:pPr>
              <w:pStyle w:val="TableParagraph"/>
              <w:ind w:left="0"/>
              <w:rPr>
                <w:b/>
                <w:sz w:val="26"/>
              </w:rPr>
            </w:pPr>
          </w:p>
          <w:p>
            <w:pPr>
              <w:pStyle w:val="TableParagraph"/>
              <w:spacing w:before="228"/>
              <w:ind w:left="140"/>
              <w:rPr>
                <w:b/>
                <w:sz w:val="22"/>
              </w:rPr>
            </w:pPr>
            <w:r>
              <w:rPr>
                <w:b/>
                <w:sz w:val="22"/>
              </w:rPr>
              <w:t>3.</w:t>
            </w:r>
            <w:r>
              <w:rPr>
                <w:b/>
                <w:spacing w:val="-6"/>
                <w:sz w:val="22"/>
              </w:rPr>
              <w:t> </w:t>
            </w:r>
            <w:r>
              <w:rPr>
                <w:b/>
                <w:sz w:val="22"/>
              </w:rPr>
              <w:t>Quartal</w:t>
            </w:r>
            <w:r>
              <w:rPr>
                <w:b/>
                <w:spacing w:val="-6"/>
                <w:sz w:val="22"/>
              </w:rPr>
              <w:t> </w:t>
            </w:r>
            <w:r>
              <w:rPr>
                <w:b/>
                <w:spacing w:val="-4"/>
                <w:sz w:val="22"/>
              </w:rPr>
              <w:t>2023</w:t>
            </w:r>
            <w:r>
              <w:rPr>
                <w:b/>
                <w:spacing w:val="-4"/>
                <w:sz w:val="22"/>
                <w:vertAlign w:val="superscript"/>
              </w:rPr>
              <w:t>1</w:t>
            </w:r>
          </w:p>
          <w:p>
            <w:pPr>
              <w:pStyle w:val="TableParagraph"/>
              <w:spacing w:before="1"/>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tabs>
                <w:tab w:pos="1523" w:val="left" w:leader="none"/>
              </w:tabs>
              <w:spacing w:line="233" w:lineRule="exact"/>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6"/>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14" w:val="left" w:leader="none"/>
              </w:tabs>
              <w:spacing w:line="240" w:lineRule="auto" w:before="146" w:after="0"/>
              <w:ind w:left="413" w:right="0" w:hanging="307"/>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tabs>
                <w:tab w:pos="524" w:val="left" w:leader="none"/>
              </w:tabs>
              <w:rPr>
                <w:b/>
                <w:sz w:val="22"/>
              </w:rPr>
            </w:pPr>
            <w:r>
              <w:rPr>
                <w:rFonts w:ascii="Wingdings 2" w:hAnsi="Wingdings 2"/>
                <w:spacing w:val="-10"/>
                <w:sz w:val="22"/>
              </w:rPr>
              <w:t></w:t>
            </w:r>
            <w:r>
              <w:rPr>
                <w:sz w:val="22"/>
              </w:rPr>
              <w:tab/>
            </w: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ind w:left="566"/>
              <w:rPr>
                <w:b/>
                <w:sz w:val="22"/>
              </w:rPr>
            </w:pPr>
            <w:r>
              <w:rPr>
                <w:rFonts w:ascii="Wingdings 2" w:hAnsi="Wingdings 2"/>
                <w:sz w:val="22"/>
              </w:rPr>
              <w:t></w:t>
            </w:r>
            <w:r>
              <w:rPr>
                <w:spacing w:val="-6"/>
                <w:sz w:val="22"/>
              </w:rPr>
              <w:t> </w:t>
            </w:r>
            <w:r>
              <w:rPr>
                <w:b/>
                <w:sz w:val="22"/>
              </w:rPr>
              <w:t>Island</w:t>
            </w:r>
            <w:r>
              <w:rPr>
                <w:b/>
                <w:spacing w:val="-5"/>
                <w:sz w:val="22"/>
              </w:rPr>
              <w:t> </w:t>
            </w:r>
            <w:r>
              <w:rPr>
                <w:rFonts w:ascii="Wingdings 2" w:hAnsi="Wingdings 2"/>
                <w:sz w:val="22"/>
              </w:rPr>
              <w:t></w:t>
            </w:r>
            <w:r>
              <w:rPr>
                <w:spacing w:val="44"/>
                <w:sz w:val="22"/>
              </w:rPr>
              <w:t> </w:t>
            </w:r>
            <w:r>
              <w:rPr>
                <w:b/>
                <w:sz w:val="22"/>
              </w:rPr>
              <w:t>Liechtenstein</w:t>
            </w:r>
            <w:r>
              <w:rPr>
                <w:b/>
                <w:spacing w:val="-6"/>
                <w:sz w:val="22"/>
              </w:rPr>
              <w:t> </w:t>
            </w:r>
            <w:r>
              <w:rPr>
                <w:rFonts w:ascii="Wingdings 2" w:hAnsi="Wingdings 2"/>
                <w:sz w:val="22"/>
              </w:rPr>
              <w:t></w:t>
            </w:r>
            <w:r>
              <w:rPr>
                <w:spacing w:val="-5"/>
                <w:sz w:val="22"/>
              </w:rPr>
              <w:t> </w:t>
            </w:r>
            <w:r>
              <w:rPr>
                <w:b/>
                <w:sz w:val="22"/>
              </w:rPr>
              <w:t>Norwegen</w:t>
            </w:r>
            <w:r>
              <w:rPr>
                <w:b/>
                <w:spacing w:val="-5"/>
                <w:sz w:val="22"/>
              </w:rPr>
              <w:t> </w:t>
            </w:r>
            <w:r>
              <w:rPr>
                <w:rFonts w:ascii="Wingdings 2" w:hAnsi="Wingdings 2"/>
                <w:sz w:val="22"/>
              </w:rPr>
              <w:t></w:t>
            </w:r>
            <w:r>
              <w:rPr>
                <w:spacing w:val="-6"/>
                <w:sz w:val="22"/>
              </w:rPr>
              <w:t> </w:t>
            </w:r>
            <w:r>
              <w:rPr>
                <w:b/>
                <w:sz w:val="22"/>
              </w:rPr>
              <w:t>die</w:t>
            </w:r>
            <w:r>
              <w:rPr>
                <w:b/>
                <w:spacing w:val="-6"/>
                <w:sz w:val="22"/>
              </w:rPr>
              <w:t> </w:t>
            </w:r>
            <w:r>
              <w:rPr>
                <w:b/>
                <w:spacing w:val="-2"/>
                <w:sz w:val="22"/>
              </w:rPr>
              <w:t>Schweiz</w:t>
            </w:r>
          </w:p>
          <w:p>
            <w:pPr>
              <w:pStyle w:val="TableParagraph"/>
              <w:numPr>
                <w:ilvl w:val="0"/>
                <w:numId w:val="2"/>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
        <w:rPr>
          <w:b/>
          <w:sz w:val="16"/>
        </w:rPr>
      </w:pPr>
    </w:p>
    <w:p>
      <w:pPr>
        <w:pStyle w:val="BodyText"/>
        <w:spacing w:before="90"/>
        <w:ind w:left="370" w:right="119"/>
      </w:pPr>
      <w:r>
        <w:rPr/>
        <w:t>Der allgemeine Zweck dieser Stelle besteht darin, einen Beitrag zu den politischen Entwicklungen im Bereich der Krisenreaktionsmaßnahmen (Krisenreaktion und außenpolitische Erfordernisse) zu leisten und diese weiterzuverfolgen, um die Rolle der EU als globaler Akteur zu stärken und für Kohärenz bei der Umsetzung der Prioritäten der Kommission in den abgedeckten Bereichen zu sorgen. Der Beauftragte für internationale Beziehungen wird dabei helfen, Maßnahmen im Rahmen der Säule Krisenreaktion des Instruments für Nachbarschaft,</w:t>
      </w:r>
      <w:r>
        <w:rPr>
          <w:spacing w:val="-3"/>
        </w:rPr>
        <w:t> </w:t>
      </w:r>
      <w:r>
        <w:rPr/>
        <w:t>Entwicklungszusammenarbeit</w:t>
      </w:r>
      <w:r>
        <w:rPr>
          <w:spacing w:val="-3"/>
        </w:rPr>
        <w:t> </w:t>
      </w:r>
      <w:r>
        <w:rPr/>
        <w:t>und</w:t>
      </w:r>
      <w:r>
        <w:rPr>
          <w:spacing w:val="-3"/>
        </w:rPr>
        <w:t> </w:t>
      </w:r>
      <w:r>
        <w:rPr/>
        <w:t>internationale</w:t>
      </w:r>
      <w:r>
        <w:rPr>
          <w:spacing w:val="-4"/>
        </w:rPr>
        <w:t> </w:t>
      </w:r>
      <w:r>
        <w:rPr/>
        <w:t>Zusammenarbeit</w:t>
      </w:r>
      <w:r>
        <w:rPr>
          <w:spacing w:val="-3"/>
        </w:rPr>
        <w:t> </w:t>
      </w:r>
      <w:r>
        <w:rPr/>
        <w:t>(NDICI)</w:t>
      </w:r>
      <w:r>
        <w:rPr>
          <w:spacing w:val="-3"/>
        </w:rPr>
        <w:t> </w:t>
      </w:r>
      <w:r>
        <w:rPr/>
        <w:t>–</w:t>
      </w:r>
      <w:r>
        <w:rPr>
          <w:spacing w:val="-2"/>
        </w:rPr>
        <w:t> </w:t>
      </w:r>
      <w:r>
        <w:rPr/>
        <w:t>Europa</w:t>
      </w:r>
      <w:r>
        <w:rPr>
          <w:spacing w:val="-4"/>
        </w:rPr>
        <w:t> </w:t>
      </w:r>
      <w:r>
        <w:rPr/>
        <w:t>in</w:t>
      </w:r>
      <w:r>
        <w:rPr>
          <w:spacing w:val="-4"/>
        </w:rPr>
        <w:t> </w:t>
      </w:r>
      <w:r>
        <w:rPr/>
        <w:t>der</w:t>
      </w:r>
      <w:r>
        <w:rPr>
          <w:spacing w:val="-3"/>
        </w:rPr>
        <w:t> </w:t>
      </w:r>
      <w:r>
        <w:rPr/>
        <w:t>Welt</w:t>
      </w:r>
      <w:r>
        <w:rPr>
          <w:spacing w:val="-3"/>
        </w:rPr>
        <w:t> </w:t>
      </w:r>
      <w:r>
        <w:rPr/>
        <w:t>zu ermitteln, zu formulieren und zu überwachen. Der abgeordnete nationale Sachverständige (ANS) wird unter der Aufsicht eines Administrators tätig. Unbeschadet des Grundsatzes der loyalen Zusammenarbeit zwischen den nationalen/regionalen und europäischen Verwaltungen wird der ANS nicht an Einzelfällen arbeiten, die Auswirkungen</w:t>
      </w:r>
      <w:r>
        <w:rPr>
          <w:spacing w:val="-1"/>
        </w:rPr>
        <w:t> </w:t>
      </w:r>
      <w:r>
        <w:rPr/>
        <w:t>auf</w:t>
      </w:r>
      <w:r>
        <w:rPr>
          <w:spacing w:val="-1"/>
        </w:rPr>
        <w:t> </w:t>
      </w:r>
      <w:r>
        <w:rPr/>
        <w:t>Dossiers</w:t>
      </w:r>
      <w:r>
        <w:rPr>
          <w:spacing w:val="-2"/>
        </w:rPr>
        <w:t> </w:t>
      </w:r>
      <w:r>
        <w:rPr/>
        <w:t>haben,</w:t>
      </w:r>
      <w:r>
        <w:rPr>
          <w:spacing w:val="-1"/>
        </w:rPr>
        <w:t> </w:t>
      </w:r>
      <w:r>
        <w:rPr/>
        <w:t>mit</w:t>
      </w:r>
      <w:r>
        <w:rPr>
          <w:spacing w:val="-1"/>
        </w:rPr>
        <w:t> </w:t>
      </w:r>
      <w:r>
        <w:rPr/>
        <w:t>denen</w:t>
      </w:r>
      <w:r>
        <w:rPr>
          <w:spacing w:val="-1"/>
        </w:rPr>
        <w:t> </w:t>
      </w:r>
      <w:r>
        <w:rPr/>
        <w:t>er</w:t>
      </w:r>
      <w:r>
        <w:rPr>
          <w:spacing w:val="-1"/>
        </w:rPr>
        <w:t> </w:t>
      </w:r>
      <w:r>
        <w:rPr/>
        <w:t>in</w:t>
      </w:r>
      <w:r>
        <w:rPr>
          <w:spacing w:val="-1"/>
        </w:rPr>
        <w:t> </w:t>
      </w:r>
      <w:r>
        <w:rPr/>
        <w:t>den</w:t>
      </w:r>
      <w:r>
        <w:rPr>
          <w:spacing w:val="-1"/>
        </w:rPr>
        <w:t> </w:t>
      </w:r>
      <w:r>
        <w:rPr/>
        <w:t>zwei</w:t>
      </w:r>
      <w:r>
        <w:rPr>
          <w:spacing w:val="-1"/>
        </w:rPr>
        <w:t> </w:t>
      </w:r>
      <w:r>
        <w:rPr/>
        <w:t>Jahren</w:t>
      </w:r>
      <w:r>
        <w:rPr>
          <w:spacing w:val="-1"/>
        </w:rPr>
        <w:t> </w:t>
      </w:r>
      <w:r>
        <w:rPr/>
        <w:t>vor</w:t>
      </w:r>
      <w:r>
        <w:rPr>
          <w:spacing w:val="-1"/>
        </w:rPr>
        <w:t> </w:t>
      </w:r>
      <w:r>
        <w:rPr/>
        <w:t>seinem</w:t>
      </w:r>
      <w:r>
        <w:rPr>
          <w:spacing w:val="-2"/>
        </w:rPr>
        <w:t> </w:t>
      </w:r>
      <w:r>
        <w:rPr/>
        <w:t>Eintritt</w:t>
      </w:r>
      <w:r>
        <w:rPr>
          <w:spacing w:val="-1"/>
        </w:rPr>
        <w:t> </w:t>
      </w:r>
      <w:r>
        <w:rPr/>
        <w:t>in</w:t>
      </w:r>
      <w:r>
        <w:rPr>
          <w:spacing w:val="-2"/>
        </w:rPr>
        <w:t> </w:t>
      </w:r>
      <w:r>
        <w:rPr/>
        <w:t>die</w:t>
      </w:r>
      <w:r>
        <w:rPr>
          <w:spacing w:val="-3"/>
        </w:rPr>
        <w:t> </w:t>
      </w:r>
      <w:r>
        <w:rPr/>
        <w:t>Kommission</w:t>
      </w:r>
      <w:r>
        <w:rPr>
          <w:spacing w:val="-1"/>
        </w:rPr>
        <w:t> </w:t>
      </w:r>
      <w:r>
        <w:rPr/>
        <w:t>in</w:t>
      </w:r>
      <w:r>
        <w:rPr>
          <w:spacing w:val="-1"/>
        </w:rPr>
        <w:t> </w:t>
      </w:r>
      <w:r>
        <w:rPr/>
        <w:t>seiner nationalen Verwaltung hätte behandelt werden müssen, oder unmittelbar damit zusammenhängende Fälle. In keinem Fall vertritt er die Kommission, um finanzielle oder sonstige Verpflichtungen einzugehen oder im Namen der Kommission Verhandlungen zu führen.</w:t>
      </w:r>
    </w:p>
    <w:p>
      <w:pPr>
        <w:pStyle w:val="BodyText"/>
      </w:pPr>
    </w:p>
    <w:p>
      <w:pPr>
        <w:pStyle w:val="ListParagraph"/>
        <w:numPr>
          <w:ilvl w:val="1"/>
          <w:numId w:val="4"/>
        </w:numPr>
        <w:tabs>
          <w:tab w:pos="503" w:val="left" w:leader="none"/>
        </w:tabs>
        <w:spacing w:line="240" w:lineRule="auto" w:before="0" w:after="0"/>
        <w:ind w:left="502" w:right="0" w:hanging="133"/>
        <w:jc w:val="left"/>
        <w:rPr>
          <w:sz w:val="22"/>
        </w:rPr>
      </w:pPr>
      <w:r>
        <w:rPr>
          <w:sz w:val="22"/>
        </w:rPr>
        <w:t>Beitrag</w:t>
      </w:r>
      <w:r>
        <w:rPr>
          <w:spacing w:val="-8"/>
          <w:sz w:val="22"/>
        </w:rPr>
        <w:t> </w:t>
      </w:r>
      <w:r>
        <w:rPr>
          <w:sz w:val="22"/>
        </w:rPr>
        <w:t>zur</w:t>
      </w:r>
      <w:r>
        <w:rPr>
          <w:spacing w:val="-8"/>
          <w:sz w:val="22"/>
        </w:rPr>
        <w:t> </w:t>
      </w:r>
      <w:r>
        <w:rPr>
          <w:sz w:val="22"/>
        </w:rPr>
        <w:t>Gestaltung</w:t>
      </w:r>
      <w:r>
        <w:rPr>
          <w:spacing w:val="-7"/>
          <w:sz w:val="22"/>
        </w:rPr>
        <w:t> </w:t>
      </w:r>
      <w:r>
        <w:rPr>
          <w:sz w:val="22"/>
        </w:rPr>
        <w:t>der</w:t>
      </w:r>
      <w:r>
        <w:rPr>
          <w:spacing w:val="-8"/>
          <w:sz w:val="22"/>
        </w:rPr>
        <w:t> </w:t>
      </w:r>
      <w:r>
        <w:rPr>
          <w:sz w:val="22"/>
        </w:rPr>
        <w:t>Gesamtreaktion</w:t>
      </w:r>
      <w:r>
        <w:rPr>
          <w:spacing w:val="-8"/>
          <w:sz w:val="22"/>
        </w:rPr>
        <w:t> </w:t>
      </w:r>
      <w:r>
        <w:rPr>
          <w:sz w:val="22"/>
        </w:rPr>
        <w:t>der</w:t>
      </w:r>
      <w:r>
        <w:rPr>
          <w:spacing w:val="-7"/>
          <w:sz w:val="22"/>
        </w:rPr>
        <w:t> </w:t>
      </w:r>
      <w:r>
        <w:rPr>
          <w:sz w:val="22"/>
        </w:rPr>
        <w:t>EU</w:t>
      </w:r>
      <w:r>
        <w:rPr>
          <w:spacing w:val="-9"/>
          <w:sz w:val="22"/>
        </w:rPr>
        <w:t> </w:t>
      </w:r>
      <w:r>
        <w:rPr>
          <w:sz w:val="22"/>
        </w:rPr>
        <w:t>in</w:t>
      </w:r>
      <w:r>
        <w:rPr>
          <w:spacing w:val="-7"/>
          <w:sz w:val="22"/>
        </w:rPr>
        <w:t> </w:t>
      </w:r>
      <w:r>
        <w:rPr>
          <w:sz w:val="22"/>
        </w:rPr>
        <w:t>einer</w:t>
      </w:r>
      <w:r>
        <w:rPr>
          <w:spacing w:val="-8"/>
          <w:sz w:val="22"/>
        </w:rPr>
        <w:t> </w:t>
      </w:r>
      <w:r>
        <w:rPr>
          <w:sz w:val="22"/>
        </w:rPr>
        <w:t>bestimmten</w:t>
      </w:r>
      <w:r>
        <w:rPr>
          <w:spacing w:val="-7"/>
          <w:sz w:val="22"/>
        </w:rPr>
        <w:t> </w:t>
      </w:r>
      <w:r>
        <w:rPr>
          <w:sz w:val="22"/>
        </w:rPr>
        <w:t>Krise</w:t>
      </w:r>
      <w:r>
        <w:rPr>
          <w:spacing w:val="-7"/>
          <w:sz w:val="22"/>
        </w:rPr>
        <w:t> </w:t>
      </w:r>
      <w:r>
        <w:rPr>
          <w:sz w:val="22"/>
        </w:rPr>
        <w:t>oder</w:t>
      </w:r>
      <w:r>
        <w:rPr>
          <w:spacing w:val="-8"/>
          <w:sz w:val="22"/>
        </w:rPr>
        <w:t> </w:t>
      </w:r>
      <w:r>
        <w:rPr>
          <w:spacing w:val="-2"/>
          <w:sz w:val="22"/>
        </w:rPr>
        <w:t>Bedarfssituation/Möglichkeit.</w:t>
      </w:r>
    </w:p>
    <w:p>
      <w:pPr>
        <w:pStyle w:val="ListParagraph"/>
        <w:numPr>
          <w:ilvl w:val="1"/>
          <w:numId w:val="4"/>
        </w:numPr>
        <w:tabs>
          <w:tab w:pos="503" w:val="left" w:leader="none"/>
        </w:tabs>
        <w:spacing w:line="240" w:lineRule="auto" w:before="0" w:after="0"/>
        <w:ind w:left="370" w:right="1004" w:firstLine="0"/>
        <w:jc w:val="left"/>
        <w:rPr>
          <w:sz w:val="22"/>
        </w:rPr>
      </w:pPr>
      <w:r>
        <w:rPr>
          <w:sz w:val="22"/>
        </w:rPr>
        <w:t>Beitrag</w:t>
      </w:r>
      <w:r>
        <w:rPr>
          <w:spacing w:val="-4"/>
          <w:sz w:val="22"/>
        </w:rPr>
        <w:t> </w:t>
      </w:r>
      <w:r>
        <w:rPr>
          <w:sz w:val="22"/>
        </w:rPr>
        <w:t>zur</w:t>
      </w:r>
      <w:r>
        <w:rPr>
          <w:spacing w:val="-4"/>
          <w:sz w:val="22"/>
        </w:rPr>
        <w:t> </w:t>
      </w:r>
      <w:r>
        <w:rPr>
          <w:sz w:val="22"/>
        </w:rPr>
        <w:t>Gestaltung</w:t>
      </w:r>
      <w:r>
        <w:rPr>
          <w:spacing w:val="-4"/>
          <w:sz w:val="22"/>
        </w:rPr>
        <w:t> </w:t>
      </w:r>
      <w:r>
        <w:rPr>
          <w:sz w:val="22"/>
        </w:rPr>
        <w:t>der</w:t>
      </w:r>
      <w:r>
        <w:rPr>
          <w:spacing w:val="-4"/>
          <w:sz w:val="22"/>
        </w:rPr>
        <w:t> </w:t>
      </w:r>
      <w:r>
        <w:rPr>
          <w:sz w:val="22"/>
        </w:rPr>
        <w:t>allgemeinen</w:t>
      </w:r>
      <w:r>
        <w:rPr>
          <w:spacing w:val="-3"/>
          <w:sz w:val="22"/>
        </w:rPr>
        <w:t> </w:t>
      </w:r>
      <w:r>
        <w:rPr>
          <w:sz w:val="22"/>
        </w:rPr>
        <w:t>EU-Politik</w:t>
      </w:r>
      <w:r>
        <w:rPr>
          <w:spacing w:val="-4"/>
          <w:sz w:val="22"/>
        </w:rPr>
        <w:t> </w:t>
      </w:r>
      <w:r>
        <w:rPr>
          <w:sz w:val="22"/>
        </w:rPr>
        <w:t>in</w:t>
      </w:r>
      <w:r>
        <w:rPr>
          <w:spacing w:val="-4"/>
          <w:sz w:val="22"/>
        </w:rPr>
        <w:t> </w:t>
      </w:r>
      <w:r>
        <w:rPr>
          <w:sz w:val="22"/>
        </w:rPr>
        <w:t>den</w:t>
      </w:r>
      <w:r>
        <w:rPr>
          <w:spacing w:val="-4"/>
          <w:sz w:val="22"/>
        </w:rPr>
        <w:t> </w:t>
      </w:r>
      <w:r>
        <w:rPr>
          <w:sz w:val="22"/>
        </w:rPr>
        <w:t>Bereichen</w:t>
      </w:r>
      <w:r>
        <w:rPr>
          <w:spacing w:val="-4"/>
          <w:sz w:val="22"/>
        </w:rPr>
        <w:t> </w:t>
      </w:r>
      <w:r>
        <w:rPr>
          <w:sz w:val="22"/>
        </w:rPr>
        <w:t>Krisenreaktion,</w:t>
      </w:r>
      <w:r>
        <w:rPr>
          <w:spacing w:val="-4"/>
          <w:sz w:val="22"/>
        </w:rPr>
        <w:t> </w:t>
      </w:r>
      <w:r>
        <w:rPr>
          <w:sz w:val="22"/>
        </w:rPr>
        <w:t>Konfliktverhütung, Friedenssicherung, Krisenvorsorge und außenpolitische Erfordernisse.</w:t>
      </w:r>
    </w:p>
    <w:p>
      <w:pPr>
        <w:pStyle w:val="ListParagraph"/>
        <w:numPr>
          <w:ilvl w:val="1"/>
          <w:numId w:val="4"/>
        </w:numPr>
        <w:tabs>
          <w:tab w:pos="503" w:val="left" w:leader="none"/>
        </w:tabs>
        <w:spacing w:line="240" w:lineRule="auto" w:before="1" w:after="0"/>
        <w:ind w:left="370" w:right="575" w:firstLine="0"/>
        <w:jc w:val="left"/>
        <w:rPr>
          <w:sz w:val="22"/>
        </w:rPr>
      </w:pPr>
      <w:r>
        <w:rPr>
          <w:sz w:val="22"/>
        </w:rPr>
        <w:t>Koordinierung der Beziehungen zu internationalen, regionalen, sub-regionalen und lokalen Partnern sowie Organisationen</w:t>
      </w:r>
      <w:r>
        <w:rPr>
          <w:spacing w:val="-4"/>
          <w:sz w:val="22"/>
        </w:rPr>
        <w:t> </w:t>
      </w:r>
      <w:r>
        <w:rPr>
          <w:sz w:val="22"/>
        </w:rPr>
        <w:t>der</w:t>
      </w:r>
      <w:r>
        <w:rPr>
          <w:spacing w:val="-4"/>
          <w:sz w:val="22"/>
        </w:rPr>
        <w:t> </w:t>
      </w:r>
      <w:r>
        <w:rPr>
          <w:sz w:val="22"/>
        </w:rPr>
        <w:t>Zivilgesellschaft</w:t>
      </w:r>
      <w:r>
        <w:rPr>
          <w:spacing w:val="-4"/>
          <w:sz w:val="22"/>
        </w:rPr>
        <w:t> </w:t>
      </w:r>
      <w:r>
        <w:rPr>
          <w:sz w:val="22"/>
        </w:rPr>
        <w:t>in</w:t>
      </w:r>
      <w:r>
        <w:rPr>
          <w:spacing w:val="-4"/>
          <w:sz w:val="22"/>
        </w:rPr>
        <w:t> </w:t>
      </w:r>
      <w:r>
        <w:rPr>
          <w:sz w:val="22"/>
        </w:rPr>
        <w:t>den</w:t>
      </w:r>
      <w:r>
        <w:rPr>
          <w:spacing w:val="-4"/>
          <w:sz w:val="22"/>
        </w:rPr>
        <w:t> </w:t>
      </w:r>
      <w:r>
        <w:rPr>
          <w:sz w:val="22"/>
        </w:rPr>
        <w:t>geografischen</w:t>
      </w:r>
      <w:r>
        <w:rPr>
          <w:spacing w:val="-4"/>
          <w:sz w:val="22"/>
        </w:rPr>
        <w:t> </w:t>
      </w:r>
      <w:r>
        <w:rPr>
          <w:sz w:val="22"/>
        </w:rPr>
        <w:t>und</w:t>
      </w:r>
      <w:r>
        <w:rPr>
          <w:spacing w:val="-4"/>
          <w:sz w:val="22"/>
        </w:rPr>
        <w:t> </w:t>
      </w:r>
      <w:r>
        <w:rPr>
          <w:sz w:val="22"/>
        </w:rPr>
        <w:t>thematischen</w:t>
      </w:r>
      <w:r>
        <w:rPr>
          <w:spacing w:val="-4"/>
          <w:sz w:val="22"/>
        </w:rPr>
        <w:t> </w:t>
      </w:r>
      <w:r>
        <w:rPr>
          <w:sz w:val="22"/>
        </w:rPr>
        <w:t>Zuständigkeitsbereichen</w:t>
      </w:r>
      <w:r>
        <w:rPr>
          <w:spacing w:val="-4"/>
          <w:sz w:val="22"/>
        </w:rPr>
        <w:t> </w:t>
      </w:r>
      <w:r>
        <w:rPr>
          <w:sz w:val="22"/>
        </w:rPr>
        <w:t>unter</w:t>
      </w:r>
      <w:r>
        <w:rPr>
          <w:spacing w:val="-4"/>
          <w:sz w:val="22"/>
        </w:rPr>
        <w:t> </w:t>
      </w:r>
      <w:r>
        <w:rPr>
          <w:sz w:val="22"/>
        </w:rPr>
        <w:t>der Aufsicht eines Verwaltungsrates.</w:t>
      </w:r>
    </w:p>
    <w:p>
      <w:pPr>
        <w:pStyle w:val="BodyText"/>
        <w:rPr>
          <w:sz w:val="20"/>
        </w:rPr>
      </w:pPr>
    </w:p>
    <w:p>
      <w:pPr>
        <w:pStyle w:val="BodyText"/>
        <w:spacing w:before="5"/>
        <w:rPr>
          <w:sz w:val="18"/>
        </w:rPr>
      </w:pPr>
      <w:r>
        <w:rPr/>
        <w:pict>
          <v:rect style="position:absolute;margin-left:42.540001pt;margin-top:11.807086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9"/>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1"/>
          <w:numId w:val="4"/>
        </w:numPr>
        <w:tabs>
          <w:tab w:pos="503" w:val="left" w:leader="none"/>
        </w:tabs>
        <w:spacing w:line="240" w:lineRule="auto" w:before="75" w:after="0"/>
        <w:ind w:left="370" w:right="170" w:firstLine="0"/>
        <w:jc w:val="left"/>
        <w:rPr>
          <w:sz w:val="22"/>
        </w:rPr>
      </w:pPr>
      <w:r>
        <w:rPr>
          <w:sz w:val="22"/>
        </w:rPr>
        <w:t>Beitrag zur wirksamen Ermittlung, Formulierung und Umsetzung von Krisenreaktions- und außenpolitischen Maßnahmen</w:t>
      </w:r>
      <w:r>
        <w:rPr>
          <w:spacing w:val="-3"/>
          <w:sz w:val="22"/>
        </w:rPr>
        <w:t> </w:t>
      </w:r>
      <w:r>
        <w:rPr>
          <w:sz w:val="22"/>
        </w:rPr>
        <w:t>in</w:t>
      </w:r>
      <w:r>
        <w:rPr>
          <w:spacing w:val="-3"/>
          <w:sz w:val="22"/>
        </w:rPr>
        <w:t> </w:t>
      </w:r>
      <w:r>
        <w:rPr>
          <w:sz w:val="22"/>
        </w:rPr>
        <w:t>dem</w:t>
      </w:r>
      <w:r>
        <w:rPr>
          <w:spacing w:val="-4"/>
          <w:sz w:val="22"/>
        </w:rPr>
        <w:t> </w:t>
      </w:r>
      <w:r>
        <w:rPr>
          <w:sz w:val="22"/>
        </w:rPr>
        <w:t>abgedeckten</w:t>
      </w:r>
      <w:r>
        <w:rPr>
          <w:spacing w:val="-3"/>
          <w:sz w:val="22"/>
        </w:rPr>
        <w:t> </w:t>
      </w:r>
      <w:r>
        <w:rPr>
          <w:sz w:val="22"/>
        </w:rPr>
        <w:t>geografischen</w:t>
      </w:r>
      <w:r>
        <w:rPr>
          <w:spacing w:val="-3"/>
          <w:sz w:val="22"/>
        </w:rPr>
        <w:t> </w:t>
      </w:r>
      <w:r>
        <w:rPr>
          <w:sz w:val="22"/>
        </w:rPr>
        <w:t>Gebiet</w:t>
      </w:r>
      <w:r>
        <w:rPr>
          <w:spacing w:val="-2"/>
          <w:sz w:val="22"/>
        </w:rPr>
        <w:t> </w:t>
      </w:r>
      <w:r>
        <w:rPr>
          <w:sz w:val="22"/>
        </w:rPr>
        <w:t>sowie</w:t>
      </w:r>
      <w:r>
        <w:rPr>
          <w:spacing w:val="-4"/>
          <w:sz w:val="22"/>
        </w:rPr>
        <w:t> </w:t>
      </w:r>
      <w:r>
        <w:rPr>
          <w:sz w:val="22"/>
        </w:rPr>
        <w:t>zu</w:t>
      </w:r>
      <w:r>
        <w:rPr>
          <w:spacing w:val="-3"/>
          <w:sz w:val="22"/>
        </w:rPr>
        <w:t> </w:t>
      </w:r>
      <w:r>
        <w:rPr>
          <w:sz w:val="22"/>
        </w:rPr>
        <w:t>thematischen</w:t>
      </w:r>
      <w:r>
        <w:rPr>
          <w:spacing w:val="-3"/>
          <w:sz w:val="22"/>
        </w:rPr>
        <w:t> </w:t>
      </w:r>
      <w:r>
        <w:rPr>
          <w:sz w:val="22"/>
        </w:rPr>
        <w:t>Maßnahmen</w:t>
      </w:r>
      <w:r>
        <w:rPr>
          <w:spacing w:val="-3"/>
          <w:sz w:val="22"/>
        </w:rPr>
        <w:t> </w:t>
      </w:r>
      <w:r>
        <w:rPr>
          <w:sz w:val="22"/>
        </w:rPr>
        <w:t>im</w:t>
      </w:r>
      <w:r>
        <w:rPr>
          <w:spacing w:val="-3"/>
          <w:sz w:val="22"/>
        </w:rPr>
        <w:t> </w:t>
      </w:r>
      <w:r>
        <w:rPr>
          <w:sz w:val="22"/>
        </w:rPr>
        <w:t>Zusammenhang</w:t>
      </w:r>
      <w:r>
        <w:rPr>
          <w:spacing w:val="-3"/>
          <w:sz w:val="22"/>
        </w:rPr>
        <w:t> </w:t>
      </w:r>
      <w:r>
        <w:rPr>
          <w:sz w:val="22"/>
        </w:rPr>
        <w:t>mit Konfliktverhütung, Friedenskonsolidierung und Krisenvorsorge.</w:t>
      </w:r>
    </w:p>
    <w:p>
      <w:pPr>
        <w:pStyle w:val="ListParagraph"/>
        <w:numPr>
          <w:ilvl w:val="1"/>
          <w:numId w:val="4"/>
        </w:numPr>
        <w:tabs>
          <w:tab w:pos="503" w:val="left" w:leader="none"/>
        </w:tabs>
        <w:spacing w:line="240" w:lineRule="auto" w:before="0" w:after="0"/>
        <w:ind w:left="370" w:right="142" w:firstLine="0"/>
        <w:jc w:val="left"/>
        <w:rPr>
          <w:sz w:val="22"/>
        </w:rPr>
      </w:pPr>
      <w:r>
        <w:rPr>
          <w:sz w:val="22"/>
        </w:rPr>
        <w:t>Ermittlung</w:t>
      </w:r>
      <w:r>
        <w:rPr>
          <w:spacing w:val="-4"/>
          <w:sz w:val="22"/>
        </w:rPr>
        <w:t> </w:t>
      </w:r>
      <w:r>
        <w:rPr>
          <w:sz w:val="22"/>
        </w:rPr>
        <w:t>und</w:t>
      </w:r>
      <w:r>
        <w:rPr>
          <w:spacing w:val="-3"/>
          <w:sz w:val="22"/>
        </w:rPr>
        <w:t> </w:t>
      </w:r>
      <w:r>
        <w:rPr>
          <w:sz w:val="22"/>
        </w:rPr>
        <w:t>Konsultation</w:t>
      </w:r>
      <w:r>
        <w:rPr>
          <w:spacing w:val="-3"/>
          <w:sz w:val="22"/>
        </w:rPr>
        <w:t> </w:t>
      </w:r>
      <w:r>
        <w:rPr>
          <w:sz w:val="22"/>
        </w:rPr>
        <w:t>von</w:t>
      </w:r>
      <w:r>
        <w:rPr>
          <w:spacing w:val="-3"/>
          <w:sz w:val="22"/>
        </w:rPr>
        <w:t> </w:t>
      </w:r>
      <w:r>
        <w:rPr>
          <w:sz w:val="22"/>
        </w:rPr>
        <w:t>Interventionen</w:t>
      </w:r>
      <w:r>
        <w:rPr>
          <w:spacing w:val="-3"/>
          <w:sz w:val="22"/>
        </w:rPr>
        <w:t> </w:t>
      </w:r>
      <w:r>
        <w:rPr>
          <w:sz w:val="22"/>
        </w:rPr>
        <w:t>im</w:t>
      </w:r>
      <w:r>
        <w:rPr>
          <w:spacing w:val="-5"/>
          <w:sz w:val="22"/>
        </w:rPr>
        <w:t> </w:t>
      </w:r>
      <w:r>
        <w:rPr>
          <w:sz w:val="22"/>
        </w:rPr>
        <w:t>Rahmen</w:t>
      </w:r>
      <w:r>
        <w:rPr>
          <w:spacing w:val="-3"/>
          <w:sz w:val="22"/>
        </w:rPr>
        <w:t> </w:t>
      </w:r>
      <w:r>
        <w:rPr>
          <w:sz w:val="22"/>
        </w:rPr>
        <w:t>der</w:t>
      </w:r>
      <w:r>
        <w:rPr>
          <w:spacing w:val="-2"/>
          <w:sz w:val="22"/>
        </w:rPr>
        <w:t> </w:t>
      </w:r>
      <w:r>
        <w:rPr>
          <w:sz w:val="22"/>
        </w:rPr>
        <w:t>Säule</w:t>
      </w:r>
      <w:r>
        <w:rPr>
          <w:spacing w:val="-4"/>
          <w:sz w:val="22"/>
        </w:rPr>
        <w:t> </w:t>
      </w:r>
      <w:r>
        <w:rPr>
          <w:sz w:val="22"/>
        </w:rPr>
        <w:t>„Krisenreaktion“</w:t>
      </w:r>
      <w:r>
        <w:rPr>
          <w:spacing w:val="-4"/>
          <w:sz w:val="22"/>
        </w:rPr>
        <w:t> </w:t>
      </w:r>
      <w:r>
        <w:rPr>
          <w:sz w:val="22"/>
        </w:rPr>
        <w:t>des</w:t>
      </w:r>
      <w:r>
        <w:rPr>
          <w:spacing w:val="-4"/>
          <w:sz w:val="22"/>
        </w:rPr>
        <w:t> </w:t>
      </w:r>
      <w:r>
        <w:rPr>
          <w:sz w:val="22"/>
        </w:rPr>
        <w:t>NDICI/Europa</w:t>
      </w:r>
      <w:r>
        <w:rPr>
          <w:spacing w:val="-4"/>
          <w:sz w:val="22"/>
        </w:rPr>
        <w:t> </w:t>
      </w:r>
      <w:r>
        <w:rPr>
          <w:sz w:val="22"/>
        </w:rPr>
        <w:t>in</w:t>
      </w:r>
      <w:r>
        <w:rPr>
          <w:spacing w:val="-3"/>
          <w:sz w:val="22"/>
        </w:rPr>
        <w:t> </w:t>
      </w:r>
      <w:r>
        <w:rPr>
          <w:sz w:val="22"/>
        </w:rPr>
        <w:t>der Welt, die die Kriterien der politischen Zweckmäßigkeit, der rechtlichen Förderfähigkeit und der praktischen und verfahrenstechnischen Durchführbarkeit erfüllen.</w:t>
      </w:r>
    </w:p>
    <w:p>
      <w:pPr>
        <w:pStyle w:val="ListParagraph"/>
        <w:numPr>
          <w:ilvl w:val="1"/>
          <w:numId w:val="4"/>
        </w:numPr>
        <w:tabs>
          <w:tab w:pos="503" w:val="left" w:leader="none"/>
        </w:tabs>
        <w:spacing w:line="240" w:lineRule="auto" w:before="0" w:after="0"/>
        <w:ind w:left="370" w:right="322" w:firstLine="0"/>
        <w:jc w:val="left"/>
        <w:rPr>
          <w:sz w:val="22"/>
        </w:rPr>
      </w:pPr>
      <w:r>
        <w:rPr>
          <w:sz w:val="22"/>
        </w:rPr>
        <w:t>Unter</w:t>
      </w:r>
      <w:r>
        <w:rPr>
          <w:spacing w:val="-4"/>
          <w:sz w:val="22"/>
        </w:rPr>
        <w:t> </w:t>
      </w:r>
      <w:r>
        <w:rPr>
          <w:sz w:val="22"/>
        </w:rPr>
        <w:t>der</w:t>
      </w:r>
      <w:r>
        <w:rPr>
          <w:spacing w:val="-4"/>
          <w:sz w:val="22"/>
        </w:rPr>
        <w:t> </w:t>
      </w:r>
      <w:r>
        <w:rPr>
          <w:sz w:val="22"/>
        </w:rPr>
        <w:t>Aufsicht</w:t>
      </w:r>
      <w:r>
        <w:rPr>
          <w:spacing w:val="-4"/>
          <w:sz w:val="22"/>
        </w:rPr>
        <w:t> </w:t>
      </w:r>
      <w:r>
        <w:rPr>
          <w:sz w:val="22"/>
        </w:rPr>
        <w:t>eines</w:t>
      </w:r>
      <w:r>
        <w:rPr>
          <w:spacing w:val="-5"/>
          <w:sz w:val="22"/>
        </w:rPr>
        <w:t> </w:t>
      </w:r>
      <w:r>
        <w:rPr>
          <w:sz w:val="22"/>
        </w:rPr>
        <w:t>Verwalters</w:t>
      </w:r>
      <w:r>
        <w:rPr>
          <w:spacing w:val="-5"/>
          <w:sz w:val="22"/>
        </w:rPr>
        <w:t> </w:t>
      </w:r>
      <w:r>
        <w:rPr>
          <w:sz w:val="22"/>
        </w:rPr>
        <w:t>Vorbereitung</w:t>
      </w:r>
      <w:r>
        <w:rPr>
          <w:spacing w:val="-4"/>
          <w:sz w:val="22"/>
        </w:rPr>
        <w:t> </w:t>
      </w:r>
      <w:r>
        <w:rPr>
          <w:sz w:val="22"/>
        </w:rPr>
        <w:t>von</w:t>
      </w:r>
      <w:r>
        <w:rPr>
          <w:spacing w:val="-4"/>
          <w:sz w:val="22"/>
        </w:rPr>
        <w:t> </w:t>
      </w:r>
      <w:r>
        <w:rPr>
          <w:sz w:val="22"/>
        </w:rPr>
        <w:t>Finanzierungsbeschlüssen</w:t>
      </w:r>
      <w:r>
        <w:rPr>
          <w:spacing w:val="-4"/>
          <w:sz w:val="22"/>
        </w:rPr>
        <w:t> </w:t>
      </w:r>
      <w:r>
        <w:rPr>
          <w:sz w:val="22"/>
        </w:rPr>
        <w:t>und</w:t>
      </w:r>
      <w:r>
        <w:rPr>
          <w:spacing w:val="-4"/>
          <w:sz w:val="22"/>
        </w:rPr>
        <w:t> </w:t>
      </w:r>
      <w:r>
        <w:rPr>
          <w:sz w:val="22"/>
        </w:rPr>
        <w:t>zugehörigen</w:t>
      </w:r>
      <w:r>
        <w:rPr>
          <w:spacing w:val="-4"/>
          <w:sz w:val="22"/>
        </w:rPr>
        <w:t> </w:t>
      </w:r>
      <w:r>
        <w:rPr>
          <w:sz w:val="22"/>
        </w:rPr>
        <w:t>Dokumenten zur rechtzeitigen Annahme.</w:t>
      </w:r>
    </w:p>
    <w:p>
      <w:pPr>
        <w:pStyle w:val="ListParagraph"/>
        <w:numPr>
          <w:ilvl w:val="1"/>
          <w:numId w:val="4"/>
        </w:numPr>
        <w:tabs>
          <w:tab w:pos="503" w:val="left" w:leader="none"/>
        </w:tabs>
        <w:spacing w:line="240" w:lineRule="auto" w:before="0" w:after="0"/>
        <w:ind w:left="370" w:right="332" w:firstLine="0"/>
        <w:jc w:val="left"/>
        <w:rPr>
          <w:sz w:val="22"/>
        </w:rPr>
      </w:pPr>
      <w:r>
        <w:rPr>
          <w:sz w:val="22"/>
        </w:rPr>
        <w:t>Dem</w:t>
      </w:r>
      <w:r>
        <w:rPr>
          <w:spacing w:val="-4"/>
          <w:sz w:val="22"/>
        </w:rPr>
        <w:t> </w:t>
      </w:r>
      <w:r>
        <w:rPr>
          <w:sz w:val="22"/>
        </w:rPr>
        <w:t>Rat</w:t>
      </w:r>
      <w:r>
        <w:rPr>
          <w:spacing w:val="-3"/>
          <w:sz w:val="22"/>
        </w:rPr>
        <w:t> </w:t>
      </w:r>
      <w:r>
        <w:rPr>
          <w:sz w:val="22"/>
        </w:rPr>
        <w:t>und</w:t>
      </w:r>
      <w:r>
        <w:rPr>
          <w:spacing w:val="-3"/>
          <w:sz w:val="22"/>
        </w:rPr>
        <w:t> </w:t>
      </w:r>
      <w:r>
        <w:rPr>
          <w:sz w:val="22"/>
        </w:rPr>
        <w:t>dem</w:t>
      </w:r>
      <w:r>
        <w:rPr>
          <w:spacing w:val="-4"/>
          <w:sz w:val="22"/>
        </w:rPr>
        <w:t> </w:t>
      </w:r>
      <w:r>
        <w:rPr>
          <w:sz w:val="22"/>
        </w:rPr>
        <w:t>Parlament</w:t>
      </w:r>
      <w:r>
        <w:rPr>
          <w:spacing w:val="-3"/>
          <w:sz w:val="22"/>
        </w:rPr>
        <w:t> </w:t>
      </w:r>
      <w:r>
        <w:rPr>
          <w:sz w:val="22"/>
        </w:rPr>
        <w:t>sowie</w:t>
      </w:r>
      <w:r>
        <w:rPr>
          <w:spacing w:val="-4"/>
          <w:sz w:val="22"/>
        </w:rPr>
        <w:t> </w:t>
      </w:r>
      <w:r>
        <w:rPr>
          <w:sz w:val="22"/>
        </w:rPr>
        <w:t>der</w:t>
      </w:r>
      <w:r>
        <w:rPr>
          <w:spacing w:val="-3"/>
          <w:sz w:val="22"/>
        </w:rPr>
        <w:t> </w:t>
      </w:r>
      <w:r>
        <w:rPr>
          <w:sz w:val="22"/>
        </w:rPr>
        <w:t>Öffentlichkeit</w:t>
      </w:r>
      <w:r>
        <w:rPr>
          <w:spacing w:val="-3"/>
          <w:sz w:val="22"/>
        </w:rPr>
        <w:t> </w:t>
      </w:r>
      <w:r>
        <w:rPr>
          <w:sz w:val="22"/>
        </w:rPr>
        <w:t>in</w:t>
      </w:r>
      <w:r>
        <w:rPr>
          <w:spacing w:val="-3"/>
          <w:sz w:val="22"/>
        </w:rPr>
        <w:t> </w:t>
      </w:r>
      <w:r>
        <w:rPr>
          <w:sz w:val="22"/>
        </w:rPr>
        <w:t>Abstimmung</w:t>
      </w:r>
      <w:r>
        <w:rPr>
          <w:spacing w:val="-3"/>
          <w:sz w:val="22"/>
        </w:rPr>
        <w:t> </w:t>
      </w:r>
      <w:r>
        <w:rPr>
          <w:sz w:val="22"/>
        </w:rPr>
        <w:t>mit</w:t>
      </w:r>
      <w:r>
        <w:rPr>
          <w:spacing w:val="-3"/>
          <w:sz w:val="22"/>
        </w:rPr>
        <w:t> </w:t>
      </w:r>
      <w:r>
        <w:rPr>
          <w:sz w:val="22"/>
        </w:rPr>
        <w:t>dem</w:t>
      </w:r>
      <w:r>
        <w:rPr>
          <w:spacing w:val="-4"/>
          <w:sz w:val="22"/>
        </w:rPr>
        <w:t> </w:t>
      </w:r>
      <w:r>
        <w:rPr>
          <w:sz w:val="22"/>
        </w:rPr>
        <w:t>geografischen</w:t>
      </w:r>
      <w:r>
        <w:rPr>
          <w:spacing w:val="-3"/>
          <w:sz w:val="22"/>
        </w:rPr>
        <w:t> </w:t>
      </w:r>
      <w:r>
        <w:rPr>
          <w:sz w:val="22"/>
        </w:rPr>
        <w:t>Referat</w:t>
      </w:r>
      <w:r>
        <w:rPr>
          <w:spacing w:val="-3"/>
          <w:sz w:val="22"/>
        </w:rPr>
        <w:t> </w:t>
      </w:r>
      <w:r>
        <w:rPr>
          <w:sz w:val="22"/>
        </w:rPr>
        <w:t>geeignete Informationen über das Programm vor und nach seiner Annahme zur Verfügung zu stellen.</w:t>
      </w:r>
    </w:p>
    <w:p>
      <w:pPr>
        <w:pStyle w:val="ListParagraph"/>
        <w:numPr>
          <w:ilvl w:val="1"/>
          <w:numId w:val="4"/>
        </w:numPr>
        <w:tabs>
          <w:tab w:pos="503" w:val="left" w:leader="none"/>
        </w:tabs>
        <w:spacing w:line="240" w:lineRule="auto" w:before="0" w:after="0"/>
        <w:ind w:left="370" w:right="144" w:firstLine="0"/>
        <w:jc w:val="left"/>
        <w:rPr>
          <w:sz w:val="22"/>
        </w:rPr>
      </w:pPr>
      <w:r>
        <w:rPr>
          <w:sz w:val="22"/>
        </w:rPr>
        <w:t>Während</w:t>
      </w:r>
      <w:r>
        <w:rPr>
          <w:spacing w:val="-4"/>
          <w:sz w:val="22"/>
        </w:rPr>
        <w:t> </w:t>
      </w:r>
      <w:r>
        <w:rPr>
          <w:sz w:val="22"/>
        </w:rPr>
        <w:t>des</w:t>
      </w:r>
      <w:r>
        <w:rPr>
          <w:spacing w:val="-5"/>
          <w:sz w:val="22"/>
        </w:rPr>
        <w:t> </w:t>
      </w:r>
      <w:r>
        <w:rPr>
          <w:sz w:val="22"/>
        </w:rPr>
        <w:t>Durchführungszeitraums</w:t>
      </w:r>
      <w:r>
        <w:rPr>
          <w:spacing w:val="-3"/>
          <w:sz w:val="22"/>
        </w:rPr>
        <w:t> </w:t>
      </w:r>
      <w:r>
        <w:rPr>
          <w:sz w:val="22"/>
        </w:rPr>
        <w:t>der</w:t>
      </w:r>
      <w:r>
        <w:rPr>
          <w:spacing w:val="-4"/>
          <w:sz w:val="22"/>
        </w:rPr>
        <w:t> </w:t>
      </w:r>
      <w:r>
        <w:rPr>
          <w:sz w:val="22"/>
        </w:rPr>
        <w:t>Programme</w:t>
      </w:r>
      <w:r>
        <w:rPr>
          <w:spacing w:val="-5"/>
          <w:sz w:val="22"/>
        </w:rPr>
        <w:t> </w:t>
      </w:r>
      <w:r>
        <w:rPr>
          <w:sz w:val="22"/>
        </w:rPr>
        <w:t>Vorbereitung</w:t>
      </w:r>
      <w:r>
        <w:rPr>
          <w:spacing w:val="-4"/>
          <w:sz w:val="22"/>
        </w:rPr>
        <w:t> </w:t>
      </w:r>
      <w:r>
        <w:rPr>
          <w:sz w:val="22"/>
        </w:rPr>
        <w:t>relevanter</w:t>
      </w:r>
      <w:r>
        <w:rPr>
          <w:spacing w:val="-4"/>
          <w:sz w:val="22"/>
        </w:rPr>
        <w:t> </w:t>
      </w:r>
      <w:r>
        <w:rPr>
          <w:sz w:val="22"/>
        </w:rPr>
        <w:t>Änderungen</w:t>
      </w:r>
      <w:r>
        <w:rPr>
          <w:spacing w:val="-5"/>
          <w:sz w:val="22"/>
        </w:rPr>
        <w:t> </w:t>
      </w:r>
      <w:r>
        <w:rPr>
          <w:sz w:val="22"/>
        </w:rPr>
        <w:t>oder</w:t>
      </w:r>
      <w:r>
        <w:rPr>
          <w:spacing w:val="-4"/>
          <w:sz w:val="22"/>
        </w:rPr>
        <w:t> </w:t>
      </w:r>
      <w:r>
        <w:rPr>
          <w:sz w:val="22"/>
        </w:rPr>
        <w:t>Verlängerungen und regelmäßige Überprüfung des Bedarfs an zusätzlichen Maßnahmen</w:t>
      </w:r>
    </w:p>
    <w:p>
      <w:pPr>
        <w:pStyle w:val="BodyText"/>
        <w:rPr>
          <w:sz w:val="24"/>
        </w:rPr>
      </w:pPr>
    </w:p>
    <w:p>
      <w:pPr>
        <w:pStyle w:val="BodyText"/>
        <w:rPr>
          <w:sz w:val="20"/>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0"/>
          <w:numId w:val="5"/>
        </w:numPr>
        <w:tabs>
          <w:tab w:pos="1036" w:val="left" w:leader="none"/>
        </w:tabs>
        <w:spacing w:line="240" w:lineRule="auto" w:before="91" w:after="0"/>
        <w:ind w:left="1035" w:right="0" w:hanging="240"/>
        <w:jc w:val="left"/>
      </w:pPr>
      <w:r>
        <w:rPr>
          <w:spacing w:val="-2"/>
          <w:u w:val="single"/>
        </w:rPr>
        <w:t>Zulassungskriterien</w:t>
      </w:r>
    </w:p>
    <w:p>
      <w:pPr>
        <w:pStyle w:val="BodyText"/>
        <w:spacing w:before="2"/>
        <w:rPr>
          <w:b/>
          <w:sz w:val="14"/>
        </w:rPr>
      </w:pPr>
    </w:p>
    <w:p>
      <w:pPr>
        <w:pStyle w:val="BodyText"/>
        <w:spacing w:before="90"/>
        <w:ind w:left="796" w:right="106"/>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4"/>
        </w:numPr>
        <w:tabs>
          <w:tab w:pos="1081" w:val="left" w:leader="none"/>
        </w:tabs>
        <w:spacing w:line="240" w:lineRule="auto" w:before="0" w:after="0"/>
        <w:ind w:left="1079"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1"/>
          <w:numId w:val="4"/>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4"/>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rPr>
          <w:sz w:val="24"/>
        </w:rPr>
      </w:pPr>
    </w:p>
    <w:p>
      <w:pPr>
        <w:pStyle w:val="Heading1"/>
        <w:numPr>
          <w:ilvl w:val="0"/>
          <w:numId w:val="5"/>
        </w:numPr>
        <w:tabs>
          <w:tab w:pos="1079" w:val="left" w:leader="none"/>
        </w:tabs>
        <w:spacing w:line="240" w:lineRule="auto" w:before="0" w:after="0"/>
        <w:ind w:left="1078" w:right="0" w:hanging="283"/>
        <w:jc w:val="left"/>
      </w:pPr>
      <w:r>
        <w:rPr>
          <w:spacing w:val="-2"/>
          <w:u w:val="single"/>
        </w:rPr>
        <w:t>Auswahlkriterien</w:t>
      </w:r>
    </w:p>
    <w:p>
      <w:pPr>
        <w:pStyle w:val="BodyText"/>
        <w:spacing w:before="2"/>
        <w:rPr>
          <w:b/>
          <w:sz w:val="16"/>
        </w:rPr>
      </w:pPr>
    </w:p>
    <w:p>
      <w:pPr>
        <w:pStyle w:val="BodyText"/>
        <w:spacing w:before="90"/>
        <w:ind w:left="1080"/>
      </w:pPr>
      <w:r>
        <w:rPr>
          <w:spacing w:val="-2"/>
          <w:u w:val="single"/>
        </w:rPr>
        <w:t>Bildungsabschluss</w:t>
      </w:r>
    </w:p>
    <w:p>
      <w:pPr>
        <w:pStyle w:val="ListParagraph"/>
        <w:numPr>
          <w:ilvl w:val="1"/>
          <w:numId w:val="5"/>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5"/>
        </w:numPr>
        <w:tabs>
          <w:tab w:pos="1209" w:val="left" w:leader="none"/>
        </w:tabs>
        <w:spacing w:line="240" w:lineRule="auto"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
      </w:pPr>
    </w:p>
    <w:p>
      <w:pPr>
        <w:pStyle w:val="BodyText"/>
        <w:spacing w:line="253" w:lineRule="exact"/>
        <w:ind w:left="1190"/>
      </w:pPr>
      <w:r>
        <w:rPr/>
        <w:t>im</w:t>
      </w:r>
      <w:r>
        <w:rPr>
          <w:spacing w:val="-4"/>
        </w:rPr>
        <w:t> </w:t>
      </w:r>
      <w:r>
        <w:rPr>
          <w:spacing w:val="-2"/>
        </w:rPr>
        <w:t>Bereich:</w:t>
      </w:r>
    </w:p>
    <w:p>
      <w:pPr>
        <w:pStyle w:val="BodyText"/>
        <w:spacing w:line="253" w:lineRule="exact"/>
        <w:ind w:left="1080"/>
      </w:pPr>
      <w:r>
        <w:rPr>
          <w:spacing w:val="-2"/>
        </w:rPr>
        <w:t>Die</w:t>
      </w:r>
      <w:r>
        <w:rPr>
          <w:spacing w:val="7"/>
        </w:rPr>
        <w:t> </w:t>
      </w:r>
      <w:r>
        <w:rPr>
          <w:spacing w:val="-2"/>
        </w:rPr>
        <w:t>internationalen</w:t>
      </w:r>
      <w:r>
        <w:rPr>
          <w:spacing w:val="9"/>
        </w:rPr>
        <w:t> </w:t>
      </w:r>
      <w:r>
        <w:rPr>
          <w:spacing w:val="-2"/>
        </w:rPr>
        <w:t>Beziehungen;</w:t>
      </w:r>
      <w:r>
        <w:rPr>
          <w:spacing w:val="9"/>
        </w:rPr>
        <w:t> </w:t>
      </w:r>
      <w:r>
        <w:rPr>
          <w:spacing w:val="-2"/>
        </w:rPr>
        <w:t>Krisenreaktion;</w:t>
      </w:r>
      <w:r>
        <w:rPr>
          <w:spacing w:val="8"/>
        </w:rPr>
        <w:t> </w:t>
      </w:r>
      <w:r>
        <w:rPr>
          <w:spacing w:val="-2"/>
        </w:rPr>
        <w:t>Vermittlung</w:t>
      </w:r>
      <w:r>
        <w:rPr>
          <w:spacing w:val="9"/>
        </w:rPr>
        <w:t> </w:t>
      </w:r>
      <w:r>
        <w:rPr>
          <w:spacing w:val="-2"/>
        </w:rPr>
        <w:t>und</w:t>
      </w:r>
      <w:r>
        <w:rPr>
          <w:spacing w:val="8"/>
        </w:rPr>
        <w:t> </w:t>
      </w:r>
      <w:r>
        <w:rPr>
          <w:spacing w:val="-2"/>
        </w:rPr>
        <w:t>Friedenskonsolidierung</w:t>
      </w:r>
      <w:r>
        <w:rPr>
          <w:spacing w:val="9"/>
        </w:rPr>
        <w:t> </w:t>
      </w:r>
      <w:r>
        <w:rPr>
          <w:spacing w:val="-2"/>
        </w:rPr>
        <w:t>(erwünscht).</w:t>
      </w:r>
    </w:p>
    <w:p>
      <w:pPr>
        <w:pStyle w:val="BodyText"/>
        <w:rPr>
          <w:sz w:val="24"/>
        </w:rPr>
      </w:pPr>
    </w:p>
    <w:p>
      <w:pPr>
        <w:pStyle w:val="BodyText"/>
        <w:rPr>
          <w:sz w:val="20"/>
        </w:rPr>
      </w:pPr>
    </w:p>
    <w:p>
      <w:pPr>
        <w:pStyle w:val="BodyText"/>
        <w:ind w:left="1080"/>
      </w:pPr>
      <w:r>
        <w:rPr>
          <w:spacing w:val="-2"/>
          <w:u w:val="single"/>
        </w:rPr>
        <w:t>Berufserfahrung</w:t>
      </w:r>
    </w:p>
    <w:p>
      <w:pPr>
        <w:pStyle w:val="BodyText"/>
        <w:spacing w:before="1"/>
        <w:rPr>
          <w:sz w:val="14"/>
        </w:rPr>
      </w:pPr>
    </w:p>
    <w:p>
      <w:pPr>
        <w:pStyle w:val="BodyText"/>
        <w:spacing w:before="91"/>
        <w:ind w:left="1080" w:right="167"/>
        <w:jc w:val="both"/>
      </w:pPr>
      <w:r>
        <w:rPr>
          <w:u w:val="single"/>
        </w:rPr>
        <w:t>Erfahrung in der politischen Arbeit als geografischer oder thematischer Referent. Erfahrung mit</w:t>
      </w:r>
      <w:r>
        <w:rPr/>
        <w:t> </w:t>
      </w:r>
      <w:r>
        <w:rPr>
          <w:u w:val="single"/>
        </w:rPr>
        <w:t>Programmvorbereitung und Projektmanagement ist ein Vorteil. Eine Kombination beider Arten von</w:t>
      </w:r>
      <w:r>
        <w:rPr/>
        <w:t> </w:t>
      </w:r>
      <w:r>
        <w:rPr>
          <w:u w:val="single"/>
        </w:rPr>
        <w:t>Erfahrungen ist äußerst wünschenswert.</w:t>
      </w:r>
    </w:p>
    <w:p>
      <w:pPr>
        <w:pStyle w:val="BodyText"/>
        <w:rPr>
          <w:sz w:val="20"/>
        </w:rPr>
      </w:pPr>
    </w:p>
    <w:p>
      <w:pPr>
        <w:pStyle w:val="BodyText"/>
        <w:spacing w:before="2"/>
        <w:rPr>
          <w:sz w:val="16"/>
        </w:rPr>
      </w:pPr>
    </w:p>
    <w:p>
      <w:pPr>
        <w:pStyle w:val="BodyText"/>
        <w:spacing w:before="91"/>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1"/>
        <w:rPr>
          <w:sz w:val="14"/>
        </w:rPr>
      </w:pPr>
    </w:p>
    <w:p>
      <w:pPr>
        <w:pStyle w:val="BodyText"/>
        <w:spacing w:before="90"/>
        <w:ind w:left="1080"/>
      </w:pPr>
      <w:r>
        <w:rPr>
          <w:u w:val="single"/>
        </w:rPr>
        <w:t>Englisch</w:t>
      </w:r>
      <w:r>
        <w:rPr>
          <w:spacing w:val="-10"/>
          <w:u w:val="single"/>
        </w:rPr>
        <w:t> </w:t>
      </w:r>
      <w:r>
        <w:rPr>
          <w:u w:val="single"/>
        </w:rPr>
        <w:t>C1;</w:t>
      </w:r>
      <w:r>
        <w:rPr>
          <w:spacing w:val="-11"/>
          <w:u w:val="single"/>
        </w:rPr>
        <w:t> </w:t>
      </w:r>
      <w:r>
        <w:rPr>
          <w:u w:val="single"/>
        </w:rPr>
        <w:t>Französisch</w:t>
      </w:r>
      <w:r>
        <w:rPr>
          <w:spacing w:val="-9"/>
          <w:u w:val="single"/>
        </w:rPr>
        <w:t> </w:t>
      </w:r>
      <w:r>
        <w:rPr>
          <w:spacing w:val="-5"/>
          <w:u w:val="single"/>
        </w:rPr>
        <w:t>B2</w:t>
      </w:r>
    </w:p>
    <w:p>
      <w:pPr>
        <w:spacing w:after="0"/>
        <w:sectPr>
          <w:pgSz w:w="11910" w:h="16840"/>
          <w:pgMar w:header="0" w:footer="686" w:top="1040" w:bottom="880" w:left="480" w:right="740"/>
        </w:sectPr>
      </w:pPr>
    </w:p>
    <w:p>
      <w:pPr>
        <w:pStyle w:val="ListParagraph"/>
        <w:numPr>
          <w:ilvl w:val="0"/>
          <w:numId w:val="4"/>
        </w:numPr>
        <w:tabs>
          <w:tab w:pos="796" w:val="left" w:leader="none"/>
          <w:tab w:pos="797" w:val="left" w:leader="none"/>
        </w:tabs>
        <w:spacing w:line="240" w:lineRule="auto" w:before="62"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0"/>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6" w:right="285"/>
        <w:jc w:val="both"/>
      </w:pPr>
      <w:r>
        <w:rPr/>
        <w:t>Die Bewerberinnen und Bewerber werden von dem einstellenden Referat über den Stand ihrer Bewerbung </w:t>
      </w:r>
      <w:r>
        <w:rPr>
          <w:spacing w:val="-2"/>
        </w:rPr>
        <w:t>informiert.</w:t>
      </w:r>
    </w:p>
    <w:p>
      <w:pPr>
        <w:pStyle w:val="BodyText"/>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
        <w:rPr>
          <w:b/>
          <w:sz w:val="16"/>
        </w:rPr>
      </w:pPr>
    </w:p>
    <w:p>
      <w:pPr>
        <w:pStyle w:val="BodyText"/>
        <w:spacing w:before="91"/>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ind w:left="796"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rPr>
          <w:sz w:val="24"/>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Verarbeitung</w:t>
      </w:r>
      <w:r>
        <w:rPr>
          <w:b/>
          <w:spacing w:val="-5"/>
          <w:sz w:val="24"/>
          <w:u w:val="single"/>
        </w:rPr>
        <w:t> </w:t>
      </w:r>
      <w:r>
        <w:rPr>
          <w:b/>
          <w:sz w:val="24"/>
          <w:u w:val="single"/>
        </w:rPr>
        <w:t>personenbezogener</w:t>
      </w:r>
      <w:r>
        <w:rPr>
          <w:b/>
          <w:spacing w:val="-5"/>
          <w:sz w:val="24"/>
          <w:u w:val="single"/>
        </w:rPr>
        <w:t> </w:t>
      </w:r>
      <w:r>
        <w:rPr>
          <w:b/>
          <w:spacing w:val="-4"/>
          <w:sz w:val="24"/>
          <w:u w:val="single"/>
        </w:rPr>
        <w:t>Daten</w:t>
      </w:r>
    </w:p>
    <w:p>
      <w:pPr>
        <w:pStyle w:val="BodyText"/>
        <w:spacing w:before="1"/>
        <w:rPr>
          <w:b/>
          <w:sz w:val="16"/>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6"/>
        <w:jc w:val="both"/>
      </w:pPr>
      <w:r>
        <w:rPr/>
        <w:t>Die Daten der ANS werden für die Dauer von zehn Jahren ab dem Ende der Abordnung aufbewahrt (zwei Jahre bei ANS, deren Bewerbung zurückgezogen oder nicht berücksichtigt wurde).</w:t>
      </w:r>
    </w:p>
    <w:p>
      <w:pPr>
        <w:pStyle w:val="BodyText"/>
        <w:spacing w:before="1"/>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spacing w:after="0"/>
        <w:jc w:val="both"/>
        <w:sectPr>
          <w:pgSz w:w="11910" w:h="16840"/>
          <w:pgMar w:header="0" w:footer="686" w:top="1560" w:bottom="880" w:left="480" w:right="740"/>
        </w:sectPr>
      </w:pPr>
    </w:p>
    <w:p>
      <w:pPr>
        <w:pStyle w:val="Heading1"/>
        <w:spacing w:line="252" w:lineRule="exact" w:before="68"/>
        <w:ind w:left="796" w:firstLine="0"/>
      </w:pPr>
      <w:r>
        <w:rPr>
          <w:spacing w:val="-2"/>
          <w:u w:val="single"/>
        </w:rPr>
        <w:t>Kontaktinformationen</w:t>
      </w:r>
    </w:p>
    <w:p>
      <w:pPr>
        <w:pStyle w:val="ListParagraph"/>
        <w:numPr>
          <w:ilvl w:val="0"/>
          <w:numId w:val="6"/>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spacing w:before="1"/>
        <w:ind w:left="1080" w:right="119"/>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3"/>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78" w:val="left" w:leader="none"/>
          <w:tab w:pos="1079" w:val="left" w:leader="none"/>
        </w:tabs>
        <w:spacing w:line="240" w:lineRule="auto" w:before="91"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19"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spacing w:before="11"/>
        <w:rPr>
          <w:sz w:val="21"/>
        </w:rPr>
      </w:pPr>
    </w:p>
    <w:p>
      <w:pPr>
        <w:pStyle w:val="Heading1"/>
        <w:numPr>
          <w:ilvl w:val="0"/>
          <w:numId w:val="6"/>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5" w:hanging="1"/>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right="119"/>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6"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131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4">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1462" w:hanging="417"/>
      </w:pPr>
      <w:rPr>
        <w:rFonts w:hint="default"/>
        <w:lang w:val="de-DE" w:eastAsia="en-US" w:bidi="ar-SA"/>
      </w:rPr>
    </w:lvl>
    <w:lvl w:ilvl="2">
      <w:start w:val="0"/>
      <w:numFmt w:val="bullet"/>
      <w:lvlText w:val="•"/>
      <w:lvlJc w:val="left"/>
      <w:pPr>
        <w:ind w:left="2405" w:hanging="417"/>
      </w:pPr>
      <w:rPr>
        <w:rFonts w:hint="default"/>
        <w:lang w:val="de-DE" w:eastAsia="en-US" w:bidi="ar-SA"/>
      </w:rPr>
    </w:lvl>
    <w:lvl w:ilvl="3">
      <w:start w:val="0"/>
      <w:numFmt w:val="bullet"/>
      <w:lvlText w:val="•"/>
      <w:lvlJc w:val="left"/>
      <w:pPr>
        <w:ind w:left="3348" w:hanging="417"/>
      </w:pPr>
      <w:rPr>
        <w:rFonts w:hint="default"/>
        <w:lang w:val="de-DE" w:eastAsia="en-US" w:bidi="ar-SA"/>
      </w:rPr>
    </w:lvl>
    <w:lvl w:ilvl="4">
      <w:start w:val="0"/>
      <w:numFmt w:val="bullet"/>
      <w:lvlText w:val="•"/>
      <w:lvlJc w:val="left"/>
      <w:pPr>
        <w:ind w:left="4290" w:hanging="417"/>
      </w:pPr>
      <w:rPr>
        <w:rFonts w:hint="default"/>
        <w:lang w:val="de-DE" w:eastAsia="en-US" w:bidi="ar-SA"/>
      </w:rPr>
    </w:lvl>
    <w:lvl w:ilvl="5">
      <w:start w:val="0"/>
      <w:numFmt w:val="bullet"/>
      <w:lvlText w:val="•"/>
      <w:lvlJc w:val="left"/>
      <w:pPr>
        <w:ind w:left="5233" w:hanging="417"/>
      </w:pPr>
      <w:rPr>
        <w:rFonts w:hint="default"/>
        <w:lang w:val="de-DE" w:eastAsia="en-US" w:bidi="ar-SA"/>
      </w:rPr>
    </w:lvl>
    <w:lvl w:ilvl="6">
      <w:start w:val="0"/>
      <w:numFmt w:val="bullet"/>
      <w:lvlText w:val="•"/>
      <w:lvlJc w:val="left"/>
      <w:pPr>
        <w:ind w:left="6176" w:hanging="417"/>
      </w:pPr>
      <w:rPr>
        <w:rFonts w:hint="default"/>
        <w:lang w:val="de-DE" w:eastAsia="en-US" w:bidi="ar-SA"/>
      </w:rPr>
    </w:lvl>
    <w:lvl w:ilvl="7">
      <w:start w:val="0"/>
      <w:numFmt w:val="bullet"/>
      <w:lvlText w:val="•"/>
      <w:lvlJc w:val="left"/>
      <w:pPr>
        <w:ind w:left="7118" w:hanging="417"/>
      </w:pPr>
      <w:rPr>
        <w:rFonts w:hint="default"/>
        <w:lang w:val="de-DE" w:eastAsia="en-US" w:bidi="ar-SA"/>
      </w:rPr>
    </w:lvl>
    <w:lvl w:ilvl="8">
      <w:start w:val="0"/>
      <w:numFmt w:val="bullet"/>
      <w:lvlText w:val="•"/>
      <w:lvlJc w:val="left"/>
      <w:pPr>
        <w:ind w:left="8061" w:hanging="417"/>
      </w:pPr>
      <w:rPr>
        <w:rFonts w:hint="default"/>
        <w:lang w:val="de-DE" w:eastAsia="en-US" w:bidi="ar-SA"/>
      </w:rPr>
    </w:lvl>
  </w:abstractNum>
  <w:abstractNum w:abstractNumId="1">
    <w:multiLevelType w:val="hybridMultilevel"/>
    <w:lvl w:ilvl="0">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1732" w:hanging="251"/>
      </w:pPr>
      <w:rPr>
        <w:rFonts w:hint="default"/>
        <w:lang w:val="de-DE" w:eastAsia="en-US" w:bidi="ar-SA"/>
      </w:rPr>
    </w:lvl>
    <w:lvl w:ilvl="2">
      <w:start w:val="0"/>
      <w:numFmt w:val="bullet"/>
      <w:lvlText w:val="•"/>
      <w:lvlJc w:val="left"/>
      <w:pPr>
        <w:ind w:left="2645" w:hanging="251"/>
      </w:pPr>
      <w:rPr>
        <w:rFonts w:hint="default"/>
        <w:lang w:val="de-DE" w:eastAsia="en-US" w:bidi="ar-SA"/>
      </w:rPr>
    </w:lvl>
    <w:lvl w:ilvl="3">
      <w:start w:val="0"/>
      <w:numFmt w:val="bullet"/>
      <w:lvlText w:val="•"/>
      <w:lvlJc w:val="left"/>
      <w:pPr>
        <w:ind w:left="3558" w:hanging="251"/>
      </w:pPr>
      <w:rPr>
        <w:rFonts w:hint="default"/>
        <w:lang w:val="de-DE" w:eastAsia="en-US" w:bidi="ar-SA"/>
      </w:rPr>
    </w:lvl>
    <w:lvl w:ilvl="4">
      <w:start w:val="0"/>
      <w:numFmt w:val="bullet"/>
      <w:lvlText w:val="•"/>
      <w:lvlJc w:val="left"/>
      <w:pPr>
        <w:ind w:left="4470" w:hanging="251"/>
      </w:pPr>
      <w:rPr>
        <w:rFonts w:hint="default"/>
        <w:lang w:val="de-DE" w:eastAsia="en-US" w:bidi="ar-SA"/>
      </w:rPr>
    </w:lvl>
    <w:lvl w:ilvl="5">
      <w:start w:val="0"/>
      <w:numFmt w:val="bullet"/>
      <w:lvlText w:val="•"/>
      <w:lvlJc w:val="left"/>
      <w:pPr>
        <w:ind w:left="5383" w:hanging="251"/>
      </w:pPr>
      <w:rPr>
        <w:rFonts w:hint="default"/>
        <w:lang w:val="de-DE" w:eastAsia="en-US" w:bidi="ar-SA"/>
      </w:rPr>
    </w:lvl>
    <w:lvl w:ilvl="6">
      <w:start w:val="0"/>
      <w:numFmt w:val="bullet"/>
      <w:lvlText w:val="•"/>
      <w:lvlJc w:val="left"/>
      <w:pPr>
        <w:ind w:left="6296" w:hanging="251"/>
      </w:pPr>
      <w:rPr>
        <w:rFonts w:hint="default"/>
        <w:lang w:val="de-DE" w:eastAsia="en-US" w:bidi="ar-SA"/>
      </w:rPr>
    </w:lvl>
    <w:lvl w:ilvl="7">
      <w:start w:val="0"/>
      <w:numFmt w:val="bullet"/>
      <w:lvlText w:val="•"/>
      <w:lvlJc w:val="left"/>
      <w:pPr>
        <w:ind w:left="7208" w:hanging="251"/>
      </w:pPr>
      <w:rPr>
        <w:rFonts w:hint="default"/>
        <w:lang w:val="de-DE" w:eastAsia="en-US" w:bidi="ar-SA"/>
      </w:rPr>
    </w:lvl>
    <w:lvl w:ilvl="8">
      <w:start w:val="0"/>
      <w:numFmt w:val="bullet"/>
      <w:lvlText w:val="•"/>
      <w:lvlJc w:val="left"/>
      <w:pPr>
        <w:ind w:left="8121" w:hanging="251"/>
      </w:pPr>
      <w:rPr>
        <w:rFonts w:hint="default"/>
        <w:lang w:val="de-DE" w:eastAsia="en-US" w:bidi="ar-SA"/>
      </w:rPr>
    </w:lvl>
  </w:abstractNum>
  <w:abstractNum w:abstractNumId="0">
    <w:multiLevelType w:val="hybridMultilevel"/>
    <w:lvl w:ilvl="0">
      <w:start w:val="0"/>
      <w:numFmt w:val="bullet"/>
      <w:lvlText w:val=""/>
      <w:lvlJc w:val="left"/>
      <w:pPr>
        <w:ind w:left="413"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0" w:hanging="132"/>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2"/>
      </w:pPr>
      <w:rPr>
        <w:rFonts w:hint="default"/>
        <w:lang w:val="de-DE" w:eastAsia="en-US" w:bidi="ar-SA"/>
      </w:rPr>
    </w:lvl>
    <w:lvl w:ilvl="3">
      <w:start w:val="0"/>
      <w:numFmt w:val="bullet"/>
      <w:lvlText w:val="•"/>
      <w:lvlJc w:val="left"/>
      <w:pPr>
        <w:ind w:left="2280" w:hanging="132"/>
      </w:pPr>
      <w:rPr>
        <w:rFonts w:hint="default"/>
        <w:lang w:val="de-DE" w:eastAsia="en-US" w:bidi="ar-SA"/>
      </w:rPr>
    </w:lvl>
    <w:lvl w:ilvl="4">
      <w:start w:val="0"/>
      <w:numFmt w:val="bullet"/>
      <w:lvlText w:val="•"/>
      <w:lvlJc w:val="left"/>
      <w:pPr>
        <w:ind w:left="3481" w:hanging="132"/>
      </w:pPr>
      <w:rPr>
        <w:rFonts w:hint="default"/>
        <w:lang w:val="de-DE" w:eastAsia="en-US" w:bidi="ar-SA"/>
      </w:rPr>
    </w:lvl>
    <w:lvl w:ilvl="5">
      <w:start w:val="0"/>
      <w:numFmt w:val="bullet"/>
      <w:lvlText w:val="•"/>
      <w:lvlJc w:val="left"/>
      <w:pPr>
        <w:ind w:left="4682" w:hanging="132"/>
      </w:pPr>
      <w:rPr>
        <w:rFonts w:hint="default"/>
        <w:lang w:val="de-DE" w:eastAsia="en-US" w:bidi="ar-SA"/>
      </w:rPr>
    </w:lvl>
    <w:lvl w:ilvl="6">
      <w:start w:val="0"/>
      <w:numFmt w:val="bullet"/>
      <w:lvlText w:val="•"/>
      <w:lvlJc w:val="left"/>
      <w:pPr>
        <w:ind w:left="5883" w:hanging="132"/>
      </w:pPr>
      <w:rPr>
        <w:rFonts w:hint="default"/>
        <w:lang w:val="de-DE" w:eastAsia="en-US" w:bidi="ar-SA"/>
      </w:rPr>
    </w:lvl>
    <w:lvl w:ilvl="7">
      <w:start w:val="0"/>
      <w:numFmt w:val="bullet"/>
      <w:lvlText w:val="•"/>
      <w:lvlJc w:val="left"/>
      <w:pPr>
        <w:ind w:left="7084" w:hanging="132"/>
      </w:pPr>
      <w:rPr>
        <w:rFonts w:hint="default"/>
        <w:lang w:val="de-DE" w:eastAsia="en-US" w:bidi="ar-SA"/>
      </w:rPr>
    </w:lvl>
    <w:lvl w:ilvl="8">
      <w:start w:val="0"/>
      <w:numFmt w:val="bullet"/>
      <w:lvlText w:val="•"/>
      <w:lvlJc w:val="left"/>
      <w:pPr>
        <w:ind w:left="8284" w:hanging="132"/>
      </w:pPr>
      <w:rPr>
        <w:rFonts w:hint="default"/>
        <w:lang w:val="de-DE" w:eastAsia="en-US" w:bidi="ar-SA"/>
      </w:rPr>
    </w:lvl>
  </w:abstract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370"/>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sper.peders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2023-06-13T12:25:10Z</dcterms:created>
  <dcterms:modified xsi:type="dcterms:W3CDTF">2023-06-13T12:25:10Z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Acrobat PDFMaker 23 for Word</vt:lpwstr>
  </property>
  <property fmtid="{D5CDD505-2E9C-101B-9397-08002B2CF9AE}" pid="4" name="LastSaved">
    <vt:filetime>2023-06-13T00:00:00Z</vt:filetime>
  </property>
  <property fmtid="{D5CDD505-2E9C-101B-9397-08002B2CF9AE}" pid="5" name="MSIP_Label_6bd9ddd1-4d20-43f6-abfa-fc3c07406f94_ActionId">
    <vt:lpwstr>45af18a8-b4a5-4d15-8cbe-46797d7fab02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2023-02-28T08:30:13Z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D:20230612155407</vt:lpwstr>
  </property>
</Properties>
</file>