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1379"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ind w:right="106"/>
              <w:rPr>
                <w:b/>
                <w:sz w:val="24"/>
              </w:rPr>
            </w:pPr>
            <w:r>
              <w:rPr>
                <w:b/>
                <w:sz w:val="24"/>
              </w:rPr>
              <w:t>La direction générale de la protection civile et des opérations</w:t>
            </w:r>
            <w:r>
              <w:rPr>
                <w:b/>
                <w:spacing w:val="-11"/>
                <w:sz w:val="24"/>
              </w:rPr>
              <w:t> </w:t>
            </w:r>
            <w:r>
              <w:rPr>
                <w:b/>
                <w:sz w:val="24"/>
              </w:rPr>
              <w:t>d’aide</w:t>
            </w:r>
            <w:r>
              <w:rPr>
                <w:b/>
                <w:spacing w:val="-10"/>
                <w:sz w:val="24"/>
              </w:rPr>
              <w:t> </w:t>
            </w:r>
            <w:r>
              <w:rPr>
                <w:b/>
                <w:sz w:val="24"/>
              </w:rPr>
              <w:t>humanitaire</w:t>
            </w:r>
            <w:r>
              <w:rPr>
                <w:b/>
                <w:spacing w:val="-10"/>
                <w:sz w:val="24"/>
              </w:rPr>
              <w:t> </w:t>
            </w:r>
            <w:r>
              <w:rPr>
                <w:b/>
                <w:sz w:val="24"/>
              </w:rPr>
              <w:t>européennes</w:t>
            </w:r>
            <w:r>
              <w:rPr>
                <w:b/>
                <w:spacing w:val="-10"/>
                <w:sz w:val="24"/>
              </w:rPr>
              <w:t> </w:t>
            </w:r>
            <w:r>
              <w:rPr>
                <w:b/>
                <w:sz w:val="24"/>
              </w:rPr>
              <w:t>(ECHO) </w:t>
            </w:r>
            <w:r>
              <w:rPr>
                <w:b/>
                <w:spacing w:val="-10"/>
                <w:sz w:val="24"/>
              </w:rPr>
              <w:t>A</w:t>
            </w:r>
          </w:p>
          <w:p>
            <w:pPr>
              <w:pStyle w:val="TableParagraph"/>
              <w:spacing w:line="270" w:lineRule="atLeast"/>
              <w:ind w:right="106"/>
              <w:rPr>
                <w:b/>
                <w:sz w:val="24"/>
              </w:rPr>
            </w:pPr>
            <w:r>
              <w:rPr>
                <w:b/>
                <w:sz w:val="24"/>
              </w:rPr>
              <w:t>A1</w:t>
            </w:r>
            <w:r>
              <w:rPr>
                <w:b/>
                <w:spacing w:val="-6"/>
                <w:sz w:val="24"/>
              </w:rPr>
              <w:t> </w:t>
            </w:r>
            <w:r>
              <w:rPr>
                <w:b/>
                <w:sz w:val="24"/>
              </w:rPr>
              <w:t>–</w:t>
            </w:r>
            <w:r>
              <w:rPr>
                <w:b/>
                <w:spacing w:val="-5"/>
                <w:sz w:val="24"/>
              </w:rPr>
              <w:t> </w:t>
            </w:r>
            <w:r>
              <w:rPr>
                <w:b/>
                <w:sz w:val="24"/>
              </w:rPr>
              <w:t>Centre</w:t>
            </w:r>
            <w:r>
              <w:rPr>
                <w:b/>
                <w:spacing w:val="-5"/>
                <w:sz w:val="24"/>
              </w:rPr>
              <w:t> </w:t>
            </w:r>
            <w:r>
              <w:rPr>
                <w:b/>
                <w:sz w:val="24"/>
              </w:rPr>
              <w:t>de</w:t>
            </w:r>
            <w:r>
              <w:rPr>
                <w:b/>
                <w:spacing w:val="-5"/>
                <w:sz w:val="24"/>
              </w:rPr>
              <w:t> </w:t>
            </w:r>
            <w:r>
              <w:rPr>
                <w:b/>
                <w:sz w:val="24"/>
              </w:rPr>
              <w:t>Coordination</w:t>
            </w:r>
            <w:r>
              <w:rPr>
                <w:b/>
                <w:spacing w:val="-6"/>
                <w:sz w:val="24"/>
              </w:rPr>
              <w:t> </w:t>
            </w:r>
            <w:r>
              <w:rPr>
                <w:b/>
                <w:sz w:val="24"/>
              </w:rPr>
              <w:t>de</w:t>
            </w:r>
            <w:r>
              <w:rPr>
                <w:b/>
                <w:spacing w:val="-5"/>
                <w:sz w:val="24"/>
              </w:rPr>
              <w:t> </w:t>
            </w:r>
            <w:r>
              <w:rPr>
                <w:b/>
                <w:sz w:val="24"/>
              </w:rPr>
              <w:t>la</w:t>
            </w:r>
            <w:r>
              <w:rPr>
                <w:b/>
                <w:spacing w:val="-7"/>
                <w:sz w:val="24"/>
              </w:rPr>
              <w:t> </w:t>
            </w:r>
            <w:r>
              <w:rPr>
                <w:b/>
                <w:sz w:val="24"/>
              </w:rPr>
              <w:t>réaction d'urgence (ERCC)</w:t>
            </w:r>
          </w:p>
        </w:tc>
      </w:tr>
      <w:tr>
        <w:trPr>
          <w:trHeight w:val="1977" w:hRule="atLeast"/>
        </w:trPr>
        <w:tc>
          <w:tcPr>
            <w:tcW w:w="4360" w:type="dxa"/>
            <w:vMerge w:val="restart"/>
          </w:tcPr>
          <w:p>
            <w:pPr>
              <w:pStyle w:val="TableParagraph"/>
              <w:spacing w:line="252" w:lineRule="exact"/>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ind w:right="106"/>
              <w:rPr>
                <w:b/>
                <w:sz w:val="24"/>
              </w:rPr>
            </w:pPr>
            <w:r>
              <w:rPr>
                <w:b/>
                <w:sz w:val="24"/>
              </w:rPr>
              <w:t>Antoine LEMASSON </w:t>
            </w:r>
            <w:hyperlink r:id="rId7">
              <w:r>
                <w:rPr>
                  <w:b/>
                  <w:spacing w:val="-2"/>
                  <w:sz w:val="24"/>
                </w:rPr>
                <w:t>Antoine.LEMASSON@ec.europa.eu</w:t>
              </w:r>
            </w:hyperlink>
          </w:p>
          <w:p>
            <w:pPr>
              <w:pStyle w:val="TableParagraph"/>
              <w:rPr>
                <w:b/>
                <w:sz w:val="24"/>
              </w:rPr>
            </w:pPr>
            <w:r>
              <w:rPr>
                <w:b/>
                <w:sz w:val="24"/>
              </w:rPr>
              <w:t>+32 229-</w:t>
            </w:r>
            <w:r>
              <w:rPr>
                <w:b/>
                <w:spacing w:val="-2"/>
                <w:sz w:val="24"/>
              </w:rPr>
              <w:t>94691</w:t>
            </w:r>
          </w:p>
          <w:p>
            <w:pPr>
              <w:pStyle w:val="TableParagraph"/>
              <w:rPr>
                <w:b/>
                <w:sz w:val="24"/>
              </w:rPr>
            </w:pPr>
            <w:r>
              <w:rPr>
                <w:b/>
                <w:sz w:val="24"/>
              </w:rPr>
              <w:t>1</w:t>
            </w:r>
          </w:p>
          <w:p>
            <w:pPr>
              <w:pStyle w:val="TableParagraph"/>
              <w:spacing w:line="276" w:lineRule="exact"/>
              <w:rPr>
                <w:b/>
                <w:sz w:val="22"/>
              </w:rPr>
            </w:pPr>
            <w:r>
              <w:rPr>
                <w:b/>
                <w:sz w:val="24"/>
              </w:rPr>
              <w:t>Quatrième</w:t>
            </w:r>
            <w:r>
              <w:rPr>
                <w:b/>
                <w:spacing w:val="-8"/>
                <w:sz w:val="24"/>
              </w:rPr>
              <w:t> </w:t>
            </w:r>
            <w:r>
              <w:rPr>
                <w:b/>
                <w:sz w:val="22"/>
              </w:rPr>
              <w:t>trimestre</w:t>
            </w:r>
            <w:r>
              <w:rPr>
                <w:b/>
                <w:spacing w:val="-7"/>
                <w:sz w:val="22"/>
              </w:rPr>
              <w:t> </w:t>
            </w:r>
            <w:r>
              <w:rPr>
                <w:b/>
                <w:sz w:val="22"/>
              </w:rPr>
              <w:t>2023</w:t>
            </w:r>
            <w:r>
              <w:rPr>
                <w:b/>
                <w:spacing w:val="-7"/>
                <w:sz w:val="22"/>
              </w:rPr>
              <w:t> </w:t>
            </w:r>
            <w:r>
              <w:rPr>
                <w:b/>
                <w:spacing w:val="-10"/>
                <w:sz w:val="22"/>
                <w:vertAlign w:val="superscript"/>
              </w:rPr>
              <w:t>1</w:t>
            </w:r>
          </w:p>
          <w:p>
            <w:pPr>
              <w:pStyle w:val="TableParagraph"/>
              <w:ind w:right="3965"/>
              <w:rPr>
                <w:b/>
                <w:sz w:val="22"/>
              </w:rPr>
            </w:pPr>
            <w:r>
              <w:rPr>
                <w:b/>
                <w:sz w:val="22"/>
              </w:rPr>
              <w:t>2 an(s</w:t>
            </w:r>
            <w:r>
              <w:rPr>
                <w:b/>
                <w:sz w:val="22"/>
                <w:vertAlign w:val="superscript"/>
              </w:rPr>
              <w:t>)1</w:t>
            </w:r>
            <w:r>
              <w:rPr>
                <w:b/>
                <w:sz w:val="22"/>
                <w:vertAlign w:val="baseline"/>
              </w:rPr>
              <w:t> </w:t>
            </w:r>
            <w:r>
              <w:rPr>
                <w:b/>
                <w:spacing w:val="-2"/>
                <w:sz w:val="22"/>
                <w:vertAlign w:val="baseline"/>
              </w:rPr>
              <w:t>Bruxelles</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95" w:val="left" w:leader="none"/>
                <w:tab w:pos="496" w:val="left" w:leader="none"/>
                <w:tab w:pos="2921" w:val="left" w:leader="none"/>
                <w:tab w:pos="3392" w:val="left" w:leader="none"/>
              </w:tabs>
              <w:spacing w:line="240" w:lineRule="auto" w:before="146" w:after="0"/>
              <w:ind w:left="495" w:right="0" w:hanging="389"/>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2" w:hRule="atLeast"/>
        </w:trPr>
        <w:tc>
          <w:tcPr>
            <w:tcW w:w="9957" w:type="dxa"/>
            <w:gridSpan w:val="2"/>
          </w:tcPr>
          <w:p>
            <w:pPr>
              <w:pStyle w:val="TableParagraph"/>
              <w:spacing w:before="171"/>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spacing w:before="11"/>
              <w:ind w:left="0"/>
              <w:rPr>
                <w:b/>
                <w:sz w:val="21"/>
              </w:rPr>
            </w:pP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rPr>
          <w:b/>
          <w:sz w:val="20"/>
        </w:rPr>
      </w:pPr>
    </w:p>
    <w:p>
      <w:pPr>
        <w:pStyle w:val="BodyText"/>
        <w:spacing w:before="1"/>
        <w:rPr>
          <w:b/>
          <w:sz w:val="16"/>
        </w:rPr>
      </w:pPr>
    </w:p>
    <w:p>
      <w:pPr>
        <w:pStyle w:val="BodyText"/>
        <w:spacing w:before="91"/>
        <w:ind w:left="370" w:right="1424"/>
        <w:jc w:val="both"/>
      </w:pPr>
      <w:r>
        <w:rPr/>
        <w:t>La direction générale de la protection civile et des opérations d’aide humanitaire européennes (ECHO)</w:t>
      </w:r>
      <w:r>
        <w:rPr>
          <w:spacing w:val="-2"/>
        </w:rPr>
        <w:t> </w:t>
      </w:r>
      <w:r>
        <w:rPr/>
        <w:t>répond</w:t>
      </w:r>
      <w:r>
        <w:rPr>
          <w:spacing w:val="-1"/>
        </w:rPr>
        <w:t> </w:t>
      </w:r>
      <w:r>
        <w:rPr/>
        <w:t>à</w:t>
      </w:r>
      <w:r>
        <w:rPr>
          <w:spacing w:val="-4"/>
        </w:rPr>
        <w:t> </w:t>
      </w:r>
      <w:r>
        <w:rPr/>
        <w:t>des</w:t>
      </w:r>
      <w:r>
        <w:rPr>
          <w:spacing w:val="-2"/>
        </w:rPr>
        <w:t> </w:t>
      </w:r>
      <w:r>
        <w:rPr/>
        <w:t>crises</w:t>
      </w:r>
      <w:r>
        <w:rPr>
          <w:spacing w:val="-2"/>
        </w:rPr>
        <w:t> </w:t>
      </w:r>
      <w:r>
        <w:rPr/>
        <w:t>majeures</w:t>
      </w:r>
      <w:r>
        <w:rPr>
          <w:spacing w:val="-2"/>
        </w:rPr>
        <w:t> </w:t>
      </w:r>
      <w:r>
        <w:rPr/>
        <w:t>à</w:t>
      </w:r>
      <w:r>
        <w:rPr>
          <w:spacing w:val="-2"/>
        </w:rPr>
        <w:t> </w:t>
      </w:r>
      <w:r>
        <w:rPr/>
        <w:t>travers</w:t>
      </w:r>
      <w:r>
        <w:rPr>
          <w:spacing w:val="-2"/>
        </w:rPr>
        <w:t> </w:t>
      </w:r>
      <w:r>
        <w:rPr/>
        <w:t>le</w:t>
      </w:r>
      <w:r>
        <w:rPr>
          <w:spacing w:val="-2"/>
        </w:rPr>
        <w:t> </w:t>
      </w:r>
      <w:r>
        <w:rPr/>
        <w:t>monde</w:t>
      </w:r>
      <w:r>
        <w:rPr>
          <w:spacing w:val="-2"/>
        </w:rPr>
        <w:t> </w:t>
      </w:r>
      <w:r>
        <w:rPr/>
        <w:t>par</w:t>
      </w:r>
      <w:r>
        <w:rPr>
          <w:spacing w:val="-2"/>
        </w:rPr>
        <w:t> </w:t>
      </w:r>
      <w:r>
        <w:rPr/>
        <w:t>le</w:t>
      </w:r>
      <w:r>
        <w:rPr>
          <w:spacing w:val="-4"/>
        </w:rPr>
        <w:t> </w:t>
      </w:r>
      <w:r>
        <w:rPr/>
        <w:t>biais</w:t>
      </w:r>
      <w:r>
        <w:rPr>
          <w:spacing w:val="-2"/>
        </w:rPr>
        <w:t> </w:t>
      </w:r>
      <w:r>
        <w:rPr/>
        <w:t>de</w:t>
      </w:r>
      <w:r>
        <w:rPr>
          <w:spacing w:val="-2"/>
        </w:rPr>
        <w:t> </w:t>
      </w:r>
      <w:r>
        <w:rPr/>
        <w:t>la</w:t>
      </w:r>
      <w:r>
        <w:rPr>
          <w:spacing w:val="-2"/>
        </w:rPr>
        <w:t> </w:t>
      </w:r>
      <w:r>
        <w:rPr/>
        <w:t>mobilisation</w:t>
      </w:r>
      <w:r>
        <w:rPr>
          <w:spacing w:val="-1"/>
        </w:rPr>
        <w:t> </w:t>
      </w:r>
      <w:r>
        <w:rPr/>
        <w:t>de</w:t>
      </w:r>
      <w:r>
        <w:rPr>
          <w:spacing w:val="-2"/>
        </w:rPr>
        <w:t> </w:t>
      </w:r>
      <w:r>
        <w:rPr/>
        <w:t>ressources de protection civile de l'UE et l'aide humanitaire. Le titulaire du poste sera attaché à l'unité chargée de la gestion du Centre de Coordination de la Réaction d’Urgence (Emergency Response Coordination Centre-ERCC).</w:t>
      </w:r>
    </w:p>
    <w:p>
      <w:pPr>
        <w:pStyle w:val="BodyText"/>
        <w:spacing w:before="10"/>
        <w:rPr>
          <w:sz w:val="21"/>
        </w:rPr>
      </w:pPr>
    </w:p>
    <w:p>
      <w:pPr>
        <w:pStyle w:val="BodyText"/>
        <w:ind w:left="370" w:right="1424"/>
        <w:jc w:val="both"/>
      </w:pPr>
      <w:r>
        <w:rPr/>
        <w:t>Il/elle</w:t>
      </w:r>
      <w:r>
        <w:rPr>
          <w:spacing w:val="-2"/>
        </w:rPr>
        <w:t> </w:t>
      </w:r>
      <w:r>
        <w:rPr/>
        <w:t>soutiendra</w:t>
      </w:r>
      <w:r>
        <w:rPr>
          <w:spacing w:val="-2"/>
        </w:rPr>
        <w:t> </w:t>
      </w:r>
      <w:r>
        <w:rPr/>
        <w:t>le</w:t>
      </w:r>
      <w:r>
        <w:rPr>
          <w:spacing w:val="-2"/>
        </w:rPr>
        <w:t> </w:t>
      </w:r>
      <w:r>
        <w:rPr/>
        <w:t>personnel</w:t>
      </w:r>
      <w:r>
        <w:rPr>
          <w:spacing w:val="-2"/>
        </w:rPr>
        <w:t> </w:t>
      </w:r>
      <w:r>
        <w:rPr/>
        <w:t>de</w:t>
      </w:r>
      <w:r>
        <w:rPr>
          <w:spacing w:val="-2"/>
        </w:rPr>
        <w:t> </w:t>
      </w:r>
      <w:r>
        <w:rPr/>
        <w:t>permanence</w:t>
      </w:r>
      <w:r>
        <w:rPr>
          <w:spacing w:val="-2"/>
        </w:rPr>
        <w:t> </w:t>
      </w:r>
      <w:r>
        <w:rPr/>
        <w:t>(présent</w:t>
      </w:r>
      <w:r>
        <w:rPr>
          <w:spacing w:val="-2"/>
        </w:rPr>
        <w:t> </w:t>
      </w:r>
      <w:r>
        <w:rPr/>
        <w:t>24</w:t>
      </w:r>
      <w:r>
        <w:rPr>
          <w:spacing w:val="-3"/>
        </w:rPr>
        <w:t> </w:t>
      </w:r>
      <w:r>
        <w:rPr/>
        <w:t>h/24,</w:t>
      </w:r>
      <w:r>
        <w:rPr>
          <w:spacing w:val="-2"/>
        </w:rPr>
        <w:t> </w:t>
      </w:r>
      <w:r>
        <w:rPr/>
        <w:t>7</w:t>
      </w:r>
      <w:r>
        <w:rPr>
          <w:spacing w:val="-1"/>
        </w:rPr>
        <w:t> </w:t>
      </w:r>
      <w:r>
        <w:rPr/>
        <w:t>jours/7)</w:t>
      </w:r>
      <w:r>
        <w:rPr>
          <w:spacing w:val="-2"/>
        </w:rPr>
        <w:t> </w:t>
      </w:r>
      <w:r>
        <w:rPr/>
        <w:t>au</w:t>
      </w:r>
      <w:r>
        <w:rPr>
          <w:spacing w:val="-1"/>
        </w:rPr>
        <w:t> </w:t>
      </w:r>
      <w:r>
        <w:rPr/>
        <w:t>ERCC</w:t>
      </w:r>
      <w:r>
        <w:rPr>
          <w:spacing w:val="-2"/>
        </w:rPr>
        <w:t> </w:t>
      </w:r>
      <w:r>
        <w:rPr/>
        <w:t>dans</w:t>
      </w:r>
      <w:r>
        <w:rPr>
          <w:spacing w:val="-2"/>
        </w:rPr>
        <w:t> </w:t>
      </w:r>
      <w:r>
        <w:rPr/>
        <w:t>leurs</w:t>
      </w:r>
      <w:r>
        <w:rPr>
          <w:spacing w:val="-2"/>
        </w:rPr>
        <w:t> </w:t>
      </w:r>
      <w:r>
        <w:rPr/>
        <w:t>tâches quotidiennes de suivi et d'alerte, de gestion de l'information, de coordination avec les pays participants, de liaison avec les pays affectés par la catastrophe et de coopération avec les</w:t>
      </w:r>
      <w:r>
        <w:rPr>
          <w:spacing w:val="80"/>
        </w:rPr>
        <w:t> </w:t>
      </w:r>
      <w:r>
        <w:rPr/>
        <w:t>partenaires internationaux. Plus généralement, le/la candidat(e) retenu(e) contribuera également à assurer le bon fonctionnement (efficace, cohérent et coordonné) des opérations de l'Union Européenne de réponse aux urgences.</w:t>
      </w:r>
    </w:p>
    <w:p>
      <w:pPr>
        <w:pStyle w:val="BodyText"/>
      </w:pPr>
    </w:p>
    <w:p>
      <w:pPr>
        <w:pStyle w:val="BodyText"/>
        <w:spacing w:before="1"/>
        <w:ind w:left="370" w:right="1423"/>
        <w:jc w:val="both"/>
      </w:pPr>
      <w:r>
        <w:rPr/>
        <w:t>Plus précisément, l’expert national fera progresser le travail en vue d’une coordination et d’une coopération interne efficace entre les autorités de protection civile, les services de la Commission et d’autres institutions et organisations.</w:t>
      </w:r>
      <w:r>
        <w:rPr>
          <w:spacing w:val="40"/>
        </w:rPr>
        <w:t> </w:t>
      </w:r>
      <w:r>
        <w:rPr/>
        <w:t>Il s’agira notamment de contribuer à la mise en œuvre et au développement des politiques du MPCU, y compris l’écologisation de la protection civile, des programmes et des événements, d’assurer une gestion efficace de l’information et de participer aux réunions avec les États participants au mécanisme et d’autres parties prenantes.</w:t>
      </w:r>
    </w:p>
    <w:p>
      <w:pPr>
        <w:pStyle w:val="BodyText"/>
        <w:rPr>
          <w:sz w:val="20"/>
        </w:rPr>
      </w:pPr>
    </w:p>
    <w:p>
      <w:pPr>
        <w:pStyle w:val="BodyText"/>
        <w:spacing w:before="8"/>
        <w:rPr>
          <w:sz w:val="13"/>
        </w:rPr>
      </w:pPr>
      <w:r>
        <w:rPr/>
        <w:pict>
          <v:rect style="position:absolute;margin-left:42.540001pt;margin-top:9.082439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520" w:bottom="880" w:left="480" w:right="740"/>
          <w:pgNumType w:start="1"/>
        </w:sectPr>
      </w:pPr>
    </w:p>
    <w:p>
      <w:pPr>
        <w:pStyle w:val="BodyText"/>
        <w:spacing w:before="75"/>
        <w:ind w:left="370" w:right="1425"/>
        <w:jc w:val="both"/>
      </w:pPr>
      <w:r>
        <w:rPr/>
        <w:t>En outre, il/elle contribuera à l’organisation du Forum européen de protection civile en 2024, en aidant à développer le programme et le contenu du Forum, ainsi qu’en assurant la liaison avec des experts externes pour assurer un niveau élevé d’engagement et de participation.</w:t>
      </w:r>
    </w:p>
    <w:p>
      <w:pPr>
        <w:pStyle w:val="BodyText"/>
        <w:rPr>
          <w:sz w:val="24"/>
        </w:rPr>
      </w:pPr>
    </w:p>
    <w:p>
      <w:pPr>
        <w:pStyle w:val="BodyText"/>
        <w:rPr>
          <w:sz w:val="20"/>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1"/>
          <w:numId w:val="3"/>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spacing w:before="11"/>
        <w:rPr>
          <w:b/>
          <w:sz w:val="21"/>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3"/>
        </w:numPr>
        <w:tabs>
          <w:tab w:pos="1081" w:val="left" w:leader="none"/>
        </w:tabs>
        <w:spacing w:line="240" w:lineRule="auto" w:before="0" w:after="0"/>
        <w:ind w:left="1080" w:right="106"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2"/>
          <w:numId w:val="3"/>
        </w:numPr>
        <w:tabs>
          <w:tab w:pos="1081" w:val="left" w:leader="none"/>
        </w:tabs>
        <w:spacing w:line="240" w:lineRule="auto" w:before="0" w:after="0"/>
        <w:ind w:left="108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pPr>
    </w:p>
    <w:p>
      <w:pPr>
        <w:pStyle w:val="ListParagraph"/>
        <w:numPr>
          <w:ilvl w:val="2"/>
          <w:numId w:val="3"/>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1"/>
        <w:rPr>
          <w:sz w:val="23"/>
        </w:rPr>
      </w:pPr>
    </w:p>
    <w:p>
      <w:pPr>
        <w:pStyle w:val="Heading1"/>
        <w:numPr>
          <w:ilvl w:val="1"/>
          <w:numId w:val="3"/>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1080"/>
      </w:pPr>
      <w:r>
        <w:rPr>
          <w:spacing w:val="-2"/>
          <w:u w:val="single"/>
        </w:rPr>
        <w:t>Diplôme</w:t>
      </w:r>
    </w:p>
    <w:p>
      <w:pPr>
        <w:pStyle w:val="ListParagraph"/>
        <w:numPr>
          <w:ilvl w:val="0"/>
          <w:numId w:val="4"/>
        </w:numPr>
        <w:tabs>
          <w:tab w:pos="1209" w:val="left" w:leader="none"/>
        </w:tabs>
        <w:spacing w:line="240" w:lineRule="auto" w:before="0" w:after="0"/>
        <w:ind w:left="120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0"/>
          <w:numId w:val="4"/>
        </w:numPr>
        <w:tabs>
          <w:tab w:pos="1209" w:val="left" w:leader="none"/>
        </w:tabs>
        <w:spacing w:line="480" w:lineRule="auto" w:before="1" w:after="0"/>
        <w:ind w:left="1190" w:right="2651" w:hanging="111"/>
        <w:jc w:val="left"/>
        <w:rPr>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le(s) domaine(s) :</w:t>
      </w:r>
    </w:p>
    <w:p>
      <w:pPr>
        <w:pStyle w:val="BodyText"/>
        <w:spacing w:line="253" w:lineRule="exact"/>
        <w:ind w:left="1080"/>
      </w:pPr>
      <w:r>
        <w:rPr>
          <w:spacing w:val="-2"/>
          <w:u w:val="single"/>
        </w:rPr>
        <w:t>Expérience</w:t>
      </w:r>
      <w:r>
        <w:rPr>
          <w:spacing w:val="6"/>
          <w:u w:val="single"/>
        </w:rPr>
        <w:t> </w:t>
      </w:r>
      <w:r>
        <w:rPr>
          <w:spacing w:val="-2"/>
          <w:u w:val="single"/>
        </w:rPr>
        <w:t>professionnelle</w:t>
      </w:r>
    </w:p>
    <w:p>
      <w:pPr>
        <w:pStyle w:val="BodyText"/>
        <w:spacing w:before="2"/>
        <w:rPr>
          <w:sz w:val="14"/>
        </w:rPr>
      </w:pPr>
    </w:p>
    <w:p>
      <w:pPr>
        <w:pStyle w:val="BodyText"/>
        <w:spacing w:before="90"/>
        <w:ind w:left="1079" w:right="166"/>
        <w:jc w:val="both"/>
      </w:pPr>
      <w:r>
        <w:rPr/>
        <w:t>L'unité du Centre de Coordination de la Réaction d’Urgence de la DG ECHO recherche un collaborateur expérimenté,</w:t>
      </w:r>
      <w:r>
        <w:rPr>
          <w:spacing w:val="-1"/>
        </w:rPr>
        <w:t> </w:t>
      </w:r>
      <w:r>
        <w:rPr/>
        <w:t>flexible</w:t>
      </w:r>
      <w:r>
        <w:rPr>
          <w:spacing w:val="-3"/>
        </w:rPr>
        <w:t> </w:t>
      </w:r>
      <w:r>
        <w:rPr/>
        <w:t>et</w:t>
      </w:r>
      <w:r>
        <w:rPr>
          <w:spacing w:val="-2"/>
        </w:rPr>
        <w:t> </w:t>
      </w:r>
      <w:r>
        <w:rPr/>
        <w:t>consciencieux</w:t>
      </w:r>
      <w:r>
        <w:rPr>
          <w:spacing w:val="-2"/>
        </w:rPr>
        <w:t> </w:t>
      </w:r>
      <w:r>
        <w:rPr/>
        <w:t>qui</w:t>
      </w:r>
      <w:r>
        <w:rPr>
          <w:spacing w:val="-2"/>
        </w:rPr>
        <w:t> </w:t>
      </w:r>
      <w:r>
        <w:rPr/>
        <w:t>possède</w:t>
      </w:r>
      <w:r>
        <w:rPr>
          <w:spacing w:val="-3"/>
        </w:rPr>
        <w:t> </w:t>
      </w:r>
      <w:r>
        <w:rPr/>
        <w:t>une</w:t>
      </w:r>
      <w:r>
        <w:rPr>
          <w:spacing w:val="-3"/>
        </w:rPr>
        <w:t> </w:t>
      </w:r>
      <w:r>
        <w:rPr/>
        <w:t>expérience</w:t>
      </w:r>
      <w:r>
        <w:rPr>
          <w:spacing w:val="-1"/>
        </w:rPr>
        <w:t> </w:t>
      </w:r>
      <w:r>
        <w:rPr/>
        <w:t>dans</w:t>
      </w:r>
      <w:r>
        <w:rPr>
          <w:spacing w:val="-3"/>
        </w:rPr>
        <w:t> </w:t>
      </w:r>
      <w:r>
        <w:rPr/>
        <w:t>la</w:t>
      </w:r>
      <w:r>
        <w:rPr>
          <w:spacing w:val="-3"/>
        </w:rPr>
        <w:t> </w:t>
      </w:r>
      <w:r>
        <w:rPr/>
        <w:t>gestion</w:t>
      </w:r>
      <w:r>
        <w:rPr>
          <w:spacing w:val="-2"/>
        </w:rPr>
        <w:t> </w:t>
      </w:r>
      <w:r>
        <w:rPr/>
        <w:t>d'urgences.</w:t>
      </w:r>
      <w:r>
        <w:rPr>
          <w:spacing w:val="-5"/>
        </w:rPr>
        <w:t> </w:t>
      </w:r>
      <w:r>
        <w:rPr/>
        <w:t>Il</w:t>
      </w:r>
      <w:r>
        <w:rPr>
          <w:spacing w:val="-2"/>
        </w:rPr>
        <w:t> </w:t>
      </w:r>
      <w:r>
        <w:rPr/>
        <w:t>peut</w:t>
      </w:r>
      <w:r>
        <w:rPr>
          <w:spacing w:val="-2"/>
        </w:rPr>
        <w:t> </w:t>
      </w:r>
      <w:r>
        <w:rPr/>
        <w:t>s’agir d’une</w:t>
      </w:r>
      <w:r>
        <w:rPr>
          <w:spacing w:val="-3"/>
        </w:rPr>
        <w:t> </w:t>
      </w:r>
      <w:r>
        <w:rPr/>
        <w:t>expérience</w:t>
      </w:r>
      <w:r>
        <w:rPr>
          <w:spacing w:val="-3"/>
        </w:rPr>
        <w:t> </w:t>
      </w:r>
      <w:r>
        <w:rPr/>
        <w:t>antérieure</w:t>
      </w:r>
      <w:r>
        <w:rPr>
          <w:spacing w:val="-3"/>
        </w:rPr>
        <w:t> </w:t>
      </w:r>
      <w:r>
        <w:rPr/>
        <w:t>dans</w:t>
      </w:r>
      <w:r>
        <w:rPr>
          <w:spacing w:val="-3"/>
        </w:rPr>
        <w:t> </w:t>
      </w:r>
      <w:r>
        <w:rPr/>
        <w:t>les</w:t>
      </w:r>
      <w:r>
        <w:rPr>
          <w:spacing w:val="-3"/>
        </w:rPr>
        <w:t> </w:t>
      </w:r>
      <w:r>
        <w:rPr/>
        <w:t>domaines</w:t>
      </w:r>
      <w:r>
        <w:rPr>
          <w:spacing w:val="-3"/>
        </w:rPr>
        <w:t> </w:t>
      </w:r>
      <w:r>
        <w:rPr/>
        <w:t>de</w:t>
      </w:r>
      <w:r>
        <w:rPr>
          <w:spacing w:val="-3"/>
        </w:rPr>
        <w:t> </w:t>
      </w:r>
      <w:r>
        <w:rPr/>
        <w:t>l’aide</w:t>
      </w:r>
      <w:r>
        <w:rPr>
          <w:spacing w:val="-3"/>
        </w:rPr>
        <w:t> </w:t>
      </w:r>
      <w:r>
        <w:rPr/>
        <w:t>humanitaire,</w:t>
      </w:r>
      <w:r>
        <w:rPr>
          <w:spacing w:val="-2"/>
        </w:rPr>
        <w:t> </w:t>
      </w:r>
      <w:r>
        <w:rPr/>
        <w:t>de</w:t>
      </w:r>
      <w:r>
        <w:rPr>
          <w:spacing w:val="-3"/>
        </w:rPr>
        <w:t> </w:t>
      </w:r>
      <w:r>
        <w:rPr/>
        <w:t>la</w:t>
      </w:r>
      <w:r>
        <w:rPr>
          <w:spacing w:val="-3"/>
        </w:rPr>
        <w:t> </w:t>
      </w:r>
      <w:r>
        <w:rPr/>
        <w:t>protection</w:t>
      </w:r>
      <w:r>
        <w:rPr>
          <w:spacing w:val="-2"/>
        </w:rPr>
        <w:t> </w:t>
      </w:r>
      <w:r>
        <w:rPr/>
        <w:t>civile,</w:t>
      </w:r>
      <w:r>
        <w:rPr>
          <w:spacing w:val="-2"/>
        </w:rPr>
        <w:t> </w:t>
      </w:r>
      <w:r>
        <w:rPr/>
        <w:t>de</w:t>
      </w:r>
      <w:r>
        <w:rPr>
          <w:spacing w:val="-3"/>
        </w:rPr>
        <w:t> </w:t>
      </w:r>
      <w:r>
        <w:rPr/>
        <w:t>l’assistance militaire ou dans des domaines connexes. Le candidat doit démontrer qu'il est familier avec le Mécanisme de protection civile de l'Union européenne. Il/Elle aura de préférence suivi les cours de formation de la protection civile européenne et il/elle aura participé aux exercices de protection civile européenne. Une expérience de terrain à l'international constituera un atout.</w:t>
      </w:r>
    </w:p>
    <w:p>
      <w:pPr>
        <w:pStyle w:val="BodyText"/>
        <w:spacing w:before="11"/>
        <w:rPr>
          <w:sz w:val="21"/>
        </w:rPr>
      </w:pPr>
    </w:p>
    <w:p>
      <w:pPr>
        <w:pStyle w:val="BodyText"/>
        <w:ind w:left="1079" w:right="167"/>
        <w:jc w:val="both"/>
      </w:pPr>
      <w:r>
        <w:rPr/>
        <w:t>Le/la candidat(e) devra avoir la capacité de travailler rapidement sur des nouveaux sujets et de gérer simultanément un certain nombre de dossiers.</w:t>
      </w:r>
    </w:p>
    <w:p>
      <w:pPr>
        <w:pStyle w:val="BodyText"/>
        <w:spacing w:before="1"/>
      </w:pPr>
    </w:p>
    <w:p>
      <w:pPr>
        <w:pStyle w:val="BodyText"/>
        <w:ind w:left="1079" w:right="166"/>
        <w:jc w:val="both"/>
      </w:pPr>
      <w:r>
        <w:rPr/>
        <w:t>Le/la candidat(e) aura de bonnes compétences organisationnelles, manipulera avec aisance les outils de bureautique et aura de très bonnes capacités rédactionnelles. L'esprit d'équipe est essentiel.</w:t>
      </w:r>
    </w:p>
    <w:p>
      <w:pPr>
        <w:pStyle w:val="BodyText"/>
        <w:rPr>
          <w:sz w:val="24"/>
        </w:rPr>
      </w:pPr>
    </w:p>
    <w:p>
      <w:pPr>
        <w:pStyle w:val="BodyText"/>
        <w:spacing w:before="11"/>
        <w:rPr>
          <w:sz w:val="19"/>
        </w:rPr>
      </w:pPr>
    </w:p>
    <w:p>
      <w:pPr>
        <w:pStyle w:val="BodyText"/>
        <w:ind w:left="108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2"/>
        <w:rPr>
          <w:sz w:val="14"/>
        </w:rPr>
      </w:pPr>
    </w:p>
    <w:p>
      <w:pPr>
        <w:pStyle w:val="BodyText"/>
        <w:spacing w:before="90"/>
        <w:ind w:left="1080"/>
      </w:pPr>
      <w:r>
        <w:rPr/>
        <w:t>Le</w:t>
      </w:r>
      <w:r>
        <w:rPr>
          <w:spacing w:val="25"/>
        </w:rPr>
        <w:t> </w:t>
      </w:r>
      <w:r>
        <w:rPr/>
        <w:t>/la</w:t>
      </w:r>
      <w:r>
        <w:rPr>
          <w:spacing w:val="25"/>
        </w:rPr>
        <w:t> </w:t>
      </w:r>
      <w:r>
        <w:rPr/>
        <w:t>candidat(e)</w:t>
      </w:r>
      <w:r>
        <w:rPr>
          <w:spacing w:val="26"/>
        </w:rPr>
        <w:t> </w:t>
      </w:r>
      <w:r>
        <w:rPr/>
        <w:t>aura</w:t>
      </w:r>
      <w:r>
        <w:rPr>
          <w:spacing w:val="25"/>
        </w:rPr>
        <w:t> </w:t>
      </w:r>
      <w:r>
        <w:rPr/>
        <w:t>une</w:t>
      </w:r>
      <w:r>
        <w:rPr>
          <w:spacing w:val="25"/>
        </w:rPr>
        <w:t> </w:t>
      </w:r>
      <w:r>
        <w:rPr/>
        <w:t>excellente</w:t>
      </w:r>
      <w:r>
        <w:rPr>
          <w:spacing w:val="25"/>
        </w:rPr>
        <w:t> </w:t>
      </w:r>
      <w:r>
        <w:rPr/>
        <w:t>connaissance</w:t>
      </w:r>
      <w:r>
        <w:rPr>
          <w:spacing w:val="26"/>
        </w:rPr>
        <w:t> </w:t>
      </w:r>
      <w:r>
        <w:rPr/>
        <w:t>de</w:t>
      </w:r>
      <w:r>
        <w:rPr>
          <w:spacing w:val="25"/>
        </w:rPr>
        <w:t> </w:t>
      </w:r>
      <w:r>
        <w:rPr/>
        <w:t>l'anglais.</w:t>
      </w:r>
      <w:r>
        <w:rPr>
          <w:spacing w:val="26"/>
        </w:rPr>
        <w:t> </w:t>
      </w:r>
      <w:r>
        <w:rPr/>
        <w:t>La</w:t>
      </w:r>
      <w:r>
        <w:rPr>
          <w:spacing w:val="25"/>
        </w:rPr>
        <w:t> </w:t>
      </w:r>
      <w:r>
        <w:rPr/>
        <w:t>connaissance</w:t>
      </w:r>
      <w:r>
        <w:rPr>
          <w:spacing w:val="25"/>
        </w:rPr>
        <w:t> </w:t>
      </w:r>
      <w:r>
        <w:rPr/>
        <w:t>d'une</w:t>
      </w:r>
      <w:r>
        <w:rPr>
          <w:spacing w:val="25"/>
        </w:rPr>
        <w:t> </w:t>
      </w:r>
      <w:r>
        <w:rPr/>
        <w:t>autre</w:t>
      </w:r>
      <w:r>
        <w:rPr>
          <w:spacing w:val="25"/>
        </w:rPr>
        <w:t> </w:t>
      </w:r>
      <w:r>
        <w:rPr/>
        <w:t>langue</w:t>
      </w:r>
      <w:r>
        <w:rPr>
          <w:spacing w:val="24"/>
        </w:rPr>
        <w:t> </w:t>
      </w:r>
      <w:r>
        <w:rPr/>
        <w:t>de l'UE, notamment le français, est un plus.</w:t>
      </w:r>
    </w:p>
    <w:p>
      <w:pPr>
        <w:spacing w:after="0"/>
        <w:sectPr>
          <w:pgSz w:w="11910" w:h="16840"/>
          <w:pgMar w:header="0" w:footer="686" w:top="1040" w:bottom="880" w:left="480" w:right="740"/>
        </w:sectPr>
      </w:pPr>
    </w:p>
    <w:p>
      <w:pPr>
        <w:pStyle w:val="BodyText"/>
        <w:spacing w:before="2"/>
        <w:rPr>
          <w:sz w:val="10"/>
        </w:rPr>
      </w:pPr>
    </w:p>
    <w:p>
      <w:pPr>
        <w:pStyle w:val="ListParagraph"/>
        <w:numPr>
          <w:ilvl w:val="0"/>
          <w:numId w:val="3"/>
        </w:numPr>
        <w:tabs>
          <w:tab w:pos="796" w:val="left" w:leader="none"/>
          <w:tab w:pos="797" w:val="left" w:leader="none"/>
        </w:tabs>
        <w:spacing w:line="240" w:lineRule="auto" w:before="9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
        <w:rPr>
          <w:b/>
          <w:sz w:val="16"/>
        </w:rPr>
      </w:pPr>
    </w:p>
    <w:p>
      <w:pPr>
        <w:spacing w:before="91"/>
        <w:ind w:left="796" w:right="283"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79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3"/>
        </w:numPr>
        <w:tabs>
          <w:tab w:pos="797" w:val="left" w:leader="none"/>
        </w:tabs>
        <w:spacing w:line="240" w:lineRule="auto" w:before="1"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
        <w:rPr>
          <w:b/>
          <w:sz w:val="16"/>
        </w:rPr>
      </w:pPr>
    </w:p>
    <w:p>
      <w:pPr>
        <w:pStyle w:val="BodyText"/>
        <w:spacing w:before="9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6"/>
      </w:pPr>
      <w:r>
        <w:rPr/>
        <w:t>L'END</w:t>
      </w:r>
      <w:r>
        <w:rPr>
          <w:spacing w:val="33"/>
        </w:rPr>
        <w:t> </w:t>
      </w:r>
      <w:r>
        <w:rPr/>
        <w:t>restera</w:t>
      </w:r>
      <w:r>
        <w:rPr>
          <w:spacing w:val="33"/>
        </w:rPr>
        <w:t> </w:t>
      </w:r>
      <w:r>
        <w:rPr/>
        <w:t>employé</w:t>
      </w:r>
      <w:r>
        <w:rPr>
          <w:spacing w:val="33"/>
        </w:rPr>
        <w:t> </w:t>
      </w:r>
      <w:r>
        <w:rPr/>
        <w:t>et</w:t>
      </w:r>
      <w:r>
        <w:rPr>
          <w:spacing w:val="34"/>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rPr>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0"/>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ind w:left="79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79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2"/>
        <w:rPr>
          <w:b/>
          <w:sz w:val="14"/>
        </w:rPr>
      </w:pPr>
    </w:p>
    <w:p>
      <w:pPr>
        <w:pStyle w:val="ListParagraph"/>
        <w:numPr>
          <w:ilvl w:val="0"/>
          <w:numId w:val="5"/>
        </w:numPr>
        <w:tabs>
          <w:tab w:pos="1078" w:val="left" w:leader="none"/>
          <w:tab w:pos="1079" w:val="left" w:leader="none"/>
        </w:tabs>
        <w:spacing w:line="240" w:lineRule="auto" w:before="90" w:after="0"/>
        <w:ind w:left="1078" w:right="0" w:hanging="283"/>
        <w:jc w:val="left"/>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spacing w:after="0" w:line="240" w:lineRule="auto"/>
        <w:jc w:val="left"/>
        <w:rPr>
          <w:sz w:val="22"/>
        </w:rPr>
        <w:sectPr>
          <w:pgSz w:w="11910" w:h="16840"/>
          <w:pgMar w:header="0" w:footer="686" w:top="1920" w:bottom="880" w:left="480" w:right="740"/>
        </w:sectPr>
      </w:pPr>
    </w:p>
    <w:p>
      <w:pPr>
        <w:pStyle w:val="BodyText"/>
        <w:spacing w:before="75"/>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2"/>
        <w:rPr>
          <w:sz w:val="14"/>
        </w:rPr>
      </w:pPr>
    </w:p>
    <w:p>
      <w:pPr>
        <w:pStyle w:val="Heading1"/>
        <w:numPr>
          <w:ilvl w:val="0"/>
          <w:numId w:val="5"/>
        </w:numPr>
        <w:tabs>
          <w:tab w:pos="1079" w:val="left" w:leader="none"/>
        </w:tabs>
        <w:spacing w:line="240" w:lineRule="auto" w:before="90"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79" w:val="left" w:leader="none"/>
        </w:tabs>
        <w:spacing w:line="252" w:lineRule="exact" w:before="0"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8"/>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2"/>
        <w:rPr>
          <w:b/>
          <w:sz w:val="14"/>
        </w:rPr>
      </w:pPr>
    </w:p>
    <w:p>
      <w:pPr>
        <w:pStyle w:val="BodyText"/>
        <w:spacing w:before="91"/>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796"/>
      </w:pPr>
      <w:r>
        <w:rPr/>
        <w:t>À l'attention des candidats ressortissant de pays tiers: vos données personnelles peuvent être utilisées aux fins des vérifications nécessaires.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1824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3">
    <w:multiLevelType w:val="hybridMultilevel"/>
    <w:lvl w:ilvl="0">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2148" w:hanging="129"/>
      </w:pPr>
      <w:rPr>
        <w:rFonts w:hint="default"/>
        <w:lang w:val="fr-FR" w:eastAsia="en-US" w:bidi="ar-SA"/>
      </w:rPr>
    </w:lvl>
    <w:lvl w:ilvl="2">
      <w:start w:val="0"/>
      <w:numFmt w:val="bullet"/>
      <w:lvlText w:val="•"/>
      <w:lvlJc w:val="left"/>
      <w:pPr>
        <w:ind w:left="3097" w:hanging="129"/>
      </w:pPr>
      <w:rPr>
        <w:rFonts w:hint="default"/>
        <w:lang w:val="fr-FR" w:eastAsia="en-US" w:bidi="ar-SA"/>
      </w:rPr>
    </w:lvl>
    <w:lvl w:ilvl="3">
      <w:start w:val="0"/>
      <w:numFmt w:val="bullet"/>
      <w:lvlText w:val="•"/>
      <w:lvlJc w:val="left"/>
      <w:pPr>
        <w:ind w:left="4045" w:hanging="129"/>
      </w:pPr>
      <w:rPr>
        <w:rFonts w:hint="default"/>
        <w:lang w:val="fr-FR" w:eastAsia="en-US" w:bidi="ar-SA"/>
      </w:rPr>
    </w:lvl>
    <w:lvl w:ilvl="4">
      <w:start w:val="0"/>
      <w:numFmt w:val="bullet"/>
      <w:lvlText w:val="•"/>
      <w:lvlJc w:val="left"/>
      <w:pPr>
        <w:ind w:left="4994" w:hanging="129"/>
      </w:pPr>
      <w:rPr>
        <w:rFonts w:hint="default"/>
        <w:lang w:val="fr-FR" w:eastAsia="en-US" w:bidi="ar-SA"/>
      </w:rPr>
    </w:lvl>
    <w:lvl w:ilvl="5">
      <w:start w:val="0"/>
      <w:numFmt w:val="bullet"/>
      <w:lvlText w:val="•"/>
      <w:lvlJc w:val="left"/>
      <w:pPr>
        <w:ind w:left="5943" w:hanging="129"/>
      </w:pPr>
      <w:rPr>
        <w:rFonts w:hint="default"/>
        <w:lang w:val="fr-FR" w:eastAsia="en-US" w:bidi="ar-SA"/>
      </w:rPr>
    </w:lvl>
    <w:lvl w:ilvl="6">
      <w:start w:val="0"/>
      <w:numFmt w:val="bullet"/>
      <w:lvlText w:val="•"/>
      <w:lvlJc w:val="left"/>
      <w:pPr>
        <w:ind w:left="6891" w:hanging="129"/>
      </w:pPr>
      <w:rPr>
        <w:rFonts w:hint="default"/>
        <w:lang w:val="fr-FR" w:eastAsia="en-US" w:bidi="ar-SA"/>
      </w:rPr>
    </w:lvl>
    <w:lvl w:ilvl="7">
      <w:start w:val="0"/>
      <w:numFmt w:val="bullet"/>
      <w:lvlText w:val="•"/>
      <w:lvlJc w:val="left"/>
      <w:pPr>
        <w:ind w:left="7840" w:hanging="129"/>
      </w:pPr>
      <w:rPr>
        <w:rFonts w:hint="default"/>
        <w:lang w:val="fr-FR" w:eastAsia="en-US" w:bidi="ar-SA"/>
      </w:rPr>
    </w:lvl>
    <w:lvl w:ilvl="8">
      <w:start w:val="0"/>
      <w:numFmt w:val="bullet"/>
      <w:lvlText w:val="•"/>
      <w:lvlJc w:val="left"/>
      <w:pPr>
        <w:ind w:left="8789" w:hanging="129"/>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495" w:hanging="389"/>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08" w:hanging="389"/>
      </w:pPr>
      <w:rPr>
        <w:rFonts w:hint="default"/>
        <w:lang w:val="fr-FR" w:eastAsia="en-US" w:bidi="ar-SA"/>
      </w:rPr>
    </w:lvl>
    <w:lvl w:ilvl="2">
      <w:start w:val="0"/>
      <w:numFmt w:val="bullet"/>
      <w:lvlText w:val="•"/>
      <w:lvlJc w:val="left"/>
      <w:pPr>
        <w:ind w:left="1517" w:hanging="389"/>
      </w:pPr>
      <w:rPr>
        <w:rFonts w:hint="default"/>
        <w:lang w:val="fr-FR" w:eastAsia="en-US" w:bidi="ar-SA"/>
      </w:rPr>
    </w:lvl>
    <w:lvl w:ilvl="3">
      <w:start w:val="0"/>
      <w:numFmt w:val="bullet"/>
      <w:lvlText w:val="•"/>
      <w:lvlJc w:val="left"/>
      <w:pPr>
        <w:ind w:left="2026" w:hanging="389"/>
      </w:pPr>
      <w:rPr>
        <w:rFonts w:hint="default"/>
        <w:lang w:val="fr-FR" w:eastAsia="en-US" w:bidi="ar-SA"/>
      </w:rPr>
    </w:lvl>
    <w:lvl w:ilvl="4">
      <w:start w:val="0"/>
      <w:numFmt w:val="bullet"/>
      <w:lvlText w:val="•"/>
      <w:lvlJc w:val="left"/>
      <w:pPr>
        <w:ind w:left="2534" w:hanging="389"/>
      </w:pPr>
      <w:rPr>
        <w:rFonts w:hint="default"/>
        <w:lang w:val="fr-FR" w:eastAsia="en-US" w:bidi="ar-SA"/>
      </w:rPr>
    </w:lvl>
    <w:lvl w:ilvl="5">
      <w:start w:val="0"/>
      <w:numFmt w:val="bullet"/>
      <w:lvlText w:val="•"/>
      <w:lvlJc w:val="left"/>
      <w:pPr>
        <w:ind w:left="3043" w:hanging="389"/>
      </w:pPr>
      <w:rPr>
        <w:rFonts w:hint="default"/>
        <w:lang w:val="fr-FR" w:eastAsia="en-US" w:bidi="ar-SA"/>
      </w:rPr>
    </w:lvl>
    <w:lvl w:ilvl="6">
      <w:start w:val="0"/>
      <w:numFmt w:val="bullet"/>
      <w:lvlText w:val="•"/>
      <w:lvlJc w:val="left"/>
      <w:pPr>
        <w:ind w:left="3552" w:hanging="389"/>
      </w:pPr>
      <w:rPr>
        <w:rFonts w:hint="default"/>
        <w:lang w:val="fr-FR" w:eastAsia="en-US" w:bidi="ar-SA"/>
      </w:rPr>
    </w:lvl>
    <w:lvl w:ilvl="7">
      <w:start w:val="0"/>
      <w:numFmt w:val="bullet"/>
      <w:lvlText w:val="•"/>
      <w:lvlJc w:val="left"/>
      <w:pPr>
        <w:ind w:left="4060" w:hanging="389"/>
      </w:pPr>
      <w:rPr>
        <w:rFonts w:hint="default"/>
        <w:lang w:val="fr-FR" w:eastAsia="en-US" w:bidi="ar-SA"/>
      </w:rPr>
    </w:lvl>
    <w:lvl w:ilvl="8">
      <w:start w:val="0"/>
      <w:numFmt w:val="bullet"/>
      <w:lvlText w:val="•"/>
      <w:lvlJc w:val="left"/>
      <w:pPr>
        <w:ind w:left="4569" w:hanging="389"/>
      </w:pPr>
      <w:rPr>
        <w:rFonts w:hint="default"/>
        <w:lang w:val="fr-FR"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280" w:hanging="284"/>
      </w:pPr>
      <w:rPr>
        <w:rFonts w:hint="default"/>
        <w:lang w:val="fr-FR" w:eastAsia="en-US" w:bidi="ar-SA"/>
      </w:rPr>
    </w:lvl>
    <w:lvl w:ilvl="4">
      <w:start w:val="0"/>
      <w:numFmt w:val="bullet"/>
      <w:lvlText w:val="•"/>
      <w:lvlJc w:val="left"/>
      <w:pPr>
        <w:ind w:left="3481" w:hanging="284"/>
      </w:pPr>
      <w:rPr>
        <w:rFonts w:hint="default"/>
        <w:lang w:val="fr-FR" w:eastAsia="en-US" w:bidi="ar-SA"/>
      </w:rPr>
    </w:lvl>
    <w:lvl w:ilvl="5">
      <w:start w:val="0"/>
      <w:numFmt w:val="bullet"/>
      <w:lvlText w:val="•"/>
      <w:lvlJc w:val="left"/>
      <w:pPr>
        <w:ind w:left="4682" w:hanging="284"/>
      </w:pPr>
      <w:rPr>
        <w:rFonts w:hint="default"/>
        <w:lang w:val="fr-FR" w:eastAsia="en-US" w:bidi="ar-SA"/>
      </w:rPr>
    </w:lvl>
    <w:lvl w:ilvl="6">
      <w:start w:val="0"/>
      <w:numFmt w:val="bullet"/>
      <w:lvlText w:val="•"/>
      <w:lvlJc w:val="left"/>
      <w:pPr>
        <w:ind w:left="5883" w:hanging="284"/>
      </w:pPr>
      <w:rPr>
        <w:rFonts w:hint="default"/>
        <w:lang w:val="fr-FR" w:eastAsia="en-US" w:bidi="ar-SA"/>
      </w:rPr>
    </w:lvl>
    <w:lvl w:ilvl="7">
      <w:start w:val="0"/>
      <w:numFmt w:val="bullet"/>
      <w:lvlText w:val="•"/>
      <w:lvlJc w:val="left"/>
      <w:pPr>
        <w:ind w:left="7084" w:hanging="284"/>
      </w:pPr>
      <w:rPr>
        <w:rFonts w:hint="default"/>
        <w:lang w:val="fr-FR" w:eastAsia="en-US" w:bidi="ar-SA"/>
      </w:rPr>
    </w:lvl>
    <w:lvl w:ilvl="8">
      <w:start w:val="0"/>
      <w:numFmt w:val="bullet"/>
      <w:lvlText w:val="•"/>
      <w:lvlJc w:val="left"/>
      <w:pPr>
        <w:ind w:left="8284" w:hanging="284"/>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2023-05-08T13:08:38Z</dcterms:created>
  <dcterms:modified xsi:type="dcterms:W3CDTF">2023-05-08T13:08:38Z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0x010100AF1BE6DD51AC874DAF35F10B752FF4F6</vt:lpwstr>
  </property>
  <property fmtid="{D5CDD505-2E9C-101B-9397-08002B2CF9AE}" pid="3" name="Created">
    <vt:filetime>2023-05-08T00:00:00Z</vt:filetime>
  </property>
  <property fmtid="{D5CDD505-2E9C-101B-9397-08002B2CF9AE}" pid="4" name="Creator">
    <vt:lpwstr>Acrobat PDFMaker 23 for Word</vt:lpwstr>
  </property>
  <property fmtid="{D5CDD505-2E9C-101B-9397-08002B2CF9AE}" pid="5" name="LastSaved">
    <vt:filetime>2023-05-08T00:00:00Z</vt:filetime>
  </property>
  <property fmtid="{D5CDD505-2E9C-101B-9397-08002B2CF9AE}" pid="6" name="MSIP_Label_6bd9ddd1-4d20-43f6-abfa-fc3c07406f94_ActionId">
    <vt:lpwstr>ffb4ec65-8a1e-4567-a570-ab30467bc799</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2022-12-12T15:35:17Z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23.1.175</vt:lpwstr>
  </property>
  <property fmtid="{D5CDD505-2E9C-101B-9397-08002B2CF9AE}" pid="14" name="SourceModified">
    <vt:lpwstr>D:20230427122638</vt:lpwstr>
  </property>
</Properties>
</file>