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Default Extension="png" ContentType="image/pn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ind w:left="101"/>
        <w:rPr>
          <w:sz w:val="20"/>
        </w:rPr>
      </w:pPr>
      <w:r>
        <w:rPr>
          <w:sz w:val="20"/>
        </w:rPr>
        <w:drawing>
          <wp:inline distT="0" distB="0" distL="0" distR="0">
            <wp:extent cx="1381125" cy="685800"/>
            <wp:effectExtent l="0" t="0" r="0" b="0"/>
            <wp:docPr id="1" name="image1.png"/>
            <wp:cNvGraphicFramePr>
              <a:graphicFrameLocks noChangeAspect="1"/>
            </wp:cNvGraphicFramePr>
            <a:graphic>
              <a:graphicData uri="http://schemas.openxmlformats.org/drawingml/2006/picture">
                <pic:pic>
                  <pic:nvPicPr>
                    <pic:cNvPr id="2" name="image1.png"/>
                    <pic:cNvPicPr/>
                  </pic:nvPicPr>
                  <pic:blipFill>
                    <a:blip r:embed="rId6" cstate="print"/>
                    <a:stretch>
                      <a:fillRect/>
                    </a:stretch>
                  </pic:blipFill>
                  <pic:spPr>
                    <a:xfrm>
                      <a:off x="0" y="0"/>
                      <a:ext cx="1381125" cy="685800"/>
                    </a:xfrm>
                    <a:prstGeom prst="rect">
                      <a:avLst/>
                    </a:prstGeom>
                  </pic:spPr>
                </pic:pic>
              </a:graphicData>
            </a:graphic>
          </wp:inline>
        </w:drawing>
      </w:r>
      <w:r>
        <w:rPr>
          <w:sz w:val="20"/>
        </w:rPr>
      </w:r>
    </w:p>
    <w:p>
      <w:pPr>
        <w:spacing w:before="68"/>
        <w:ind w:left="1115" w:right="1452" w:firstLine="0"/>
        <w:jc w:val="center"/>
        <w:rPr>
          <w:b/>
          <w:sz w:val="24"/>
        </w:rPr>
      </w:pPr>
      <w:r>
        <w:rPr>
          <w:b/>
          <w:spacing w:val="-2"/>
          <w:sz w:val="24"/>
        </w:rPr>
        <w:t>STELLENAUSSCHREIBUNG</w:t>
      </w:r>
    </w:p>
    <w:p>
      <w:pPr>
        <w:pStyle w:val="BodyText"/>
        <w:spacing w:before="11"/>
        <w:rPr>
          <w:b/>
          <w:sz w:val="23"/>
        </w:rPr>
      </w:pPr>
    </w:p>
    <w:p>
      <w:pPr>
        <w:spacing w:before="0"/>
        <w:ind w:left="1115" w:right="1452" w:firstLine="0"/>
        <w:jc w:val="center"/>
        <w:rPr>
          <w:b/>
          <w:sz w:val="24"/>
        </w:rPr>
      </w:pPr>
      <w:r>
        <w:rPr>
          <w:b/>
          <w:sz w:val="24"/>
        </w:rPr>
        <w:t>ZUR</w:t>
      </w:r>
      <w:r>
        <w:rPr>
          <w:b/>
          <w:spacing w:val="-9"/>
          <w:sz w:val="24"/>
        </w:rPr>
        <w:t> </w:t>
      </w:r>
      <w:r>
        <w:rPr>
          <w:b/>
          <w:sz w:val="24"/>
        </w:rPr>
        <w:t>EUROPÄISCHEN</w:t>
      </w:r>
      <w:r>
        <w:rPr>
          <w:b/>
          <w:spacing w:val="-10"/>
          <w:sz w:val="24"/>
        </w:rPr>
        <w:t> </w:t>
      </w:r>
      <w:r>
        <w:rPr>
          <w:b/>
          <w:sz w:val="24"/>
        </w:rPr>
        <w:t>KOMMISSION</w:t>
      </w:r>
      <w:r>
        <w:rPr>
          <w:b/>
          <w:spacing w:val="-10"/>
          <w:sz w:val="24"/>
        </w:rPr>
        <w:t> </w:t>
      </w:r>
      <w:r>
        <w:rPr>
          <w:b/>
          <w:sz w:val="24"/>
        </w:rPr>
        <w:t>ABGEORDNETE/R</w:t>
      </w:r>
      <w:r>
        <w:rPr>
          <w:b/>
          <w:spacing w:val="-10"/>
          <w:sz w:val="24"/>
        </w:rPr>
        <w:t> </w:t>
      </w:r>
      <w:r>
        <w:rPr>
          <w:b/>
          <w:sz w:val="24"/>
        </w:rPr>
        <w:t>NATIONALE/R </w:t>
      </w:r>
      <w:r>
        <w:rPr>
          <w:b/>
          <w:spacing w:val="-2"/>
          <w:sz w:val="24"/>
        </w:rPr>
        <w:t>SACHVERSTÄNDIGE/R</w:t>
      </w:r>
    </w:p>
    <w:p>
      <w:pPr>
        <w:pStyle w:val="BodyText"/>
        <w:rPr>
          <w:b/>
          <w:sz w:val="24"/>
        </w:rPr>
      </w:pPr>
    </w:p>
    <w:tbl>
      <w:tblPr>
        <w:tblW w:w="0" w:type="auto"/>
        <w:jc w:val="left"/>
        <w:tblInd w:w="4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360"/>
        <w:gridCol w:w="5597"/>
      </w:tblGrid>
      <w:tr>
        <w:trPr>
          <w:trHeight w:val="610" w:hRule="atLeast"/>
        </w:trPr>
        <w:tc>
          <w:tcPr>
            <w:tcW w:w="4360" w:type="dxa"/>
          </w:tcPr>
          <w:p>
            <w:pPr>
              <w:pStyle w:val="TableParagraph"/>
              <w:rPr>
                <w:b/>
                <w:sz w:val="24"/>
              </w:rPr>
            </w:pPr>
            <w:r>
              <w:rPr>
                <w:b/>
                <w:sz w:val="24"/>
              </w:rPr>
              <w:t>Bezeichnung</w:t>
            </w:r>
            <w:r>
              <w:rPr>
                <w:b/>
                <w:spacing w:val="-3"/>
                <w:sz w:val="24"/>
              </w:rPr>
              <w:t> </w:t>
            </w:r>
            <w:r>
              <w:rPr>
                <w:b/>
                <w:sz w:val="24"/>
              </w:rPr>
              <w:t>der</w:t>
            </w:r>
            <w:r>
              <w:rPr>
                <w:b/>
                <w:spacing w:val="-3"/>
                <w:sz w:val="24"/>
              </w:rPr>
              <w:t> </w:t>
            </w:r>
            <w:r>
              <w:rPr>
                <w:b/>
                <w:spacing w:val="-2"/>
                <w:sz w:val="24"/>
              </w:rPr>
              <w:t>Dienststelle:</w:t>
            </w:r>
          </w:p>
          <w:p>
            <w:pPr>
              <w:pStyle w:val="TableParagraph"/>
              <w:rPr>
                <w:sz w:val="24"/>
              </w:rPr>
            </w:pPr>
            <w:r>
              <w:rPr>
                <w:spacing w:val="-2"/>
                <w:sz w:val="24"/>
              </w:rPr>
              <w:t>(GD-DIR-REFERAT)</w:t>
            </w:r>
          </w:p>
        </w:tc>
        <w:tc>
          <w:tcPr>
            <w:tcW w:w="5597" w:type="dxa"/>
          </w:tcPr>
          <w:p>
            <w:pPr>
              <w:pStyle w:val="TableParagraph"/>
              <w:spacing w:before="168"/>
              <w:rPr>
                <w:sz w:val="24"/>
              </w:rPr>
            </w:pPr>
            <w:r>
              <w:rPr>
                <w:sz w:val="24"/>
              </w:rPr>
              <w:t>MOVE</w:t>
            </w:r>
            <w:r>
              <w:rPr>
                <w:spacing w:val="-3"/>
                <w:sz w:val="24"/>
              </w:rPr>
              <w:t> </w:t>
            </w:r>
            <w:r>
              <w:rPr>
                <w:spacing w:val="-5"/>
                <w:sz w:val="24"/>
              </w:rPr>
              <w:t>C.3</w:t>
            </w:r>
          </w:p>
        </w:tc>
      </w:tr>
      <w:tr>
        <w:trPr>
          <w:trHeight w:val="1977" w:hRule="atLeast"/>
        </w:trPr>
        <w:tc>
          <w:tcPr>
            <w:tcW w:w="4360" w:type="dxa"/>
            <w:vMerge w:val="restart"/>
          </w:tcPr>
          <w:p>
            <w:pPr>
              <w:pStyle w:val="TableParagraph"/>
              <w:spacing w:line="252" w:lineRule="exact" w:before="1"/>
              <w:rPr>
                <w:b/>
                <w:sz w:val="22"/>
              </w:rPr>
            </w:pPr>
            <w:r>
              <w:rPr>
                <w:b/>
                <w:spacing w:val="-2"/>
                <w:sz w:val="22"/>
              </w:rPr>
              <w:t>Referatsleiter:</w:t>
            </w:r>
          </w:p>
          <w:p>
            <w:pPr>
              <w:pStyle w:val="TableParagraph"/>
              <w:spacing w:line="252" w:lineRule="exact"/>
              <w:rPr>
                <w:b/>
                <w:sz w:val="22"/>
              </w:rPr>
            </w:pPr>
            <w:r>
              <w:rPr>
                <w:b/>
                <w:spacing w:val="-2"/>
                <w:sz w:val="22"/>
              </w:rPr>
              <w:t>E-Mail:</w:t>
            </w:r>
          </w:p>
          <w:p>
            <w:pPr>
              <w:pStyle w:val="TableParagraph"/>
              <w:rPr>
                <w:b/>
                <w:sz w:val="22"/>
              </w:rPr>
            </w:pPr>
            <w:r>
              <w:rPr>
                <w:b/>
                <w:spacing w:val="-2"/>
                <w:sz w:val="22"/>
              </w:rPr>
              <w:t>Telefon:</w:t>
            </w:r>
          </w:p>
          <w:p>
            <w:pPr>
              <w:pStyle w:val="TableParagraph"/>
              <w:ind w:right="529"/>
              <w:rPr>
                <w:b/>
                <w:sz w:val="22"/>
              </w:rPr>
            </w:pPr>
            <w:r>
              <w:rPr>
                <w:b/>
                <w:sz w:val="22"/>
              </w:rPr>
              <w:t>Anzahl der zu besetzenden Stellen: Gewünschter Dienstantritt: Gewünschte</w:t>
            </w:r>
            <w:r>
              <w:rPr>
                <w:b/>
                <w:spacing w:val="-9"/>
                <w:sz w:val="22"/>
              </w:rPr>
              <w:t> </w:t>
            </w:r>
            <w:r>
              <w:rPr>
                <w:b/>
                <w:sz w:val="22"/>
              </w:rPr>
              <w:t>Dauer</w:t>
            </w:r>
            <w:r>
              <w:rPr>
                <w:b/>
                <w:spacing w:val="-11"/>
                <w:sz w:val="22"/>
              </w:rPr>
              <w:t> </w:t>
            </w:r>
            <w:r>
              <w:rPr>
                <w:b/>
                <w:sz w:val="22"/>
              </w:rPr>
              <w:t>der</w:t>
            </w:r>
            <w:r>
              <w:rPr>
                <w:b/>
                <w:spacing w:val="-11"/>
                <w:sz w:val="22"/>
              </w:rPr>
              <w:t> </w:t>
            </w:r>
            <w:r>
              <w:rPr>
                <w:b/>
                <w:sz w:val="22"/>
              </w:rPr>
              <w:t>1.</w:t>
            </w:r>
            <w:r>
              <w:rPr>
                <w:b/>
                <w:spacing w:val="-9"/>
                <w:sz w:val="22"/>
              </w:rPr>
              <w:t> </w:t>
            </w:r>
            <w:r>
              <w:rPr>
                <w:b/>
                <w:sz w:val="22"/>
              </w:rPr>
              <w:t>Abordnung: </w:t>
            </w:r>
            <w:r>
              <w:rPr>
                <w:b/>
                <w:spacing w:val="-2"/>
                <w:sz w:val="22"/>
              </w:rPr>
              <w:t>Dienstort:</w:t>
            </w:r>
          </w:p>
        </w:tc>
        <w:tc>
          <w:tcPr>
            <w:tcW w:w="5597" w:type="dxa"/>
          </w:tcPr>
          <w:p>
            <w:pPr>
              <w:pStyle w:val="TableParagraph"/>
              <w:spacing w:before="1"/>
              <w:ind w:right="124"/>
              <w:rPr>
                <w:sz w:val="24"/>
              </w:rPr>
            </w:pPr>
            <w:r>
              <w:rPr>
                <w:sz w:val="24"/>
              </w:rPr>
              <w:t>Sandro SANTAMATO </w:t>
            </w:r>
            <w:hyperlink r:id="rId7">
              <w:r>
                <w:rPr>
                  <w:spacing w:val="-2"/>
                  <w:sz w:val="24"/>
                </w:rPr>
                <w:t>Sandro.Santamato@ec.europa.eu</w:t>
              </w:r>
            </w:hyperlink>
          </w:p>
          <w:p>
            <w:pPr>
              <w:pStyle w:val="TableParagraph"/>
              <w:spacing w:line="251" w:lineRule="exact"/>
              <w:rPr>
                <w:sz w:val="22"/>
              </w:rPr>
            </w:pPr>
            <w:r>
              <w:rPr>
                <w:sz w:val="22"/>
              </w:rPr>
              <w:t>+32</w:t>
            </w:r>
            <w:r>
              <w:rPr>
                <w:spacing w:val="-4"/>
                <w:sz w:val="22"/>
              </w:rPr>
              <w:t> </w:t>
            </w:r>
            <w:r>
              <w:rPr>
                <w:sz w:val="22"/>
              </w:rPr>
              <w:t>2</w:t>
            </w:r>
            <w:r>
              <w:rPr>
                <w:spacing w:val="-3"/>
                <w:sz w:val="22"/>
              </w:rPr>
              <w:t> </w:t>
            </w:r>
            <w:r>
              <w:rPr>
                <w:sz w:val="22"/>
              </w:rPr>
              <w:t>299</w:t>
            </w:r>
            <w:r>
              <w:rPr>
                <w:spacing w:val="-3"/>
                <w:sz w:val="22"/>
              </w:rPr>
              <w:t> </w:t>
            </w:r>
            <w:r>
              <w:rPr>
                <w:spacing w:val="-4"/>
                <w:sz w:val="22"/>
              </w:rPr>
              <w:t>3447</w:t>
            </w:r>
          </w:p>
          <w:p>
            <w:pPr>
              <w:pStyle w:val="TableParagraph"/>
              <w:spacing w:before="1"/>
              <w:rPr>
                <w:sz w:val="24"/>
              </w:rPr>
            </w:pPr>
            <w:r>
              <w:rPr>
                <w:sz w:val="24"/>
              </w:rPr>
              <w:t>1</w:t>
            </w:r>
          </w:p>
          <w:p>
            <w:pPr>
              <w:pStyle w:val="TableParagraph"/>
              <w:spacing w:line="276" w:lineRule="exact"/>
              <w:rPr>
                <w:b/>
                <w:sz w:val="24"/>
              </w:rPr>
            </w:pPr>
            <w:r>
              <w:rPr>
                <w:sz w:val="24"/>
              </w:rPr>
              <w:t>1.</w:t>
            </w:r>
            <w:r>
              <w:rPr>
                <w:spacing w:val="-1"/>
                <w:sz w:val="24"/>
              </w:rPr>
              <w:t> </w:t>
            </w:r>
            <w:r>
              <w:rPr>
                <w:sz w:val="24"/>
              </w:rPr>
              <w:t>Quartal </w:t>
            </w:r>
            <w:r>
              <w:rPr>
                <w:spacing w:val="-2"/>
                <w:sz w:val="24"/>
              </w:rPr>
              <w:t>2024</w:t>
            </w:r>
            <w:r>
              <w:rPr>
                <w:b/>
                <w:spacing w:val="-2"/>
                <w:sz w:val="24"/>
                <w:vertAlign w:val="superscript"/>
              </w:rPr>
              <w:t>1</w:t>
            </w:r>
          </w:p>
          <w:p>
            <w:pPr>
              <w:pStyle w:val="TableParagraph"/>
              <w:spacing w:line="253" w:lineRule="exact"/>
              <w:rPr>
                <w:b/>
                <w:sz w:val="22"/>
              </w:rPr>
            </w:pPr>
            <w:r>
              <w:rPr>
                <w:b/>
                <w:sz w:val="22"/>
              </w:rPr>
              <w:t>1</w:t>
            </w:r>
            <w:r>
              <w:rPr>
                <w:b/>
                <w:spacing w:val="-2"/>
                <w:sz w:val="22"/>
              </w:rPr>
              <w:t> Jahr</w:t>
            </w:r>
            <w:r>
              <w:rPr>
                <w:b/>
                <w:spacing w:val="-2"/>
                <w:sz w:val="22"/>
                <w:vertAlign w:val="superscript"/>
              </w:rPr>
              <w:t>1</w:t>
            </w:r>
          </w:p>
          <w:p>
            <w:pPr>
              <w:pStyle w:val="TableParagraph"/>
              <w:rPr>
                <w:b/>
                <w:sz w:val="22"/>
              </w:rPr>
            </w:pPr>
            <w:r>
              <w:rPr>
                <w:sz w:val="22"/>
              </w:rPr>
              <w:t>x</w:t>
            </w:r>
            <w:r>
              <w:rPr>
                <w:spacing w:val="-6"/>
                <w:sz w:val="22"/>
              </w:rPr>
              <w:t> </w:t>
            </w:r>
            <w:r>
              <w:rPr>
                <w:b/>
                <w:sz w:val="22"/>
              </w:rPr>
              <w:t>Brüssel</w:t>
            </w:r>
            <w:r>
              <w:rPr>
                <w:b/>
                <w:spacing w:val="44"/>
                <w:sz w:val="22"/>
              </w:rPr>
              <w:t> </w:t>
            </w:r>
            <w:r>
              <w:rPr>
                <w:rFonts w:ascii="Wingdings 2" w:hAnsi="Wingdings 2"/>
                <w:sz w:val="22"/>
              </w:rPr>
              <w:t></w:t>
            </w:r>
            <w:r>
              <w:rPr>
                <w:spacing w:val="-5"/>
                <w:sz w:val="22"/>
              </w:rPr>
              <w:t> </w:t>
            </w:r>
            <w:r>
              <w:rPr>
                <w:b/>
                <w:sz w:val="22"/>
              </w:rPr>
              <w:t>Luxemburg</w:t>
            </w:r>
            <w:r>
              <w:rPr>
                <w:b/>
                <w:spacing w:val="46"/>
                <w:sz w:val="22"/>
              </w:rPr>
              <w:t> </w:t>
            </w:r>
            <w:r>
              <w:rPr>
                <w:rFonts w:ascii="Wingdings 2" w:hAnsi="Wingdings 2"/>
                <w:sz w:val="22"/>
              </w:rPr>
              <w:t></w:t>
            </w:r>
            <w:r>
              <w:rPr>
                <w:spacing w:val="-6"/>
                <w:sz w:val="22"/>
              </w:rPr>
              <w:t> </w:t>
            </w:r>
            <w:r>
              <w:rPr>
                <w:b/>
                <w:sz w:val="22"/>
              </w:rPr>
              <w:t>Anderer:</w:t>
            </w:r>
            <w:r>
              <w:rPr>
                <w:b/>
                <w:spacing w:val="-4"/>
                <w:sz w:val="22"/>
              </w:rPr>
              <w:t> </w:t>
            </w:r>
            <w:r>
              <w:rPr>
                <w:b/>
                <w:spacing w:val="-2"/>
                <w:sz w:val="22"/>
              </w:rPr>
              <w:t>……………..</w:t>
            </w:r>
          </w:p>
        </w:tc>
      </w:tr>
      <w:tr>
        <w:trPr>
          <w:trHeight w:val="545" w:hRule="atLeast"/>
        </w:trPr>
        <w:tc>
          <w:tcPr>
            <w:tcW w:w="4360" w:type="dxa"/>
            <w:vMerge/>
            <w:tcBorders>
              <w:top w:val="nil"/>
            </w:tcBorders>
          </w:tcPr>
          <w:p>
            <w:pPr>
              <w:rPr>
                <w:sz w:val="2"/>
                <w:szCs w:val="2"/>
              </w:rPr>
            </w:pPr>
          </w:p>
        </w:tc>
        <w:tc>
          <w:tcPr>
            <w:tcW w:w="5597" w:type="dxa"/>
          </w:tcPr>
          <w:p>
            <w:pPr>
              <w:pStyle w:val="TableParagraph"/>
              <w:tabs>
                <w:tab w:pos="2508" w:val="left" w:leader="none"/>
              </w:tabs>
              <w:spacing w:before="146"/>
              <w:rPr>
                <w:b/>
                <w:sz w:val="22"/>
              </w:rPr>
            </w:pPr>
            <w:r>
              <w:rPr>
                <w:sz w:val="22"/>
              </w:rPr>
              <w:t>x</w:t>
            </w:r>
            <w:r>
              <w:rPr>
                <w:spacing w:val="-3"/>
                <w:sz w:val="22"/>
              </w:rPr>
              <w:t> </w:t>
            </w:r>
            <w:r>
              <w:rPr>
                <w:b/>
                <w:sz w:val="22"/>
              </w:rPr>
              <w:t>Mit</w:t>
            </w:r>
            <w:r>
              <w:rPr>
                <w:b/>
                <w:spacing w:val="-2"/>
                <w:sz w:val="22"/>
              </w:rPr>
              <w:t> Vergütungen</w:t>
            </w:r>
            <w:r>
              <w:rPr>
                <w:b/>
                <w:sz w:val="22"/>
              </w:rPr>
              <w:tab/>
            </w:r>
            <w:r>
              <w:rPr>
                <w:rFonts w:ascii="Wingdings 2" w:hAnsi="Wingdings 2"/>
                <w:sz w:val="22"/>
              </w:rPr>
              <w:t></w:t>
            </w:r>
            <w:r>
              <w:rPr>
                <w:spacing w:val="69"/>
                <w:w w:val="150"/>
                <w:sz w:val="22"/>
              </w:rPr>
              <w:t> </w:t>
            </w:r>
            <w:r>
              <w:rPr>
                <w:b/>
                <w:sz w:val="22"/>
              </w:rPr>
              <w:t>Unentgeltlich</w:t>
            </w:r>
            <w:r>
              <w:rPr>
                <w:b/>
                <w:spacing w:val="-5"/>
                <w:sz w:val="22"/>
              </w:rPr>
              <w:t> </w:t>
            </w:r>
            <w:r>
              <w:rPr>
                <w:b/>
                <w:spacing w:val="-2"/>
                <w:sz w:val="22"/>
              </w:rPr>
              <w:t>abgeordnet</w:t>
            </w:r>
          </w:p>
        </w:tc>
      </w:tr>
      <w:tr>
        <w:trPr>
          <w:trHeight w:val="2111" w:hRule="atLeast"/>
        </w:trPr>
        <w:tc>
          <w:tcPr>
            <w:tcW w:w="9957" w:type="dxa"/>
            <w:gridSpan w:val="2"/>
          </w:tcPr>
          <w:p>
            <w:pPr>
              <w:pStyle w:val="TableParagraph"/>
              <w:spacing w:before="116"/>
              <w:rPr>
                <w:b/>
                <w:sz w:val="22"/>
              </w:rPr>
            </w:pPr>
            <w:r>
              <w:rPr>
                <w:b/>
                <w:sz w:val="22"/>
              </w:rPr>
              <w:t>Auf</w:t>
            </w:r>
            <w:r>
              <w:rPr>
                <w:b/>
                <w:spacing w:val="-10"/>
                <w:sz w:val="22"/>
              </w:rPr>
              <w:t> </w:t>
            </w:r>
            <w:r>
              <w:rPr>
                <w:b/>
                <w:sz w:val="22"/>
              </w:rPr>
              <w:t>diese</w:t>
            </w:r>
            <w:r>
              <w:rPr>
                <w:b/>
                <w:spacing w:val="-10"/>
                <w:sz w:val="22"/>
              </w:rPr>
              <w:t> </w:t>
            </w:r>
            <w:r>
              <w:rPr>
                <w:b/>
                <w:sz w:val="22"/>
              </w:rPr>
              <w:t>Stellenausschreibung</w:t>
            </w:r>
            <w:r>
              <w:rPr>
                <w:b/>
                <w:spacing w:val="-10"/>
                <w:sz w:val="22"/>
              </w:rPr>
              <w:t> </w:t>
            </w:r>
            <w:r>
              <w:rPr>
                <w:b/>
                <w:sz w:val="22"/>
              </w:rPr>
              <w:t>können</w:t>
            </w:r>
            <w:r>
              <w:rPr>
                <w:b/>
                <w:spacing w:val="-9"/>
                <w:sz w:val="22"/>
              </w:rPr>
              <w:t> </w:t>
            </w:r>
            <w:r>
              <w:rPr>
                <w:b/>
                <w:sz w:val="22"/>
              </w:rPr>
              <w:t>sich</w:t>
            </w:r>
            <w:r>
              <w:rPr>
                <w:b/>
                <w:spacing w:val="-9"/>
                <w:sz w:val="22"/>
              </w:rPr>
              <w:t> </w:t>
            </w:r>
            <w:r>
              <w:rPr>
                <w:b/>
                <w:sz w:val="22"/>
              </w:rPr>
              <w:t>auch</w:t>
            </w:r>
            <w:r>
              <w:rPr>
                <w:b/>
                <w:spacing w:val="-10"/>
                <w:sz w:val="22"/>
              </w:rPr>
              <w:t> </w:t>
            </w:r>
            <w:r>
              <w:rPr>
                <w:b/>
                <w:spacing w:val="-2"/>
                <w:sz w:val="22"/>
              </w:rPr>
              <w:t>bewerben:</w:t>
            </w:r>
          </w:p>
          <w:p>
            <w:pPr>
              <w:pStyle w:val="TableParagraph"/>
              <w:spacing w:before="4"/>
              <w:ind w:left="0"/>
              <w:rPr>
                <w:b/>
                <w:sz w:val="23"/>
              </w:rPr>
            </w:pPr>
          </w:p>
          <w:p>
            <w:pPr>
              <w:pStyle w:val="TableParagraph"/>
              <w:numPr>
                <w:ilvl w:val="0"/>
                <w:numId w:val="1"/>
              </w:numPr>
              <w:tabs>
                <w:tab w:pos="562" w:val="left" w:leader="none"/>
                <w:tab w:pos="563" w:val="left" w:leader="none"/>
              </w:tabs>
              <w:spacing w:line="240" w:lineRule="auto" w:before="0" w:after="0"/>
              <w:ind w:left="562" w:right="0" w:hanging="456"/>
              <w:jc w:val="left"/>
              <w:rPr>
                <w:rFonts w:ascii="Calibri" w:hAnsi="Calibri"/>
                <w:b/>
                <w:sz w:val="22"/>
              </w:rPr>
            </w:pPr>
            <w:r>
              <w:rPr>
                <w:rFonts w:ascii="Calibri" w:hAnsi="Calibri"/>
                <w:b/>
                <w:spacing w:val="-2"/>
                <w:sz w:val="22"/>
              </w:rPr>
              <w:t>Bedienstete</w:t>
            </w:r>
            <w:r>
              <w:rPr>
                <w:rFonts w:ascii="Calibri" w:hAnsi="Calibri"/>
                <w:b/>
                <w:spacing w:val="6"/>
                <w:sz w:val="22"/>
              </w:rPr>
              <w:t> </w:t>
            </w:r>
            <w:r>
              <w:rPr>
                <w:rFonts w:ascii="Calibri" w:hAnsi="Calibri"/>
                <w:b/>
                <w:spacing w:val="-2"/>
                <w:sz w:val="22"/>
              </w:rPr>
              <w:t>aus</w:t>
            </w:r>
            <w:r>
              <w:rPr>
                <w:rFonts w:ascii="Calibri" w:hAnsi="Calibri"/>
                <w:b/>
                <w:spacing w:val="6"/>
                <w:sz w:val="22"/>
              </w:rPr>
              <w:t> </w:t>
            </w:r>
            <w:r>
              <w:rPr>
                <w:rFonts w:ascii="Calibri" w:hAnsi="Calibri"/>
                <w:b/>
                <w:spacing w:val="-2"/>
                <w:sz w:val="22"/>
              </w:rPr>
              <w:t>folgenden</w:t>
            </w:r>
            <w:r>
              <w:rPr>
                <w:rFonts w:ascii="Calibri" w:hAnsi="Calibri"/>
                <w:b/>
                <w:spacing w:val="6"/>
                <w:sz w:val="22"/>
              </w:rPr>
              <w:t> </w:t>
            </w:r>
            <w:r>
              <w:rPr>
                <w:rFonts w:ascii="Calibri" w:hAnsi="Calibri"/>
                <w:b/>
                <w:spacing w:val="-2"/>
                <w:sz w:val="22"/>
              </w:rPr>
              <w:t>EFTA-Staaten:</w:t>
            </w:r>
          </w:p>
          <w:p>
            <w:pPr>
              <w:pStyle w:val="TableParagraph"/>
              <w:numPr>
                <w:ilvl w:val="1"/>
                <w:numId w:val="1"/>
              </w:numPr>
              <w:tabs>
                <w:tab w:pos="1091" w:val="left" w:leader="none"/>
              </w:tabs>
              <w:spacing w:line="240" w:lineRule="auto" w:before="0" w:after="0"/>
              <w:ind w:left="1090" w:right="0" w:hanging="276"/>
              <w:jc w:val="left"/>
              <w:rPr>
                <w:rFonts w:ascii="Calibri" w:hAnsi="Calibri"/>
                <w:b/>
                <w:sz w:val="22"/>
              </w:rPr>
            </w:pPr>
            <w:r>
              <w:rPr>
                <w:rFonts w:ascii="Calibri" w:hAnsi="Calibri"/>
                <w:b/>
                <w:sz w:val="22"/>
              </w:rPr>
              <w:t>Island</w:t>
            </w:r>
            <w:r>
              <w:rPr>
                <w:rFonts w:ascii="Calibri" w:hAnsi="Calibri"/>
                <w:b/>
                <w:spacing w:val="38"/>
                <w:sz w:val="22"/>
              </w:rPr>
              <w:t> </w:t>
            </w:r>
            <w:r>
              <w:rPr>
                <w:rFonts w:ascii="Wingdings 2" w:hAnsi="Wingdings 2"/>
                <w:sz w:val="22"/>
              </w:rPr>
              <w:t></w:t>
            </w:r>
            <w:r>
              <w:rPr>
                <w:spacing w:val="-9"/>
                <w:sz w:val="22"/>
              </w:rPr>
              <w:t> </w:t>
            </w:r>
            <w:r>
              <w:rPr>
                <w:rFonts w:ascii="Calibri" w:hAnsi="Calibri"/>
                <w:b/>
                <w:sz w:val="22"/>
              </w:rPr>
              <w:t>Liechtenstein</w:t>
            </w:r>
            <w:r>
              <w:rPr>
                <w:rFonts w:ascii="Calibri" w:hAnsi="Calibri"/>
                <w:b/>
                <w:spacing w:val="39"/>
                <w:sz w:val="22"/>
              </w:rPr>
              <w:t> </w:t>
            </w:r>
            <w:r>
              <w:rPr>
                <w:rFonts w:ascii="Wingdings 2" w:hAnsi="Wingdings 2"/>
                <w:sz w:val="22"/>
              </w:rPr>
              <w:t></w:t>
            </w:r>
            <w:r>
              <w:rPr>
                <w:spacing w:val="-10"/>
                <w:sz w:val="22"/>
              </w:rPr>
              <w:t> </w:t>
            </w:r>
            <w:r>
              <w:rPr>
                <w:rFonts w:ascii="Calibri" w:hAnsi="Calibri"/>
                <w:b/>
                <w:sz w:val="22"/>
              </w:rPr>
              <w:t>Norwegen</w:t>
            </w:r>
            <w:r>
              <w:rPr>
                <w:rFonts w:ascii="Calibri" w:hAnsi="Calibri"/>
                <w:b/>
                <w:spacing w:val="39"/>
                <w:sz w:val="22"/>
              </w:rPr>
              <w:t> </w:t>
            </w:r>
            <w:r>
              <w:rPr>
                <w:rFonts w:ascii="Wingdings 2" w:hAnsi="Wingdings 2"/>
                <w:sz w:val="22"/>
              </w:rPr>
              <w:t></w:t>
            </w:r>
            <w:r>
              <w:rPr>
                <w:spacing w:val="-11"/>
                <w:sz w:val="22"/>
              </w:rPr>
              <w:t> </w:t>
            </w:r>
            <w:r>
              <w:rPr>
                <w:rFonts w:ascii="Calibri" w:hAnsi="Calibri"/>
                <w:b/>
                <w:spacing w:val="-2"/>
                <w:sz w:val="22"/>
              </w:rPr>
              <w:t>Schweiz</w:t>
            </w:r>
          </w:p>
          <w:p>
            <w:pPr>
              <w:pStyle w:val="TableParagraph"/>
              <w:numPr>
                <w:ilvl w:val="1"/>
                <w:numId w:val="1"/>
              </w:numPr>
              <w:tabs>
                <w:tab w:pos="1091" w:val="left" w:leader="none"/>
              </w:tabs>
              <w:spacing w:line="240" w:lineRule="auto" w:before="0" w:after="0"/>
              <w:ind w:left="1090" w:right="0" w:hanging="276"/>
              <w:jc w:val="left"/>
              <w:rPr>
                <w:rFonts w:ascii="Calibri" w:hAnsi="Calibri"/>
                <w:b/>
                <w:sz w:val="22"/>
              </w:rPr>
            </w:pPr>
            <w:r>
              <w:rPr>
                <w:rFonts w:ascii="Calibri" w:hAnsi="Calibri"/>
                <w:b/>
                <w:spacing w:val="-2"/>
                <w:sz w:val="22"/>
              </w:rPr>
              <w:t>EFTA-EWR</w:t>
            </w:r>
            <w:r>
              <w:rPr>
                <w:rFonts w:ascii="Calibri" w:hAnsi="Calibri"/>
                <w:b/>
                <w:spacing w:val="7"/>
                <w:sz w:val="22"/>
              </w:rPr>
              <w:t> </w:t>
            </w:r>
            <w:r>
              <w:rPr>
                <w:rFonts w:ascii="Calibri" w:hAnsi="Calibri"/>
                <w:b/>
                <w:spacing w:val="-2"/>
                <w:sz w:val="22"/>
              </w:rPr>
              <w:t>In-Kind-Abkommen</w:t>
            </w:r>
            <w:r>
              <w:rPr>
                <w:rFonts w:ascii="Calibri" w:hAnsi="Calibri"/>
                <w:b/>
                <w:spacing w:val="7"/>
                <w:sz w:val="22"/>
              </w:rPr>
              <w:t> </w:t>
            </w:r>
            <w:r>
              <w:rPr>
                <w:rFonts w:ascii="Calibri" w:hAnsi="Calibri"/>
                <w:b/>
                <w:spacing w:val="-2"/>
                <w:sz w:val="22"/>
              </w:rPr>
              <w:t>(Island,</w:t>
            </w:r>
            <w:r>
              <w:rPr>
                <w:rFonts w:ascii="Calibri" w:hAnsi="Calibri"/>
                <w:b/>
                <w:spacing w:val="8"/>
                <w:sz w:val="22"/>
              </w:rPr>
              <w:t> </w:t>
            </w:r>
            <w:r>
              <w:rPr>
                <w:rFonts w:ascii="Calibri" w:hAnsi="Calibri"/>
                <w:b/>
                <w:spacing w:val="-2"/>
                <w:sz w:val="22"/>
              </w:rPr>
              <w:t>Liechtenstein,</w:t>
            </w:r>
            <w:r>
              <w:rPr>
                <w:rFonts w:ascii="Calibri" w:hAnsi="Calibri"/>
                <w:b/>
                <w:spacing w:val="6"/>
                <w:sz w:val="22"/>
              </w:rPr>
              <w:t> </w:t>
            </w:r>
            <w:r>
              <w:rPr>
                <w:rFonts w:ascii="Calibri" w:hAnsi="Calibri"/>
                <w:b/>
                <w:spacing w:val="-2"/>
                <w:sz w:val="22"/>
              </w:rPr>
              <w:t>Norwegen)</w:t>
            </w:r>
          </w:p>
          <w:p>
            <w:pPr>
              <w:pStyle w:val="TableParagraph"/>
              <w:numPr>
                <w:ilvl w:val="0"/>
                <w:numId w:val="1"/>
              </w:numPr>
              <w:tabs>
                <w:tab w:pos="562" w:val="left" w:leader="none"/>
                <w:tab w:pos="563" w:val="left" w:leader="none"/>
              </w:tabs>
              <w:spacing w:line="268" w:lineRule="exact" w:before="15" w:after="0"/>
              <w:ind w:left="562" w:right="0" w:hanging="456"/>
              <w:jc w:val="left"/>
              <w:rPr>
                <w:rFonts w:ascii="Calibri" w:hAnsi="Calibri"/>
                <w:b/>
                <w:sz w:val="22"/>
              </w:rPr>
            </w:pPr>
            <w:r>
              <w:rPr>
                <w:rFonts w:ascii="Calibri" w:hAnsi="Calibri"/>
                <w:b/>
                <w:sz w:val="22"/>
              </w:rPr>
              <w:t>Bedienstete</w:t>
            </w:r>
            <w:r>
              <w:rPr>
                <w:rFonts w:ascii="Calibri" w:hAnsi="Calibri"/>
                <w:b/>
                <w:spacing w:val="-11"/>
                <w:sz w:val="22"/>
              </w:rPr>
              <w:t> </w:t>
            </w:r>
            <w:r>
              <w:rPr>
                <w:rFonts w:ascii="Calibri" w:hAnsi="Calibri"/>
                <w:b/>
                <w:sz w:val="22"/>
              </w:rPr>
              <w:t>aus</w:t>
            </w:r>
            <w:r>
              <w:rPr>
                <w:rFonts w:ascii="Calibri" w:hAnsi="Calibri"/>
                <w:b/>
                <w:spacing w:val="-11"/>
                <w:sz w:val="22"/>
              </w:rPr>
              <w:t> </w:t>
            </w:r>
            <w:r>
              <w:rPr>
                <w:rFonts w:ascii="Calibri" w:hAnsi="Calibri"/>
                <w:b/>
                <w:sz w:val="22"/>
              </w:rPr>
              <w:t>folgenden</w:t>
            </w:r>
            <w:r>
              <w:rPr>
                <w:rFonts w:ascii="Calibri" w:hAnsi="Calibri"/>
                <w:b/>
                <w:spacing w:val="-11"/>
                <w:sz w:val="22"/>
              </w:rPr>
              <w:t> </w:t>
            </w:r>
            <w:r>
              <w:rPr>
                <w:rFonts w:ascii="Calibri" w:hAnsi="Calibri"/>
                <w:b/>
                <w:spacing w:val="-2"/>
                <w:sz w:val="22"/>
              </w:rPr>
              <w:t>Drittländern:</w:t>
            </w:r>
          </w:p>
          <w:p>
            <w:pPr>
              <w:pStyle w:val="TableParagraph"/>
              <w:numPr>
                <w:ilvl w:val="0"/>
                <w:numId w:val="1"/>
              </w:numPr>
              <w:tabs>
                <w:tab w:pos="520" w:val="left" w:leader="none"/>
              </w:tabs>
              <w:spacing w:line="268" w:lineRule="exact" w:before="0" w:after="0"/>
              <w:ind w:left="519" w:right="0" w:hanging="413"/>
              <w:jc w:val="left"/>
              <w:rPr>
                <w:rFonts w:ascii="Calibri" w:hAnsi="Calibri"/>
                <w:b/>
                <w:sz w:val="22"/>
              </w:rPr>
            </w:pPr>
            <w:r>
              <w:rPr>
                <w:rFonts w:ascii="Calibri" w:hAnsi="Calibri"/>
                <w:b/>
                <w:spacing w:val="-2"/>
                <w:sz w:val="22"/>
              </w:rPr>
              <w:t>Bedienstete</w:t>
            </w:r>
            <w:r>
              <w:rPr>
                <w:rFonts w:ascii="Calibri" w:hAnsi="Calibri"/>
                <w:b/>
                <w:spacing w:val="10"/>
                <w:sz w:val="22"/>
              </w:rPr>
              <w:t> </w:t>
            </w:r>
            <w:r>
              <w:rPr>
                <w:rFonts w:ascii="Calibri" w:hAnsi="Calibri"/>
                <w:b/>
                <w:spacing w:val="-2"/>
                <w:sz w:val="22"/>
              </w:rPr>
              <w:t>folgender</w:t>
            </w:r>
            <w:r>
              <w:rPr>
                <w:rFonts w:ascii="Calibri" w:hAnsi="Calibri"/>
                <w:b/>
                <w:spacing w:val="9"/>
                <w:sz w:val="22"/>
              </w:rPr>
              <w:t> </w:t>
            </w:r>
            <w:r>
              <w:rPr>
                <w:rFonts w:ascii="Calibri" w:hAnsi="Calibri"/>
                <w:b/>
                <w:spacing w:val="-2"/>
                <w:sz w:val="22"/>
              </w:rPr>
              <w:t>zwischenstaatlicher</w:t>
            </w:r>
            <w:r>
              <w:rPr>
                <w:rFonts w:ascii="Calibri" w:hAnsi="Calibri"/>
                <w:b/>
                <w:spacing w:val="10"/>
                <w:sz w:val="22"/>
              </w:rPr>
              <w:t> </w:t>
            </w:r>
            <w:r>
              <w:rPr>
                <w:rFonts w:ascii="Calibri" w:hAnsi="Calibri"/>
                <w:b/>
                <w:spacing w:val="-2"/>
                <w:sz w:val="22"/>
              </w:rPr>
              <w:t>Organisationen:</w:t>
            </w:r>
          </w:p>
        </w:tc>
      </w:tr>
    </w:tbl>
    <w:p>
      <w:pPr>
        <w:pStyle w:val="BodyText"/>
        <w:spacing w:before="1"/>
        <w:rPr>
          <w:b/>
          <w:sz w:val="24"/>
        </w:rPr>
      </w:pPr>
    </w:p>
    <w:p>
      <w:pPr>
        <w:pStyle w:val="ListParagraph"/>
        <w:numPr>
          <w:ilvl w:val="0"/>
          <w:numId w:val="2"/>
        </w:numPr>
        <w:tabs>
          <w:tab w:pos="796" w:val="left" w:leader="none"/>
          <w:tab w:pos="797" w:val="left" w:leader="none"/>
        </w:tabs>
        <w:spacing w:line="240" w:lineRule="auto" w:before="0" w:after="0"/>
        <w:ind w:left="796" w:right="0" w:hanging="427"/>
        <w:jc w:val="left"/>
        <w:rPr>
          <w:b/>
          <w:sz w:val="24"/>
        </w:rPr>
      </w:pPr>
      <w:r>
        <w:rPr>
          <w:b/>
          <w:sz w:val="24"/>
          <w:u w:val="single"/>
        </w:rPr>
        <w:t>Art</w:t>
      </w:r>
      <w:r>
        <w:rPr>
          <w:b/>
          <w:spacing w:val="-1"/>
          <w:sz w:val="24"/>
          <w:u w:val="single"/>
        </w:rPr>
        <w:t> </w:t>
      </w:r>
      <w:r>
        <w:rPr>
          <w:b/>
          <w:sz w:val="24"/>
          <w:u w:val="single"/>
        </w:rPr>
        <w:t>der</w:t>
      </w:r>
      <w:r>
        <w:rPr>
          <w:b/>
          <w:spacing w:val="-1"/>
          <w:sz w:val="24"/>
          <w:u w:val="single"/>
        </w:rPr>
        <w:t> </w:t>
      </w:r>
      <w:r>
        <w:rPr>
          <w:b/>
          <w:spacing w:val="-2"/>
          <w:sz w:val="24"/>
          <w:u w:val="single"/>
        </w:rPr>
        <w:t>Tätigkeit</w:t>
      </w:r>
    </w:p>
    <w:p>
      <w:pPr>
        <w:pStyle w:val="BodyText"/>
        <w:spacing w:before="1"/>
        <w:rPr>
          <w:b/>
          <w:sz w:val="16"/>
        </w:rPr>
      </w:pPr>
    </w:p>
    <w:p>
      <w:pPr>
        <w:pStyle w:val="BodyText"/>
        <w:spacing w:before="91"/>
        <w:ind w:left="370" w:right="247"/>
        <w:jc w:val="both"/>
      </w:pPr>
      <w:r>
        <w:rPr/>
        <w:t>Die Generaldirektion Mobilität und Verkehr (GD</w:t>
      </w:r>
      <w:r>
        <w:rPr>
          <w:spacing w:val="-2"/>
        </w:rPr>
        <w:t> </w:t>
      </w:r>
      <w:r>
        <w:rPr/>
        <w:t>MOVE) ist für die Entwicklung und Umsetzung der europäischen Politik im Bereich Verkehr, einschließlich der Vollendung eines Binnenmarktes für den Schienenverkehr, zuständig.</w:t>
      </w:r>
    </w:p>
    <w:p>
      <w:pPr>
        <w:pStyle w:val="BodyText"/>
      </w:pPr>
    </w:p>
    <w:p>
      <w:pPr>
        <w:pStyle w:val="BodyText"/>
        <w:ind w:left="370" w:right="248"/>
        <w:jc w:val="both"/>
      </w:pPr>
      <w:r>
        <w:rPr/>
        <w:t>Innerhalb der Generaldirektion MOVE ist die Direktion</w:t>
      </w:r>
      <w:r>
        <w:rPr>
          <w:spacing w:val="-3"/>
        </w:rPr>
        <w:t> </w:t>
      </w:r>
      <w:r>
        <w:rPr/>
        <w:t>C für den Landverkehr zuständig. Das Referat</w:t>
      </w:r>
      <w:r>
        <w:rPr>
          <w:spacing w:val="-3"/>
        </w:rPr>
        <w:t> </w:t>
      </w:r>
      <w:r>
        <w:rPr/>
        <w:t>C3 ist für die Schienenverkehrsmarktpolitik zuständig und verfolgt das Ziel, einen einheitlichen europäischen Eisenbahnraum zu schaffen. Die wichtigsten Aufgaben des Referats sind:</w:t>
      </w:r>
    </w:p>
    <w:p>
      <w:pPr>
        <w:pStyle w:val="BodyText"/>
      </w:pPr>
    </w:p>
    <w:p>
      <w:pPr>
        <w:pStyle w:val="ListParagraph"/>
        <w:numPr>
          <w:ilvl w:val="1"/>
          <w:numId w:val="2"/>
        </w:numPr>
        <w:tabs>
          <w:tab w:pos="1091" w:val="left" w:leader="none"/>
        </w:tabs>
        <w:spacing w:line="240" w:lineRule="auto" w:before="0" w:after="0"/>
        <w:ind w:left="1090" w:right="247" w:hanging="360"/>
        <w:jc w:val="both"/>
        <w:rPr>
          <w:sz w:val="22"/>
        </w:rPr>
      </w:pPr>
      <w:r>
        <w:rPr>
          <w:sz w:val="22"/>
        </w:rPr>
        <w:t>Überwachung der Entwicklung des europäischen Schienenverkehrsmarktes (rechtliche, wirtschaftliche und politische Aspekte), insbesondere die Anwendung der Richtlinie</w:t>
      </w:r>
      <w:r>
        <w:rPr>
          <w:spacing w:val="-4"/>
          <w:sz w:val="22"/>
        </w:rPr>
        <w:t> </w:t>
      </w:r>
      <w:r>
        <w:rPr>
          <w:sz w:val="22"/>
        </w:rPr>
        <w:t>2012/34/EU zur Schaffung eines einheitlichen europäischen Eisenbahnraums;</w:t>
      </w:r>
    </w:p>
    <w:p>
      <w:pPr>
        <w:pStyle w:val="ListParagraph"/>
        <w:numPr>
          <w:ilvl w:val="1"/>
          <w:numId w:val="2"/>
        </w:numPr>
        <w:tabs>
          <w:tab w:pos="1090" w:val="left" w:leader="none"/>
        </w:tabs>
        <w:spacing w:line="268" w:lineRule="exact" w:before="0" w:after="0"/>
        <w:ind w:left="1090" w:right="0" w:hanging="360"/>
        <w:jc w:val="both"/>
        <w:rPr>
          <w:sz w:val="22"/>
        </w:rPr>
      </w:pPr>
      <w:r>
        <w:rPr>
          <w:sz w:val="22"/>
        </w:rPr>
        <w:t>Ausarbeitung</w:t>
      </w:r>
      <w:r>
        <w:rPr>
          <w:spacing w:val="-12"/>
          <w:sz w:val="22"/>
        </w:rPr>
        <w:t> </w:t>
      </w:r>
      <w:r>
        <w:rPr>
          <w:sz w:val="22"/>
        </w:rPr>
        <w:t>von</w:t>
      </w:r>
      <w:r>
        <w:rPr>
          <w:spacing w:val="-11"/>
          <w:sz w:val="22"/>
        </w:rPr>
        <w:t> </w:t>
      </w:r>
      <w:r>
        <w:rPr>
          <w:sz w:val="22"/>
        </w:rPr>
        <w:t>abgeleiteten</w:t>
      </w:r>
      <w:r>
        <w:rPr>
          <w:spacing w:val="-12"/>
          <w:sz w:val="22"/>
        </w:rPr>
        <w:t> </w:t>
      </w:r>
      <w:r>
        <w:rPr>
          <w:sz w:val="22"/>
        </w:rPr>
        <w:t>Rechtsvorschriften</w:t>
      </w:r>
      <w:r>
        <w:rPr>
          <w:spacing w:val="-11"/>
          <w:sz w:val="22"/>
        </w:rPr>
        <w:t> </w:t>
      </w:r>
      <w:r>
        <w:rPr>
          <w:sz w:val="22"/>
        </w:rPr>
        <w:t>im</w:t>
      </w:r>
      <w:r>
        <w:rPr>
          <w:spacing w:val="-12"/>
          <w:sz w:val="22"/>
        </w:rPr>
        <w:t> </w:t>
      </w:r>
      <w:r>
        <w:rPr>
          <w:sz w:val="22"/>
        </w:rPr>
        <w:t>Rahmen</w:t>
      </w:r>
      <w:r>
        <w:rPr>
          <w:spacing w:val="-11"/>
          <w:sz w:val="22"/>
        </w:rPr>
        <w:t> </w:t>
      </w:r>
      <w:r>
        <w:rPr>
          <w:sz w:val="22"/>
        </w:rPr>
        <w:t>dieser</w:t>
      </w:r>
      <w:r>
        <w:rPr>
          <w:spacing w:val="-12"/>
          <w:sz w:val="22"/>
        </w:rPr>
        <w:t> </w:t>
      </w:r>
      <w:r>
        <w:rPr>
          <w:spacing w:val="-2"/>
          <w:sz w:val="22"/>
        </w:rPr>
        <w:t>Richtlinie;</w:t>
      </w:r>
    </w:p>
    <w:p>
      <w:pPr>
        <w:pStyle w:val="ListParagraph"/>
        <w:numPr>
          <w:ilvl w:val="1"/>
          <w:numId w:val="2"/>
        </w:numPr>
        <w:tabs>
          <w:tab w:pos="1090" w:val="left" w:leader="none"/>
        </w:tabs>
        <w:spacing w:line="240" w:lineRule="auto" w:before="0" w:after="0"/>
        <w:ind w:left="1089" w:right="246" w:hanging="360"/>
        <w:jc w:val="both"/>
        <w:rPr>
          <w:sz w:val="22"/>
        </w:rPr>
      </w:pPr>
      <w:r>
        <w:rPr>
          <w:sz w:val="22"/>
        </w:rPr>
        <w:t>Interaktion mit Interessenträgern durch eine Reihe bestehender Koordinierungsstellen, Ausschüsse, Foren und Arbeitsgruppen, um Initiativen zur Weiterentwicklung des Binnenmarktes für den Schienenverkehr zu fördern;</w:t>
      </w:r>
    </w:p>
    <w:p>
      <w:pPr>
        <w:pStyle w:val="ListParagraph"/>
        <w:numPr>
          <w:ilvl w:val="1"/>
          <w:numId w:val="2"/>
        </w:numPr>
        <w:tabs>
          <w:tab w:pos="1090" w:val="left" w:leader="none"/>
        </w:tabs>
        <w:spacing w:line="240" w:lineRule="auto" w:before="0" w:after="0"/>
        <w:ind w:left="1089" w:right="248" w:hanging="360"/>
        <w:jc w:val="both"/>
        <w:rPr>
          <w:sz w:val="22"/>
        </w:rPr>
      </w:pPr>
      <w:r>
        <w:rPr>
          <w:sz w:val="22"/>
        </w:rPr>
        <w:t>Entwicklung eines Rahmens für das Kapazitätsmanagement auf Grundlage der Erfahrung im Bereich der </w:t>
      </w:r>
      <w:r>
        <w:rPr>
          <w:spacing w:val="-2"/>
          <w:sz w:val="22"/>
        </w:rPr>
        <w:t>Schienengüterverkehrskorridore;</w:t>
      </w:r>
    </w:p>
    <w:p>
      <w:pPr>
        <w:pStyle w:val="ListParagraph"/>
        <w:numPr>
          <w:ilvl w:val="1"/>
          <w:numId w:val="2"/>
        </w:numPr>
        <w:tabs>
          <w:tab w:pos="1090" w:val="left" w:leader="none"/>
        </w:tabs>
        <w:spacing w:line="240" w:lineRule="auto" w:before="0" w:after="0"/>
        <w:ind w:left="1089" w:right="248" w:hanging="360"/>
        <w:jc w:val="both"/>
        <w:rPr>
          <w:sz w:val="22"/>
        </w:rPr>
      </w:pPr>
      <w:r>
        <w:rPr>
          <w:sz w:val="22"/>
        </w:rPr>
        <w:t>Förderung der EU-Schienenverkehrspolitik in Bezug auf Nachbarländer sowie Drittländer und internationale Organisationen.</w:t>
      </w:r>
    </w:p>
    <w:p>
      <w:pPr>
        <w:pStyle w:val="BodyText"/>
        <w:rPr>
          <w:sz w:val="20"/>
        </w:rPr>
      </w:pPr>
    </w:p>
    <w:p>
      <w:pPr>
        <w:pStyle w:val="BodyText"/>
        <w:rPr>
          <w:sz w:val="20"/>
        </w:rPr>
      </w:pPr>
    </w:p>
    <w:p>
      <w:pPr>
        <w:pStyle w:val="BodyText"/>
        <w:rPr>
          <w:sz w:val="20"/>
        </w:rPr>
      </w:pPr>
    </w:p>
    <w:p>
      <w:pPr>
        <w:pStyle w:val="BodyText"/>
        <w:spacing w:before="6"/>
        <w:rPr>
          <w:sz w:val="29"/>
        </w:rPr>
      </w:pPr>
      <w:r>
        <w:rPr/>
        <w:pict>
          <v:rect style="position:absolute;margin-left:42.540001pt;margin-top:18.208414pt;width:144pt;height:.72pt;mso-position-horizontal-relative:page;mso-position-vertical-relative:paragraph;z-index:-15728640;mso-wrap-distance-left:0;mso-wrap-distance-right:0" id="docshape2" filled="true" fillcolor="#000000" stroked="false">
            <v:fill type="solid"/>
            <w10:wrap type="topAndBottom"/>
          </v:rect>
        </w:pict>
      </w:r>
    </w:p>
    <w:p>
      <w:pPr>
        <w:spacing w:before="100"/>
        <w:ind w:left="370" w:right="1283" w:hanging="1"/>
        <w:jc w:val="left"/>
        <w:rPr>
          <w:sz w:val="20"/>
        </w:rPr>
      </w:pPr>
      <w:r>
        <w:rPr>
          <w:sz w:val="20"/>
          <w:vertAlign w:val="superscript"/>
        </w:rPr>
        <w:t>1</w:t>
      </w:r>
      <w:r>
        <w:rPr>
          <w:spacing w:val="33"/>
          <w:sz w:val="20"/>
          <w:vertAlign w:val="baseline"/>
        </w:rPr>
        <w:t> </w:t>
      </w:r>
      <w:r>
        <w:rPr>
          <w:sz w:val="20"/>
          <w:vertAlign w:val="baseline"/>
        </w:rPr>
        <w:t>Die</w:t>
      </w:r>
      <w:r>
        <w:rPr>
          <w:spacing w:val="31"/>
          <w:sz w:val="20"/>
          <w:vertAlign w:val="baseline"/>
        </w:rPr>
        <w:t> </w:t>
      </w:r>
      <w:r>
        <w:rPr>
          <w:sz w:val="20"/>
          <w:vertAlign w:val="baseline"/>
        </w:rPr>
        <w:t>Angaben</w:t>
      </w:r>
      <w:r>
        <w:rPr>
          <w:spacing w:val="32"/>
          <w:sz w:val="20"/>
          <w:vertAlign w:val="baseline"/>
        </w:rPr>
        <w:t> </w:t>
      </w:r>
      <w:r>
        <w:rPr>
          <w:sz w:val="20"/>
          <w:vertAlign w:val="baseline"/>
        </w:rPr>
        <w:t>zum</w:t>
      </w:r>
      <w:r>
        <w:rPr>
          <w:spacing w:val="32"/>
          <w:sz w:val="20"/>
          <w:vertAlign w:val="baseline"/>
        </w:rPr>
        <w:t> </w:t>
      </w:r>
      <w:r>
        <w:rPr>
          <w:sz w:val="20"/>
          <w:vertAlign w:val="baseline"/>
        </w:rPr>
        <w:t>Datum</w:t>
      </w:r>
      <w:r>
        <w:rPr>
          <w:spacing w:val="32"/>
          <w:sz w:val="20"/>
          <w:vertAlign w:val="baseline"/>
        </w:rPr>
        <w:t> </w:t>
      </w:r>
      <w:r>
        <w:rPr>
          <w:sz w:val="20"/>
          <w:vertAlign w:val="baseline"/>
        </w:rPr>
        <w:t>des</w:t>
      </w:r>
      <w:r>
        <w:rPr>
          <w:spacing w:val="31"/>
          <w:sz w:val="20"/>
          <w:vertAlign w:val="baseline"/>
        </w:rPr>
        <w:t> </w:t>
      </w:r>
      <w:r>
        <w:rPr>
          <w:sz w:val="20"/>
          <w:vertAlign w:val="baseline"/>
        </w:rPr>
        <w:t>Dienstantritts</w:t>
      </w:r>
      <w:r>
        <w:rPr>
          <w:spacing w:val="33"/>
          <w:sz w:val="20"/>
          <w:vertAlign w:val="baseline"/>
        </w:rPr>
        <w:t> </w:t>
      </w:r>
      <w:r>
        <w:rPr>
          <w:sz w:val="20"/>
          <w:vertAlign w:val="baseline"/>
        </w:rPr>
        <w:t>und</w:t>
      </w:r>
      <w:r>
        <w:rPr>
          <w:spacing w:val="32"/>
          <w:sz w:val="20"/>
          <w:vertAlign w:val="baseline"/>
        </w:rPr>
        <w:t> </w:t>
      </w:r>
      <w:r>
        <w:rPr>
          <w:sz w:val="20"/>
          <w:vertAlign w:val="baseline"/>
        </w:rPr>
        <w:t>zur</w:t>
      </w:r>
      <w:r>
        <w:rPr>
          <w:spacing w:val="32"/>
          <w:sz w:val="20"/>
          <w:vertAlign w:val="baseline"/>
        </w:rPr>
        <w:t> </w:t>
      </w:r>
      <w:r>
        <w:rPr>
          <w:sz w:val="20"/>
          <w:vertAlign w:val="baseline"/>
        </w:rPr>
        <w:t>Dauer</w:t>
      </w:r>
      <w:r>
        <w:rPr>
          <w:spacing w:val="31"/>
          <w:sz w:val="20"/>
          <w:vertAlign w:val="baseline"/>
        </w:rPr>
        <w:t> </w:t>
      </w:r>
      <w:r>
        <w:rPr>
          <w:sz w:val="20"/>
          <w:vertAlign w:val="baseline"/>
        </w:rPr>
        <w:t>der</w:t>
      </w:r>
      <w:r>
        <w:rPr>
          <w:spacing w:val="32"/>
          <w:sz w:val="20"/>
          <w:vertAlign w:val="baseline"/>
        </w:rPr>
        <w:t> </w:t>
      </w:r>
      <w:r>
        <w:rPr>
          <w:sz w:val="20"/>
          <w:vertAlign w:val="baseline"/>
        </w:rPr>
        <w:t>Abordnung</w:t>
      </w:r>
      <w:r>
        <w:rPr>
          <w:spacing w:val="32"/>
          <w:sz w:val="20"/>
          <w:vertAlign w:val="baseline"/>
        </w:rPr>
        <w:t> </w:t>
      </w:r>
      <w:r>
        <w:rPr>
          <w:sz w:val="20"/>
          <w:vertAlign w:val="baseline"/>
        </w:rPr>
        <w:t>sind</w:t>
      </w:r>
      <w:r>
        <w:rPr>
          <w:spacing w:val="31"/>
          <w:sz w:val="20"/>
          <w:vertAlign w:val="baseline"/>
        </w:rPr>
        <w:t> </w:t>
      </w:r>
      <w:r>
        <w:rPr>
          <w:sz w:val="20"/>
          <w:vertAlign w:val="baseline"/>
        </w:rPr>
        <w:t>unverbindlich</w:t>
      </w:r>
      <w:r>
        <w:rPr>
          <w:spacing w:val="32"/>
          <w:sz w:val="20"/>
          <w:vertAlign w:val="baseline"/>
        </w:rPr>
        <w:t> </w:t>
      </w:r>
      <w:r>
        <w:rPr>
          <w:sz w:val="20"/>
          <w:vertAlign w:val="baseline"/>
        </w:rPr>
        <w:t>(Art.</w:t>
      </w:r>
      <w:r>
        <w:rPr>
          <w:spacing w:val="-1"/>
          <w:sz w:val="20"/>
          <w:vertAlign w:val="baseline"/>
        </w:rPr>
        <w:t> </w:t>
      </w:r>
      <w:r>
        <w:rPr>
          <w:sz w:val="20"/>
          <w:vertAlign w:val="baseline"/>
        </w:rPr>
        <w:t>4</w:t>
      </w:r>
      <w:r>
        <w:rPr>
          <w:spacing w:val="32"/>
          <w:sz w:val="20"/>
          <w:vertAlign w:val="baseline"/>
        </w:rPr>
        <w:t> </w:t>
      </w:r>
      <w:r>
        <w:rPr>
          <w:sz w:val="20"/>
          <w:vertAlign w:val="baseline"/>
        </w:rPr>
        <w:t>des </w:t>
      </w:r>
      <w:r>
        <w:rPr>
          <w:spacing w:val="-2"/>
          <w:sz w:val="20"/>
          <w:vertAlign w:val="baseline"/>
        </w:rPr>
        <w:t>ANS-Beschlusses).</w:t>
      </w:r>
    </w:p>
    <w:p>
      <w:pPr>
        <w:spacing w:after="0"/>
        <w:jc w:val="left"/>
        <w:rPr>
          <w:sz w:val="20"/>
        </w:rPr>
        <w:sectPr>
          <w:footerReference w:type="default" r:id="rId5"/>
          <w:type w:val="continuous"/>
          <w:pgSz w:w="11910" w:h="16840"/>
          <w:pgMar w:footer="686" w:header="0" w:top="520" w:bottom="880" w:left="480" w:right="740"/>
          <w:pgNumType w:start="1"/>
        </w:sectPr>
      </w:pPr>
    </w:p>
    <w:p>
      <w:pPr>
        <w:pStyle w:val="BodyText"/>
        <w:spacing w:before="75"/>
        <w:ind w:left="796" w:right="2"/>
      </w:pPr>
      <w:r>
        <w:rPr/>
        <w:t>Die</w:t>
      </w:r>
      <w:r>
        <w:rPr>
          <w:spacing w:val="-3"/>
        </w:rPr>
        <w:t> </w:t>
      </w:r>
      <w:r>
        <w:rPr/>
        <w:t>GD</w:t>
      </w:r>
      <w:r>
        <w:rPr>
          <w:spacing w:val="-2"/>
        </w:rPr>
        <w:t> </w:t>
      </w:r>
      <w:r>
        <w:rPr/>
        <w:t>MOVE</w:t>
      </w:r>
      <w:r>
        <w:rPr>
          <w:spacing w:val="-2"/>
        </w:rPr>
        <w:t> </w:t>
      </w:r>
      <w:r>
        <w:rPr/>
        <w:t>C3</w:t>
      </w:r>
      <w:r>
        <w:rPr>
          <w:spacing w:val="-2"/>
        </w:rPr>
        <w:t> </w:t>
      </w:r>
      <w:r>
        <w:rPr/>
        <w:t>sucht</w:t>
      </w:r>
      <w:r>
        <w:rPr>
          <w:spacing w:val="-2"/>
        </w:rPr>
        <w:t> </w:t>
      </w:r>
      <w:r>
        <w:rPr/>
        <w:t>eine</w:t>
      </w:r>
      <w:r>
        <w:rPr>
          <w:spacing w:val="-3"/>
        </w:rPr>
        <w:t> </w:t>
      </w:r>
      <w:r>
        <w:rPr/>
        <w:t>dynamische,</w:t>
      </w:r>
      <w:r>
        <w:rPr>
          <w:spacing w:val="-2"/>
        </w:rPr>
        <w:t> </w:t>
      </w:r>
      <w:r>
        <w:rPr/>
        <w:t>hoch</w:t>
      </w:r>
      <w:r>
        <w:rPr>
          <w:spacing w:val="-2"/>
        </w:rPr>
        <w:t> </w:t>
      </w:r>
      <w:r>
        <w:rPr/>
        <w:t>motivierte</w:t>
      </w:r>
      <w:r>
        <w:rPr>
          <w:spacing w:val="-3"/>
        </w:rPr>
        <w:t> </w:t>
      </w:r>
      <w:r>
        <w:rPr/>
        <w:t>und</w:t>
      </w:r>
      <w:r>
        <w:rPr>
          <w:spacing w:val="-2"/>
        </w:rPr>
        <w:t> </w:t>
      </w:r>
      <w:r>
        <w:rPr/>
        <w:t>erfahrene</w:t>
      </w:r>
      <w:r>
        <w:rPr>
          <w:spacing w:val="-3"/>
        </w:rPr>
        <w:t> </w:t>
      </w:r>
      <w:r>
        <w:rPr/>
        <w:t>Person</w:t>
      </w:r>
      <w:r>
        <w:rPr>
          <w:spacing w:val="-2"/>
        </w:rPr>
        <w:t> </w:t>
      </w:r>
      <w:r>
        <w:rPr/>
        <w:t>für</w:t>
      </w:r>
      <w:r>
        <w:rPr>
          <w:spacing w:val="-3"/>
        </w:rPr>
        <w:t> </w:t>
      </w:r>
      <w:r>
        <w:rPr/>
        <w:t>den</w:t>
      </w:r>
      <w:r>
        <w:rPr>
          <w:spacing w:val="-2"/>
        </w:rPr>
        <w:t> </w:t>
      </w:r>
      <w:r>
        <w:rPr/>
        <w:t>Posten</w:t>
      </w:r>
      <w:r>
        <w:rPr>
          <w:spacing w:val="-2"/>
        </w:rPr>
        <w:t> </w:t>
      </w:r>
      <w:r>
        <w:rPr/>
        <w:t>als abgeordneter nationaler Sachverständiger (ANS).</w:t>
      </w:r>
    </w:p>
    <w:p>
      <w:pPr>
        <w:pStyle w:val="BodyText"/>
        <w:spacing w:before="11"/>
        <w:rPr>
          <w:sz w:val="21"/>
        </w:rPr>
      </w:pPr>
    </w:p>
    <w:p>
      <w:pPr>
        <w:pStyle w:val="BodyText"/>
        <w:ind w:left="796" w:right="1283"/>
      </w:pPr>
      <w:r>
        <w:rPr/>
        <w:t>Die</w:t>
      </w:r>
      <w:r>
        <w:rPr>
          <w:spacing w:val="40"/>
        </w:rPr>
        <w:t> </w:t>
      </w:r>
      <w:r>
        <w:rPr/>
        <w:t>wichtigsten</w:t>
      </w:r>
      <w:r>
        <w:rPr>
          <w:spacing w:val="40"/>
        </w:rPr>
        <w:t> </w:t>
      </w:r>
      <w:r>
        <w:rPr/>
        <w:t>Aufgaben</w:t>
      </w:r>
      <w:r>
        <w:rPr>
          <w:spacing w:val="40"/>
        </w:rPr>
        <w:t> </w:t>
      </w:r>
      <w:r>
        <w:rPr/>
        <w:t>im</w:t>
      </w:r>
      <w:r>
        <w:rPr>
          <w:spacing w:val="40"/>
        </w:rPr>
        <w:t> </w:t>
      </w:r>
      <w:r>
        <w:rPr/>
        <w:t>Zusammenhang</w:t>
      </w:r>
      <w:r>
        <w:rPr>
          <w:spacing w:val="40"/>
        </w:rPr>
        <w:t> </w:t>
      </w:r>
      <w:r>
        <w:rPr/>
        <w:t>mit</w:t>
      </w:r>
      <w:r>
        <w:rPr>
          <w:spacing w:val="40"/>
        </w:rPr>
        <w:t> </w:t>
      </w:r>
      <w:r>
        <w:rPr/>
        <w:t>dieser</w:t>
      </w:r>
      <w:r>
        <w:rPr>
          <w:spacing w:val="40"/>
        </w:rPr>
        <w:t> </w:t>
      </w:r>
      <w:r>
        <w:rPr/>
        <w:t>Rolle</w:t>
      </w:r>
      <w:r>
        <w:rPr>
          <w:spacing w:val="40"/>
        </w:rPr>
        <w:t> </w:t>
      </w:r>
      <w:r>
        <w:rPr/>
        <w:t>unter</w:t>
      </w:r>
      <w:r>
        <w:rPr>
          <w:spacing w:val="40"/>
        </w:rPr>
        <w:t> </w:t>
      </w:r>
      <w:r>
        <w:rPr/>
        <w:t>der</w:t>
      </w:r>
      <w:r>
        <w:rPr>
          <w:spacing w:val="40"/>
        </w:rPr>
        <w:t> </w:t>
      </w:r>
      <w:r>
        <w:rPr/>
        <w:t>Aufsicht</w:t>
      </w:r>
      <w:r>
        <w:rPr>
          <w:spacing w:val="40"/>
        </w:rPr>
        <w:t> </w:t>
      </w:r>
      <w:r>
        <w:rPr/>
        <w:t>eines</w:t>
      </w:r>
      <w:r>
        <w:rPr>
          <w:spacing w:val="80"/>
          <w:w w:val="150"/>
        </w:rPr>
        <w:t> </w:t>
      </w:r>
      <w:r>
        <w:rPr/>
        <w:t>leitenden Referenten sind:</w:t>
      </w:r>
    </w:p>
    <w:p>
      <w:pPr>
        <w:pStyle w:val="BodyText"/>
      </w:pPr>
    </w:p>
    <w:p>
      <w:pPr>
        <w:pStyle w:val="ListParagraph"/>
        <w:numPr>
          <w:ilvl w:val="2"/>
          <w:numId w:val="2"/>
        </w:numPr>
        <w:tabs>
          <w:tab w:pos="1197" w:val="left" w:leader="none"/>
        </w:tabs>
        <w:spacing w:line="240" w:lineRule="auto" w:before="1" w:after="0"/>
        <w:ind w:left="1195" w:right="107" w:hanging="360"/>
        <w:jc w:val="both"/>
        <w:rPr>
          <w:rFonts w:ascii="Symbol" w:hAnsi="Symbol"/>
          <w:sz w:val="22"/>
        </w:rPr>
      </w:pPr>
      <w:r>
        <w:rPr>
          <w:sz w:val="22"/>
        </w:rPr>
        <w:t>Weiterverfolgung der Initiative „Festlegung von Maßnahmen zur Verbesserung der Verwaltung und Koordinierung des internationalen Schienenverkehrs, gegebenenfalls durch überarbeitete Vorschriften für die Kapazitätszuweisung und die Erhebung von Infrastrukturentgelten“ (Maßnahme Nr.</w:t>
      </w:r>
      <w:r>
        <w:rPr>
          <w:spacing w:val="-3"/>
          <w:sz w:val="22"/>
        </w:rPr>
        <w:t> </w:t>
      </w:r>
      <w:r>
        <w:rPr>
          <w:sz w:val="22"/>
        </w:rPr>
        <w:t>19 der Strategie für intelligente und nachhaltige Mobilität);</w:t>
      </w:r>
    </w:p>
    <w:p>
      <w:pPr>
        <w:pStyle w:val="BodyText"/>
        <w:spacing w:before="10"/>
        <w:rPr>
          <w:sz w:val="21"/>
        </w:rPr>
      </w:pPr>
    </w:p>
    <w:p>
      <w:pPr>
        <w:pStyle w:val="ListParagraph"/>
        <w:numPr>
          <w:ilvl w:val="2"/>
          <w:numId w:val="2"/>
        </w:numPr>
        <w:tabs>
          <w:tab w:pos="1197" w:val="left" w:leader="none"/>
        </w:tabs>
        <w:spacing w:line="240" w:lineRule="auto" w:before="0" w:after="0"/>
        <w:ind w:left="1196" w:right="108" w:hanging="360"/>
        <w:jc w:val="both"/>
        <w:rPr>
          <w:rFonts w:ascii="Symbol" w:hAnsi="Symbol"/>
          <w:sz w:val="22"/>
        </w:rPr>
      </w:pPr>
      <w:r>
        <w:rPr>
          <w:sz w:val="22"/>
        </w:rPr>
        <w:t>Teilnahme an interinstitutionellen Verhandlungen über die oben genannte Initiative, deren Annahme</w:t>
      </w:r>
      <w:r>
        <w:rPr>
          <w:spacing w:val="40"/>
          <w:sz w:val="22"/>
        </w:rPr>
        <w:t> </w:t>
      </w:r>
      <w:r>
        <w:rPr>
          <w:sz w:val="22"/>
        </w:rPr>
        <w:t>durch die Kommission für das zweite Quartal 2023 vorgesehen ist;</w:t>
      </w:r>
    </w:p>
    <w:p>
      <w:pPr>
        <w:pStyle w:val="BodyText"/>
      </w:pPr>
    </w:p>
    <w:p>
      <w:pPr>
        <w:pStyle w:val="ListParagraph"/>
        <w:numPr>
          <w:ilvl w:val="2"/>
          <w:numId w:val="2"/>
        </w:numPr>
        <w:tabs>
          <w:tab w:pos="1197" w:val="left" w:leader="none"/>
        </w:tabs>
        <w:spacing w:line="240" w:lineRule="auto" w:before="0" w:after="0"/>
        <w:ind w:left="1196" w:right="107" w:hanging="360"/>
        <w:jc w:val="both"/>
        <w:rPr>
          <w:rFonts w:ascii="Symbol" w:hAnsi="Symbol"/>
          <w:sz w:val="22"/>
        </w:rPr>
      </w:pPr>
      <w:r>
        <w:rPr>
          <w:sz w:val="22"/>
        </w:rPr>
        <w:t>Sekretär/in für Arbeitsgruppen des Forums für den einheitlichen europäischen Eisenbahnraum und des Ausschusses für den einheitlichen europäischen Eisenbahnraum, insbesondere für Fragen im Zusammenhang mit dem Kapazitätsmanagement. Verwaltung von Einladungen, Tagesordnungen, </w:t>
      </w:r>
      <w:r>
        <w:rPr>
          <w:spacing w:val="-2"/>
          <w:sz w:val="22"/>
        </w:rPr>
        <w:t>Kurzberichten;</w:t>
      </w:r>
    </w:p>
    <w:p>
      <w:pPr>
        <w:pStyle w:val="BodyText"/>
        <w:spacing w:before="10"/>
        <w:rPr>
          <w:sz w:val="21"/>
        </w:rPr>
      </w:pPr>
    </w:p>
    <w:p>
      <w:pPr>
        <w:pStyle w:val="ListParagraph"/>
        <w:numPr>
          <w:ilvl w:val="2"/>
          <w:numId w:val="2"/>
        </w:numPr>
        <w:tabs>
          <w:tab w:pos="1197" w:val="left" w:leader="none"/>
        </w:tabs>
        <w:spacing w:line="240" w:lineRule="auto" w:before="0" w:after="0"/>
        <w:ind w:left="1196" w:right="108" w:hanging="360"/>
        <w:jc w:val="both"/>
        <w:rPr>
          <w:rFonts w:ascii="Symbol" w:hAnsi="Symbol"/>
          <w:sz w:val="22"/>
        </w:rPr>
      </w:pPr>
      <w:r>
        <w:rPr>
          <w:strike w:val="0"/>
          <w:sz w:val="22"/>
        </w:rPr>
        <w:t>Zusammenarbeit mit der Europäischen Exekutivagentur für Klima, Infrastruktur und Umwelt bezüglich einer möglichen EU-Kofinanzierung von Koordinierungsstellen für den EU-Eisenbahnsektor;</w:t>
      </w:r>
    </w:p>
    <w:p>
      <w:pPr>
        <w:pStyle w:val="BodyText"/>
      </w:pPr>
    </w:p>
    <w:p>
      <w:pPr>
        <w:pStyle w:val="ListParagraph"/>
        <w:numPr>
          <w:ilvl w:val="2"/>
          <w:numId w:val="2"/>
        </w:numPr>
        <w:tabs>
          <w:tab w:pos="1196" w:val="left" w:leader="none"/>
          <w:tab w:pos="1197" w:val="left" w:leader="none"/>
        </w:tabs>
        <w:spacing w:line="240" w:lineRule="auto" w:before="0" w:after="0"/>
        <w:ind w:left="1196" w:right="0" w:hanging="361"/>
        <w:jc w:val="left"/>
        <w:rPr>
          <w:rFonts w:ascii="Symbol" w:hAnsi="Symbol"/>
          <w:sz w:val="22"/>
        </w:rPr>
      </w:pPr>
      <w:r>
        <w:rPr>
          <w:sz w:val="22"/>
        </w:rPr>
        <w:t>Beteiligung</w:t>
      </w:r>
      <w:r>
        <w:rPr>
          <w:spacing w:val="-11"/>
          <w:sz w:val="22"/>
        </w:rPr>
        <w:t> </w:t>
      </w:r>
      <w:r>
        <w:rPr>
          <w:sz w:val="22"/>
        </w:rPr>
        <w:t>und</w:t>
      </w:r>
      <w:r>
        <w:rPr>
          <w:spacing w:val="-10"/>
          <w:sz w:val="22"/>
        </w:rPr>
        <w:t> </w:t>
      </w:r>
      <w:r>
        <w:rPr>
          <w:sz w:val="22"/>
        </w:rPr>
        <w:t>Mitwirkung</w:t>
      </w:r>
      <w:r>
        <w:rPr>
          <w:spacing w:val="-10"/>
          <w:sz w:val="22"/>
        </w:rPr>
        <w:t> </w:t>
      </w:r>
      <w:r>
        <w:rPr>
          <w:sz w:val="22"/>
        </w:rPr>
        <w:t>an</w:t>
      </w:r>
      <w:r>
        <w:rPr>
          <w:spacing w:val="-10"/>
          <w:sz w:val="22"/>
        </w:rPr>
        <w:t> </w:t>
      </w:r>
      <w:r>
        <w:rPr>
          <w:sz w:val="22"/>
        </w:rPr>
        <w:t>einschlägigen</w:t>
      </w:r>
      <w:r>
        <w:rPr>
          <w:spacing w:val="-10"/>
          <w:sz w:val="22"/>
        </w:rPr>
        <w:t> </w:t>
      </w:r>
      <w:r>
        <w:rPr>
          <w:sz w:val="22"/>
        </w:rPr>
        <w:t>Plattformen</w:t>
      </w:r>
      <w:r>
        <w:rPr>
          <w:spacing w:val="-10"/>
          <w:sz w:val="22"/>
        </w:rPr>
        <w:t> </w:t>
      </w:r>
      <w:r>
        <w:rPr>
          <w:sz w:val="22"/>
        </w:rPr>
        <w:t>der</w:t>
      </w:r>
      <w:r>
        <w:rPr>
          <w:spacing w:val="-10"/>
          <w:sz w:val="22"/>
        </w:rPr>
        <w:t> </w:t>
      </w:r>
      <w:r>
        <w:rPr>
          <w:spacing w:val="-2"/>
          <w:sz w:val="22"/>
        </w:rPr>
        <w:t>Interessenträger;</w:t>
      </w:r>
    </w:p>
    <w:p>
      <w:pPr>
        <w:pStyle w:val="BodyText"/>
        <w:spacing w:before="10"/>
        <w:rPr>
          <w:sz w:val="21"/>
        </w:rPr>
      </w:pPr>
    </w:p>
    <w:p>
      <w:pPr>
        <w:pStyle w:val="ListParagraph"/>
        <w:numPr>
          <w:ilvl w:val="2"/>
          <w:numId w:val="2"/>
        </w:numPr>
        <w:tabs>
          <w:tab w:pos="1195" w:val="left" w:leader="none"/>
          <w:tab w:pos="1197" w:val="left" w:leader="none"/>
        </w:tabs>
        <w:spacing w:line="240" w:lineRule="auto" w:before="0" w:after="0"/>
        <w:ind w:left="1196" w:right="0" w:hanging="361"/>
        <w:jc w:val="left"/>
        <w:rPr>
          <w:rFonts w:ascii="Symbol" w:hAnsi="Symbol"/>
          <w:sz w:val="22"/>
        </w:rPr>
      </w:pPr>
      <w:r>
        <w:rPr>
          <w:sz w:val="22"/>
        </w:rPr>
        <w:t>Unterstützung</w:t>
      </w:r>
      <w:r>
        <w:rPr>
          <w:spacing w:val="-8"/>
          <w:sz w:val="22"/>
        </w:rPr>
        <w:t> </w:t>
      </w:r>
      <w:r>
        <w:rPr>
          <w:sz w:val="22"/>
        </w:rPr>
        <w:t>und</w:t>
      </w:r>
      <w:r>
        <w:rPr>
          <w:spacing w:val="-7"/>
          <w:sz w:val="22"/>
        </w:rPr>
        <w:t> </w:t>
      </w:r>
      <w:r>
        <w:rPr>
          <w:sz w:val="22"/>
        </w:rPr>
        <w:t>Mitwirkung</w:t>
      </w:r>
      <w:r>
        <w:rPr>
          <w:spacing w:val="-8"/>
          <w:sz w:val="22"/>
        </w:rPr>
        <w:t> </w:t>
      </w:r>
      <w:r>
        <w:rPr>
          <w:sz w:val="22"/>
        </w:rPr>
        <w:t>an</w:t>
      </w:r>
      <w:r>
        <w:rPr>
          <w:spacing w:val="-7"/>
          <w:sz w:val="22"/>
        </w:rPr>
        <w:t> </w:t>
      </w:r>
      <w:r>
        <w:rPr>
          <w:sz w:val="22"/>
        </w:rPr>
        <w:t>der</w:t>
      </w:r>
      <w:r>
        <w:rPr>
          <w:spacing w:val="-7"/>
          <w:sz w:val="22"/>
        </w:rPr>
        <w:t> </w:t>
      </w:r>
      <w:r>
        <w:rPr>
          <w:sz w:val="22"/>
        </w:rPr>
        <w:t>Politik</w:t>
      </w:r>
      <w:r>
        <w:rPr>
          <w:spacing w:val="-7"/>
          <w:sz w:val="22"/>
        </w:rPr>
        <w:t> </w:t>
      </w:r>
      <w:r>
        <w:rPr>
          <w:sz w:val="22"/>
        </w:rPr>
        <w:t>im</w:t>
      </w:r>
      <w:r>
        <w:rPr>
          <w:spacing w:val="-8"/>
          <w:sz w:val="22"/>
        </w:rPr>
        <w:t> </w:t>
      </w:r>
      <w:r>
        <w:rPr>
          <w:sz w:val="22"/>
        </w:rPr>
        <w:t>Bereich</w:t>
      </w:r>
      <w:r>
        <w:rPr>
          <w:spacing w:val="-7"/>
          <w:sz w:val="22"/>
        </w:rPr>
        <w:t> </w:t>
      </w:r>
      <w:r>
        <w:rPr>
          <w:sz w:val="22"/>
        </w:rPr>
        <w:t>TEN-V</w:t>
      </w:r>
      <w:r>
        <w:rPr>
          <w:spacing w:val="-8"/>
          <w:sz w:val="22"/>
        </w:rPr>
        <w:t> </w:t>
      </w:r>
      <w:r>
        <w:rPr>
          <w:sz w:val="22"/>
        </w:rPr>
        <w:t>und</w:t>
      </w:r>
      <w:r>
        <w:rPr>
          <w:spacing w:val="-7"/>
          <w:sz w:val="22"/>
        </w:rPr>
        <w:t> </w:t>
      </w:r>
      <w:r>
        <w:rPr>
          <w:spacing w:val="-2"/>
          <w:sz w:val="22"/>
        </w:rPr>
        <w:t>Kernnetzkorridore;</w:t>
      </w:r>
    </w:p>
    <w:p>
      <w:pPr>
        <w:pStyle w:val="BodyText"/>
        <w:spacing w:before="11"/>
        <w:rPr>
          <w:sz w:val="21"/>
        </w:rPr>
      </w:pPr>
    </w:p>
    <w:p>
      <w:pPr>
        <w:pStyle w:val="ListParagraph"/>
        <w:numPr>
          <w:ilvl w:val="2"/>
          <w:numId w:val="2"/>
        </w:numPr>
        <w:tabs>
          <w:tab w:pos="1197" w:val="left" w:leader="none"/>
        </w:tabs>
        <w:spacing w:line="240" w:lineRule="auto" w:before="0" w:after="0"/>
        <w:ind w:left="1196" w:right="107" w:hanging="360"/>
        <w:jc w:val="both"/>
        <w:rPr>
          <w:rFonts w:ascii="Symbol" w:hAnsi="Symbol"/>
          <w:sz w:val="22"/>
        </w:rPr>
      </w:pPr>
      <w:r>
        <w:rPr>
          <w:sz w:val="22"/>
        </w:rPr>
        <w:t>Koordinierung mit anderen Kommissionsdienststellen in Bezug auf Multimodalität und die Richtlinie</w:t>
      </w:r>
      <w:r>
        <w:rPr>
          <w:spacing w:val="40"/>
          <w:sz w:val="22"/>
        </w:rPr>
        <w:t> </w:t>
      </w:r>
      <w:r>
        <w:rPr>
          <w:sz w:val="22"/>
        </w:rPr>
        <w:t>über den kombinierten Güterverkehr sowie Weiterverfolgung neuer Entwicklungen im Bereich der Multimodalität und des kombinierten Güterverkehrs.</w:t>
      </w:r>
    </w:p>
    <w:p>
      <w:pPr>
        <w:pStyle w:val="BodyText"/>
      </w:pPr>
    </w:p>
    <w:p>
      <w:pPr>
        <w:pStyle w:val="ListParagraph"/>
        <w:numPr>
          <w:ilvl w:val="0"/>
          <w:numId w:val="2"/>
        </w:numPr>
        <w:tabs>
          <w:tab w:pos="796" w:val="left" w:leader="none"/>
          <w:tab w:pos="797" w:val="left" w:leader="none"/>
        </w:tabs>
        <w:spacing w:line="240" w:lineRule="auto" w:before="0" w:after="0"/>
        <w:ind w:left="796" w:right="0" w:hanging="427"/>
        <w:jc w:val="left"/>
        <w:rPr>
          <w:b/>
          <w:sz w:val="24"/>
        </w:rPr>
      </w:pPr>
      <w:r>
        <w:rPr>
          <w:b/>
          <w:sz w:val="24"/>
          <w:u w:val="single"/>
        </w:rPr>
        <w:t>Erforderliche</w:t>
      </w:r>
      <w:r>
        <w:rPr>
          <w:b/>
          <w:spacing w:val="-5"/>
          <w:sz w:val="24"/>
          <w:u w:val="single"/>
        </w:rPr>
        <w:t> </w:t>
      </w:r>
      <w:r>
        <w:rPr>
          <w:b/>
          <w:spacing w:val="-2"/>
          <w:sz w:val="24"/>
          <w:u w:val="single"/>
        </w:rPr>
        <w:t>Qualifikationen</w:t>
      </w:r>
    </w:p>
    <w:p>
      <w:pPr>
        <w:pStyle w:val="BodyText"/>
        <w:rPr>
          <w:b/>
          <w:sz w:val="16"/>
        </w:rPr>
      </w:pPr>
    </w:p>
    <w:p>
      <w:pPr>
        <w:pStyle w:val="Heading1"/>
        <w:numPr>
          <w:ilvl w:val="0"/>
          <w:numId w:val="3"/>
        </w:numPr>
        <w:tabs>
          <w:tab w:pos="1036" w:val="left" w:leader="none"/>
        </w:tabs>
        <w:spacing w:line="240" w:lineRule="auto" w:before="91" w:after="0"/>
        <w:ind w:left="1035" w:right="0" w:hanging="240"/>
        <w:jc w:val="left"/>
      </w:pPr>
      <w:r>
        <w:rPr>
          <w:spacing w:val="-2"/>
        </w:rPr>
        <w:t>Zulassungskriterien</w:t>
      </w:r>
    </w:p>
    <w:p>
      <w:pPr>
        <w:pStyle w:val="BodyText"/>
        <w:rPr>
          <w:b/>
        </w:rPr>
      </w:pPr>
    </w:p>
    <w:p>
      <w:pPr>
        <w:pStyle w:val="BodyText"/>
        <w:ind w:left="796" w:right="108"/>
        <w:jc w:val="both"/>
      </w:pPr>
      <w:r>
        <w:rPr/>
        <w:t>Für eine Abordnung zur Kommission sind sämtliche der folgenden Zulassungskriterien zu erfüllen. Bewerberinnen und Bewerber, die nicht alle diese Kriterien erfüllen, werden automatisch vom Auswahlverfahren ausgeschlossen.</w:t>
      </w:r>
    </w:p>
    <w:p>
      <w:pPr>
        <w:pStyle w:val="BodyText"/>
      </w:pPr>
    </w:p>
    <w:p>
      <w:pPr>
        <w:pStyle w:val="ListParagraph"/>
        <w:numPr>
          <w:ilvl w:val="0"/>
          <w:numId w:val="4"/>
        </w:numPr>
        <w:tabs>
          <w:tab w:pos="1081" w:val="left" w:leader="none"/>
        </w:tabs>
        <w:spacing w:line="240" w:lineRule="auto" w:before="0" w:after="0"/>
        <w:ind w:left="1080" w:right="108" w:hanging="284"/>
        <w:jc w:val="both"/>
        <w:rPr>
          <w:sz w:val="22"/>
        </w:rPr>
      </w:pPr>
      <w:r>
        <w:rPr>
          <w:sz w:val="22"/>
          <w:u w:val="single"/>
        </w:rPr>
        <w:t>Berufserfahrung:</w:t>
      </w:r>
      <w:r>
        <w:rPr>
          <w:sz w:val="22"/>
        </w:rPr>
        <w:t> Bewerberinnen und Bewerber müssen über eine mindestens dreijährige Berufserfahrung mit Aufgaben im administrativen, justiziellen, wissenschaftlichen oder technischen Bereich in beratender oder leitender Funktion verfügen, die mit den Tätigkeiten der Funktionsgruppe Administration (AD) vergleichbar ist.</w:t>
      </w:r>
    </w:p>
    <w:p>
      <w:pPr>
        <w:pStyle w:val="BodyText"/>
      </w:pPr>
    </w:p>
    <w:p>
      <w:pPr>
        <w:pStyle w:val="ListParagraph"/>
        <w:numPr>
          <w:ilvl w:val="0"/>
          <w:numId w:val="4"/>
        </w:numPr>
        <w:tabs>
          <w:tab w:pos="1081" w:val="left" w:leader="none"/>
        </w:tabs>
        <w:spacing w:line="240" w:lineRule="auto" w:before="0" w:after="0"/>
        <w:ind w:left="1080" w:right="108" w:hanging="284"/>
        <w:jc w:val="both"/>
        <w:rPr>
          <w:sz w:val="22"/>
        </w:rPr>
      </w:pPr>
      <w:r>
        <w:rPr>
          <w:sz w:val="22"/>
          <w:u w:val="single"/>
        </w:rPr>
        <w:t>Dienstalter:</w:t>
      </w:r>
      <w:r>
        <w:rPr>
          <w:sz w:val="22"/>
        </w:rPr>
        <w:t> Bewerberinnen und Bewerber müssen ein Dienstalter von mindestens einem Jahr bei ihrem Arbeitgeber nachweisen, das heißt seit mindestens einem Jahr in einem dienst- oder vertragsrechtlichen Verhältnis mit einem Arbeitgeber im Sinne von Artikel 1 des ANS-Beschlusses stehen.</w:t>
      </w:r>
    </w:p>
    <w:p>
      <w:pPr>
        <w:pStyle w:val="BodyText"/>
      </w:pPr>
    </w:p>
    <w:p>
      <w:pPr>
        <w:pStyle w:val="ListParagraph"/>
        <w:numPr>
          <w:ilvl w:val="0"/>
          <w:numId w:val="4"/>
        </w:numPr>
        <w:tabs>
          <w:tab w:pos="1081" w:val="left" w:leader="none"/>
        </w:tabs>
        <w:spacing w:line="240" w:lineRule="auto" w:before="1" w:after="0"/>
        <w:ind w:left="1080" w:right="107" w:hanging="284"/>
        <w:jc w:val="both"/>
        <w:rPr>
          <w:sz w:val="22"/>
        </w:rPr>
      </w:pPr>
      <w:r>
        <w:rPr>
          <w:sz w:val="22"/>
          <w:u w:val="single"/>
        </w:rPr>
        <w:t>Sprachkenntnisse:</w:t>
      </w:r>
      <w:r>
        <w:rPr>
          <w:sz w:val="22"/>
        </w:rPr>
        <w:t> Bewerberinnen und Bewerber müssen gründliche Kenntnisse in einer Sprache der Europäischen Union und ausreichende Kenntnisse in einer weiteren Sprache der Europäischen Union in dem für die Wahrnehmung ihrer Funktion erforderlichen Maße besitzen. ANS aus einem Drittland müssen nachweisen, dass sie über gründliche Kenntnisse in einer zur Ausübung ihrer Tätigkeit erforderlichen Sprache der Europäischen Union verfügen.</w:t>
      </w:r>
    </w:p>
    <w:p>
      <w:pPr>
        <w:pStyle w:val="BodyText"/>
        <w:spacing w:before="11"/>
        <w:rPr>
          <w:sz w:val="23"/>
        </w:rPr>
      </w:pPr>
    </w:p>
    <w:p>
      <w:pPr>
        <w:pStyle w:val="Heading1"/>
        <w:numPr>
          <w:ilvl w:val="0"/>
          <w:numId w:val="3"/>
        </w:numPr>
        <w:tabs>
          <w:tab w:pos="1079" w:val="left" w:leader="none"/>
        </w:tabs>
        <w:spacing w:line="240" w:lineRule="auto" w:before="0" w:after="0"/>
        <w:ind w:left="1078" w:right="0" w:hanging="283"/>
        <w:jc w:val="left"/>
      </w:pPr>
      <w:r>
        <w:rPr>
          <w:spacing w:val="-2"/>
          <w:u w:val="single"/>
        </w:rPr>
        <w:t>Auswahlkriterien</w:t>
      </w:r>
    </w:p>
    <w:p>
      <w:pPr>
        <w:pStyle w:val="BodyText"/>
        <w:spacing w:before="1"/>
        <w:rPr>
          <w:b/>
          <w:sz w:val="16"/>
        </w:rPr>
      </w:pPr>
    </w:p>
    <w:p>
      <w:pPr>
        <w:pStyle w:val="BodyText"/>
        <w:spacing w:before="90"/>
        <w:ind w:left="1080"/>
      </w:pPr>
      <w:r>
        <w:rPr>
          <w:spacing w:val="-2"/>
          <w:u w:val="single"/>
        </w:rPr>
        <w:t>Bildungsabschluss</w:t>
      </w:r>
    </w:p>
    <w:p>
      <w:pPr>
        <w:spacing w:after="0"/>
        <w:sectPr>
          <w:pgSz w:w="11910" w:h="16840"/>
          <w:pgMar w:header="0" w:footer="686" w:top="1040" w:bottom="880" w:left="480" w:right="740"/>
        </w:sectPr>
      </w:pPr>
    </w:p>
    <w:p>
      <w:pPr>
        <w:pStyle w:val="ListParagraph"/>
        <w:numPr>
          <w:ilvl w:val="1"/>
          <w:numId w:val="3"/>
        </w:numPr>
        <w:tabs>
          <w:tab w:pos="1209" w:val="left" w:leader="none"/>
        </w:tabs>
        <w:spacing w:line="240" w:lineRule="auto" w:before="75" w:after="0"/>
        <w:ind w:left="1208" w:right="0" w:hanging="129"/>
        <w:jc w:val="left"/>
        <w:rPr>
          <w:sz w:val="22"/>
        </w:rPr>
      </w:pPr>
      <w:r>
        <w:rPr>
          <w:spacing w:val="-2"/>
          <w:sz w:val="22"/>
        </w:rPr>
        <w:t>Hochschulabschluss</w:t>
      </w:r>
      <w:r>
        <w:rPr>
          <w:spacing w:val="9"/>
          <w:sz w:val="22"/>
        </w:rPr>
        <w:t> </w:t>
      </w:r>
      <w:r>
        <w:rPr>
          <w:spacing w:val="-4"/>
          <w:sz w:val="22"/>
        </w:rPr>
        <w:t>oder</w:t>
      </w:r>
    </w:p>
    <w:p>
      <w:pPr>
        <w:pStyle w:val="ListParagraph"/>
        <w:numPr>
          <w:ilvl w:val="1"/>
          <w:numId w:val="3"/>
        </w:numPr>
        <w:tabs>
          <w:tab w:pos="1209" w:val="left" w:leader="none"/>
        </w:tabs>
        <w:spacing w:line="240" w:lineRule="auto" w:before="0" w:after="0"/>
        <w:ind w:left="1208" w:right="0" w:hanging="129"/>
        <w:jc w:val="left"/>
        <w:rPr>
          <w:sz w:val="22"/>
        </w:rPr>
      </w:pPr>
      <w:r>
        <w:rPr>
          <w:spacing w:val="-2"/>
          <w:sz w:val="22"/>
        </w:rPr>
        <w:t>gleichwertige</w:t>
      </w:r>
      <w:r>
        <w:rPr>
          <w:spacing w:val="7"/>
          <w:sz w:val="22"/>
        </w:rPr>
        <w:t> </w:t>
      </w:r>
      <w:r>
        <w:rPr>
          <w:spacing w:val="-2"/>
          <w:sz w:val="22"/>
        </w:rPr>
        <w:t>Berufsausbildung</w:t>
      </w:r>
      <w:r>
        <w:rPr>
          <w:spacing w:val="7"/>
          <w:sz w:val="22"/>
        </w:rPr>
        <w:t> </w:t>
      </w:r>
      <w:r>
        <w:rPr>
          <w:spacing w:val="-2"/>
          <w:sz w:val="22"/>
        </w:rPr>
        <w:t>oder</w:t>
      </w:r>
      <w:r>
        <w:rPr>
          <w:spacing w:val="9"/>
          <w:sz w:val="22"/>
        </w:rPr>
        <w:t> </w:t>
      </w:r>
      <w:r>
        <w:rPr>
          <w:spacing w:val="-2"/>
          <w:sz w:val="22"/>
        </w:rPr>
        <w:t>Berufserfahrung</w:t>
      </w:r>
    </w:p>
    <w:p>
      <w:pPr>
        <w:pStyle w:val="BodyText"/>
        <w:spacing w:before="11"/>
        <w:rPr>
          <w:sz w:val="21"/>
        </w:rPr>
      </w:pPr>
    </w:p>
    <w:p>
      <w:pPr>
        <w:pStyle w:val="BodyText"/>
        <w:spacing w:line="480" w:lineRule="auto"/>
        <w:ind w:left="1080" w:right="1460" w:firstLine="110"/>
      </w:pPr>
      <w:r>
        <w:rPr/>
        <w:t>im</w:t>
      </w:r>
      <w:r>
        <w:rPr>
          <w:spacing w:val="-6"/>
        </w:rPr>
        <w:t> </w:t>
      </w:r>
      <w:r>
        <w:rPr/>
        <w:t>Bereich:</w:t>
      </w:r>
      <w:r>
        <w:rPr>
          <w:spacing w:val="-5"/>
        </w:rPr>
        <w:t> </w:t>
      </w:r>
      <w:r>
        <w:rPr/>
        <w:t>Wirtschaft,</w:t>
      </w:r>
      <w:r>
        <w:rPr>
          <w:spacing w:val="-6"/>
        </w:rPr>
        <w:t> </w:t>
      </w:r>
      <w:r>
        <w:rPr/>
        <w:t>öffentliche</w:t>
      </w:r>
      <w:r>
        <w:rPr>
          <w:spacing w:val="-6"/>
        </w:rPr>
        <w:t> </w:t>
      </w:r>
      <w:r>
        <w:rPr/>
        <w:t>Verwaltung,</w:t>
      </w:r>
      <w:r>
        <w:rPr>
          <w:spacing w:val="-6"/>
        </w:rPr>
        <w:t> </w:t>
      </w:r>
      <w:r>
        <w:rPr/>
        <w:t>Recht</w:t>
      </w:r>
      <w:r>
        <w:rPr>
          <w:spacing w:val="-6"/>
        </w:rPr>
        <w:t> </w:t>
      </w:r>
      <w:r>
        <w:rPr/>
        <w:t>oder</w:t>
      </w:r>
      <w:r>
        <w:rPr>
          <w:spacing w:val="-6"/>
        </w:rPr>
        <w:t> </w:t>
      </w:r>
      <w:r>
        <w:rPr/>
        <w:t>Ingenieurwesen </w:t>
      </w:r>
      <w:r>
        <w:rPr>
          <w:spacing w:val="-2"/>
          <w:u w:val="single"/>
        </w:rPr>
        <w:t>Berufserfahrung</w:t>
      </w:r>
    </w:p>
    <w:p>
      <w:pPr>
        <w:pStyle w:val="ListParagraph"/>
        <w:numPr>
          <w:ilvl w:val="1"/>
          <w:numId w:val="4"/>
        </w:numPr>
        <w:tabs>
          <w:tab w:pos="1451" w:val="left" w:leader="none"/>
        </w:tabs>
        <w:spacing w:line="262" w:lineRule="exact" w:before="1" w:after="0"/>
        <w:ind w:left="1450" w:right="0" w:hanging="361"/>
        <w:jc w:val="left"/>
        <w:rPr>
          <w:sz w:val="22"/>
        </w:rPr>
      </w:pPr>
      <w:r>
        <w:rPr>
          <w:sz w:val="22"/>
        </w:rPr>
        <w:t>Mindestens</w:t>
      </w:r>
      <w:r>
        <w:rPr>
          <w:spacing w:val="-10"/>
          <w:sz w:val="22"/>
        </w:rPr>
        <w:t> </w:t>
      </w:r>
      <w:r>
        <w:rPr>
          <w:sz w:val="22"/>
        </w:rPr>
        <w:t>drei</w:t>
      </w:r>
      <w:r>
        <w:rPr>
          <w:spacing w:val="-9"/>
          <w:sz w:val="22"/>
        </w:rPr>
        <w:t> </w:t>
      </w:r>
      <w:r>
        <w:rPr>
          <w:sz w:val="22"/>
        </w:rPr>
        <w:t>Jahre</w:t>
      </w:r>
      <w:r>
        <w:rPr>
          <w:spacing w:val="-10"/>
          <w:sz w:val="22"/>
        </w:rPr>
        <w:t> </w:t>
      </w:r>
      <w:r>
        <w:rPr>
          <w:sz w:val="22"/>
        </w:rPr>
        <w:t>Berufserfahrung</w:t>
      </w:r>
      <w:r>
        <w:rPr>
          <w:spacing w:val="-10"/>
          <w:sz w:val="22"/>
        </w:rPr>
        <w:t> </w:t>
      </w:r>
      <w:r>
        <w:rPr>
          <w:sz w:val="22"/>
        </w:rPr>
        <w:t>in</w:t>
      </w:r>
      <w:r>
        <w:rPr>
          <w:spacing w:val="-9"/>
          <w:sz w:val="22"/>
        </w:rPr>
        <w:t> </w:t>
      </w:r>
      <w:r>
        <w:rPr>
          <w:sz w:val="22"/>
        </w:rPr>
        <w:t>einem</w:t>
      </w:r>
      <w:r>
        <w:rPr>
          <w:spacing w:val="-10"/>
          <w:sz w:val="22"/>
        </w:rPr>
        <w:t> </w:t>
      </w:r>
      <w:r>
        <w:rPr>
          <w:sz w:val="22"/>
        </w:rPr>
        <w:t>Verwaltungsumfeld</w:t>
      </w:r>
      <w:r>
        <w:rPr>
          <w:spacing w:val="-9"/>
          <w:sz w:val="22"/>
        </w:rPr>
        <w:t> </w:t>
      </w:r>
      <w:r>
        <w:rPr>
          <w:sz w:val="22"/>
        </w:rPr>
        <w:t>im</w:t>
      </w:r>
      <w:r>
        <w:rPr>
          <w:spacing w:val="-10"/>
          <w:sz w:val="22"/>
        </w:rPr>
        <w:t> </w:t>
      </w:r>
      <w:r>
        <w:rPr>
          <w:sz w:val="22"/>
        </w:rPr>
        <w:t>Bereich</w:t>
      </w:r>
      <w:r>
        <w:rPr>
          <w:spacing w:val="-9"/>
          <w:sz w:val="22"/>
        </w:rPr>
        <w:t> </w:t>
      </w:r>
      <w:r>
        <w:rPr>
          <w:sz w:val="22"/>
        </w:rPr>
        <w:t>der</w:t>
      </w:r>
      <w:r>
        <w:rPr>
          <w:spacing w:val="-9"/>
          <w:sz w:val="22"/>
        </w:rPr>
        <w:t> </w:t>
      </w:r>
      <w:r>
        <w:rPr>
          <w:spacing w:val="-2"/>
          <w:sz w:val="22"/>
        </w:rPr>
        <w:t>Verkehrspolitik;</w:t>
      </w:r>
    </w:p>
    <w:p>
      <w:pPr>
        <w:pStyle w:val="ListParagraph"/>
        <w:numPr>
          <w:ilvl w:val="1"/>
          <w:numId w:val="4"/>
        </w:numPr>
        <w:tabs>
          <w:tab w:pos="1451" w:val="left" w:leader="none"/>
        </w:tabs>
        <w:spacing w:line="232" w:lineRule="auto" w:before="0" w:after="0"/>
        <w:ind w:left="1450" w:right="512" w:hanging="360"/>
        <w:jc w:val="left"/>
        <w:rPr>
          <w:b/>
          <w:sz w:val="22"/>
        </w:rPr>
      </w:pPr>
      <w:r>
        <w:rPr>
          <w:sz w:val="22"/>
        </w:rPr>
        <w:t>Erfahrung auf dem Gebiet der </w:t>
      </w:r>
      <w:r>
        <w:rPr>
          <w:b/>
          <w:sz w:val="22"/>
        </w:rPr>
        <w:t>Verkehrspolitik </w:t>
      </w:r>
      <w:r>
        <w:rPr>
          <w:sz w:val="22"/>
        </w:rPr>
        <w:t>ist erforderlich, </w:t>
      </w:r>
      <w:r>
        <w:rPr>
          <w:b/>
          <w:sz w:val="22"/>
        </w:rPr>
        <w:t>besondere Kenntnisse in fachpolitischen</w:t>
      </w:r>
      <w:r>
        <w:rPr>
          <w:b/>
          <w:spacing w:val="-5"/>
          <w:sz w:val="22"/>
        </w:rPr>
        <w:t> </w:t>
      </w:r>
      <w:r>
        <w:rPr>
          <w:b/>
          <w:sz w:val="22"/>
        </w:rPr>
        <w:t>Fragen</w:t>
      </w:r>
      <w:r>
        <w:rPr>
          <w:b/>
          <w:spacing w:val="-5"/>
          <w:sz w:val="22"/>
        </w:rPr>
        <w:t> </w:t>
      </w:r>
      <w:r>
        <w:rPr>
          <w:b/>
          <w:sz w:val="22"/>
        </w:rPr>
        <w:t>des</w:t>
      </w:r>
      <w:r>
        <w:rPr>
          <w:b/>
          <w:spacing w:val="-6"/>
          <w:sz w:val="22"/>
        </w:rPr>
        <w:t> </w:t>
      </w:r>
      <w:r>
        <w:rPr>
          <w:b/>
          <w:sz w:val="22"/>
        </w:rPr>
        <w:t>Eisenbahnwesens</w:t>
      </w:r>
      <w:r>
        <w:rPr>
          <w:b/>
          <w:spacing w:val="-6"/>
          <w:sz w:val="22"/>
        </w:rPr>
        <w:t> </w:t>
      </w:r>
      <w:r>
        <w:rPr>
          <w:b/>
          <w:sz w:val="22"/>
        </w:rPr>
        <w:t>mit</w:t>
      </w:r>
      <w:r>
        <w:rPr>
          <w:b/>
          <w:spacing w:val="-4"/>
          <w:sz w:val="22"/>
        </w:rPr>
        <w:t> </w:t>
      </w:r>
      <w:r>
        <w:rPr>
          <w:b/>
          <w:sz w:val="22"/>
        </w:rPr>
        <w:t>entsprechender</w:t>
      </w:r>
      <w:r>
        <w:rPr>
          <w:b/>
          <w:spacing w:val="-6"/>
          <w:sz w:val="22"/>
        </w:rPr>
        <w:t> </w:t>
      </w:r>
      <w:r>
        <w:rPr>
          <w:b/>
          <w:sz w:val="22"/>
        </w:rPr>
        <w:t>beruflicher</w:t>
      </w:r>
      <w:r>
        <w:rPr>
          <w:b/>
          <w:spacing w:val="-6"/>
          <w:sz w:val="22"/>
        </w:rPr>
        <w:t> </w:t>
      </w:r>
      <w:r>
        <w:rPr>
          <w:b/>
          <w:sz w:val="22"/>
        </w:rPr>
        <w:t>Sachkompetenz wären von Vorteil;</w:t>
      </w:r>
    </w:p>
    <w:p>
      <w:pPr>
        <w:pStyle w:val="ListParagraph"/>
        <w:numPr>
          <w:ilvl w:val="1"/>
          <w:numId w:val="4"/>
        </w:numPr>
        <w:tabs>
          <w:tab w:pos="1451" w:val="left" w:leader="none"/>
        </w:tabs>
        <w:spacing w:line="262" w:lineRule="exact" w:before="0" w:after="0"/>
        <w:ind w:left="1450" w:right="0" w:hanging="361"/>
        <w:jc w:val="left"/>
        <w:rPr>
          <w:sz w:val="22"/>
        </w:rPr>
      </w:pPr>
      <w:r>
        <w:rPr>
          <w:sz w:val="22"/>
        </w:rPr>
        <w:t>Kenntnis</w:t>
      </w:r>
      <w:r>
        <w:rPr>
          <w:spacing w:val="-11"/>
          <w:sz w:val="22"/>
        </w:rPr>
        <w:t> </w:t>
      </w:r>
      <w:r>
        <w:rPr>
          <w:sz w:val="22"/>
        </w:rPr>
        <w:t>der</w:t>
      </w:r>
      <w:r>
        <w:rPr>
          <w:spacing w:val="-9"/>
          <w:sz w:val="22"/>
        </w:rPr>
        <w:t> </w:t>
      </w:r>
      <w:r>
        <w:rPr>
          <w:sz w:val="22"/>
        </w:rPr>
        <w:t>EU-</w:t>
      </w:r>
      <w:r>
        <w:rPr>
          <w:spacing w:val="-2"/>
          <w:sz w:val="22"/>
        </w:rPr>
        <w:t>Gesetzgebungsverfahren;</w:t>
      </w:r>
    </w:p>
    <w:p>
      <w:pPr>
        <w:pStyle w:val="ListParagraph"/>
        <w:numPr>
          <w:ilvl w:val="1"/>
          <w:numId w:val="4"/>
        </w:numPr>
        <w:tabs>
          <w:tab w:pos="1451" w:val="left" w:leader="none"/>
        </w:tabs>
        <w:spacing w:line="262" w:lineRule="exact" w:before="0" w:after="0"/>
        <w:ind w:left="1450" w:right="0" w:hanging="361"/>
        <w:jc w:val="left"/>
        <w:rPr>
          <w:sz w:val="22"/>
        </w:rPr>
      </w:pPr>
      <w:r>
        <w:rPr>
          <w:sz w:val="22"/>
        </w:rPr>
        <w:t>Erfahrung</w:t>
      </w:r>
      <w:r>
        <w:rPr>
          <w:spacing w:val="-7"/>
          <w:sz w:val="22"/>
        </w:rPr>
        <w:t> </w:t>
      </w:r>
      <w:r>
        <w:rPr>
          <w:sz w:val="22"/>
        </w:rPr>
        <w:t>im</w:t>
      </w:r>
      <w:r>
        <w:rPr>
          <w:spacing w:val="-8"/>
          <w:sz w:val="22"/>
        </w:rPr>
        <w:t> </w:t>
      </w:r>
      <w:r>
        <w:rPr>
          <w:sz w:val="22"/>
        </w:rPr>
        <w:t>Vertrags-</w:t>
      </w:r>
      <w:r>
        <w:rPr>
          <w:spacing w:val="-7"/>
          <w:sz w:val="22"/>
        </w:rPr>
        <w:t> </w:t>
      </w:r>
      <w:r>
        <w:rPr>
          <w:sz w:val="22"/>
        </w:rPr>
        <w:t>und</w:t>
      </w:r>
      <w:r>
        <w:rPr>
          <w:spacing w:val="-7"/>
          <w:sz w:val="22"/>
        </w:rPr>
        <w:t> </w:t>
      </w:r>
      <w:r>
        <w:rPr>
          <w:spacing w:val="-2"/>
          <w:sz w:val="22"/>
        </w:rPr>
        <w:t>Projektmanagement.</w:t>
      </w:r>
    </w:p>
    <w:p>
      <w:pPr>
        <w:pStyle w:val="BodyText"/>
        <w:spacing w:before="230"/>
        <w:ind w:left="1080"/>
      </w:pPr>
      <w:r>
        <w:rPr>
          <w:u w:val="single"/>
        </w:rPr>
        <w:t>Zur</w:t>
      </w:r>
      <w:r>
        <w:rPr>
          <w:spacing w:val="-9"/>
          <w:u w:val="single"/>
        </w:rPr>
        <w:t> </w:t>
      </w:r>
      <w:r>
        <w:rPr>
          <w:u w:val="single"/>
        </w:rPr>
        <w:t>Ausübung</w:t>
      </w:r>
      <w:r>
        <w:rPr>
          <w:spacing w:val="-9"/>
          <w:u w:val="single"/>
        </w:rPr>
        <w:t> </w:t>
      </w:r>
      <w:r>
        <w:rPr>
          <w:u w:val="single"/>
        </w:rPr>
        <w:t>der</w:t>
      </w:r>
      <w:r>
        <w:rPr>
          <w:spacing w:val="-9"/>
          <w:u w:val="single"/>
        </w:rPr>
        <w:t> </w:t>
      </w:r>
      <w:r>
        <w:rPr>
          <w:u w:val="single"/>
        </w:rPr>
        <w:t>Tätigkeit</w:t>
      </w:r>
      <w:r>
        <w:rPr>
          <w:spacing w:val="-9"/>
          <w:u w:val="single"/>
        </w:rPr>
        <w:t> </w:t>
      </w:r>
      <w:r>
        <w:rPr>
          <w:u w:val="single"/>
        </w:rPr>
        <w:t>erforderliche</w:t>
      </w:r>
      <w:r>
        <w:rPr>
          <w:spacing w:val="-10"/>
          <w:u w:val="single"/>
        </w:rPr>
        <w:t> </w:t>
      </w:r>
      <w:r>
        <w:rPr>
          <w:spacing w:val="-2"/>
          <w:u w:val="single"/>
        </w:rPr>
        <w:t>Sprachkenntnisse</w:t>
      </w:r>
    </w:p>
    <w:p>
      <w:pPr>
        <w:pStyle w:val="BodyText"/>
        <w:spacing w:before="1"/>
        <w:rPr>
          <w:sz w:val="14"/>
        </w:rPr>
      </w:pPr>
    </w:p>
    <w:p>
      <w:pPr>
        <w:pStyle w:val="BodyText"/>
        <w:spacing w:before="91"/>
        <w:ind w:left="370" w:right="2"/>
      </w:pPr>
      <w:r>
        <w:rPr/>
        <w:t>Bewerberinnen und Bewerber müssen über ausgezeichnete Kenntnisse und redaktionelle Fähigkeiten in englischer Sprache verfügen. Ausreichende Kenntnisse in weiteren EU-Sprachen wären von Vorteil.</w:t>
      </w:r>
    </w:p>
    <w:p>
      <w:pPr>
        <w:pStyle w:val="BodyText"/>
      </w:pPr>
    </w:p>
    <w:p>
      <w:pPr>
        <w:pStyle w:val="ListParagraph"/>
        <w:numPr>
          <w:ilvl w:val="0"/>
          <w:numId w:val="2"/>
        </w:numPr>
        <w:tabs>
          <w:tab w:pos="796" w:val="left" w:leader="none"/>
          <w:tab w:pos="797" w:val="left" w:leader="none"/>
        </w:tabs>
        <w:spacing w:line="240" w:lineRule="auto" w:before="0" w:after="0"/>
        <w:ind w:left="796" w:right="0" w:hanging="427"/>
        <w:jc w:val="left"/>
        <w:rPr>
          <w:b/>
          <w:sz w:val="24"/>
        </w:rPr>
      </w:pPr>
      <w:r>
        <w:rPr>
          <w:b/>
          <w:sz w:val="24"/>
          <w:u w:val="single"/>
        </w:rPr>
        <w:t>Bewerbung</w:t>
      </w:r>
      <w:r>
        <w:rPr>
          <w:b/>
          <w:spacing w:val="-3"/>
          <w:sz w:val="24"/>
          <w:u w:val="single"/>
        </w:rPr>
        <w:t> </w:t>
      </w:r>
      <w:r>
        <w:rPr>
          <w:b/>
          <w:sz w:val="24"/>
          <w:u w:val="single"/>
        </w:rPr>
        <w:t>und</w:t>
      </w:r>
      <w:r>
        <w:rPr>
          <w:b/>
          <w:spacing w:val="-4"/>
          <w:sz w:val="24"/>
          <w:u w:val="single"/>
        </w:rPr>
        <w:t> </w:t>
      </w:r>
      <w:r>
        <w:rPr>
          <w:b/>
          <w:spacing w:val="-2"/>
          <w:sz w:val="24"/>
          <w:u w:val="single"/>
        </w:rPr>
        <w:t>Auswahlverfahren</w:t>
      </w:r>
    </w:p>
    <w:p>
      <w:pPr>
        <w:pStyle w:val="BodyText"/>
        <w:spacing w:before="1"/>
        <w:rPr>
          <w:b/>
          <w:sz w:val="16"/>
        </w:rPr>
      </w:pPr>
    </w:p>
    <w:p>
      <w:pPr>
        <w:spacing w:before="90"/>
        <w:ind w:left="796" w:right="282" w:firstLine="0"/>
        <w:jc w:val="both"/>
        <w:rPr>
          <w:b/>
          <w:sz w:val="22"/>
        </w:rPr>
      </w:pPr>
      <w:r>
        <w:rPr>
          <w:sz w:val="22"/>
        </w:rPr>
        <w:t>Bewerberinnen und Bewerber senden ihren Lebenslauf im </w:t>
      </w:r>
      <w:r>
        <w:rPr>
          <w:b/>
          <w:sz w:val="22"/>
        </w:rPr>
        <w:t>Europass-Format </w:t>
      </w:r>
      <w:r>
        <w:rPr>
          <w:sz w:val="22"/>
        </w:rPr>
        <w:t>(</w:t>
      </w:r>
      <w:hyperlink r:id="rId8">
        <w:r>
          <w:rPr>
            <w:color w:val="0000FF"/>
            <w:sz w:val="22"/>
            <w:u w:val="single" w:color="0000FF"/>
          </w:rPr>
          <w:t>http://europass.cedefop.europa.eu/de/documents/curriculum-vitae</w:t>
        </w:r>
      </w:hyperlink>
      <w:r>
        <w:rPr>
          <w:sz w:val="22"/>
        </w:rPr>
        <w:t>) auf Deutsch, Englisch oder Französisch </w:t>
      </w:r>
      <w:r>
        <w:rPr>
          <w:b/>
          <w:sz w:val="22"/>
          <w:u w:val="single"/>
        </w:rPr>
        <w:t>ausschließlich an die Ständige Vertretung /</w:t>
      </w:r>
      <w:r>
        <w:rPr>
          <w:b/>
          <w:spacing w:val="-2"/>
          <w:sz w:val="22"/>
          <w:u w:val="single"/>
        </w:rPr>
        <w:t> </w:t>
      </w:r>
      <w:r>
        <w:rPr>
          <w:b/>
          <w:sz w:val="22"/>
          <w:u w:val="single"/>
        </w:rPr>
        <w:t>diplomatische Mission ihres Landes bei der EU</w:t>
      </w:r>
      <w:r>
        <w:rPr>
          <w:sz w:val="22"/>
        </w:rPr>
        <w:t>; diese leitet die Bewerbungen innerhalb der Fristen für das Auswahlverfahren an die zuständigen Kommissionsdienststellen weiter. Der Lebenslauf muss das Geburtsdatum und die Staatsangehörigkeit der Bewerberin bzw. des Bewerbers enthalten. </w:t>
      </w:r>
      <w:r>
        <w:rPr>
          <w:b/>
          <w:sz w:val="22"/>
        </w:rPr>
        <w:t>Bei Nichteinhaltung dieses Verfahrens oder der Fristen wird die Bewerbung automatisch ungültig.</w:t>
      </w:r>
    </w:p>
    <w:p>
      <w:pPr>
        <w:pStyle w:val="BodyText"/>
        <w:spacing w:before="1"/>
        <w:rPr>
          <w:b/>
        </w:rPr>
      </w:pPr>
    </w:p>
    <w:p>
      <w:pPr>
        <w:pStyle w:val="BodyText"/>
        <w:ind w:left="796" w:right="268"/>
        <w:jc w:val="both"/>
      </w:pPr>
      <w:r>
        <w:rPr/>
        <w:t>Bewerberinnen und Bewerber werden gebeten, ihrer Bewerbung keine anderen Dokumente (wie Kopien des Personalausweises, Kopien von Abschlusszeugnissen, Nachweise der Berufserfahrung usw.) beizufügen. Diese Dokumente sind gegebenenfalls in einem späteren Stadium des Auswahlverfahrens vorzulegen.</w:t>
      </w:r>
    </w:p>
    <w:p>
      <w:pPr>
        <w:pStyle w:val="BodyText"/>
        <w:spacing w:line="253" w:lineRule="exact"/>
        <w:ind w:left="796"/>
        <w:jc w:val="both"/>
      </w:pPr>
      <w:r>
        <w:rPr/>
        <w:t>Bewerberinnen</w:t>
      </w:r>
      <w:r>
        <w:rPr>
          <w:spacing w:val="-10"/>
        </w:rPr>
        <w:t> </w:t>
      </w:r>
      <w:r>
        <w:rPr/>
        <w:t>und</w:t>
      </w:r>
      <w:r>
        <w:rPr>
          <w:spacing w:val="-9"/>
        </w:rPr>
        <w:t> </w:t>
      </w:r>
      <w:r>
        <w:rPr/>
        <w:t>Bewerber</w:t>
      </w:r>
      <w:r>
        <w:rPr>
          <w:spacing w:val="-9"/>
        </w:rPr>
        <w:t> </w:t>
      </w:r>
      <w:r>
        <w:rPr/>
        <w:t>werden</w:t>
      </w:r>
      <w:r>
        <w:rPr>
          <w:spacing w:val="-9"/>
        </w:rPr>
        <w:t> </w:t>
      </w:r>
      <w:r>
        <w:rPr/>
        <w:t>vom</w:t>
      </w:r>
      <w:r>
        <w:rPr>
          <w:spacing w:val="-10"/>
        </w:rPr>
        <w:t> </w:t>
      </w:r>
      <w:r>
        <w:rPr/>
        <w:t>einstellenden</w:t>
      </w:r>
      <w:r>
        <w:rPr>
          <w:spacing w:val="-9"/>
        </w:rPr>
        <w:t> </w:t>
      </w:r>
      <w:r>
        <w:rPr/>
        <w:t>Referat</w:t>
      </w:r>
      <w:r>
        <w:rPr>
          <w:spacing w:val="-9"/>
        </w:rPr>
        <w:t> </w:t>
      </w:r>
      <w:r>
        <w:rPr/>
        <w:t>über</w:t>
      </w:r>
      <w:r>
        <w:rPr>
          <w:spacing w:val="-9"/>
        </w:rPr>
        <w:t> </w:t>
      </w:r>
      <w:r>
        <w:rPr/>
        <w:t>den</w:t>
      </w:r>
      <w:r>
        <w:rPr>
          <w:spacing w:val="-9"/>
        </w:rPr>
        <w:t> </w:t>
      </w:r>
      <w:r>
        <w:rPr/>
        <w:t>Stand</w:t>
      </w:r>
      <w:r>
        <w:rPr>
          <w:spacing w:val="-10"/>
        </w:rPr>
        <w:t> </w:t>
      </w:r>
      <w:r>
        <w:rPr/>
        <w:t>ihrer</w:t>
      </w:r>
      <w:r>
        <w:rPr>
          <w:spacing w:val="-9"/>
        </w:rPr>
        <w:t> </w:t>
      </w:r>
      <w:r>
        <w:rPr/>
        <w:t>Bewerbung</w:t>
      </w:r>
      <w:r>
        <w:rPr>
          <w:spacing w:val="-9"/>
        </w:rPr>
        <w:t> </w:t>
      </w:r>
      <w:r>
        <w:rPr>
          <w:spacing w:val="-2"/>
        </w:rPr>
        <w:t>informiert.</w:t>
      </w:r>
    </w:p>
    <w:p>
      <w:pPr>
        <w:pStyle w:val="ListParagraph"/>
        <w:numPr>
          <w:ilvl w:val="0"/>
          <w:numId w:val="2"/>
        </w:numPr>
        <w:tabs>
          <w:tab w:pos="797" w:val="left" w:leader="none"/>
        </w:tabs>
        <w:spacing w:line="240" w:lineRule="auto" w:before="1" w:after="0"/>
        <w:ind w:left="796" w:right="0" w:hanging="427"/>
        <w:jc w:val="both"/>
        <w:rPr>
          <w:b/>
          <w:sz w:val="24"/>
        </w:rPr>
      </w:pPr>
      <w:r>
        <w:rPr>
          <w:b/>
          <w:sz w:val="24"/>
          <w:u w:val="single"/>
        </w:rPr>
        <w:t>Bedingungen</w:t>
      </w:r>
      <w:r>
        <w:rPr>
          <w:b/>
          <w:spacing w:val="-4"/>
          <w:sz w:val="24"/>
          <w:u w:val="single"/>
        </w:rPr>
        <w:t> </w:t>
      </w:r>
      <w:r>
        <w:rPr>
          <w:b/>
          <w:sz w:val="24"/>
          <w:u w:val="single"/>
        </w:rPr>
        <w:t>für</w:t>
      </w:r>
      <w:r>
        <w:rPr>
          <w:b/>
          <w:spacing w:val="-3"/>
          <w:sz w:val="24"/>
          <w:u w:val="single"/>
        </w:rPr>
        <w:t> </w:t>
      </w:r>
      <w:r>
        <w:rPr>
          <w:b/>
          <w:sz w:val="24"/>
          <w:u w:val="single"/>
        </w:rPr>
        <w:t>die</w:t>
      </w:r>
      <w:r>
        <w:rPr>
          <w:b/>
          <w:spacing w:val="-3"/>
          <w:sz w:val="24"/>
          <w:u w:val="single"/>
        </w:rPr>
        <w:t> </w:t>
      </w:r>
      <w:r>
        <w:rPr>
          <w:b/>
          <w:spacing w:val="-2"/>
          <w:sz w:val="24"/>
          <w:u w:val="single"/>
        </w:rPr>
        <w:t>Abordnung</w:t>
      </w:r>
    </w:p>
    <w:p>
      <w:pPr>
        <w:pStyle w:val="BodyText"/>
        <w:spacing w:before="1"/>
        <w:rPr>
          <w:b/>
          <w:sz w:val="16"/>
        </w:rPr>
      </w:pPr>
    </w:p>
    <w:p>
      <w:pPr>
        <w:spacing w:before="90"/>
        <w:ind w:left="796" w:right="283" w:firstLine="0"/>
        <w:jc w:val="both"/>
        <w:rPr>
          <w:sz w:val="22"/>
        </w:rPr>
      </w:pPr>
      <w:r>
        <w:rPr>
          <w:sz w:val="22"/>
        </w:rPr>
        <w:t>Abordnungen fallen unter den </w:t>
      </w:r>
      <w:r>
        <w:rPr>
          <w:b/>
          <w:sz w:val="22"/>
        </w:rPr>
        <w:t>Beschluss C(2008)</w:t>
      </w:r>
      <w:r>
        <w:rPr>
          <w:b/>
          <w:spacing w:val="-3"/>
          <w:sz w:val="22"/>
        </w:rPr>
        <w:t> </w:t>
      </w:r>
      <w:r>
        <w:rPr>
          <w:b/>
          <w:sz w:val="22"/>
        </w:rPr>
        <w:t>6866 der Kommission vom 12.11.2008 </w:t>
      </w:r>
      <w:r>
        <w:rPr>
          <w:sz w:val="22"/>
        </w:rPr>
        <w:t>über die Regelung für zur Kommission abgeordnete oder sich zu Zwecken der beruflichen Weiterbildung bei der Kommission aufhaltende nationale Sachverständige (ANS-Beschluss).</w:t>
      </w:r>
    </w:p>
    <w:p>
      <w:pPr>
        <w:pStyle w:val="BodyText"/>
        <w:ind w:left="796" w:right="282"/>
        <w:jc w:val="both"/>
      </w:pPr>
      <w:r>
        <w:rPr/>
        <w:t>Die</w:t>
      </w:r>
      <w:r>
        <w:rPr>
          <w:spacing w:val="-1"/>
        </w:rPr>
        <w:t> </w:t>
      </w:r>
      <w:r>
        <w:rPr/>
        <w:t>ANS</w:t>
      </w:r>
      <w:r>
        <w:rPr>
          <w:spacing w:val="-1"/>
        </w:rPr>
        <w:t> </w:t>
      </w:r>
      <w:r>
        <w:rPr/>
        <w:t>bleiben</w:t>
      </w:r>
      <w:r>
        <w:rPr>
          <w:spacing w:val="-1"/>
        </w:rPr>
        <w:t> </w:t>
      </w:r>
      <w:r>
        <w:rPr/>
        <w:t>während</w:t>
      </w:r>
      <w:r>
        <w:rPr>
          <w:spacing w:val="-1"/>
        </w:rPr>
        <w:t> </w:t>
      </w:r>
      <w:r>
        <w:rPr/>
        <w:t>der</w:t>
      </w:r>
      <w:r>
        <w:rPr>
          <w:spacing w:val="-1"/>
        </w:rPr>
        <w:t> </w:t>
      </w:r>
      <w:r>
        <w:rPr/>
        <w:t>gesamten Dauer</w:t>
      </w:r>
      <w:r>
        <w:rPr>
          <w:spacing w:val="-1"/>
        </w:rPr>
        <w:t> </w:t>
      </w:r>
      <w:r>
        <w:rPr/>
        <w:t>der</w:t>
      </w:r>
      <w:r>
        <w:rPr>
          <w:spacing w:val="-1"/>
        </w:rPr>
        <w:t> </w:t>
      </w:r>
      <w:r>
        <w:rPr/>
        <w:t>Abordnung</w:t>
      </w:r>
      <w:r>
        <w:rPr>
          <w:spacing w:val="-1"/>
        </w:rPr>
        <w:t> </w:t>
      </w:r>
      <w:r>
        <w:rPr/>
        <w:t>bei</w:t>
      </w:r>
      <w:r>
        <w:rPr>
          <w:spacing w:val="-1"/>
        </w:rPr>
        <w:t> </w:t>
      </w:r>
      <w:r>
        <w:rPr/>
        <w:t>ihrem</w:t>
      </w:r>
      <w:r>
        <w:rPr>
          <w:spacing w:val="-1"/>
        </w:rPr>
        <w:t> </w:t>
      </w:r>
      <w:r>
        <w:rPr/>
        <w:t>Arbeitgeber</w:t>
      </w:r>
      <w:r>
        <w:rPr>
          <w:spacing w:val="-1"/>
        </w:rPr>
        <w:t> </w:t>
      </w:r>
      <w:r>
        <w:rPr/>
        <w:t>angestellt</w:t>
      </w:r>
      <w:r>
        <w:rPr>
          <w:spacing w:val="-1"/>
        </w:rPr>
        <w:t> </w:t>
      </w:r>
      <w:r>
        <w:rPr/>
        <w:t>und</w:t>
      </w:r>
      <w:r>
        <w:rPr>
          <w:spacing w:val="-1"/>
        </w:rPr>
        <w:t> </w:t>
      </w:r>
      <w:r>
        <w:rPr/>
        <w:t>erhalten ihre Bezüge von diesem. Zudem sind sie während der Abordnung auch weiterhin ihrem nationalen Sozialversicherungssystem angeschlossen.</w:t>
      </w:r>
    </w:p>
    <w:p>
      <w:pPr>
        <w:pStyle w:val="BodyText"/>
        <w:ind w:left="796" w:right="285"/>
        <w:jc w:val="both"/>
      </w:pPr>
      <w:r>
        <w:rPr/>
        <w:t>Mit Ausnahme der unentgeltlich abgeordneten Sachverständigen können den ANS, die die Bedingungen nach Artikel 17 des ANS-Beschlusses erfüllen, von der Kommission Tagegelder gezahlt werden.</w:t>
      </w:r>
    </w:p>
    <w:p>
      <w:pPr>
        <w:pStyle w:val="BodyText"/>
      </w:pPr>
    </w:p>
    <w:p>
      <w:pPr>
        <w:pStyle w:val="BodyText"/>
        <w:ind w:left="796" w:right="282"/>
        <w:jc w:val="both"/>
      </w:pPr>
      <w:r>
        <w:rPr/>
        <w:t>Während der Abordnung unterliegen die ANS den in den Artikeln</w:t>
      </w:r>
      <w:r>
        <w:rPr>
          <w:spacing w:val="-1"/>
        </w:rPr>
        <w:t> </w:t>
      </w:r>
      <w:r>
        <w:rPr/>
        <w:t>6 und 7 des ANS-Beschlusses vorgesehenen Verpflichtungen zur Vertraulichkeit, zur Loyalität und zum Ausschluss von </w:t>
      </w:r>
      <w:r>
        <w:rPr>
          <w:spacing w:val="-2"/>
        </w:rPr>
        <w:t>Interessenkonflikten.</w:t>
      </w:r>
    </w:p>
    <w:p>
      <w:pPr>
        <w:pStyle w:val="BodyText"/>
        <w:spacing w:before="1"/>
        <w:ind w:left="796" w:right="284"/>
        <w:jc w:val="both"/>
      </w:pPr>
      <w:r>
        <w:rPr/>
        <w:t>Bei unrichtigen, unvollständigen oder fehlenden Angaben kann die Abordnung abgelehnt bzw. beendet </w:t>
      </w:r>
      <w:r>
        <w:rPr>
          <w:spacing w:val="-2"/>
        </w:rPr>
        <w:t>werden.</w:t>
      </w:r>
    </w:p>
    <w:p>
      <w:pPr>
        <w:pStyle w:val="BodyText"/>
        <w:spacing w:before="11"/>
        <w:rPr>
          <w:sz w:val="21"/>
        </w:rPr>
      </w:pPr>
    </w:p>
    <w:p>
      <w:pPr>
        <w:pStyle w:val="BodyText"/>
        <w:ind w:left="796" w:right="285"/>
        <w:jc w:val="both"/>
      </w:pPr>
      <w:r>
        <w:rPr/>
        <w:t>Bedienstete, die in eine </w:t>
      </w:r>
      <w:r>
        <w:rPr>
          <w:b/>
        </w:rPr>
        <w:t>Delegation der Europäischen Union </w:t>
      </w:r>
      <w:r>
        <w:rPr/>
        <w:t>entsandt werden, benötigen eine Sicherheitsüberprüfung (bis zum Geheimhaltungsgrad SECRET</w:t>
      </w:r>
      <w:r>
        <w:rPr>
          <w:spacing w:val="-3"/>
        </w:rPr>
        <w:t> </w:t>
      </w:r>
      <w:r>
        <w:rPr/>
        <w:t>UE/EU</w:t>
      </w:r>
      <w:r>
        <w:rPr>
          <w:spacing w:val="-3"/>
        </w:rPr>
        <w:t> </w:t>
      </w:r>
      <w:r>
        <w:rPr/>
        <w:t>SECRET gemäß dem Beschluss (EU, Euratom) 2015/444 der Kommission vom 13. März 2015 (ABl. L 72 vom 17.3.2015, S. 53).</w:t>
      </w:r>
    </w:p>
    <w:p>
      <w:pPr>
        <w:pStyle w:val="BodyText"/>
        <w:ind w:left="796" w:right="107"/>
        <w:jc w:val="both"/>
      </w:pPr>
      <w:r>
        <w:rPr/>
        <w:t>Der/die ausgewählte Bewerber/in ist verpflichtet, das Überprüfungsverfahren einzuleiten, bevor die</w:t>
      </w:r>
      <w:r>
        <w:rPr>
          <w:spacing w:val="40"/>
        </w:rPr>
        <w:t> </w:t>
      </w:r>
      <w:r>
        <w:rPr/>
        <w:t>Abordnung bestätigt wird.</w:t>
      </w:r>
    </w:p>
    <w:p>
      <w:pPr>
        <w:pStyle w:val="BodyText"/>
        <w:rPr>
          <w:sz w:val="24"/>
        </w:rPr>
      </w:pPr>
    </w:p>
    <w:p>
      <w:pPr>
        <w:pStyle w:val="ListParagraph"/>
        <w:numPr>
          <w:ilvl w:val="0"/>
          <w:numId w:val="2"/>
        </w:numPr>
        <w:tabs>
          <w:tab w:pos="796" w:val="left" w:leader="none"/>
          <w:tab w:pos="797" w:val="left" w:leader="none"/>
        </w:tabs>
        <w:spacing w:line="240" w:lineRule="auto" w:before="0" w:after="0"/>
        <w:ind w:left="796" w:right="0" w:hanging="427"/>
        <w:jc w:val="left"/>
        <w:rPr>
          <w:b/>
          <w:sz w:val="24"/>
        </w:rPr>
      </w:pPr>
      <w:r>
        <w:rPr>
          <w:b/>
          <w:sz w:val="24"/>
          <w:u w:val="single"/>
        </w:rPr>
        <w:t>Verarbeitung</w:t>
      </w:r>
      <w:r>
        <w:rPr>
          <w:b/>
          <w:spacing w:val="-5"/>
          <w:sz w:val="24"/>
          <w:u w:val="single"/>
        </w:rPr>
        <w:t> </w:t>
      </w:r>
      <w:r>
        <w:rPr>
          <w:b/>
          <w:sz w:val="24"/>
          <w:u w:val="single"/>
        </w:rPr>
        <w:t>personenbezogener</w:t>
      </w:r>
      <w:r>
        <w:rPr>
          <w:b/>
          <w:spacing w:val="-5"/>
          <w:sz w:val="24"/>
          <w:u w:val="single"/>
        </w:rPr>
        <w:t> </w:t>
      </w:r>
      <w:r>
        <w:rPr>
          <w:b/>
          <w:spacing w:val="-4"/>
          <w:sz w:val="24"/>
          <w:u w:val="single"/>
        </w:rPr>
        <w:t>Daten</w:t>
      </w:r>
    </w:p>
    <w:p>
      <w:pPr>
        <w:spacing w:after="0" w:line="240" w:lineRule="auto"/>
        <w:jc w:val="left"/>
        <w:rPr>
          <w:sz w:val="24"/>
        </w:rPr>
        <w:sectPr>
          <w:pgSz w:w="11910" w:h="16840"/>
          <w:pgMar w:header="0" w:footer="686" w:top="1040" w:bottom="880" w:left="480" w:right="740"/>
        </w:sectPr>
      </w:pPr>
    </w:p>
    <w:p>
      <w:pPr>
        <w:pStyle w:val="BodyText"/>
        <w:spacing w:before="71"/>
        <w:ind w:left="796" w:right="283"/>
        <w:jc w:val="both"/>
      </w:pPr>
      <w:r>
        <w:rPr/>
        <w:t>Bei der Durchführung des Auswahlverfahrens sowie während und nach Beendigung der Abordnung verarbeiten die zuständigen Kommissionsdienststellen (GD</w:t>
      </w:r>
      <w:r>
        <w:rPr>
          <w:spacing w:val="-4"/>
        </w:rPr>
        <w:t> </w:t>
      </w:r>
      <w:r>
        <w:rPr/>
        <w:t>HR, GD</w:t>
      </w:r>
      <w:r>
        <w:rPr>
          <w:spacing w:val="-3"/>
        </w:rPr>
        <w:t> </w:t>
      </w:r>
      <w:r>
        <w:rPr/>
        <w:t>BUDG, PMO und die ausschreibende GD) personenbezogene Daten der Sachverständigen unter der Verantwortung der Leitung des Referats HR.DDG.B4.</w:t>
      </w:r>
      <w:r>
        <w:rPr>
          <w:spacing w:val="80"/>
          <w:w w:val="150"/>
        </w:rPr>
        <w:t> </w:t>
      </w:r>
      <w:r>
        <w:rPr/>
        <w:t>Diese</w:t>
      </w:r>
      <w:r>
        <w:rPr>
          <w:spacing w:val="80"/>
          <w:w w:val="150"/>
        </w:rPr>
        <w:t> </w:t>
      </w:r>
      <w:r>
        <w:rPr/>
        <w:t>Datenverarbeitung</w:t>
      </w:r>
      <w:r>
        <w:rPr>
          <w:spacing w:val="80"/>
          <w:w w:val="150"/>
        </w:rPr>
        <w:t> </w:t>
      </w:r>
      <w:r>
        <w:rPr/>
        <w:t>unterliegt</w:t>
      </w:r>
      <w:r>
        <w:rPr>
          <w:spacing w:val="80"/>
          <w:w w:val="150"/>
        </w:rPr>
        <w:t> </w:t>
      </w:r>
      <w:r>
        <w:rPr/>
        <w:t>dem</w:t>
      </w:r>
      <w:r>
        <w:rPr>
          <w:spacing w:val="80"/>
          <w:w w:val="150"/>
        </w:rPr>
        <w:t> </w:t>
      </w:r>
      <w:r>
        <w:rPr/>
        <w:t>ANS-Beschluss</w:t>
      </w:r>
      <w:r>
        <w:rPr>
          <w:spacing w:val="80"/>
          <w:w w:val="150"/>
        </w:rPr>
        <w:t> </w:t>
      </w:r>
      <w:r>
        <w:rPr/>
        <w:t>sowie</w:t>
      </w:r>
      <w:r>
        <w:rPr>
          <w:spacing w:val="80"/>
          <w:w w:val="150"/>
        </w:rPr>
        <w:t> </w:t>
      </w:r>
      <w:r>
        <w:rPr/>
        <w:t>der</w:t>
      </w:r>
      <w:r>
        <w:rPr>
          <w:spacing w:val="80"/>
          <w:w w:val="150"/>
        </w:rPr>
        <w:t> </w:t>
      </w:r>
      <w:r>
        <w:rPr/>
        <w:t>Verordnung</w:t>
      </w:r>
      <w:r>
        <w:rPr>
          <w:spacing w:val="80"/>
        </w:rPr>
        <w:t> </w:t>
      </w:r>
      <w:r>
        <w:rPr/>
        <w:t>(EU) 2018/1725.</w:t>
      </w:r>
    </w:p>
    <w:p>
      <w:pPr>
        <w:pStyle w:val="BodyText"/>
        <w:ind w:left="796" w:right="287"/>
        <w:jc w:val="both"/>
      </w:pPr>
      <w:r>
        <w:rPr/>
        <w:t>Die Daten der ANS werden für die Dauer von zehn Jahren ab dem Ende der Abordnung aufbewahrt (zwei Jahre bei nicht ausgewählten oder nicht abgeordneten Sachverständigen).</w:t>
      </w:r>
    </w:p>
    <w:p>
      <w:pPr>
        <w:pStyle w:val="BodyText"/>
        <w:spacing w:before="1"/>
        <w:ind w:left="796" w:right="283"/>
        <w:jc w:val="both"/>
      </w:pPr>
      <w:r>
        <w:rPr/>
        <w:t>Als „betroffene Person“ gemäß Kapitel</w:t>
      </w:r>
      <w:r>
        <w:rPr>
          <w:spacing w:val="-1"/>
        </w:rPr>
        <w:t> </w:t>
      </w:r>
      <w:r>
        <w:rPr/>
        <w:t>III (Artikel</w:t>
      </w:r>
      <w:r>
        <w:rPr>
          <w:spacing w:val="-2"/>
        </w:rPr>
        <w:t> </w:t>
      </w:r>
      <w:r>
        <w:rPr/>
        <w:t>14–25) der Verordnung (EU)</w:t>
      </w:r>
      <w:r>
        <w:rPr>
          <w:spacing w:val="-3"/>
        </w:rPr>
        <w:t> </w:t>
      </w:r>
      <w:r>
        <w:rPr/>
        <w:t>2018/1725 genießen Sie besondere Rechte, insbesondere das Recht auf Auskunft über Ihre personenbezogenen Daten sowie deren Berichtigung oder Löschung und das Recht auf Einschränkung der Verarbeitung Ihrer personenbezogenen Daten. Gegebenenfalls haben Sie auch das Recht auf Widerspruch gegen die Verarbeitung Ihrer personenbezogenen Daten oder das Recht auf Datenübertragbarkeit.</w:t>
      </w:r>
    </w:p>
    <w:p>
      <w:pPr>
        <w:pStyle w:val="BodyText"/>
        <w:ind w:left="796" w:right="282"/>
        <w:jc w:val="both"/>
      </w:pPr>
      <w:r>
        <w:rPr/>
        <w:t>Sie können diese Rechte ausüben, indem Sie Kontakt mit der/dem Datenverantwortlichen oder, im Konfliktfall, mit dem Datenschutzbeauftragten der Europäischen Kommission aufnehmen. Wenn nötig, können Sie sich auch an den Europäischen Datenschutzbeauftragten wenden. Die Kontaktangaben sind nachstehend aufgeführt.</w:t>
      </w:r>
    </w:p>
    <w:p>
      <w:pPr>
        <w:pStyle w:val="BodyText"/>
        <w:spacing w:before="11"/>
        <w:rPr>
          <w:sz w:val="21"/>
        </w:rPr>
      </w:pPr>
    </w:p>
    <w:p>
      <w:pPr>
        <w:pStyle w:val="Heading1"/>
        <w:ind w:left="796" w:firstLine="0"/>
      </w:pPr>
      <w:r>
        <w:rPr>
          <w:spacing w:val="-2"/>
          <w:u w:val="single"/>
        </w:rPr>
        <w:t>Kontaktdaten:</w:t>
      </w:r>
    </w:p>
    <w:p>
      <w:pPr>
        <w:pStyle w:val="BodyText"/>
        <w:spacing w:before="10"/>
        <w:rPr>
          <w:b/>
          <w:sz w:val="21"/>
        </w:rPr>
      </w:pPr>
    </w:p>
    <w:p>
      <w:pPr>
        <w:pStyle w:val="ListParagraph"/>
        <w:numPr>
          <w:ilvl w:val="0"/>
          <w:numId w:val="5"/>
        </w:numPr>
        <w:tabs>
          <w:tab w:pos="1079" w:val="left" w:leader="none"/>
        </w:tabs>
        <w:spacing w:line="240" w:lineRule="auto" w:before="0" w:after="0"/>
        <w:ind w:left="1078" w:right="0" w:hanging="283"/>
        <w:jc w:val="both"/>
        <w:rPr>
          <w:b/>
          <w:sz w:val="22"/>
        </w:rPr>
      </w:pPr>
      <w:r>
        <w:rPr>
          <w:b/>
          <w:spacing w:val="-2"/>
          <w:sz w:val="22"/>
        </w:rPr>
        <w:t>Datenverantwortliche/r</w:t>
      </w:r>
    </w:p>
    <w:p>
      <w:pPr>
        <w:pStyle w:val="BodyText"/>
        <w:spacing w:before="1"/>
        <w:ind w:left="1080" w:right="281"/>
        <w:jc w:val="both"/>
      </w:pPr>
      <w:r>
        <w:rPr/>
        <w:t>Wenn Sie Ihre Rechte gemäß der Verordnung (EU)</w:t>
      </w:r>
      <w:r>
        <w:rPr>
          <w:spacing w:val="-2"/>
        </w:rPr>
        <w:t> </w:t>
      </w:r>
      <w:r>
        <w:rPr/>
        <w:t>2018/1725 geltend machen möchten, Kommentare, Fragen oder Bedenken haben oder eine Beschwerde bezüglich der Erhebung und Verwendung Ihrer personenbezogenen Daten einreichen möchten, können Sie sich direkt an die für die Datenverarbeitung verantwortliche Person, HR.DDG.B.4, </w:t>
      </w:r>
      <w:hyperlink r:id="rId9">
        <w:r>
          <w:rPr>
            <w:color w:val="0000FF"/>
            <w:u w:val="single" w:color="0000FF"/>
          </w:rPr>
          <w:t>HR-MAIL-B4@ec.europa.eu</w:t>
        </w:r>
      </w:hyperlink>
      <w:r>
        <w:rPr>
          <w:color w:val="0000FF"/>
        </w:rPr>
        <w:t> </w:t>
      </w:r>
      <w:r>
        <w:rPr/>
        <w:t>wenden.</w:t>
      </w:r>
    </w:p>
    <w:p>
      <w:pPr>
        <w:pStyle w:val="BodyText"/>
        <w:spacing w:before="11"/>
        <w:rPr>
          <w:sz w:val="21"/>
        </w:rPr>
      </w:pPr>
    </w:p>
    <w:p>
      <w:pPr>
        <w:pStyle w:val="Heading1"/>
        <w:numPr>
          <w:ilvl w:val="0"/>
          <w:numId w:val="5"/>
        </w:numPr>
        <w:tabs>
          <w:tab w:pos="1079" w:val="left" w:leader="none"/>
        </w:tabs>
        <w:spacing w:line="240" w:lineRule="auto" w:before="0" w:after="0"/>
        <w:ind w:left="1078" w:right="0" w:hanging="283"/>
        <w:jc w:val="both"/>
      </w:pPr>
      <w:r>
        <w:rPr>
          <w:spacing w:val="-2"/>
        </w:rPr>
        <w:t>Datenschutzbeauftragter</w:t>
      </w:r>
      <w:r>
        <w:rPr>
          <w:spacing w:val="8"/>
        </w:rPr>
        <w:t> </w:t>
      </w:r>
      <w:r>
        <w:rPr>
          <w:spacing w:val="-2"/>
        </w:rPr>
        <w:t>(DSB)</w:t>
      </w:r>
      <w:r>
        <w:rPr>
          <w:spacing w:val="6"/>
        </w:rPr>
        <w:t> </w:t>
      </w:r>
      <w:r>
        <w:rPr>
          <w:spacing w:val="-2"/>
        </w:rPr>
        <w:t>der</w:t>
      </w:r>
      <w:r>
        <w:rPr>
          <w:spacing w:val="6"/>
        </w:rPr>
        <w:t> </w:t>
      </w:r>
      <w:r>
        <w:rPr>
          <w:spacing w:val="-2"/>
        </w:rPr>
        <w:t>Europäischen</w:t>
      </w:r>
      <w:r>
        <w:rPr>
          <w:spacing w:val="7"/>
        </w:rPr>
        <w:t> </w:t>
      </w:r>
      <w:r>
        <w:rPr>
          <w:spacing w:val="-2"/>
        </w:rPr>
        <w:t>Kommission</w:t>
      </w:r>
    </w:p>
    <w:p>
      <w:pPr>
        <w:pStyle w:val="BodyText"/>
        <w:ind w:left="1079" w:right="284"/>
        <w:jc w:val="both"/>
      </w:pPr>
      <w:r>
        <w:rPr/>
        <w:t>Bei Fragen zur Verarbeitung Ihrer personenbezogenen Daten gemäß der Verordnung (EU)</w:t>
      </w:r>
      <w:r>
        <w:rPr>
          <w:spacing w:val="-3"/>
        </w:rPr>
        <w:t> </w:t>
      </w:r>
      <w:r>
        <w:rPr/>
        <w:t>2018/1725 können</w:t>
      </w:r>
      <w:r>
        <w:rPr>
          <w:spacing w:val="-1"/>
        </w:rPr>
        <w:t> </w:t>
      </w:r>
      <w:r>
        <w:rPr/>
        <w:t>Sie</w:t>
      </w:r>
      <w:r>
        <w:rPr>
          <w:spacing w:val="-2"/>
        </w:rPr>
        <w:t> </w:t>
      </w:r>
      <w:r>
        <w:rPr/>
        <w:t>sich</w:t>
      </w:r>
      <w:r>
        <w:rPr>
          <w:spacing w:val="-1"/>
        </w:rPr>
        <w:t> </w:t>
      </w:r>
      <w:r>
        <w:rPr/>
        <w:t>an</w:t>
      </w:r>
      <w:r>
        <w:rPr>
          <w:spacing w:val="-1"/>
        </w:rPr>
        <w:t> </w:t>
      </w:r>
      <w:r>
        <w:rPr/>
        <w:t>den</w:t>
      </w:r>
      <w:r>
        <w:rPr>
          <w:spacing w:val="-1"/>
        </w:rPr>
        <w:t> </w:t>
      </w:r>
      <w:r>
        <w:rPr/>
        <w:t>Datenschutzbeauftragten</w:t>
      </w:r>
      <w:r>
        <w:rPr>
          <w:spacing w:val="-1"/>
        </w:rPr>
        <w:t> </w:t>
      </w:r>
      <w:r>
        <w:rPr/>
        <w:t>der</w:t>
      </w:r>
      <w:r>
        <w:rPr>
          <w:spacing w:val="-2"/>
        </w:rPr>
        <w:t> </w:t>
      </w:r>
      <w:r>
        <w:rPr/>
        <w:t>Europäischen</w:t>
      </w:r>
      <w:r>
        <w:rPr>
          <w:spacing w:val="-1"/>
        </w:rPr>
        <w:t> </w:t>
      </w:r>
      <w:r>
        <w:rPr/>
        <w:t>Kommission</w:t>
      </w:r>
      <w:r>
        <w:rPr>
          <w:spacing w:val="-1"/>
        </w:rPr>
        <w:t> </w:t>
      </w:r>
      <w:r>
        <w:rPr/>
        <w:t>(</w:t>
      </w:r>
      <w:hyperlink r:id="rId10">
        <w:r>
          <w:rPr>
            <w:color w:val="0000FF"/>
            <w:u w:val="single" w:color="0000FF"/>
          </w:rPr>
          <w:t>DATA-PROTECTION-</w:t>
        </w:r>
      </w:hyperlink>
      <w:r>
        <w:rPr>
          <w:color w:val="0000FF"/>
        </w:rPr>
        <w:t> </w:t>
      </w:r>
      <w:hyperlink r:id="rId10">
        <w:r>
          <w:rPr>
            <w:color w:val="0000FF"/>
            <w:u w:val="single" w:color="0000FF"/>
          </w:rPr>
          <w:t>OFFICER@ec.europa.eu</w:t>
        </w:r>
      </w:hyperlink>
      <w:r>
        <w:rPr/>
        <w:t>) wenden.</w:t>
      </w:r>
    </w:p>
    <w:p>
      <w:pPr>
        <w:pStyle w:val="BodyText"/>
      </w:pPr>
    </w:p>
    <w:p>
      <w:pPr>
        <w:pStyle w:val="Heading1"/>
        <w:numPr>
          <w:ilvl w:val="0"/>
          <w:numId w:val="5"/>
        </w:numPr>
        <w:tabs>
          <w:tab w:pos="1079" w:val="left" w:leader="none"/>
        </w:tabs>
        <w:spacing w:line="240" w:lineRule="auto" w:before="1" w:after="0"/>
        <w:ind w:left="1078" w:right="0" w:hanging="283"/>
        <w:jc w:val="both"/>
      </w:pPr>
      <w:r>
        <w:rPr>
          <w:spacing w:val="-2"/>
        </w:rPr>
        <w:t>Europäischer</w:t>
      </w:r>
      <w:r>
        <w:rPr>
          <w:spacing w:val="10"/>
        </w:rPr>
        <w:t> </w:t>
      </w:r>
      <w:r>
        <w:rPr>
          <w:spacing w:val="-2"/>
        </w:rPr>
        <w:t>Datenschutzbeauftragter</w:t>
      </w:r>
      <w:r>
        <w:rPr>
          <w:spacing w:val="11"/>
        </w:rPr>
        <w:t> </w:t>
      </w:r>
      <w:r>
        <w:rPr>
          <w:spacing w:val="-2"/>
        </w:rPr>
        <w:t>(EDSB)</w:t>
      </w:r>
    </w:p>
    <w:p>
      <w:pPr>
        <w:pStyle w:val="BodyText"/>
        <w:ind w:left="1080" w:right="283"/>
        <w:jc w:val="both"/>
      </w:pPr>
      <w:r>
        <w:rPr/>
        <w:t>Wenn Sie der Auffassung sind, dass Ihre Rechte gemäß der Verordnung (EU)</w:t>
      </w:r>
      <w:r>
        <w:rPr>
          <w:spacing w:val="-3"/>
        </w:rPr>
        <w:t> </w:t>
      </w:r>
      <w:r>
        <w:rPr/>
        <w:t>2018/1725 bei der Verarbeitung Ihrer personenbezogenen Daten durch die/den Datenverantwortliche/n verletzt wurden, können Sie beim Europäischen Datenschutzbeauftragten (</w:t>
      </w:r>
      <w:hyperlink r:id="rId11">
        <w:r>
          <w:rPr>
            <w:color w:val="0000FF"/>
            <w:u w:val="single" w:color="0000FF"/>
          </w:rPr>
          <w:t>edps@edps.europa.eu</w:t>
        </w:r>
      </w:hyperlink>
      <w:r>
        <w:rPr/>
        <w:t>) eine Beschwerde </w:t>
      </w:r>
      <w:r>
        <w:rPr>
          <w:spacing w:val="-2"/>
        </w:rPr>
        <w:t>einreichen.</w:t>
      </w:r>
    </w:p>
    <w:p>
      <w:pPr>
        <w:pStyle w:val="BodyText"/>
        <w:ind w:left="1080" w:right="109"/>
        <w:jc w:val="both"/>
      </w:pPr>
      <w:r>
        <w:rPr/>
        <w:t>Hinweis für Bewerberinnen und Bewerber aus Drittländern: Ihre personenbezogenen Daten können für erforderliche Überprüfungen herangezogen werden.</w:t>
      </w:r>
    </w:p>
    <w:sectPr>
      <w:pgSz w:w="11910" w:h="16840"/>
      <w:pgMar w:header="0" w:footer="686" w:top="1320" w:bottom="880" w:left="480" w:right="74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Courier New">
    <w:altName w:val="Courier New"/>
    <w:charset w:val="0"/>
    <w:family w:val="modern"/>
    <w:pitch w:val="fixed"/>
  </w:font>
  <w:font w:name="Verdana">
    <w:altName w:val="Verdana"/>
    <w:charset w:val="0"/>
    <w:family w:val="swiss"/>
    <w:pitch w:val="variable"/>
  </w:font>
  <w:font w:name="Wingdings 2">
    <w:altName w:val="Wingdings 2"/>
    <w:charset w:val="2"/>
    <w:family w:val="roman"/>
    <w:pitch w:val="variable"/>
  </w:font>
  <w:font w:name="Symbol">
    <w:altName w:val="Symbol"/>
    <w:charset w:val="2"/>
    <w:family w:val="roman"/>
    <w:pitch w:val="variable"/>
  </w:font>
  <w:font w:name="Calibri">
    <w:altName w:val="Calibri"/>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type id="_x0000_t202" o:spt="202" coordsize="21600,21600" path="m,l,21600r21600,l21600,xe">
          <v:stroke joinstyle="miter"/>
          <v:path gradientshapeok="t" o:connecttype="rect"/>
        </v:shapetype>
        <v:shape style="position:absolute;margin-left:496.820007pt;margin-top:796.608887pt;width:57pt;height:10.85pt;mso-position-horizontal-relative:page;mso-position-vertical-relative:page;z-index:-15829504" type="#_x0000_t202" id="docshape1" filled="false" stroked="false">
          <v:textbox inset="0,0,0,0">
            <w:txbxContent>
              <w:p>
                <w:pPr>
                  <w:spacing w:before="13"/>
                  <w:ind w:left="20" w:right="0" w:firstLine="0"/>
                  <w:jc w:val="left"/>
                  <w:rPr>
                    <w:sz w:val="16"/>
                  </w:rPr>
                </w:pPr>
                <w:r>
                  <w:rPr>
                    <w:sz w:val="16"/>
                  </w:rPr>
                  <w:t>Fassung</w:t>
                </w:r>
                <w:r>
                  <w:rPr>
                    <w:spacing w:val="-10"/>
                    <w:sz w:val="16"/>
                  </w:rPr>
                  <w:t> </w:t>
                </w:r>
                <w:r>
                  <w:rPr>
                    <w:sz w:val="16"/>
                  </w:rPr>
                  <w:t>09-</w:t>
                </w:r>
                <w:r>
                  <w:rPr>
                    <w:spacing w:val="-4"/>
                    <w:sz w:val="16"/>
                  </w:rPr>
                  <w:t>2019</w:t>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4">
    <w:multiLevelType w:val="hybridMultilevel"/>
    <w:lvl w:ilvl="0">
      <w:start w:val="0"/>
      <w:numFmt w:val="bullet"/>
      <w:lvlText w:val="-"/>
      <w:lvlJc w:val="left"/>
      <w:pPr>
        <w:ind w:left="1078" w:hanging="283"/>
      </w:pPr>
      <w:rPr>
        <w:rFonts w:hint="default" w:ascii="Verdana" w:hAnsi="Verdana" w:eastAsia="Verdana" w:cs="Verdana"/>
        <w:b w:val="0"/>
        <w:bCs w:val="0"/>
        <w:i w:val="0"/>
        <w:iCs w:val="0"/>
        <w:w w:val="99"/>
        <w:sz w:val="22"/>
        <w:szCs w:val="22"/>
        <w:lang w:val="de-DE" w:eastAsia="en-US" w:bidi="ar-SA"/>
      </w:rPr>
    </w:lvl>
    <w:lvl w:ilvl="1">
      <w:start w:val="0"/>
      <w:numFmt w:val="bullet"/>
      <w:lvlText w:val="•"/>
      <w:lvlJc w:val="left"/>
      <w:pPr>
        <w:ind w:left="2040" w:hanging="283"/>
      </w:pPr>
      <w:rPr>
        <w:rFonts w:hint="default"/>
        <w:lang w:val="de-DE" w:eastAsia="en-US" w:bidi="ar-SA"/>
      </w:rPr>
    </w:lvl>
    <w:lvl w:ilvl="2">
      <w:start w:val="0"/>
      <w:numFmt w:val="bullet"/>
      <w:lvlText w:val="•"/>
      <w:lvlJc w:val="left"/>
      <w:pPr>
        <w:ind w:left="3001" w:hanging="283"/>
      </w:pPr>
      <w:rPr>
        <w:rFonts w:hint="default"/>
        <w:lang w:val="de-DE" w:eastAsia="en-US" w:bidi="ar-SA"/>
      </w:rPr>
    </w:lvl>
    <w:lvl w:ilvl="3">
      <w:start w:val="0"/>
      <w:numFmt w:val="bullet"/>
      <w:lvlText w:val="•"/>
      <w:lvlJc w:val="left"/>
      <w:pPr>
        <w:ind w:left="3961" w:hanging="283"/>
      </w:pPr>
      <w:rPr>
        <w:rFonts w:hint="default"/>
        <w:lang w:val="de-DE" w:eastAsia="en-US" w:bidi="ar-SA"/>
      </w:rPr>
    </w:lvl>
    <w:lvl w:ilvl="4">
      <w:start w:val="0"/>
      <w:numFmt w:val="bullet"/>
      <w:lvlText w:val="•"/>
      <w:lvlJc w:val="left"/>
      <w:pPr>
        <w:ind w:left="4922" w:hanging="283"/>
      </w:pPr>
      <w:rPr>
        <w:rFonts w:hint="default"/>
        <w:lang w:val="de-DE" w:eastAsia="en-US" w:bidi="ar-SA"/>
      </w:rPr>
    </w:lvl>
    <w:lvl w:ilvl="5">
      <w:start w:val="0"/>
      <w:numFmt w:val="bullet"/>
      <w:lvlText w:val="•"/>
      <w:lvlJc w:val="left"/>
      <w:pPr>
        <w:ind w:left="5883" w:hanging="283"/>
      </w:pPr>
      <w:rPr>
        <w:rFonts w:hint="default"/>
        <w:lang w:val="de-DE" w:eastAsia="en-US" w:bidi="ar-SA"/>
      </w:rPr>
    </w:lvl>
    <w:lvl w:ilvl="6">
      <w:start w:val="0"/>
      <w:numFmt w:val="bullet"/>
      <w:lvlText w:val="•"/>
      <w:lvlJc w:val="left"/>
      <w:pPr>
        <w:ind w:left="6843" w:hanging="283"/>
      </w:pPr>
      <w:rPr>
        <w:rFonts w:hint="default"/>
        <w:lang w:val="de-DE" w:eastAsia="en-US" w:bidi="ar-SA"/>
      </w:rPr>
    </w:lvl>
    <w:lvl w:ilvl="7">
      <w:start w:val="0"/>
      <w:numFmt w:val="bullet"/>
      <w:lvlText w:val="•"/>
      <w:lvlJc w:val="left"/>
      <w:pPr>
        <w:ind w:left="7804" w:hanging="283"/>
      </w:pPr>
      <w:rPr>
        <w:rFonts w:hint="default"/>
        <w:lang w:val="de-DE" w:eastAsia="en-US" w:bidi="ar-SA"/>
      </w:rPr>
    </w:lvl>
    <w:lvl w:ilvl="8">
      <w:start w:val="0"/>
      <w:numFmt w:val="bullet"/>
      <w:lvlText w:val="•"/>
      <w:lvlJc w:val="left"/>
      <w:pPr>
        <w:ind w:left="8765" w:hanging="283"/>
      </w:pPr>
      <w:rPr>
        <w:rFonts w:hint="default"/>
        <w:lang w:val="de-DE" w:eastAsia="en-US" w:bidi="ar-SA"/>
      </w:rPr>
    </w:lvl>
  </w:abstractNum>
  <w:abstractNum w:abstractNumId="3">
    <w:multiLevelType w:val="hybridMultilevel"/>
    <w:lvl w:ilvl="0">
      <w:start w:val="0"/>
      <w:numFmt w:val="bullet"/>
      <w:lvlText w:val="•"/>
      <w:lvlJc w:val="left"/>
      <w:pPr>
        <w:ind w:left="1080" w:hanging="284"/>
      </w:pPr>
      <w:rPr>
        <w:rFonts w:hint="default" w:ascii="Times New Roman" w:hAnsi="Times New Roman" w:eastAsia="Times New Roman" w:cs="Times New Roman"/>
        <w:b w:val="0"/>
        <w:bCs w:val="0"/>
        <w:i w:val="0"/>
        <w:iCs w:val="0"/>
        <w:w w:val="99"/>
        <w:sz w:val="22"/>
        <w:szCs w:val="22"/>
        <w:lang w:val="de-DE" w:eastAsia="en-US" w:bidi="ar-SA"/>
      </w:rPr>
    </w:lvl>
    <w:lvl w:ilvl="1">
      <w:start w:val="0"/>
      <w:numFmt w:val="bullet"/>
      <w:lvlText w:val="o"/>
      <w:lvlJc w:val="left"/>
      <w:pPr>
        <w:ind w:left="1450" w:hanging="360"/>
      </w:pPr>
      <w:rPr>
        <w:rFonts w:hint="default" w:ascii="Courier New" w:hAnsi="Courier New" w:eastAsia="Courier New" w:cs="Courier New"/>
        <w:b w:val="0"/>
        <w:bCs w:val="0"/>
        <w:i w:val="0"/>
        <w:iCs w:val="0"/>
        <w:w w:val="99"/>
        <w:sz w:val="22"/>
        <w:szCs w:val="22"/>
        <w:lang w:val="de-DE" w:eastAsia="en-US" w:bidi="ar-SA"/>
      </w:rPr>
    </w:lvl>
    <w:lvl w:ilvl="2">
      <w:start w:val="0"/>
      <w:numFmt w:val="bullet"/>
      <w:lvlText w:val="•"/>
      <w:lvlJc w:val="left"/>
      <w:pPr>
        <w:ind w:left="2485" w:hanging="360"/>
      </w:pPr>
      <w:rPr>
        <w:rFonts w:hint="default"/>
        <w:lang w:val="de-DE" w:eastAsia="en-US" w:bidi="ar-SA"/>
      </w:rPr>
    </w:lvl>
    <w:lvl w:ilvl="3">
      <w:start w:val="0"/>
      <w:numFmt w:val="bullet"/>
      <w:lvlText w:val="•"/>
      <w:lvlJc w:val="left"/>
      <w:pPr>
        <w:ind w:left="3510" w:hanging="360"/>
      </w:pPr>
      <w:rPr>
        <w:rFonts w:hint="default"/>
        <w:lang w:val="de-DE" w:eastAsia="en-US" w:bidi="ar-SA"/>
      </w:rPr>
    </w:lvl>
    <w:lvl w:ilvl="4">
      <w:start w:val="0"/>
      <w:numFmt w:val="bullet"/>
      <w:lvlText w:val="•"/>
      <w:lvlJc w:val="left"/>
      <w:pPr>
        <w:ind w:left="4535" w:hanging="360"/>
      </w:pPr>
      <w:rPr>
        <w:rFonts w:hint="default"/>
        <w:lang w:val="de-DE" w:eastAsia="en-US" w:bidi="ar-SA"/>
      </w:rPr>
    </w:lvl>
    <w:lvl w:ilvl="5">
      <w:start w:val="0"/>
      <w:numFmt w:val="bullet"/>
      <w:lvlText w:val="•"/>
      <w:lvlJc w:val="left"/>
      <w:pPr>
        <w:ind w:left="5560" w:hanging="360"/>
      </w:pPr>
      <w:rPr>
        <w:rFonts w:hint="default"/>
        <w:lang w:val="de-DE" w:eastAsia="en-US" w:bidi="ar-SA"/>
      </w:rPr>
    </w:lvl>
    <w:lvl w:ilvl="6">
      <w:start w:val="0"/>
      <w:numFmt w:val="bullet"/>
      <w:lvlText w:val="•"/>
      <w:lvlJc w:val="left"/>
      <w:pPr>
        <w:ind w:left="6585" w:hanging="360"/>
      </w:pPr>
      <w:rPr>
        <w:rFonts w:hint="default"/>
        <w:lang w:val="de-DE" w:eastAsia="en-US" w:bidi="ar-SA"/>
      </w:rPr>
    </w:lvl>
    <w:lvl w:ilvl="7">
      <w:start w:val="0"/>
      <w:numFmt w:val="bullet"/>
      <w:lvlText w:val="•"/>
      <w:lvlJc w:val="left"/>
      <w:pPr>
        <w:ind w:left="7610" w:hanging="360"/>
      </w:pPr>
      <w:rPr>
        <w:rFonts w:hint="default"/>
        <w:lang w:val="de-DE" w:eastAsia="en-US" w:bidi="ar-SA"/>
      </w:rPr>
    </w:lvl>
    <w:lvl w:ilvl="8">
      <w:start w:val="0"/>
      <w:numFmt w:val="bullet"/>
      <w:lvlText w:val="•"/>
      <w:lvlJc w:val="left"/>
      <w:pPr>
        <w:ind w:left="8636" w:hanging="360"/>
      </w:pPr>
      <w:rPr>
        <w:rFonts w:hint="default"/>
        <w:lang w:val="de-DE" w:eastAsia="en-US" w:bidi="ar-SA"/>
      </w:rPr>
    </w:lvl>
  </w:abstractNum>
  <w:abstractNum w:abstractNumId="2">
    <w:multiLevelType w:val="hybridMultilevel"/>
    <w:lvl w:ilvl="0">
      <w:start w:val="1"/>
      <w:numFmt w:val="lowerLetter"/>
      <w:lvlText w:val="%1)"/>
      <w:lvlJc w:val="left"/>
      <w:pPr>
        <w:ind w:left="1035" w:hanging="239"/>
        <w:jc w:val="left"/>
      </w:pPr>
      <w:rPr>
        <w:rFonts w:hint="default" w:ascii="Times New Roman" w:hAnsi="Times New Roman" w:eastAsia="Times New Roman" w:cs="Times New Roman"/>
        <w:b/>
        <w:bCs/>
        <w:i w:val="0"/>
        <w:iCs w:val="0"/>
        <w:w w:val="99"/>
        <w:sz w:val="22"/>
        <w:szCs w:val="22"/>
        <w:lang w:val="de-DE" w:eastAsia="en-US" w:bidi="ar-SA"/>
      </w:rPr>
    </w:lvl>
    <w:lvl w:ilvl="1">
      <w:start w:val="0"/>
      <w:numFmt w:val="bullet"/>
      <w:lvlText w:val="-"/>
      <w:lvlJc w:val="left"/>
      <w:pPr>
        <w:ind w:left="1208" w:hanging="129"/>
      </w:pPr>
      <w:rPr>
        <w:rFonts w:hint="default" w:ascii="Times New Roman" w:hAnsi="Times New Roman" w:eastAsia="Times New Roman" w:cs="Times New Roman"/>
        <w:b w:val="0"/>
        <w:bCs w:val="0"/>
        <w:i w:val="0"/>
        <w:iCs w:val="0"/>
        <w:w w:val="99"/>
        <w:sz w:val="22"/>
        <w:szCs w:val="22"/>
        <w:lang w:val="de-DE" w:eastAsia="en-US" w:bidi="ar-SA"/>
      </w:rPr>
    </w:lvl>
    <w:lvl w:ilvl="2">
      <w:start w:val="0"/>
      <w:numFmt w:val="bullet"/>
      <w:lvlText w:val="•"/>
      <w:lvlJc w:val="left"/>
      <w:pPr>
        <w:ind w:left="2254" w:hanging="129"/>
      </w:pPr>
      <w:rPr>
        <w:rFonts w:hint="default"/>
        <w:lang w:val="de-DE" w:eastAsia="en-US" w:bidi="ar-SA"/>
      </w:rPr>
    </w:lvl>
    <w:lvl w:ilvl="3">
      <w:start w:val="0"/>
      <w:numFmt w:val="bullet"/>
      <w:lvlText w:val="•"/>
      <w:lvlJc w:val="left"/>
      <w:pPr>
        <w:ind w:left="3308" w:hanging="129"/>
      </w:pPr>
      <w:rPr>
        <w:rFonts w:hint="default"/>
        <w:lang w:val="de-DE" w:eastAsia="en-US" w:bidi="ar-SA"/>
      </w:rPr>
    </w:lvl>
    <w:lvl w:ilvl="4">
      <w:start w:val="0"/>
      <w:numFmt w:val="bullet"/>
      <w:lvlText w:val="•"/>
      <w:lvlJc w:val="left"/>
      <w:pPr>
        <w:ind w:left="4362" w:hanging="129"/>
      </w:pPr>
      <w:rPr>
        <w:rFonts w:hint="default"/>
        <w:lang w:val="de-DE" w:eastAsia="en-US" w:bidi="ar-SA"/>
      </w:rPr>
    </w:lvl>
    <w:lvl w:ilvl="5">
      <w:start w:val="0"/>
      <w:numFmt w:val="bullet"/>
      <w:lvlText w:val="•"/>
      <w:lvlJc w:val="left"/>
      <w:pPr>
        <w:ind w:left="5416" w:hanging="129"/>
      </w:pPr>
      <w:rPr>
        <w:rFonts w:hint="default"/>
        <w:lang w:val="de-DE" w:eastAsia="en-US" w:bidi="ar-SA"/>
      </w:rPr>
    </w:lvl>
    <w:lvl w:ilvl="6">
      <w:start w:val="0"/>
      <w:numFmt w:val="bullet"/>
      <w:lvlText w:val="•"/>
      <w:lvlJc w:val="left"/>
      <w:pPr>
        <w:ind w:left="6470" w:hanging="129"/>
      </w:pPr>
      <w:rPr>
        <w:rFonts w:hint="default"/>
        <w:lang w:val="de-DE" w:eastAsia="en-US" w:bidi="ar-SA"/>
      </w:rPr>
    </w:lvl>
    <w:lvl w:ilvl="7">
      <w:start w:val="0"/>
      <w:numFmt w:val="bullet"/>
      <w:lvlText w:val="•"/>
      <w:lvlJc w:val="left"/>
      <w:pPr>
        <w:ind w:left="7524" w:hanging="129"/>
      </w:pPr>
      <w:rPr>
        <w:rFonts w:hint="default"/>
        <w:lang w:val="de-DE" w:eastAsia="en-US" w:bidi="ar-SA"/>
      </w:rPr>
    </w:lvl>
    <w:lvl w:ilvl="8">
      <w:start w:val="0"/>
      <w:numFmt w:val="bullet"/>
      <w:lvlText w:val="•"/>
      <w:lvlJc w:val="left"/>
      <w:pPr>
        <w:ind w:left="8578" w:hanging="129"/>
      </w:pPr>
      <w:rPr>
        <w:rFonts w:hint="default"/>
        <w:lang w:val="de-DE" w:eastAsia="en-US" w:bidi="ar-SA"/>
      </w:rPr>
    </w:lvl>
  </w:abstractNum>
  <w:abstractNum w:abstractNumId="0">
    <w:multiLevelType w:val="hybridMultilevel"/>
    <w:lvl w:ilvl="0">
      <w:start w:val="0"/>
      <w:numFmt w:val="bullet"/>
      <w:lvlText w:val=""/>
      <w:lvlJc w:val="left"/>
      <w:pPr>
        <w:ind w:left="562" w:hanging="455"/>
      </w:pPr>
      <w:rPr>
        <w:rFonts w:hint="default" w:ascii="Wingdings 2" w:hAnsi="Wingdings 2" w:eastAsia="Wingdings 2" w:cs="Wingdings 2"/>
        <w:b/>
        <w:bCs/>
        <w:i w:val="0"/>
        <w:iCs w:val="0"/>
        <w:w w:val="99"/>
        <w:sz w:val="24"/>
        <w:szCs w:val="24"/>
        <w:lang w:val="de-DE" w:eastAsia="en-US" w:bidi="ar-SA"/>
      </w:rPr>
    </w:lvl>
    <w:lvl w:ilvl="1">
      <w:start w:val="0"/>
      <w:numFmt w:val="bullet"/>
      <w:lvlText w:val=""/>
      <w:lvlJc w:val="left"/>
      <w:pPr>
        <w:ind w:left="1090" w:hanging="275"/>
      </w:pPr>
      <w:rPr>
        <w:rFonts w:hint="default" w:ascii="Wingdings 2" w:hAnsi="Wingdings 2" w:eastAsia="Wingdings 2" w:cs="Wingdings 2"/>
        <w:b/>
        <w:bCs/>
        <w:i w:val="0"/>
        <w:iCs w:val="0"/>
        <w:w w:val="99"/>
        <w:sz w:val="24"/>
        <w:szCs w:val="24"/>
        <w:lang w:val="de-DE" w:eastAsia="en-US" w:bidi="ar-SA"/>
      </w:rPr>
    </w:lvl>
    <w:lvl w:ilvl="2">
      <w:start w:val="0"/>
      <w:numFmt w:val="bullet"/>
      <w:lvlText w:val="•"/>
      <w:lvlJc w:val="left"/>
      <w:pPr>
        <w:ind w:left="2083" w:hanging="275"/>
      </w:pPr>
      <w:rPr>
        <w:rFonts w:hint="default"/>
        <w:lang w:val="de-DE" w:eastAsia="en-US" w:bidi="ar-SA"/>
      </w:rPr>
    </w:lvl>
    <w:lvl w:ilvl="3">
      <w:start w:val="0"/>
      <w:numFmt w:val="bullet"/>
      <w:lvlText w:val="•"/>
      <w:lvlJc w:val="left"/>
      <w:pPr>
        <w:ind w:left="3066" w:hanging="275"/>
      </w:pPr>
      <w:rPr>
        <w:rFonts w:hint="default"/>
        <w:lang w:val="de-DE" w:eastAsia="en-US" w:bidi="ar-SA"/>
      </w:rPr>
    </w:lvl>
    <w:lvl w:ilvl="4">
      <w:start w:val="0"/>
      <w:numFmt w:val="bullet"/>
      <w:lvlText w:val="•"/>
      <w:lvlJc w:val="left"/>
      <w:pPr>
        <w:ind w:left="4049" w:hanging="275"/>
      </w:pPr>
      <w:rPr>
        <w:rFonts w:hint="default"/>
        <w:lang w:val="de-DE" w:eastAsia="en-US" w:bidi="ar-SA"/>
      </w:rPr>
    </w:lvl>
    <w:lvl w:ilvl="5">
      <w:start w:val="0"/>
      <w:numFmt w:val="bullet"/>
      <w:lvlText w:val="•"/>
      <w:lvlJc w:val="left"/>
      <w:pPr>
        <w:ind w:left="5032" w:hanging="275"/>
      </w:pPr>
      <w:rPr>
        <w:rFonts w:hint="default"/>
        <w:lang w:val="de-DE" w:eastAsia="en-US" w:bidi="ar-SA"/>
      </w:rPr>
    </w:lvl>
    <w:lvl w:ilvl="6">
      <w:start w:val="0"/>
      <w:numFmt w:val="bullet"/>
      <w:lvlText w:val="•"/>
      <w:lvlJc w:val="left"/>
      <w:pPr>
        <w:ind w:left="6015" w:hanging="275"/>
      </w:pPr>
      <w:rPr>
        <w:rFonts w:hint="default"/>
        <w:lang w:val="de-DE" w:eastAsia="en-US" w:bidi="ar-SA"/>
      </w:rPr>
    </w:lvl>
    <w:lvl w:ilvl="7">
      <w:start w:val="0"/>
      <w:numFmt w:val="bullet"/>
      <w:lvlText w:val="•"/>
      <w:lvlJc w:val="left"/>
      <w:pPr>
        <w:ind w:left="6998" w:hanging="275"/>
      </w:pPr>
      <w:rPr>
        <w:rFonts w:hint="default"/>
        <w:lang w:val="de-DE" w:eastAsia="en-US" w:bidi="ar-SA"/>
      </w:rPr>
    </w:lvl>
    <w:lvl w:ilvl="8">
      <w:start w:val="0"/>
      <w:numFmt w:val="bullet"/>
      <w:lvlText w:val="•"/>
      <w:lvlJc w:val="left"/>
      <w:pPr>
        <w:ind w:left="7981" w:hanging="275"/>
      </w:pPr>
      <w:rPr>
        <w:rFonts w:hint="default"/>
        <w:lang w:val="de-DE" w:eastAsia="en-US" w:bidi="ar-SA"/>
      </w:rPr>
    </w:lvl>
  </w:abstractNum>
  <w:abstractNum w:abstractNumId="1">
    <w:multiLevelType w:val="hybridMultilevel"/>
    <w:lvl w:ilvl="0">
      <w:start w:val="1"/>
      <w:numFmt w:val="decimal"/>
      <w:lvlText w:val="%1."/>
      <w:lvlJc w:val="left"/>
      <w:pPr>
        <w:ind w:left="796" w:hanging="426"/>
        <w:jc w:val="left"/>
      </w:pPr>
      <w:rPr>
        <w:rFonts w:hint="default" w:ascii="Times New Roman" w:hAnsi="Times New Roman" w:eastAsia="Times New Roman" w:cs="Times New Roman"/>
        <w:b/>
        <w:bCs/>
        <w:i w:val="0"/>
        <w:iCs w:val="0"/>
        <w:w w:val="100"/>
        <w:sz w:val="24"/>
        <w:szCs w:val="24"/>
        <w:lang w:val="de-DE" w:eastAsia="en-US" w:bidi="ar-SA"/>
      </w:rPr>
    </w:lvl>
    <w:lvl w:ilvl="1">
      <w:start w:val="0"/>
      <w:numFmt w:val="bullet"/>
      <w:lvlText w:val=""/>
      <w:lvlJc w:val="left"/>
      <w:pPr>
        <w:ind w:left="1090" w:hanging="360"/>
      </w:pPr>
      <w:rPr>
        <w:rFonts w:hint="default" w:ascii="Symbol" w:hAnsi="Symbol" w:eastAsia="Symbol" w:cs="Symbol"/>
        <w:b w:val="0"/>
        <w:bCs w:val="0"/>
        <w:i w:val="0"/>
        <w:iCs w:val="0"/>
        <w:w w:val="99"/>
        <w:sz w:val="22"/>
        <w:szCs w:val="22"/>
        <w:lang w:val="de-DE" w:eastAsia="en-US" w:bidi="ar-SA"/>
      </w:rPr>
    </w:lvl>
    <w:lvl w:ilvl="2">
      <w:start w:val="0"/>
      <w:numFmt w:val="bullet"/>
      <w:lvlText w:val=""/>
      <w:lvlJc w:val="left"/>
      <w:pPr>
        <w:ind w:left="1195" w:hanging="360"/>
      </w:pPr>
      <w:rPr>
        <w:rFonts w:hint="default" w:ascii="Symbol" w:hAnsi="Symbol" w:eastAsia="Symbol" w:cs="Symbol"/>
        <w:w w:val="99"/>
        <w:lang w:val="de-DE" w:eastAsia="en-US" w:bidi="ar-SA"/>
      </w:rPr>
    </w:lvl>
    <w:lvl w:ilvl="3">
      <w:start w:val="0"/>
      <w:numFmt w:val="bullet"/>
      <w:lvlText w:val="•"/>
      <w:lvlJc w:val="left"/>
      <w:pPr>
        <w:ind w:left="2385" w:hanging="360"/>
      </w:pPr>
      <w:rPr>
        <w:rFonts w:hint="default"/>
        <w:lang w:val="de-DE" w:eastAsia="en-US" w:bidi="ar-SA"/>
      </w:rPr>
    </w:lvl>
    <w:lvl w:ilvl="4">
      <w:start w:val="0"/>
      <w:numFmt w:val="bullet"/>
      <w:lvlText w:val="•"/>
      <w:lvlJc w:val="left"/>
      <w:pPr>
        <w:ind w:left="3571" w:hanging="360"/>
      </w:pPr>
      <w:rPr>
        <w:rFonts w:hint="default"/>
        <w:lang w:val="de-DE" w:eastAsia="en-US" w:bidi="ar-SA"/>
      </w:rPr>
    </w:lvl>
    <w:lvl w:ilvl="5">
      <w:start w:val="0"/>
      <w:numFmt w:val="bullet"/>
      <w:lvlText w:val="•"/>
      <w:lvlJc w:val="left"/>
      <w:pPr>
        <w:ind w:left="4757" w:hanging="360"/>
      </w:pPr>
      <w:rPr>
        <w:rFonts w:hint="default"/>
        <w:lang w:val="de-DE" w:eastAsia="en-US" w:bidi="ar-SA"/>
      </w:rPr>
    </w:lvl>
    <w:lvl w:ilvl="6">
      <w:start w:val="0"/>
      <w:numFmt w:val="bullet"/>
      <w:lvlText w:val="•"/>
      <w:lvlJc w:val="left"/>
      <w:pPr>
        <w:ind w:left="5943" w:hanging="360"/>
      </w:pPr>
      <w:rPr>
        <w:rFonts w:hint="default"/>
        <w:lang w:val="de-DE" w:eastAsia="en-US" w:bidi="ar-SA"/>
      </w:rPr>
    </w:lvl>
    <w:lvl w:ilvl="7">
      <w:start w:val="0"/>
      <w:numFmt w:val="bullet"/>
      <w:lvlText w:val="•"/>
      <w:lvlJc w:val="left"/>
      <w:pPr>
        <w:ind w:left="7129" w:hanging="360"/>
      </w:pPr>
      <w:rPr>
        <w:rFonts w:hint="default"/>
        <w:lang w:val="de-DE" w:eastAsia="en-US" w:bidi="ar-SA"/>
      </w:rPr>
    </w:lvl>
    <w:lvl w:ilvl="8">
      <w:start w:val="0"/>
      <w:numFmt w:val="bullet"/>
      <w:lvlText w:val="•"/>
      <w:lvlJc w:val="left"/>
      <w:pPr>
        <w:ind w:left="8314" w:hanging="360"/>
      </w:pPr>
      <w:rPr>
        <w:rFonts w:hint="default"/>
        <w:lang w:val="de-DE" w:eastAsia="en-US" w:bidi="ar-SA"/>
      </w:rPr>
    </w:lvl>
  </w:abstractNum>
  <w:num w:numId="5">
    <w:abstractNumId w:val="4"/>
  </w:num>
  <w:num w:numId="4">
    <w:abstractNumId w:val="3"/>
  </w:num>
  <w:num w:numId="3">
    <w:abstractNumId w:val="2"/>
  </w: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de-DE" w:eastAsia="en-US" w:bidi="ar-SA"/>
    </w:rPr>
  </w:style>
  <w:style w:styleId="BodyText" w:type="paragraph">
    <w:name w:val="Body Text"/>
    <w:basedOn w:val="Normal"/>
    <w:uiPriority w:val="1"/>
    <w:qFormat/>
    <w:pPr/>
    <w:rPr>
      <w:rFonts w:ascii="Times New Roman" w:hAnsi="Times New Roman" w:eastAsia="Times New Roman" w:cs="Times New Roman"/>
      <w:sz w:val="22"/>
      <w:szCs w:val="22"/>
      <w:lang w:val="de-DE" w:eastAsia="en-US" w:bidi="ar-SA"/>
    </w:rPr>
  </w:style>
  <w:style w:styleId="Heading1" w:type="paragraph">
    <w:name w:val="Heading 1"/>
    <w:basedOn w:val="Normal"/>
    <w:uiPriority w:val="1"/>
    <w:qFormat/>
    <w:pPr>
      <w:ind w:left="1078" w:hanging="283"/>
      <w:outlineLvl w:val="1"/>
    </w:pPr>
    <w:rPr>
      <w:rFonts w:ascii="Times New Roman" w:hAnsi="Times New Roman" w:eastAsia="Times New Roman" w:cs="Times New Roman"/>
      <w:b/>
      <w:bCs/>
      <w:sz w:val="22"/>
      <w:szCs w:val="22"/>
      <w:lang w:val="de-DE" w:eastAsia="en-US" w:bidi="ar-SA"/>
    </w:rPr>
  </w:style>
  <w:style w:styleId="ListParagraph" w:type="paragraph">
    <w:name w:val="List Paragraph"/>
    <w:basedOn w:val="Normal"/>
    <w:uiPriority w:val="1"/>
    <w:qFormat/>
    <w:pPr>
      <w:ind w:left="1196" w:hanging="360"/>
      <w:jc w:val="both"/>
    </w:pPr>
    <w:rPr>
      <w:rFonts w:ascii="Times New Roman" w:hAnsi="Times New Roman" w:eastAsia="Times New Roman" w:cs="Times New Roman"/>
      <w:lang w:val="de-DE" w:eastAsia="en-US" w:bidi="ar-SA"/>
    </w:rPr>
  </w:style>
  <w:style w:styleId="TableParagraph" w:type="paragraph">
    <w:name w:val="Table Paragraph"/>
    <w:basedOn w:val="Normal"/>
    <w:uiPriority w:val="1"/>
    <w:qFormat/>
    <w:pPr>
      <w:ind w:left="107"/>
    </w:pPr>
    <w:rPr>
      <w:rFonts w:ascii="Times New Roman" w:hAnsi="Times New Roman" w:eastAsia="Times New Roman" w:cs="Times New Roman"/>
      <w:lang w:val="de-DE"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image" Target="media/image1.png"/><Relationship Id="rId7" Type="http://schemas.openxmlformats.org/officeDocument/2006/relationships/hyperlink" Target="mailto:Sandro.Santamato@ec.europa.eu" TargetMode="External"/><Relationship Id="rId8" Type="http://schemas.openxmlformats.org/officeDocument/2006/relationships/hyperlink" Target="http://europass.cedefop.europa.eu/de/documents/curriculum-vitae" TargetMode="External"/><Relationship Id="rId9" Type="http://schemas.openxmlformats.org/officeDocument/2006/relationships/hyperlink" Target="mailto:HR-MAIL-B4@ec.europa.eu" TargetMode="External"/><Relationship Id="rId10" Type="http://schemas.openxmlformats.org/officeDocument/2006/relationships/hyperlink" Target="mailto:DATA-PROTECTION-OFFICER@ec.europa.eu" TargetMode="External"/><Relationship Id="rId11" Type="http://schemas.openxmlformats.org/officeDocument/2006/relationships/hyperlink" Target="mailto:edps@edps.europa.eu" TargetMode="External"/><Relationship Id="rId1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Company>European Commission</Company>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HENROTTE Corinne (HR)</dc:creator>
  <dcterms:created xsi:type="dcterms:W3CDTF">2023-05-11T08:50:51Z</dcterms:created>
  <dcterms:modified xsi:type="dcterms:W3CDTF">2023-05-11T08:50:51Z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2023-05-11T00:00:00Z</vt:filetime>
  </property>
  <property fmtid="{D5CDD505-2E9C-101B-9397-08002B2CF9AE}" pid="3" name="Creator">
    <vt:lpwstr>Acrobat PDFMaker 23 for Word</vt:lpwstr>
  </property>
  <property fmtid="{D5CDD505-2E9C-101B-9397-08002B2CF9AE}" pid="4" name="LastSaved">
    <vt:filetime>2023-05-11T00:00:00Z</vt:filetime>
  </property>
  <property fmtid="{D5CDD505-2E9C-101B-9397-08002B2CF9AE}" pid="5" name="MSIP_Label_6bd9ddd1-4d20-43f6-abfa-fc3c07406f94_ActionId">
    <vt:lpwstr>fa0d5c4a-51a0-480c-b7ce-0f4e3498ef5d</vt:lpwstr>
  </property>
  <property fmtid="{D5CDD505-2E9C-101B-9397-08002B2CF9AE}" pid="6" name="MSIP_Label_6bd9ddd1-4d20-43f6-abfa-fc3c07406f94_ContentBits">
    <vt:lpwstr>0</vt:lpwstr>
  </property>
  <property fmtid="{D5CDD505-2E9C-101B-9397-08002B2CF9AE}" pid="7" name="MSIP_Label_6bd9ddd1-4d20-43f6-abfa-fc3c07406f94_Enabled">
    <vt:lpwstr>true</vt:lpwstr>
  </property>
  <property fmtid="{D5CDD505-2E9C-101B-9397-08002B2CF9AE}" pid="8" name="MSIP_Label_6bd9ddd1-4d20-43f6-abfa-fc3c07406f94_Method">
    <vt:lpwstr>Standard</vt:lpwstr>
  </property>
  <property fmtid="{D5CDD505-2E9C-101B-9397-08002B2CF9AE}" pid="9" name="MSIP_Label_6bd9ddd1-4d20-43f6-abfa-fc3c07406f94_Name">
    <vt:lpwstr>Commission Use</vt:lpwstr>
  </property>
  <property fmtid="{D5CDD505-2E9C-101B-9397-08002B2CF9AE}" pid="10" name="MSIP_Label_6bd9ddd1-4d20-43f6-abfa-fc3c07406f94_SetDate">
    <vt:lpwstr>2022-07-12T18:00:06Z</vt:lpwstr>
  </property>
  <property fmtid="{D5CDD505-2E9C-101B-9397-08002B2CF9AE}" pid="11" name="MSIP_Label_6bd9ddd1-4d20-43f6-abfa-fc3c07406f94_SiteId">
    <vt:lpwstr>b24c8b06-522c-46fe-9080-70926f8dddb1</vt:lpwstr>
  </property>
  <property fmtid="{D5CDD505-2E9C-101B-9397-08002B2CF9AE}" pid="12" name="Producer">
    <vt:lpwstr>Adobe PDF Library 23.1.175</vt:lpwstr>
  </property>
  <property fmtid="{D5CDD505-2E9C-101B-9397-08002B2CF9AE}" pid="13" name="SourceModified">
    <vt:lpwstr>D:20230511084900</vt:lpwstr>
  </property>
</Properties>
</file>