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1"/>
        <w:rPr>
          <w:sz w:val="20"/>
        </w:rPr>
      </w:pPr>
      <w:r>
        <w:rPr>
          <w:sz w:val="20"/>
        </w:rPr>
        <w:drawing>
          <wp:inline distT="0" distB="0" distL="0" distR="0">
            <wp:extent cx="1381125" cy="685800"/>
            <wp:effectExtent l="0" t="0" r="0" b="0"/>
            <wp:docPr id="1" name="image1.png"/>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381125" cy="685800"/>
                    </a:xfrm>
                    <a:prstGeom prst="rect">
                      <a:avLst/>
                    </a:prstGeom>
                  </pic:spPr>
                </pic:pic>
              </a:graphicData>
            </a:graphic>
          </wp:inline>
        </w:drawing>
      </w:r>
      <w:r>
        <w:rPr>
          <w:sz w:val="20"/>
        </w:rPr>
      </w:r>
    </w:p>
    <w:p>
      <w:pPr>
        <w:spacing w:before="68"/>
        <w:ind w:left="3576" w:right="3913" w:firstLine="0"/>
        <w:jc w:val="center"/>
        <w:rPr>
          <w:b/>
          <w:sz w:val="24"/>
        </w:rPr>
      </w:pPr>
      <w:r>
        <w:rPr>
          <w:b/>
          <w:spacing w:val="-2"/>
          <w:sz w:val="24"/>
        </w:rPr>
        <w:t>STELLENAUSSCHREIBUNG</w:t>
      </w:r>
    </w:p>
    <w:p>
      <w:pPr>
        <w:pStyle w:val="BodyText"/>
        <w:spacing w:before="11"/>
        <w:rPr>
          <w:b/>
          <w:sz w:val="23"/>
        </w:rPr>
      </w:pPr>
    </w:p>
    <w:p>
      <w:pPr>
        <w:spacing w:before="0"/>
        <w:ind w:left="1740" w:right="1285" w:firstLine="1334"/>
        <w:jc w:val="left"/>
        <w:rPr>
          <w:b/>
          <w:sz w:val="24"/>
        </w:rPr>
      </w:pPr>
      <w:r>
        <w:rPr>
          <w:b/>
          <w:sz w:val="24"/>
        </w:rPr>
        <w:t>ZUR EUROPÄISCHEN KOMMISSION ABGEORDNETE(R)</w:t>
      </w:r>
      <w:r>
        <w:rPr>
          <w:b/>
          <w:spacing w:val="-15"/>
          <w:sz w:val="24"/>
        </w:rPr>
        <w:t> </w:t>
      </w:r>
      <w:r>
        <w:rPr>
          <w:b/>
          <w:sz w:val="24"/>
        </w:rPr>
        <w:t>NATIONALE(R)</w:t>
      </w:r>
      <w:r>
        <w:rPr>
          <w:b/>
          <w:spacing w:val="-15"/>
          <w:sz w:val="24"/>
        </w:rPr>
        <w:t> </w:t>
      </w:r>
      <w:r>
        <w:rPr>
          <w:b/>
          <w:sz w:val="24"/>
        </w:rPr>
        <w:t>SACHVERSTÄNDIGE(R)</w:t>
      </w:r>
    </w:p>
    <w:p>
      <w:pPr>
        <w:pStyle w:val="BodyText"/>
        <w:rPr>
          <w:b/>
          <w:sz w:val="24"/>
        </w:rPr>
      </w:pPr>
    </w:p>
    <w:tbl>
      <w:tblPr>
        <w:tblW w:w="0" w:type="auto"/>
        <w:jc w:val="left"/>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60"/>
        <w:gridCol w:w="5597"/>
      </w:tblGrid>
      <w:tr>
        <w:trPr>
          <w:trHeight w:val="610" w:hRule="atLeast"/>
        </w:trPr>
        <w:tc>
          <w:tcPr>
            <w:tcW w:w="4360" w:type="dxa"/>
          </w:tcPr>
          <w:p>
            <w:pPr>
              <w:pStyle w:val="TableParagraph"/>
              <w:spacing w:line="253" w:lineRule="exact"/>
              <w:rPr>
                <w:b/>
                <w:sz w:val="22"/>
              </w:rPr>
            </w:pPr>
            <w:r>
              <w:rPr>
                <w:b/>
                <w:sz w:val="22"/>
              </w:rPr>
              <w:t>Identifizierung</w:t>
            </w:r>
            <w:r>
              <w:rPr>
                <w:b/>
                <w:spacing w:val="-11"/>
                <w:sz w:val="22"/>
              </w:rPr>
              <w:t> </w:t>
            </w:r>
            <w:r>
              <w:rPr>
                <w:b/>
                <w:sz w:val="22"/>
              </w:rPr>
              <w:t>der</w:t>
            </w:r>
            <w:r>
              <w:rPr>
                <w:b/>
                <w:spacing w:val="-12"/>
                <w:sz w:val="22"/>
              </w:rPr>
              <w:t> </w:t>
            </w:r>
            <w:r>
              <w:rPr>
                <w:b/>
                <w:spacing w:val="-2"/>
                <w:sz w:val="22"/>
              </w:rPr>
              <w:t>Stelle:</w:t>
            </w:r>
          </w:p>
          <w:p>
            <w:pPr>
              <w:pStyle w:val="TableParagraph"/>
              <w:rPr>
                <w:sz w:val="22"/>
              </w:rPr>
            </w:pPr>
            <w:r>
              <w:rPr>
                <w:spacing w:val="-2"/>
                <w:sz w:val="22"/>
              </w:rPr>
              <w:t>(GD-DIR-</w:t>
            </w:r>
            <w:r>
              <w:rPr>
                <w:spacing w:val="-4"/>
                <w:sz w:val="22"/>
              </w:rPr>
              <w:t>REF)</w:t>
            </w:r>
          </w:p>
        </w:tc>
        <w:tc>
          <w:tcPr>
            <w:tcW w:w="5597" w:type="dxa"/>
          </w:tcPr>
          <w:p>
            <w:pPr>
              <w:pStyle w:val="TableParagraph"/>
              <w:spacing w:before="168"/>
              <w:rPr>
                <w:sz w:val="24"/>
              </w:rPr>
            </w:pPr>
            <w:r>
              <w:rPr>
                <w:sz w:val="24"/>
              </w:rPr>
              <w:t>GD</w:t>
            </w:r>
            <w:r>
              <w:rPr>
                <w:spacing w:val="-3"/>
                <w:sz w:val="24"/>
              </w:rPr>
              <w:t> </w:t>
            </w:r>
            <w:r>
              <w:rPr>
                <w:sz w:val="24"/>
              </w:rPr>
              <w:t>GROW </w:t>
            </w:r>
            <w:r>
              <w:rPr>
                <w:spacing w:val="-5"/>
                <w:sz w:val="24"/>
              </w:rPr>
              <w:t>D1</w:t>
            </w:r>
          </w:p>
        </w:tc>
      </w:tr>
      <w:tr>
        <w:trPr>
          <w:trHeight w:val="2116" w:hRule="atLeast"/>
        </w:trPr>
        <w:tc>
          <w:tcPr>
            <w:tcW w:w="4360" w:type="dxa"/>
            <w:vMerge w:val="restart"/>
          </w:tcPr>
          <w:p>
            <w:pPr>
              <w:pStyle w:val="TableParagraph"/>
              <w:spacing w:line="252" w:lineRule="exact" w:before="1"/>
              <w:rPr>
                <w:b/>
                <w:sz w:val="22"/>
              </w:rPr>
            </w:pPr>
            <w:r>
              <w:rPr>
                <w:b/>
                <w:spacing w:val="-2"/>
                <w:sz w:val="22"/>
              </w:rPr>
              <w:t>Referatsleiter:</w:t>
            </w:r>
          </w:p>
          <w:p>
            <w:pPr>
              <w:pStyle w:val="TableParagraph"/>
              <w:spacing w:line="252" w:lineRule="exact"/>
              <w:rPr>
                <w:b/>
                <w:sz w:val="22"/>
              </w:rPr>
            </w:pPr>
            <w:r>
              <w:rPr>
                <w:b/>
                <w:spacing w:val="-2"/>
                <w:sz w:val="22"/>
              </w:rPr>
              <w:t>E-Mail-Adresse:</w:t>
            </w:r>
          </w:p>
          <w:p>
            <w:pPr>
              <w:pStyle w:val="TableParagraph"/>
              <w:rPr>
                <w:b/>
                <w:sz w:val="22"/>
              </w:rPr>
            </w:pPr>
            <w:r>
              <w:rPr>
                <w:b/>
                <w:spacing w:val="-2"/>
                <w:sz w:val="22"/>
              </w:rPr>
              <w:t>Telefon:</w:t>
            </w:r>
          </w:p>
          <w:p>
            <w:pPr>
              <w:pStyle w:val="TableParagraph"/>
              <w:ind w:right="529"/>
              <w:rPr>
                <w:b/>
                <w:sz w:val="22"/>
              </w:rPr>
            </w:pPr>
            <w:r>
              <w:rPr>
                <w:b/>
                <w:sz w:val="22"/>
              </w:rPr>
              <w:t>Anzahl</w:t>
            </w:r>
            <w:r>
              <w:rPr>
                <w:b/>
                <w:spacing w:val="-10"/>
                <w:sz w:val="22"/>
              </w:rPr>
              <w:t> </w:t>
            </w:r>
            <w:r>
              <w:rPr>
                <w:b/>
                <w:sz w:val="22"/>
              </w:rPr>
              <w:t>der</w:t>
            </w:r>
            <w:r>
              <w:rPr>
                <w:b/>
                <w:spacing w:val="-11"/>
                <w:sz w:val="22"/>
              </w:rPr>
              <w:t> </w:t>
            </w:r>
            <w:r>
              <w:rPr>
                <w:b/>
                <w:sz w:val="22"/>
              </w:rPr>
              <w:t>zu</w:t>
            </w:r>
            <w:r>
              <w:rPr>
                <w:b/>
                <w:spacing w:val="-10"/>
                <w:sz w:val="22"/>
              </w:rPr>
              <w:t> </w:t>
            </w:r>
            <w:r>
              <w:rPr>
                <w:b/>
                <w:sz w:val="22"/>
              </w:rPr>
              <w:t>besetzenden</w:t>
            </w:r>
            <w:r>
              <w:rPr>
                <w:b/>
                <w:spacing w:val="-10"/>
                <w:sz w:val="22"/>
              </w:rPr>
              <w:t> </w:t>
            </w:r>
            <w:r>
              <w:rPr>
                <w:b/>
                <w:sz w:val="22"/>
              </w:rPr>
              <w:t>Stellen: Gewünschter Dienstantritt: Gewünschte Dauer der</w:t>
            </w:r>
          </w:p>
          <w:p>
            <w:pPr>
              <w:pStyle w:val="TableParagraph"/>
              <w:ind w:right="2855"/>
              <w:rPr>
                <w:b/>
                <w:sz w:val="22"/>
              </w:rPr>
            </w:pPr>
            <w:r>
              <w:rPr>
                <w:b/>
                <w:sz w:val="22"/>
              </w:rPr>
              <w:t>1.</w:t>
            </w:r>
            <w:r>
              <w:rPr>
                <w:b/>
                <w:spacing w:val="-14"/>
                <w:sz w:val="22"/>
              </w:rPr>
              <w:t> </w:t>
            </w:r>
            <w:r>
              <w:rPr>
                <w:b/>
                <w:sz w:val="22"/>
              </w:rPr>
              <w:t>Abordnung:</w:t>
            </w:r>
            <w:r>
              <w:rPr>
                <w:b/>
                <w:sz w:val="22"/>
              </w:rPr>
              <w:t> </w:t>
            </w:r>
            <w:r>
              <w:rPr>
                <w:b/>
                <w:spacing w:val="-2"/>
                <w:sz w:val="22"/>
              </w:rPr>
              <w:t>Dienstort:</w:t>
            </w:r>
          </w:p>
        </w:tc>
        <w:tc>
          <w:tcPr>
            <w:tcW w:w="5597" w:type="dxa"/>
          </w:tcPr>
          <w:p>
            <w:pPr>
              <w:pStyle w:val="TableParagraph"/>
              <w:spacing w:before="1"/>
              <w:ind w:right="396"/>
              <w:rPr>
                <w:sz w:val="24"/>
              </w:rPr>
            </w:pPr>
            <w:r>
              <w:rPr>
                <w:sz w:val="24"/>
              </w:rPr>
              <w:t>Henning Ehrenstein </w:t>
            </w:r>
            <w:hyperlink r:id="rId7">
              <w:r>
                <w:rPr>
                  <w:spacing w:val="-2"/>
                  <w:sz w:val="24"/>
                </w:rPr>
                <w:t>henning.ehrenstein@ec.europa.eu</w:t>
              </w:r>
            </w:hyperlink>
          </w:p>
          <w:p>
            <w:pPr>
              <w:pStyle w:val="TableParagraph"/>
              <w:rPr>
                <w:sz w:val="24"/>
              </w:rPr>
            </w:pPr>
            <w:r>
              <w:rPr>
                <w:sz w:val="24"/>
              </w:rPr>
              <w:t>+32 229 </w:t>
            </w:r>
            <w:r>
              <w:rPr>
                <w:spacing w:val="-2"/>
                <w:sz w:val="24"/>
              </w:rPr>
              <w:t>80393</w:t>
            </w:r>
          </w:p>
          <w:p>
            <w:pPr>
              <w:pStyle w:val="TableParagraph"/>
              <w:spacing w:line="275" w:lineRule="exact"/>
              <w:rPr>
                <w:sz w:val="24"/>
              </w:rPr>
            </w:pPr>
            <w:r>
              <w:rPr>
                <w:sz w:val="24"/>
              </w:rPr>
              <w:t>1</w:t>
            </w:r>
          </w:p>
          <w:p>
            <w:pPr>
              <w:pStyle w:val="TableParagraph"/>
              <w:spacing w:line="252" w:lineRule="exact"/>
              <w:ind w:left="140"/>
              <w:rPr>
                <w:b/>
                <w:sz w:val="22"/>
              </w:rPr>
            </w:pPr>
            <w:r>
              <w:rPr>
                <w:b/>
                <w:sz w:val="22"/>
              </w:rPr>
              <w:t>Viertes</w:t>
            </w:r>
            <w:r>
              <w:rPr>
                <w:b/>
                <w:spacing w:val="-10"/>
                <w:sz w:val="22"/>
              </w:rPr>
              <w:t> </w:t>
            </w:r>
            <w:r>
              <w:rPr>
                <w:b/>
                <w:sz w:val="22"/>
              </w:rPr>
              <w:t>Quartal</w:t>
            </w:r>
            <w:r>
              <w:rPr>
                <w:b/>
                <w:spacing w:val="-10"/>
                <w:sz w:val="22"/>
              </w:rPr>
              <w:t> </w:t>
            </w:r>
            <w:r>
              <w:rPr>
                <w:b/>
                <w:spacing w:val="-4"/>
                <w:sz w:val="22"/>
              </w:rPr>
              <w:t>2023</w:t>
            </w:r>
            <w:r>
              <w:rPr>
                <w:b/>
                <w:spacing w:val="-4"/>
                <w:sz w:val="22"/>
                <w:vertAlign w:val="superscript"/>
              </w:rPr>
              <w:t>1</w:t>
            </w:r>
          </w:p>
          <w:p>
            <w:pPr>
              <w:pStyle w:val="TableParagraph"/>
              <w:rPr>
                <w:b/>
                <w:sz w:val="22"/>
              </w:rPr>
            </w:pPr>
            <w:r>
              <w:rPr>
                <w:b/>
                <w:sz w:val="22"/>
              </w:rPr>
              <w:t>…2</w:t>
            </w:r>
            <w:r>
              <w:rPr>
                <w:b/>
                <w:spacing w:val="-4"/>
                <w:sz w:val="22"/>
              </w:rPr>
              <w:t> </w:t>
            </w:r>
            <w:r>
              <w:rPr>
                <w:b/>
                <w:spacing w:val="-2"/>
                <w:sz w:val="22"/>
              </w:rPr>
              <w:t>Jahr(e)</w:t>
            </w:r>
            <w:r>
              <w:rPr>
                <w:b/>
                <w:spacing w:val="-2"/>
                <w:sz w:val="22"/>
                <w:vertAlign w:val="superscript"/>
              </w:rPr>
              <w:t>1</w:t>
            </w:r>
          </w:p>
          <w:p>
            <w:pPr>
              <w:pStyle w:val="TableParagraph"/>
              <w:spacing w:before="1"/>
              <w:ind w:left="0"/>
              <w:rPr>
                <w:b/>
                <w:sz w:val="22"/>
              </w:rPr>
            </w:pPr>
          </w:p>
          <w:p>
            <w:pPr>
              <w:pStyle w:val="TableParagraph"/>
              <w:numPr>
                <w:ilvl w:val="0"/>
                <w:numId w:val="1"/>
              </w:numPr>
              <w:tabs>
                <w:tab w:pos="305" w:val="left" w:leader="none"/>
                <w:tab w:pos="1523" w:val="left" w:leader="none"/>
              </w:tabs>
              <w:spacing w:line="233" w:lineRule="exact" w:before="0" w:after="0"/>
              <w:ind w:left="304" w:right="0" w:hanging="198"/>
              <w:jc w:val="left"/>
              <w:rPr>
                <w:b/>
                <w:sz w:val="22"/>
              </w:rPr>
            </w:pPr>
            <w:r>
              <w:rPr>
                <w:sz w:val="22"/>
              </w:rPr>
              <w:t>X</w:t>
            </w:r>
            <w:r>
              <w:rPr>
                <w:spacing w:val="26"/>
                <w:sz w:val="22"/>
              </w:rPr>
              <w:t>  </w:t>
            </w:r>
            <w:r>
              <w:rPr>
                <w:b/>
                <w:spacing w:val="-2"/>
                <w:sz w:val="22"/>
              </w:rPr>
              <w:t>Brüssel</w:t>
            </w:r>
            <w:r>
              <w:rPr>
                <w:b/>
                <w:sz w:val="22"/>
              </w:rPr>
              <w:tab/>
            </w:r>
            <w:r>
              <w:rPr>
                <w:rFonts w:ascii="Wingdings 2" w:hAnsi="Wingdings 2"/>
                <w:sz w:val="22"/>
              </w:rPr>
              <w:t></w:t>
            </w:r>
            <w:r>
              <w:rPr>
                <w:spacing w:val="74"/>
                <w:w w:val="150"/>
                <w:sz w:val="22"/>
              </w:rPr>
              <w:t> </w:t>
            </w:r>
            <w:r>
              <w:rPr>
                <w:b/>
                <w:sz w:val="22"/>
              </w:rPr>
              <w:t>Luxemburg</w:t>
            </w:r>
            <w:r>
              <w:rPr>
                <w:b/>
                <w:spacing w:val="76"/>
                <w:w w:val="150"/>
                <w:sz w:val="22"/>
              </w:rPr>
              <w:t> </w:t>
            </w:r>
            <w:r>
              <w:rPr>
                <w:rFonts w:ascii="Wingdings 2" w:hAnsi="Wingdings 2"/>
                <w:sz w:val="22"/>
              </w:rPr>
              <w:t></w:t>
            </w:r>
            <w:r>
              <w:rPr>
                <w:spacing w:val="-3"/>
                <w:sz w:val="22"/>
              </w:rPr>
              <w:t> </w:t>
            </w:r>
            <w:r>
              <w:rPr>
                <w:b/>
                <w:spacing w:val="-2"/>
                <w:sz w:val="22"/>
              </w:rPr>
              <w:t>Anderer:…………..</w:t>
            </w:r>
          </w:p>
        </w:tc>
      </w:tr>
      <w:tr>
        <w:trPr>
          <w:trHeight w:val="544" w:hRule="atLeast"/>
        </w:trPr>
        <w:tc>
          <w:tcPr>
            <w:tcW w:w="4360" w:type="dxa"/>
            <w:vMerge/>
            <w:tcBorders>
              <w:top w:val="nil"/>
            </w:tcBorders>
          </w:tcPr>
          <w:p>
            <w:pPr>
              <w:rPr>
                <w:sz w:val="2"/>
                <w:szCs w:val="2"/>
              </w:rPr>
            </w:pPr>
          </w:p>
        </w:tc>
        <w:tc>
          <w:tcPr>
            <w:tcW w:w="5597" w:type="dxa"/>
          </w:tcPr>
          <w:p>
            <w:pPr>
              <w:pStyle w:val="TableParagraph"/>
              <w:numPr>
                <w:ilvl w:val="0"/>
                <w:numId w:val="2"/>
              </w:numPr>
              <w:tabs>
                <w:tab w:pos="305" w:val="left" w:leader="none"/>
              </w:tabs>
              <w:spacing w:line="240" w:lineRule="auto" w:before="146" w:after="0"/>
              <w:ind w:left="304" w:right="0" w:hanging="198"/>
              <w:jc w:val="left"/>
              <w:rPr>
                <w:b/>
                <w:sz w:val="22"/>
              </w:rPr>
            </w:pPr>
            <w:r>
              <w:rPr>
                <w:sz w:val="22"/>
              </w:rPr>
              <w:t>X</w:t>
            </w:r>
            <w:r>
              <w:rPr>
                <w:spacing w:val="45"/>
                <w:sz w:val="22"/>
              </w:rPr>
              <w:t> </w:t>
            </w:r>
            <w:r>
              <w:rPr>
                <w:b/>
                <w:sz w:val="22"/>
              </w:rPr>
              <w:t>Mit</w:t>
            </w:r>
            <w:r>
              <w:rPr>
                <w:b/>
                <w:spacing w:val="-4"/>
                <w:sz w:val="22"/>
              </w:rPr>
              <w:t> </w:t>
            </w:r>
            <w:r>
              <w:rPr>
                <w:b/>
                <w:sz w:val="22"/>
              </w:rPr>
              <w:t>Vergütungen</w:t>
            </w:r>
            <w:r>
              <w:rPr>
                <w:b/>
                <w:spacing w:val="70"/>
                <w:w w:val="150"/>
                <w:sz w:val="22"/>
              </w:rPr>
              <w:t> </w:t>
            </w:r>
            <w:r>
              <w:rPr>
                <w:rFonts w:ascii="Wingdings 2" w:hAnsi="Wingdings 2"/>
                <w:sz w:val="22"/>
              </w:rPr>
              <w:t></w:t>
            </w:r>
            <w:r>
              <w:rPr>
                <w:spacing w:val="46"/>
                <w:sz w:val="22"/>
              </w:rPr>
              <w:t> </w:t>
            </w:r>
            <w:r>
              <w:rPr>
                <w:b/>
                <w:sz w:val="22"/>
              </w:rPr>
              <w:t>Unentgeltlich</w:t>
            </w:r>
            <w:r>
              <w:rPr>
                <w:b/>
                <w:spacing w:val="-4"/>
                <w:sz w:val="22"/>
              </w:rPr>
              <w:t> </w:t>
            </w:r>
            <w:r>
              <w:rPr>
                <w:b/>
                <w:spacing w:val="-2"/>
                <w:sz w:val="22"/>
              </w:rPr>
              <w:t>Abgeordnet</w:t>
            </w:r>
          </w:p>
        </w:tc>
      </w:tr>
      <w:tr>
        <w:trPr>
          <w:trHeight w:val="2112" w:hRule="atLeast"/>
        </w:trPr>
        <w:tc>
          <w:tcPr>
            <w:tcW w:w="9957" w:type="dxa"/>
            <w:gridSpan w:val="2"/>
          </w:tcPr>
          <w:p>
            <w:pPr>
              <w:pStyle w:val="TableParagraph"/>
              <w:spacing w:before="171"/>
              <w:rPr>
                <w:b/>
                <w:sz w:val="22"/>
              </w:rPr>
            </w:pPr>
            <w:r>
              <w:rPr>
                <w:b/>
                <w:sz w:val="22"/>
              </w:rPr>
              <w:t>Auf</w:t>
            </w:r>
            <w:r>
              <w:rPr>
                <w:b/>
                <w:spacing w:val="-11"/>
                <w:sz w:val="22"/>
              </w:rPr>
              <w:t> </w:t>
            </w:r>
            <w:r>
              <w:rPr>
                <w:b/>
                <w:sz w:val="22"/>
              </w:rPr>
              <w:t>diese</w:t>
            </w:r>
            <w:r>
              <w:rPr>
                <w:b/>
                <w:spacing w:val="-11"/>
                <w:sz w:val="22"/>
              </w:rPr>
              <w:t> </w:t>
            </w:r>
            <w:r>
              <w:rPr>
                <w:b/>
                <w:sz w:val="22"/>
              </w:rPr>
              <w:t>Stellenausschreibung</w:t>
            </w:r>
            <w:r>
              <w:rPr>
                <w:b/>
                <w:spacing w:val="-10"/>
                <w:sz w:val="22"/>
              </w:rPr>
              <w:t> </w:t>
            </w:r>
            <w:r>
              <w:rPr>
                <w:b/>
                <w:sz w:val="22"/>
              </w:rPr>
              <w:t>können</w:t>
            </w:r>
            <w:r>
              <w:rPr>
                <w:b/>
                <w:spacing w:val="-10"/>
                <w:sz w:val="22"/>
              </w:rPr>
              <w:t> </w:t>
            </w:r>
            <w:r>
              <w:rPr>
                <w:b/>
                <w:sz w:val="22"/>
              </w:rPr>
              <w:t>sich</w:t>
            </w:r>
            <w:r>
              <w:rPr>
                <w:b/>
                <w:spacing w:val="-10"/>
                <w:sz w:val="22"/>
              </w:rPr>
              <w:t> </w:t>
            </w:r>
            <w:r>
              <w:rPr>
                <w:b/>
                <w:spacing w:val="-4"/>
                <w:sz w:val="22"/>
              </w:rPr>
              <w:t>auch</w:t>
            </w:r>
          </w:p>
          <w:p>
            <w:pPr>
              <w:pStyle w:val="TableParagraph"/>
              <w:spacing w:before="11"/>
              <w:ind w:left="0"/>
              <w:rPr>
                <w:b/>
                <w:sz w:val="21"/>
              </w:rPr>
            </w:pPr>
          </w:p>
          <w:p>
            <w:pPr>
              <w:pStyle w:val="TableParagraph"/>
              <w:numPr>
                <w:ilvl w:val="0"/>
                <w:numId w:val="3"/>
              </w:numPr>
              <w:tabs>
                <w:tab w:pos="524" w:val="left" w:leader="none"/>
                <w:tab w:pos="525" w:val="left" w:leader="none"/>
              </w:tabs>
              <w:spacing w:line="240" w:lineRule="auto" w:before="0" w:after="0"/>
              <w:ind w:left="524" w:right="0" w:hanging="418"/>
              <w:jc w:val="left"/>
              <w:rPr>
                <w:b/>
                <w:sz w:val="22"/>
              </w:rPr>
            </w:pPr>
            <w:r>
              <w:rPr>
                <w:b/>
                <w:sz w:val="22"/>
              </w:rPr>
              <w:t>Bedienstete</w:t>
            </w:r>
            <w:r>
              <w:rPr>
                <w:b/>
                <w:spacing w:val="-13"/>
                <w:sz w:val="22"/>
              </w:rPr>
              <w:t> </w:t>
            </w:r>
            <w:r>
              <w:rPr>
                <w:b/>
                <w:sz w:val="22"/>
              </w:rPr>
              <w:t>der</w:t>
            </w:r>
            <w:r>
              <w:rPr>
                <w:b/>
                <w:spacing w:val="-12"/>
                <w:sz w:val="22"/>
              </w:rPr>
              <w:t> </w:t>
            </w:r>
            <w:r>
              <w:rPr>
                <w:b/>
                <w:sz w:val="22"/>
              </w:rPr>
              <w:t>folgenden</w:t>
            </w:r>
            <w:r>
              <w:rPr>
                <w:b/>
                <w:spacing w:val="-11"/>
                <w:sz w:val="22"/>
              </w:rPr>
              <w:t> </w:t>
            </w:r>
            <w:r>
              <w:rPr>
                <w:b/>
                <w:sz w:val="22"/>
              </w:rPr>
              <w:t>EFTA-Staaten</w:t>
            </w:r>
            <w:r>
              <w:rPr>
                <w:b/>
                <w:spacing w:val="-11"/>
                <w:sz w:val="22"/>
              </w:rPr>
              <w:t> </w:t>
            </w:r>
            <w:r>
              <w:rPr>
                <w:b/>
                <w:spacing w:val="-2"/>
                <w:sz w:val="22"/>
              </w:rPr>
              <w:t>bewerben:</w:t>
            </w:r>
          </w:p>
          <w:p>
            <w:pPr>
              <w:pStyle w:val="TableParagraph"/>
              <w:numPr>
                <w:ilvl w:val="1"/>
                <w:numId w:val="3"/>
              </w:numPr>
              <w:tabs>
                <w:tab w:pos="817" w:val="left" w:leader="none"/>
              </w:tabs>
              <w:spacing w:line="240" w:lineRule="auto" w:before="0" w:after="0"/>
              <w:ind w:left="816" w:right="0" w:hanging="251"/>
              <w:jc w:val="left"/>
              <w:rPr>
                <w:b/>
                <w:sz w:val="22"/>
              </w:rPr>
            </w:pPr>
            <w:r>
              <w:rPr>
                <w:b/>
                <w:sz w:val="22"/>
              </w:rPr>
              <w:t>Island</w:t>
            </w:r>
            <w:r>
              <w:rPr>
                <w:b/>
                <w:spacing w:val="-7"/>
                <w:sz w:val="22"/>
              </w:rPr>
              <w:t> </w:t>
            </w:r>
            <w:r>
              <w:rPr>
                <w:rFonts w:ascii="Wingdings 2" w:hAnsi="Wingdings 2"/>
                <w:sz w:val="22"/>
              </w:rPr>
              <w:t></w:t>
            </w:r>
            <w:r>
              <w:rPr>
                <w:spacing w:val="-7"/>
                <w:sz w:val="22"/>
              </w:rPr>
              <w:t> </w:t>
            </w:r>
            <w:r>
              <w:rPr>
                <w:b/>
                <w:sz w:val="22"/>
              </w:rPr>
              <w:t>Liechtenstein</w:t>
            </w:r>
            <w:r>
              <w:rPr>
                <w:b/>
                <w:spacing w:val="-7"/>
                <w:sz w:val="22"/>
              </w:rPr>
              <w:t> </w:t>
            </w:r>
            <w:r>
              <w:rPr>
                <w:rFonts w:ascii="Wingdings 2" w:hAnsi="Wingdings 2"/>
                <w:sz w:val="22"/>
              </w:rPr>
              <w:t></w:t>
            </w:r>
            <w:r>
              <w:rPr>
                <w:spacing w:val="-6"/>
                <w:sz w:val="22"/>
              </w:rPr>
              <w:t> </w:t>
            </w:r>
            <w:r>
              <w:rPr>
                <w:b/>
                <w:sz w:val="22"/>
              </w:rPr>
              <w:t>Norwegen</w:t>
            </w:r>
            <w:r>
              <w:rPr>
                <w:b/>
                <w:spacing w:val="-7"/>
                <w:sz w:val="22"/>
              </w:rPr>
              <w:t> </w:t>
            </w:r>
            <w:r>
              <w:rPr>
                <w:rFonts w:ascii="Wingdings 2" w:hAnsi="Wingdings 2"/>
                <w:sz w:val="22"/>
              </w:rPr>
              <w:t></w:t>
            </w:r>
            <w:r>
              <w:rPr>
                <w:spacing w:val="-7"/>
                <w:sz w:val="22"/>
              </w:rPr>
              <w:t> </w:t>
            </w:r>
            <w:r>
              <w:rPr>
                <w:b/>
                <w:sz w:val="22"/>
              </w:rPr>
              <w:t>die</w:t>
            </w:r>
            <w:r>
              <w:rPr>
                <w:b/>
                <w:spacing w:val="-7"/>
                <w:sz w:val="22"/>
              </w:rPr>
              <w:t> </w:t>
            </w:r>
            <w:r>
              <w:rPr>
                <w:b/>
                <w:spacing w:val="-2"/>
                <w:sz w:val="22"/>
              </w:rPr>
              <w:t>Schweiz</w:t>
            </w:r>
          </w:p>
          <w:p>
            <w:pPr>
              <w:pStyle w:val="TableParagraph"/>
              <w:numPr>
                <w:ilvl w:val="1"/>
                <w:numId w:val="3"/>
              </w:numPr>
              <w:tabs>
                <w:tab w:pos="817" w:val="left" w:leader="none"/>
              </w:tabs>
              <w:spacing w:line="240" w:lineRule="auto" w:before="0" w:after="0"/>
              <w:ind w:left="816" w:right="0" w:hanging="251"/>
              <w:jc w:val="left"/>
              <w:rPr>
                <w:b/>
                <w:sz w:val="22"/>
              </w:rPr>
            </w:pPr>
            <w:r>
              <w:rPr>
                <w:b/>
                <w:sz w:val="22"/>
              </w:rPr>
              <w:t>EFTA-EEA</w:t>
            </w:r>
            <w:r>
              <w:rPr>
                <w:b/>
                <w:spacing w:val="-11"/>
                <w:sz w:val="22"/>
              </w:rPr>
              <w:t> </w:t>
            </w:r>
            <w:r>
              <w:rPr>
                <w:b/>
                <w:sz w:val="22"/>
              </w:rPr>
              <w:t>in</w:t>
            </w:r>
            <w:r>
              <w:rPr>
                <w:b/>
                <w:spacing w:val="-9"/>
                <w:sz w:val="22"/>
              </w:rPr>
              <w:t> </w:t>
            </w:r>
            <w:r>
              <w:rPr>
                <w:b/>
                <w:sz w:val="22"/>
              </w:rPr>
              <w:t>Kind</w:t>
            </w:r>
            <w:r>
              <w:rPr>
                <w:b/>
                <w:spacing w:val="-10"/>
                <w:sz w:val="22"/>
              </w:rPr>
              <w:t> </w:t>
            </w:r>
            <w:r>
              <w:rPr>
                <w:b/>
                <w:sz w:val="22"/>
              </w:rPr>
              <w:t>Abkommen</w:t>
            </w:r>
            <w:r>
              <w:rPr>
                <w:b/>
                <w:spacing w:val="-9"/>
                <w:sz w:val="22"/>
              </w:rPr>
              <w:t> </w:t>
            </w:r>
            <w:r>
              <w:rPr>
                <w:b/>
                <w:sz w:val="22"/>
              </w:rPr>
              <w:t>(Island,</w:t>
            </w:r>
            <w:r>
              <w:rPr>
                <w:b/>
                <w:spacing w:val="-10"/>
                <w:sz w:val="22"/>
              </w:rPr>
              <w:t> </w:t>
            </w:r>
            <w:r>
              <w:rPr>
                <w:b/>
                <w:sz w:val="22"/>
              </w:rPr>
              <w:t>Liechtenstein,</w:t>
            </w:r>
            <w:r>
              <w:rPr>
                <w:b/>
                <w:spacing w:val="-10"/>
                <w:sz w:val="22"/>
              </w:rPr>
              <w:t> </w:t>
            </w:r>
            <w:r>
              <w:rPr>
                <w:b/>
                <w:spacing w:val="-2"/>
                <w:sz w:val="22"/>
              </w:rPr>
              <w:t>Norwegen)</w:t>
            </w:r>
          </w:p>
          <w:p>
            <w:pPr>
              <w:pStyle w:val="TableParagraph"/>
              <w:numPr>
                <w:ilvl w:val="0"/>
                <w:numId w:val="3"/>
              </w:numPr>
              <w:tabs>
                <w:tab w:pos="524" w:val="left" w:leader="none"/>
                <w:tab w:pos="525" w:val="left" w:leader="none"/>
              </w:tabs>
              <w:spacing w:line="240" w:lineRule="auto" w:before="0" w:after="0"/>
              <w:ind w:left="524" w:right="0" w:hanging="418"/>
              <w:jc w:val="left"/>
              <w:rPr>
                <w:b/>
                <w:sz w:val="22"/>
              </w:rPr>
            </w:pPr>
            <w:r>
              <w:rPr>
                <w:b/>
                <w:sz w:val="22"/>
              </w:rPr>
              <w:t>Bedienstete</w:t>
            </w:r>
            <w:r>
              <w:rPr>
                <w:b/>
                <w:spacing w:val="-12"/>
                <w:sz w:val="22"/>
              </w:rPr>
              <w:t> </w:t>
            </w:r>
            <w:r>
              <w:rPr>
                <w:b/>
                <w:sz w:val="22"/>
              </w:rPr>
              <w:t>der</w:t>
            </w:r>
            <w:r>
              <w:rPr>
                <w:b/>
                <w:spacing w:val="-12"/>
                <w:sz w:val="22"/>
              </w:rPr>
              <w:t> </w:t>
            </w:r>
            <w:r>
              <w:rPr>
                <w:b/>
                <w:sz w:val="22"/>
              </w:rPr>
              <w:t>folgenden</w:t>
            </w:r>
            <w:r>
              <w:rPr>
                <w:b/>
                <w:spacing w:val="-11"/>
                <w:sz w:val="22"/>
              </w:rPr>
              <w:t> </w:t>
            </w:r>
            <w:r>
              <w:rPr>
                <w:b/>
                <w:sz w:val="22"/>
              </w:rPr>
              <w:t>Drittländer</w:t>
            </w:r>
            <w:r>
              <w:rPr>
                <w:b/>
                <w:spacing w:val="-11"/>
                <w:sz w:val="22"/>
              </w:rPr>
              <w:t> </w:t>
            </w:r>
            <w:r>
              <w:rPr>
                <w:b/>
                <w:spacing w:val="-2"/>
                <w:sz w:val="22"/>
              </w:rPr>
              <w:t>bewerben:</w:t>
            </w:r>
          </w:p>
          <w:p>
            <w:pPr>
              <w:pStyle w:val="TableParagraph"/>
              <w:numPr>
                <w:ilvl w:val="0"/>
                <w:numId w:val="3"/>
              </w:numPr>
              <w:tabs>
                <w:tab w:pos="524" w:val="left" w:leader="none"/>
                <w:tab w:pos="525" w:val="left" w:leader="none"/>
              </w:tabs>
              <w:spacing w:line="240" w:lineRule="auto" w:before="1" w:after="0"/>
              <w:ind w:left="524" w:right="0" w:hanging="418"/>
              <w:jc w:val="left"/>
              <w:rPr>
                <w:b/>
                <w:sz w:val="22"/>
              </w:rPr>
            </w:pPr>
            <w:r>
              <w:rPr>
                <w:b/>
                <w:spacing w:val="-2"/>
                <w:sz w:val="22"/>
              </w:rPr>
              <w:t>Bedienstete</w:t>
            </w:r>
            <w:r>
              <w:rPr>
                <w:b/>
                <w:spacing w:val="8"/>
                <w:sz w:val="22"/>
              </w:rPr>
              <w:t> </w:t>
            </w:r>
            <w:r>
              <w:rPr>
                <w:b/>
                <w:spacing w:val="-2"/>
                <w:sz w:val="22"/>
              </w:rPr>
              <w:t>folgender</w:t>
            </w:r>
            <w:r>
              <w:rPr>
                <w:b/>
                <w:spacing w:val="11"/>
                <w:sz w:val="22"/>
              </w:rPr>
              <w:t> </w:t>
            </w:r>
            <w:r>
              <w:rPr>
                <w:b/>
                <w:spacing w:val="-2"/>
                <w:sz w:val="22"/>
              </w:rPr>
              <w:t>zwischenstaatlicher</w:t>
            </w:r>
            <w:r>
              <w:rPr>
                <w:b/>
                <w:spacing w:val="8"/>
                <w:sz w:val="22"/>
              </w:rPr>
              <w:t> </w:t>
            </w:r>
            <w:r>
              <w:rPr>
                <w:b/>
                <w:spacing w:val="-2"/>
                <w:sz w:val="22"/>
              </w:rPr>
              <w:t>Organisationen</w:t>
            </w:r>
            <w:r>
              <w:rPr>
                <w:b/>
                <w:spacing w:val="9"/>
                <w:sz w:val="22"/>
              </w:rPr>
              <w:t> </w:t>
            </w:r>
            <w:r>
              <w:rPr>
                <w:b/>
                <w:spacing w:val="-2"/>
                <w:sz w:val="22"/>
              </w:rPr>
              <w:t>bewerben:</w:t>
            </w:r>
          </w:p>
        </w:tc>
      </w:tr>
    </w:tbl>
    <w:p>
      <w:pPr>
        <w:pStyle w:val="BodyText"/>
        <w:spacing w:before="1"/>
        <w:rPr>
          <w:b/>
          <w:sz w:val="24"/>
        </w:rPr>
      </w:pPr>
    </w:p>
    <w:p>
      <w:pPr>
        <w:pStyle w:val="ListParagraph"/>
        <w:numPr>
          <w:ilvl w:val="0"/>
          <w:numId w:val="4"/>
        </w:numPr>
        <w:tabs>
          <w:tab w:pos="796" w:val="left" w:leader="none"/>
          <w:tab w:pos="797" w:val="left" w:leader="none"/>
        </w:tabs>
        <w:spacing w:line="240" w:lineRule="auto" w:before="1" w:after="0"/>
        <w:ind w:left="796" w:right="0" w:hanging="427"/>
        <w:jc w:val="left"/>
        <w:rPr>
          <w:b/>
          <w:sz w:val="24"/>
        </w:rPr>
      </w:pPr>
      <w:r>
        <w:rPr>
          <w:b/>
          <w:sz w:val="24"/>
          <w:u w:val="single"/>
        </w:rPr>
        <w:t>Art</w:t>
      </w:r>
      <w:r>
        <w:rPr>
          <w:b/>
          <w:spacing w:val="-1"/>
          <w:sz w:val="24"/>
          <w:u w:val="single"/>
        </w:rPr>
        <w:t> </w:t>
      </w:r>
      <w:r>
        <w:rPr>
          <w:b/>
          <w:sz w:val="24"/>
          <w:u w:val="single"/>
        </w:rPr>
        <w:t>der</w:t>
      </w:r>
      <w:r>
        <w:rPr>
          <w:b/>
          <w:spacing w:val="-1"/>
          <w:sz w:val="24"/>
          <w:u w:val="single"/>
        </w:rPr>
        <w:t> </w:t>
      </w:r>
      <w:r>
        <w:rPr>
          <w:b/>
          <w:spacing w:val="-2"/>
          <w:sz w:val="24"/>
          <w:u w:val="single"/>
        </w:rPr>
        <w:t>Tätigkeit</w:t>
      </w:r>
    </w:p>
    <w:p>
      <w:pPr>
        <w:pStyle w:val="BodyText"/>
        <w:spacing w:before="10"/>
        <w:rPr>
          <w:b/>
          <w:sz w:val="15"/>
        </w:rPr>
      </w:pPr>
    </w:p>
    <w:p>
      <w:pPr>
        <w:spacing w:before="94"/>
        <w:ind w:left="370" w:right="112" w:firstLine="0"/>
        <w:jc w:val="left"/>
        <w:rPr>
          <w:rFonts w:ascii="Arial" w:hAnsi="Arial"/>
          <w:sz w:val="20"/>
        </w:rPr>
      </w:pPr>
      <w:r>
        <w:rPr>
          <w:rFonts w:ascii="Arial" w:hAnsi="Arial"/>
          <w:sz w:val="20"/>
        </w:rPr>
        <w:t>Wir</w:t>
      </w:r>
      <w:r>
        <w:rPr>
          <w:rFonts w:ascii="Arial" w:hAnsi="Arial"/>
          <w:spacing w:val="-3"/>
          <w:sz w:val="20"/>
        </w:rPr>
        <w:t> </w:t>
      </w:r>
      <w:r>
        <w:rPr>
          <w:rFonts w:ascii="Arial" w:hAnsi="Arial"/>
          <w:sz w:val="20"/>
        </w:rPr>
        <w:t>sind</w:t>
      </w:r>
      <w:r>
        <w:rPr>
          <w:rFonts w:ascii="Arial" w:hAnsi="Arial"/>
          <w:spacing w:val="-2"/>
          <w:sz w:val="20"/>
        </w:rPr>
        <w:t> </w:t>
      </w:r>
      <w:r>
        <w:rPr>
          <w:rFonts w:ascii="Arial" w:hAnsi="Arial"/>
          <w:sz w:val="20"/>
        </w:rPr>
        <w:t>das</w:t>
      </w:r>
      <w:r>
        <w:rPr>
          <w:rFonts w:ascii="Arial" w:hAnsi="Arial"/>
          <w:spacing w:val="-2"/>
          <w:sz w:val="20"/>
        </w:rPr>
        <w:t> </w:t>
      </w:r>
      <w:r>
        <w:rPr>
          <w:rFonts w:ascii="Arial" w:hAnsi="Arial"/>
          <w:sz w:val="20"/>
        </w:rPr>
        <w:t>Referat</w:t>
      </w:r>
      <w:r>
        <w:rPr>
          <w:rFonts w:ascii="Arial" w:hAnsi="Arial"/>
          <w:spacing w:val="-2"/>
          <w:sz w:val="20"/>
        </w:rPr>
        <w:t> </w:t>
      </w:r>
      <w:r>
        <w:rPr>
          <w:rFonts w:ascii="Arial" w:hAnsi="Arial"/>
          <w:sz w:val="20"/>
        </w:rPr>
        <w:t>„Fähigkeiten,</w:t>
      </w:r>
      <w:r>
        <w:rPr>
          <w:rFonts w:ascii="Arial" w:hAnsi="Arial"/>
          <w:spacing w:val="-2"/>
          <w:sz w:val="20"/>
        </w:rPr>
        <w:t> </w:t>
      </w:r>
      <w:r>
        <w:rPr>
          <w:rFonts w:ascii="Arial" w:hAnsi="Arial"/>
          <w:sz w:val="20"/>
        </w:rPr>
        <w:t>Dienstleistungen,</w:t>
      </w:r>
      <w:r>
        <w:rPr>
          <w:rFonts w:ascii="Arial" w:hAnsi="Arial"/>
          <w:spacing w:val="-2"/>
          <w:sz w:val="20"/>
        </w:rPr>
        <w:t> </w:t>
      </w:r>
      <w:r>
        <w:rPr>
          <w:rFonts w:ascii="Arial" w:hAnsi="Arial"/>
          <w:sz w:val="20"/>
        </w:rPr>
        <w:t>Berufe“</w:t>
      </w:r>
      <w:r>
        <w:rPr>
          <w:rFonts w:ascii="Arial" w:hAnsi="Arial"/>
          <w:spacing w:val="-1"/>
          <w:sz w:val="20"/>
        </w:rPr>
        <w:t> </w:t>
      </w:r>
      <w:r>
        <w:rPr>
          <w:rFonts w:ascii="Arial" w:hAnsi="Arial"/>
          <w:sz w:val="20"/>
        </w:rPr>
        <w:t>der</w:t>
      </w:r>
      <w:r>
        <w:rPr>
          <w:rFonts w:ascii="Arial" w:hAnsi="Arial"/>
          <w:spacing w:val="-1"/>
          <w:sz w:val="20"/>
        </w:rPr>
        <w:t> </w:t>
      </w:r>
      <w:r>
        <w:rPr>
          <w:rFonts w:ascii="Arial" w:hAnsi="Arial"/>
          <w:sz w:val="20"/>
        </w:rPr>
        <w:t>GD</w:t>
      </w:r>
      <w:r>
        <w:rPr>
          <w:rFonts w:ascii="Arial" w:hAnsi="Arial"/>
          <w:spacing w:val="-1"/>
          <w:sz w:val="20"/>
        </w:rPr>
        <w:t> </w:t>
      </w:r>
      <w:r>
        <w:rPr>
          <w:rFonts w:ascii="Arial" w:hAnsi="Arial"/>
          <w:sz w:val="20"/>
        </w:rPr>
        <w:t>GROW,</w:t>
      </w:r>
      <w:r>
        <w:rPr>
          <w:rFonts w:ascii="Arial" w:hAnsi="Arial"/>
          <w:spacing w:val="-2"/>
          <w:sz w:val="20"/>
        </w:rPr>
        <w:t> </w:t>
      </w:r>
      <w:r>
        <w:rPr>
          <w:rFonts w:ascii="Arial" w:hAnsi="Arial"/>
          <w:sz w:val="20"/>
        </w:rPr>
        <w:t>das</w:t>
      </w:r>
      <w:r>
        <w:rPr>
          <w:rFonts w:ascii="Arial" w:hAnsi="Arial"/>
          <w:spacing w:val="-1"/>
          <w:sz w:val="20"/>
        </w:rPr>
        <w:t> </w:t>
      </w:r>
      <w:r>
        <w:rPr>
          <w:rFonts w:ascii="Arial" w:hAnsi="Arial"/>
          <w:sz w:val="20"/>
        </w:rPr>
        <w:t>für</w:t>
      </w:r>
      <w:r>
        <w:rPr>
          <w:rFonts w:ascii="Arial" w:hAnsi="Arial"/>
          <w:spacing w:val="-1"/>
          <w:sz w:val="20"/>
        </w:rPr>
        <w:t> </w:t>
      </w:r>
      <w:r>
        <w:rPr>
          <w:rFonts w:ascii="Arial" w:hAnsi="Arial"/>
          <w:sz w:val="20"/>
        </w:rPr>
        <w:t>die</w:t>
      </w:r>
      <w:r>
        <w:rPr>
          <w:rFonts w:ascii="Arial" w:hAnsi="Arial"/>
          <w:spacing w:val="-2"/>
          <w:sz w:val="20"/>
        </w:rPr>
        <w:t> </w:t>
      </w:r>
      <w:r>
        <w:rPr>
          <w:rFonts w:ascii="Arial" w:hAnsi="Arial"/>
          <w:sz w:val="20"/>
        </w:rPr>
        <w:t>Entwicklung</w:t>
      </w:r>
      <w:r>
        <w:rPr>
          <w:rFonts w:ascii="Arial" w:hAnsi="Arial"/>
          <w:spacing w:val="-2"/>
          <w:sz w:val="20"/>
        </w:rPr>
        <w:t> </w:t>
      </w:r>
      <w:r>
        <w:rPr>
          <w:rFonts w:ascii="Arial" w:hAnsi="Arial"/>
          <w:sz w:val="20"/>
        </w:rPr>
        <w:t>der</w:t>
      </w:r>
      <w:r>
        <w:rPr>
          <w:rFonts w:ascii="Arial" w:hAnsi="Arial"/>
          <w:spacing w:val="-1"/>
          <w:sz w:val="20"/>
        </w:rPr>
        <w:t> </w:t>
      </w:r>
      <w:r>
        <w:rPr>
          <w:rFonts w:ascii="Arial" w:hAnsi="Arial"/>
          <w:sz w:val="20"/>
        </w:rPr>
        <w:t>EU-Politik für den Binnenmarkt für Dienstleistungen zuständig ist. Unser Ziel ist es, günstige Bedingungen für Unternehmen für die Erbringung von Dienstleistungen in einem anderen EU-Mitgliedstaat zu schaffen und sicherzustellen, dass Bürger, die in einem reglementierten Beruf in einem anderen Mitgliedstaat arbeiten wollen, ihre Berufsqualifikationen anerkannt bekommen können. Beim Übergang zu einer grünen und digitalen Wirtschaft unterstützen wir Unternehmen bei der Weiterqualifizierung und Umschulung ihrer Arbeitnehmer, um den Herausforderungen</w:t>
      </w:r>
      <w:r>
        <w:rPr>
          <w:rFonts w:ascii="Arial" w:hAnsi="Arial"/>
          <w:spacing w:val="-3"/>
          <w:sz w:val="20"/>
        </w:rPr>
        <w:t> </w:t>
      </w:r>
      <w:r>
        <w:rPr>
          <w:rFonts w:ascii="Arial" w:hAnsi="Arial"/>
          <w:sz w:val="20"/>
        </w:rPr>
        <w:t>dieses</w:t>
      </w:r>
      <w:r>
        <w:rPr>
          <w:rFonts w:ascii="Arial" w:hAnsi="Arial"/>
          <w:spacing w:val="-3"/>
          <w:sz w:val="20"/>
        </w:rPr>
        <w:t> </w:t>
      </w:r>
      <w:r>
        <w:rPr>
          <w:rFonts w:ascii="Arial" w:hAnsi="Arial"/>
          <w:sz w:val="20"/>
        </w:rPr>
        <w:t>Wandels</w:t>
      </w:r>
      <w:r>
        <w:rPr>
          <w:rFonts w:ascii="Arial" w:hAnsi="Arial"/>
          <w:spacing w:val="-3"/>
          <w:sz w:val="20"/>
        </w:rPr>
        <w:t> </w:t>
      </w:r>
      <w:r>
        <w:rPr>
          <w:rFonts w:ascii="Arial" w:hAnsi="Arial"/>
          <w:sz w:val="20"/>
        </w:rPr>
        <w:t>zu</w:t>
      </w:r>
      <w:r>
        <w:rPr>
          <w:rFonts w:ascii="Arial" w:hAnsi="Arial"/>
          <w:spacing w:val="-4"/>
          <w:sz w:val="20"/>
        </w:rPr>
        <w:t> </w:t>
      </w:r>
      <w:r>
        <w:rPr>
          <w:rFonts w:ascii="Arial" w:hAnsi="Arial"/>
          <w:sz w:val="20"/>
        </w:rPr>
        <w:t>begegnen.</w:t>
      </w:r>
      <w:r>
        <w:rPr>
          <w:rFonts w:ascii="Arial" w:hAnsi="Arial"/>
          <w:spacing w:val="-5"/>
          <w:sz w:val="20"/>
        </w:rPr>
        <w:t> </w:t>
      </w:r>
      <w:r>
        <w:rPr>
          <w:rFonts w:ascii="Arial" w:hAnsi="Arial"/>
          <w:sz w:val="20"/>
        </w:rPr>
        <w:t>Unser</w:t>
      </w:r>
      <w:r>
        <w:rPr>
          <w:rFonts w:ascii="Arial" w:hAnsi="Arial"/>
          <w:spacing w:val="-2"/>
          <w:sz w:val="20"/>
        </w:rPr>
        <w:t> </w:t>
      </w:r>
      <w:r>
        <w:rPr>
          <w:rFonts w:ascii="Arial" w:hAnsi="Arial"/>
          <w:sz w:val="20"/>
        </w:rPr>
        <w:t>Auftrag</w:t>
      </w:r>
      <w:r>
        <w:rPr>
          <w:rFonts w:ascii="Arial" w:hAnsi="Arial"/>
          <w:spacing w:val="-4"/>
          <w:sz w:val="20"/>
        </w:rPr>
        <w:t> </w:t>
      </w:r>
      <w:r>
        <w:rPr>
          <w:rFonts w:ascii="Arial" w:hAnsi="Arial"/>
          <w:sz w:val="20"/>
        </w:rPr>
        <w:t>steht</w:t>
      </w:r>
      <w:r>
        <w:rPr>
          <w:rFonts w:ascii="Arial" w:hAnsi="Arial"/>
          <w:spacing w:val="-3"/>
          <w:sz w:val="20"/>
        </w:rPr>
        <w:t> </w:t>
      </w:r>
      <w:r>
        <w:rPr>
          <w:rFonts w:ascii="Arial" w:hAnsi="Arial"/>
          <w:sz w:val="20"/>
        </w:rPr>
        <w:t>im</w:t>
      </w:r>
      <w:r>
        <w:rPr>
          <w:rFonts w:ascii="Arial" w:hAnsi="Arial"/>
          <w:spacing w:val="-3"/>
          <w:sz w:val="20"/>
        </w:rPr>
        <w:t> </w:t>
      </w:r>
      <w:r>
        <w:rPr>
          <w:rFonts w:ascii="Arial" w:hAnsi="Arial"/>
          <w:sz w:val="20"/>
        </w:rPr>
        <w:t>Mittelpunkt</w:t>
      </w:r>
      <w:r>
        <w:rPr>
          <w:rFonts w:ascii="Arial" w:hAnsi="Arial"/>
          <w:spacing w:val="-3"/>
          <w:sz w:val="20"/>
        </w:rPr>
        <w:t> </w:t>
      </w:r>
      <w:r>
        <w:rPr>
          <w:rFonts w:ascii="Arial" w:hAnsi="Arial"/>
          <w:sz w:val="20"/>
        </w:rPr>
        <w:t>des</w:t>
      </w:r>
      <w:r>
        <w:rPr>
          <w:rFonts w:ascii="Arial" w:hAnsi="Arial"/>
          <w:spacing w:val="-2"/>
          <w:sz w:val="20"/>
        </w:rPr>
        <w:t> </w:t>
      </w:r>
      <w:r>
        <w:rPr>
          <w:rFonts w:ascii="Arial" w:hAnsi="Arial"/>
          <w:sz w:val="20"/>
        </w:rPr>
        <w:t>EU-Binnenmarktprojekts: neue Chancen für Bürger und Unternehmen in Europa zu schaffen.</w:t>
      </w:r>
    </w:p>
    <w:p>
      <w:pPr>
        <w:pStyle w:val="BodyText"/>
        <w:spacing w:before="10"/>
        <w:rPr>
          <w:rFonts w:ascii="Arial"/>
          <w:sz w:val="19"/>
        </w:rPr>
      </w:pPr>
    </w:p>
    <w:p>
      <w:pPr>
        <w:spacing w:before="1"/>
        <w:ind w:left="369" w:right="112" w:firstLine="0"/>
        <w:jc w:val="left"/>
        <w:rPr>
          <w:rFonts w:ascii="Arial" w:hAnsi="Arial"/>
          <w:sz w:val="20"/>
        </w:rPr>
      </w:pPr>
      <w:r>
        <w:rPr>
          <w:rFonts w:ascii="Arial" w:hAnsi="Arial"/>
          <w:sz w:val="20"/>
        </w:rPr>
        <w:t>Wir</w:t>
      </w:r>
      <w:r>
        <w:rPr>
          <w:rFonts w:ascii="Arial" w:hAnsi="Arial"/>
          <w:spacing w:val="-5"/>
          <w:sz w:val="20"/>
        </w:rPr>
        <w:t> </w:t>
      </w:r>
      <w:r>
        <w:rPr>
          <w:rFonts w:ascii="Arial" w:hAnsi="Arial"/>
          <w:sz w:val="20"/>
        </w:rPr>
        <w:t>suchen</w:t>
      </w:r>
      <w:r>
        <w:rPr>
          <w:rFonts w:ascii="Arial" w:hAnsi="Arial"/>
          <w:spacing w:val="-4"/>
          <w:sz w:val="20"/>
        </w:rPr>
        <w:t> </w:t>
      </w:r>
      <w:r>
        <w:rPr>
          <w:rFonts w:ascii="Arial" w:hAnsi="Arial"/>
          <w:sz w:val="20"/>
        </w:rPr>
        <w:t>eine/einen</w:t>
      </w:r>
      <w:r>
        <w:rPr>
          <w:rFonts w:ascii="Arial" w:hAnsi="Arial"/>
          <w:spacing w:val="-4"/>
          <w:sz w:val="20"/>
        </w:rPr>
        <w:t> </w:t>
      </w:r>
      <w:r>
        <w:rPr>
          <w:rFonts w:ascii="Arial" w:hAnsi="Arial"/>
          <w:sz w:val="20"/>
        </w:rPr>
        <w:t>Referentin/Referent</w:t>
      </w:r>
      <w:r>
        <w:rPr>
          <w:rFonts w:ascii="Arial" w:hAnsi="Arial"/>
          <w:spacing w:val="-4"/>
          <w:sz w:val="20"/>
        </w:rPr>
        <w:t> </w:t>
      </w:r>
      <w:r>
        <w:rPr>
          <w:rFonts w:ascii="Arial" w:hAnsi="Arial"/>
          <w:sz w:val="20"/>
        </w:rPr>
        <w:t>bzw.</w:t>
      </w:r>
      <w:r>
        <w:rPr>
          <w:rFonts w:ascii="Arial" w:hAnsi="Arial"/>
          <w:spacing w:val="-4"/>
          <w:sz w:val="20"/>
        </w:rPr>
        <w:t> </w:t>
      </w:r>
      <w:r>
        <w:rPr>
          <w:rFonts w:ascii="Arial" w:hAnsi="Arial"/>
          <w:sz w:val="20"/>
        </w:rPr>
        <w:t>Rechtsreferentin/Rechtsreferent</w:t>
      </w:r>
      <w:r>
        <w:rPr>
          <w:rFonts w:ascii="Arial" w:hAnsi="Arial"/>
          <w:spacing w:val="-4"/>
          <w:sz w:val="20"/>
        </w:rPr>
        <w:t> </w:t>
      </w:r>
      <w:r>
        <w:rPr>
          <w:rFonts w:ascii="Arial" w:hAnsi="Arial"/>
          <w:sz w:val="20"/>
        </w:rPr>
        <w:t>für</w:t>
      </w:r>
      <w:r>
        <w:rPr>
          <w:rFonts w:ascii="Arial" w:hAnsi="Arial"/>
          <w:spacing w:val="-3"/>
          <w:sz w:val="20"/>
        </w:rPr>
        <w:t> </w:t>
      </w:r>
      <w:r>
        <w:rPr>
          <w:rFonts w:ascii="Arial" w:hAnsi="Arial"/>
          <w:sz w:val="20"/>
        </w:rPr>
        <w:t>unseren</w:t>
      </w:r>
      <w:r>
        <w:rPr>
          <w:rFonts w:ascii="Arial" w:hAnsi="Arial"/>
          <w:spacing w:val="-4"/>
          <w:sz w:val="20"/>
        </w:rPr>
        <w:t> </w:t>
      </w:r>
      <w:r>
        <w:rPr>
          <w:rFonts w:ascii="Arial" w:hAnsi="Arial"/>
          <w:sz w:val="20"/>
        </w:rPr>
        <w:t>Berufs-</w:t>
      </w:r>
      <w:r>
        <w:rPr>
          <w:rFonts w:ascii="Arial" w:hAnsi="Arial"/>
          <w:spacing w:val="-4"/>
          <w:sz w:val="20"/>
        </w:rPr>
        <w:t> </w:t>
      </w:r>
      <w:r>
        <w:rPr>
          <w:rFonts w:ascii="Arial" w:hAnsi="Arial"/>
          <w:sz w:val="20"/>
        </w:rPr>
        <w:t>und </w:t>
      </w:r>
      <w:r>
        <w:rPr>
          <w:rFonts w:ascii="Arial" w:hAnsi="Arial"/>
          <w:spacing w:val="-2"/>
          <w:sz w:val="20"/>
        </w:rPr>
        <w:t>Dienstleistungsteams.</w:t>
      </w:r>
    </w:p>
    <w:p>
      <w:pPr>
        <w:spacing w:before="1"/>
        <w:ind w:left="369" w:right="129" w:firstLine="0"/>
        <w:jc w:val="left"/>
        <w:rPr>
          <w:rFonts w:ascii="Arial" w:hAnsi="Arial"/>
          <w:sz w:val="20"/>
        </w:rPr>
      </w:pPr>
      <w:r>
        <w:rPr>
          <w:rFonts w:ascii="Arial" w:hAnsi="Arial"/>
          <w:sz w:val="20"/>
        </w:rPr>
        <w:t>Das Berufsteam ist für die Entwicklung einer Politik für die Anerkennung von Berufsqualifikationen in allen EU- Mitgliedstaaten</w:t>
      </w:r>
      <w:r>
        <w:rPr>
          <w:rFonts w:ascii="Arial" w:hAnsi="Arial"/>
          <w:spacing w:val="-2"/>
          <w:sz w:val="20"/>
        </w:rPr>
        <w:t> </w:t>
      </w:r>
      <w:r>
        <w:rPr>
          <w:rFonts w:ascii="Arial" w:hAnsi="Arial"/>
          <w:sz w:val="20"/>
        </w:rPr>
        <w:t>zuständig,</w:t>
      </w:r>
      <w:r>
        <w:rPr>
          <w:rFonts w:ascii="Arial" w:hAnsi="Arial"/>
          <w:spacing w:val="-4"/>
          <w:sz w:val="20"/>
        </w:rPr>
        <w:t> </w:t>
      </w:r>
      <w:r>
        <w:rPr>
          <w:rFonts w:ascii="Arial" w:hAnsi="Arial"/>
          <w:sz w:val="20"/>
        </w:rPr>
        <w:t>die</w:t>
      </w:r>
      <w:r>
        <w:rPr>
          <w:rFonts w:ascii="Arial" w:hAnsi="Arial"/>
          <w:spacing w:val="-2"/>
          <w:sz w:val="20"/>
        </w:rPr>
        <w:t> </w:t>
      </w:r>
      <w:r>
        <w:rPr>
          <w:rFonts w:ascii="Arial" w:hAnsi="Arial"/>
          <w:sz w:val="20"/>
        </w:rPr>
        <w:t>es</w:t>
      </w:r>
      <w:r>
        <w:rPr>
          <w:rFonts w:ascii="Arial" w:hAnsi="Arial"/>
          <w:spacing w:val="-1"/>
          <w:sz w:val="20"/>
        </w:rPr>
        <w:t> </w:t>
      </w:r>
      <w:r>
        <w:rPr>
          <w:rFonts w:ascii="Arial" w:hAnsi="Arial"/>
          <w:sz w:val="20"/>
        </w:rPr>
        <w:t>den</w:t>
      </w:r>
      <w:r>
        <w:rPr>
          <w:rFonts w:ascii="Arial" w:hAnsi="Arial"/>
          <w:spacing w:val="-2"/>
          <w:sz w:val="20"/>
        </w:rPr>
        <w:t> </w:t>
      </w:r>
      <w:r>
        <w:rPr>
          <w:rFonts w:ascii="Arial" w:hAnsi="Arial"/>
          <w:sz w:val="20"/>
        </w:rPr>
        <w:t>Bürgerinnen</w:t>
      </w:r>
      <w:r>
        <w:rPr>
          <w:rFonts w:ascii="Arial" w:hAnsi="Arial"/>
          <w:spacing w:val="-2"/>
          <w:sz w:val="20"/>
        </w:rPr>
        <w:t> </w:t>
      </w:r>
      <w:r>
        <w:rPr>
          <w:rFonts w:ascii="Arial" w:hAnsi="Arial"/>
          <w:sz w:val="20"/>
        </w:rPr>
        <w:t>und</w:t>
      </w:r>
      <w:r>
        <w:rPr>
          <w:rFonts w:ascii="Arial" w:hAnsi="Arial"/>
          <w:spacing w:val="-2"/>
          <w:sz w:val="20"/>
        </w:rPr>
        <w:t> </w:t>
      </w:r>
      <w:r>
        <w:rPr>
          <w:rFonts w:ascii="Arial" w:hAnsi="Arial"/>
          <w:sz w:val="20"/>
        </w:rPr>
        <w:t>Bürgern</w:t>
      </w:r>
      <w:r>
        <w:rPr>
          <w:rFonts w:ascii="Arial" w:hAnsi="Arial"/>
          <w:spacing w:val="-2"/>
          <w:sz w:val="20"/>
        </w:rPr>
        <w:t> </w:t>
      </w:r>
      <w:r>
        <w:rPr>
          <w:rFonts w:ascii="Arial" w:hAnsi="Arial"/>
          <w:sz w:val="20"/>
        </w:rPr>
        <w:t>ermöglicht</w:t>
      </w:r>
      <w:r>
        <w:rPr>
          <w:rFonts w:ascii="Arial" w:hAnsi="Arial"/>
          <w:spacing w:val="-2"/>
          <w:sz w:val="20"/>
        </w:rPr>
        <w:t> </w:t>
      </w:r>
      <w:r>
        <w:rPr>
          <w:rFonts w:ascii="Arial" w:hAnsi="Arial"/>
          <w:sz w:val="20"/>
        </w:rPr>
        <w:t>in</w:t>
      </w:r>
      <w:r>
        <w:rPr>
          <w:rFonts w:ascii="Arial" w:hAnsi="Arial"/>
          <w:spacing w:val="-2"/>
          <w:sz w:val="20"/>
        </w:rPr>
        <w:t> </w:t>
      </w:r>
      <w:r>
        <w:rPr>
          <w:rFonts w:ascii="Arial" w:hAnsi="Arial"/>
          <w:sz w:val="20"/>
        </w:rPr>
        <w:t>anderen</w:t>
      </w:r>
      <w:r>
        <w:rPr>
          <w:rFonts w:ascii="Arial" w:hAnsi="Arial"/>
          <w:spacing w:val="-2"/>
          <w:sz w:val="20"/>
        </w:rPr>
        <w:t> </w:t>
      </w:r>
      <w:r>
        <w:rPr>
          <w:rFonts w:ascii="Arial" w:hAnsi="Arial"/>
          <w:sz w:val="20"/>
        </w:rPr>
        <w:t>Teilen</w:t>
      </w:r>
      <w:r>
        <w:rPr>
          <w:rFonts w:ascii="Arial" w:hAnsi="Arial"/>
          <w:spacing w:val="-3"/>
          <w:sz w:val="20"/>
        </w:rPr>
        <w:t> </w:t>
      </w:r>
      <w:r>
        <w:rPr>
          <w:rFonts w:ascii="Arial" w:hAnsi="Arial"/>
          <w:sz w:val="20"/>
        </w:rPr>
        <w:t>der</w:t>
      </w:r>
      <w:r>
        <w:rPr>
          <w:rFonts w:ascii="Arial" w:hAnsi="Arial"/>
          <w:spacing w:val="-1"/>
          <w:sz w:val="20"/>
        </w:rPr>
        <w:t> </w:t>
      </w:r>
      <w:r>
        <w:rPr>
          <w:rFonts w:ascii="Arial" w:hAnsi="Arial"/>
          <w:sz w:val="20"/>
        </w:rPr>
        <w:t>Union</w:t>
      </w:r>
      <w:r>
        <w:rPr>
          <w:rFonts w:ascii="Arial" w:hAnsi="Arial"/>
          <w:spacing w:val="-2"/>
          <w:sz w:val="20"/>
        </w:rPr>
        <w:t> </w:t>
      </w:r>
      <w:r>
        <w:rPr>
          <w:rFonts w:ascii="Arial" w:hAnsi="Arial"/>
          <w:sz w:val="20"/>
        </w:rPr>
        <w:t>zu</w:t>
      </w:r>
      <w:r>
        <w:rPr>
          <w:rFonts w:ascii="Arial" w:hAnsi="Arial"/>
          <w:spacing w:val="-3"/>
          <w:sz w:val="20"/>
        </w:rPr>
        <w:t> </w:t>
      </w:r>
      <w:r>
        <w:rPr>
          <w:rFonts w:ascii="Arial" w:hAnsi="Arial"/>
          <w:sz w:val="20"/>
        </w:rPr>
        <w:t>arbeiten, und Unternehmen dabei hilft dem Fachkräftemangel zu begegnen. Die Arbeit des Teams hilft Bürgerinnen und Bürgern</w:t>
      </w:r>
      <w:r>
        <w:rPr>
          <w:rFonts w:ascii="Arial" w:hAnsi="Arial"/>
          <w:spacing w:val="-1"/>
          <w:sz w:val="20"/>
        </w:rPr>
        <w:t> </w:t>
      </w:r>
      <w:r>
        <w:rPr>
          <w:rFonts w:ascii="Arial" w:hAnsi="Arial"/>
          <w:sz w:val="20"/>
        </w:rPr>
        <w:t>dabei</w:t>
      </w:r>
      <w:r>
        <w:rPr>
          <w:rFonts w:ascii="Arial" w:hAnsi="Arial"/>
          <w:spacing w:val="-1"/>
          <w:sz w:val="20"/>
        </w:rPr>
        <w:t> </w:t>
      </w:r>
      <w:r>
        <w:rPr>
          <w:rFonts w:ascii="Arial" w:hAnsi="Arial"/>
          <w:sz w:val="20"/>
        </w:rPr>
        <w:t>ihr Recht</w:t>
      </w:r>
      <w:r>
        <w:rPr>
          <w:rFonts w:ascii="Arial" w:hAnsi="Arial"/>
          <w:spacing w:val="-1"/>
          <w:sz w:val="20"/>
        </w:rPr>
        <w:t> </w:t>
      </w:r>
      <w:r>
        <w:rPr>
          <w:rFonts w:ascii="Arial" w:hAnsi="Arial"/>
          <w:sz w:val="20"/>
        </w:rPr>
        <w:t>in</w:t>
      </w:r>
      <w:r>
        <w:rPr>
          <w:rFonts w:ascii="Arial" w:hAnsi="Arial"/>
          <w:spacing w:val="-1"/>
          <w:sz w:val="20"/>
        </w:rPr>
        <w:t> </w:t>
      </w:r>
      <w:r>
        <w:rPr>
          <w:rFonts w:ascii="Arial" w:hAnsi="Arial"/>
          <w:sz w:val="20"/>
        </w:rPr>
        <w:t>einem</w:t>
      </w:r>
      <w:r>
        <w:rPr>
          <w:rFonts w:ascii="Arial" w:hAnsi="Arial"/>
          <w:spacing w:val="-1"/>
          <w:sz w:val="20"/>
        </w:rPr>
        <w:t> </w:t>
      </w:r>
      <w:r>
        <w:rPr>
          <w:rFonts w:ascii="Arial" w:hAnsi="Arial"/>
          <w:sz w:val="20"/>
        </w:rPr>
        <w:t>anderen</w:t>
      </w:r>
      <w:r>
        <w:rPr>
          <w:rFonts w:ascii="Arial" w:hAnsi="Arial"/>
          <w:spacing w:val="-1"/>
          <w:sz w:val="20"/>
        </w:rPr>
        <w:t> </w:t>
      </w:r>
      <w:r>
        <w:rPr>
          <w:rFonts w:ascii="Arial" w:hAnsi="Arial"/>
          <w:sz w:val="20"/>
        </w:rPr>
        <w:t>EU Staat</w:t>
      </w:r>
      <w:r>
        <w:rPr>
          <w:rFonts w:ascii="Arial" w:hAnsi="Arial"/>
          <w:spacing w:val="-1"/>
          <w:sz w:val="20"/>
        </w:rPr>
        <w:t> </w:t>
      </w:r>
      <w:r>
        <w:rPr>
          <w:rFonts w:ascii="Arial" w:hAnsi="Arial"/>
          <w:sz w:val="20"/>
        </w:rPr>
        <w:t>zu</w:t>
      </w:r>
      <w:r>
        <w:rPr>
          <w:rFonts w:ascii="Arial" w:hAnsi="Arial"/>
          <w:spacing w:val="-1"/>
          <w:sz w:val="20"/>
        </w:rPr>
        <w:t> </w:t>
      </w:r>
      <w:r>
        <w:rPr>
          <w:rFonts w:ascii="Arial" w:hAnsi="Arial"/>
          <w:sz w:val="20"/>
        </w:rPr>
        <w:t>arbeiten</w:t>
      </w:r>
      <w:r>
        <w:rPr>
          <w:rFonts w:ascii="Arial" w:hAnsi="Arial"/>
          <w:spacing w:val="-1"/>
          <w:sz w:val="20"/>
        </w:rPr>
        <w:t> </w:t>
      </w:r>
      <w:r>
        <w:rPr>
          <w:rFonts w:ascii="Arial" w:hAnsi="Arial"/>
          <w:sz w:val="20"/>
        </w:rPr>
        <w:t>in</w:t>
      </w:r>
      <w:r>
        <w:rPr>
          <w:rFonts w:ascii="Arial" w:hAnsi="Arial"/>
          <w:spacing w:val="-1"/>
          <w:sz w:val="20"/>
        </w:rPr>
        <w:t> </w:t>
      </w:r>
      <w:r>
        <w:rPr>
          <w:rFonts w:ascii="Arial" w:hAnsi="Arial"/>
          <w:sz w:val="20"/>
        </w:rPr>
        <w:t>der Praxis umzusetzen.</w:t>
      </w:r>
      <w:r>
        <w:rPr>
          <w:rFonts w:ascii="Arial" w:hAnsi="Arial"/>
          <w:spacing w:val="-1"/>
          <w:sz w:val="20"/>
        </w:rPr>
        <w:t> </w:t>
      </w:r>
      <w:r>
        <w:rPr>
          <w:rFonts w:ascii="Arial" w:hAnsi="Arial"/>
          <w:sz w:val="20"/>
        </w:rPr>
        <w:t>Darüber hinaus</w:t>
      </w:r>
      <w:r>
        <w:rPr>
          <w:rFonts w:ascii="Arial" w:hAnsi="Arial"/>
          <w:spacing w:val="-1"/>
          <w:sz w:val="20"/>
        </w:rPr>
        <w:t> </w:t>
      </w:r>
      <w:r>
        <w:rPr>
          <w:rFonts w:ascii="Arial" w:hAnsi="Arial"/>
          <w:sz w:val="20"/>
        </w:rPr>
        <w:t>trägt</w:t>
      </w:r>
      <w:r>
        <w:rPr>
          <w:rFonts w:ascii="Arial" w:hAnsi="Arial"/>
          <w:spacing w:val="-1"/>
          <w:sz w:val="20"/>
        </w:rPr>
        <w:t> </w:t>
      </w:r>
      <w:r>
        <w:rPr>
          <w:rFonts w:ascii="Arial" w:hAnsi="Arial"/>
          <w:sz w:val="20"/>
        </w:rPr>
        <w:t>sie dazu bei, Qualifikationslücken in der Wirtschaft zu schließen, indem die Mobilität qualifizierter Fachkräfte</w:t>
      </w:r>
      <w:r>
        <w:rPr>
          <w:rFonts w:ascii="Arial" w:hAnsi="Arial"/>
          <w:spacing w:val="40"/>
          <w:sz w:val="20"/>
        </w:rPr>
        <w:t> </w:t>
      </w:r>
      <w:r>
        <w:rPr>
          <w:rFonts w:ascii="Arial" w:hAnsi="Arial"/>
          <w:sz w:val="20"/>
        </w:rPr>
        <w:t>verbessert wird. Unser dynamisches Berufsteam besteht derzeit aus fünf Juristen. Als Teil des Teams würde der/die erfolgreiche Bewerber/Bewerberin zur Entwicklung und Umsetzung von politischen Strategien und Rechtsvorschriften in den Bereichen Berufsreglementierung und gegenseitige Anerkennung von Berufsqualifikationen beitragen.</w:t>
      </w:r>
    </w:p>
    <w:p>
      <w:pPr>
        <w:spacing w:before="0"/>
        <w:ind w:left="370" w:right="112" w:firstLine="0"/>
        <w:jc w:val="left"/>
        <w:rPr>
          <w:rFonts w:ascii="Arial" w:hAnsi="Arial"/>
          <w:sz w:val="20"/>
        </w:rPr>
      </w:pPr>
      <w:r>
        <w:rPr>
          <w:rFonts w:ascii="Arial" w:hAnsi="Arial"/>
          <w:sz w:val="20"/>
        </w:rPr>
        <w:t>Das</w:t>
      </w:r>
      <w:r>
        <w:rPr>
          <w:rFonts w:ascii="Arial" w:hAnsi="Arial"/>
          <w:spacing w:val="-2"/>
          <w:sz w:val="20"/>
        </w:rPr>
        <w:t> </w:t>
      </w:r>
      <w:r>
        <w:rPr>
          <w:rFonts w:ascii="Arial" w:hAnsi="Arial"/>
          <w:sz w:val="20"/>
        </w:rPr>
        <w:t>Team</w:t>
      </w:r>
      <w:r>
        <w:rPr>
          <w:rFonts w:ascii="Arial" w:hAnsi="Arial"/>
          <w:spacing w:val="-3"/>
          <w:sz w:val="20"/>
        </w:rPr>
        <w:t> </w:t>
      </w:r>
      <w:r>
        <w:rPr>
          <w:rFonts w:ascii="Arial" w:hAnsi="Arial"/>
          <w:sz w:val="20"/>
        </w:rPr>
        <w:t>für</w:t>
      </w:r>
      <w:r>
        <w:rPr>
          <w:rFonts w:ascii="Arial" w:hAnsi="Arial"/>
          <w:spacing w:val="-4"/>
          <w:sz w:val="20"/>
        </w:rPr>
        <w:t> </w:t>
      </w:r>
      <w:r>
        <w:rPr>
          <w:rFonts w:ascii="Arial" w:hAnsi="Arial"/>
          <w:sz w:val="20"/>
        </w:rPr>
        <w:t>Dienstleistungen</w:t>
      </w:r>
      <w:r>
        <w:rPr>
          <w:rFonts w:ascii="Arial" w:hAnsi="Arial"/>
          <w:spacing w:val="-3"/>
          <w:sz w:val="20"/>
        </w:rPr>
        <w:t> </w:t>
      </w:r>
      <w:r>
        <w:rPr>
          <w:rFonts w:ascii="Arial" w:hAnsi="Arial"/>
          <w:sz w:val="20"/>
        </w:rPr>
        <w:t>ist</w:t>
      </w:r>
      <w:r>
        <w:rPr>
          <w:rFonts w:ascii="Arial" w:hAnsi="Arial"/>
          <w:spacing w:val="-3"/>
          <w:sz w:val="20"/>
        </w:rPr>
        <w:t> </w:t>
      </w:r>
      <w:r>
        <w:rPr>
          <w:rFonts w:ascii="Arial" w:hAnsi="Arial"/>
          <w:sz w:val="20"/>
        </w:rPr>
        <w:t>für</w:t>
      </w:r>
      <w:r>
        <w:rPr>
          <w:rFonts w:ascii="Arial" w:hAnsi="Arial"/>
          <w:spacing w:val="-2"/>
          <w:sz w:val="20"/>
        </w:rPr>
        <w:t> </w:t>
      </w:r>
      <w:r>
        <w:rPr>
          <w:rFonts w:ascii="Arial" w:hAnsi="Arial"/>
          <w:sz w:val="20"/>
        </w:rPr>
        <w:t>die</w:t>
      </w:r>
      <w:r>
        <w:rPr>
          <w:rFonts w:ascii="Arial" w:hAnsi="Arial"/>
          <w:spacing w:val="-4"/>
          <w:sz w:val="20"/>
        </w:rPr>
        <w:t> </w:t>
      </w:r>
      <w:r>
        <w:rPr>
          <w:rFonts w:ascii="Arial" w:hAnsi="Arial"/>
          <w:sz w:val="20"/>
        </w:rPr>
        <w:t>Entwicklung</w:t>
      </w:r>
      <w:r>
        <w:rPr>
          <w:rFonts w:ascii="Arial" w:hAnsi="Arial"/>
          <w:spacing w:val="-4"/>
          <w:sz w:val="20"/>
        </w:rPr>
        <w:t> </w:t>
      </w:r>
      <w:r>
        <w:rPr>
          <w:rFonts w:ascii="Arial" w:hAnsi="Arial"/>
          <w:sz w:val="20"/>
        </w:rPr>
        <w:t>und</w:t>
      </w:r>
      <w:r>
        <w:rPr>
          <w:rFonts w:ascii="Arial" w:hAnsi="Arial"/>
          <w:spacing w:val="-3"/>
          <w:sz w:val="20"/>
        </w:rPr>
        <w:t> </w:t>
      </w:r>
      <w:r>
        <w:rPr>
          <w:rFonts w:ascii="Arial" w:hAnsi="Arial"/>
          <w:sz w:val="20"/>
        </w:rPr>
        <w:t>Umsetzung</w:t>
      </w:r>
      <w:r>
        <w:rPr>
          <w:rFonts w:ascii="Arial" w:hAnsi="Arial"/>
          <w:spacing w:val="-3"/>
          <w:sz w:val="20"/>
        </w:rPr>
        <w:t> </w:t>
      </w:r>
      <w:r>
        <w:rPr>
          <w:rFonts w:ascii="Arial" w:hAnsi="Arial"/>
          <w:sz w:val="20"/>
        </w:rPr>
        <w:t>der</w:t>
      </w:r>
      <w:r>
        <w:rPr>
          <w:rFonts w:ascii="Arial" w:hAnsi="Arial"/>
          <w:spacing w:val="-2"/>
          <w:sz w:val="20"/>
        </w:rPr>
        <w:t> </w:t>
      </w:r>
      <w:r>
        <w:rPr>
          <w:rFonts w:ascii="Arial" w:hAnsi="Arial"/>
          <w:sz w:val="20"/>
        </w:rPr>
        <w:t>politischen</w:t>
      </w:r>
      <w:r>
        <w:rPr>
          <w:rFonts w:ascii="Arial" w:hAnsi="Arial"/>
          <w:spacing w:val="-3"/>
          <w:sz w:val="20"/>
        </w:rPr>
        <w:t> </w:t>
      </w:r>
      <w:r>
        <w:rPr>
          <w:rFonts w:ascii="Arial" w:hAnsi="Arial"/>
          <w:sz w:val="20"/>
        </w:rPr>
        <w:t>Agenda</w:t>
      </w:r>
      <w:r>
        <w:rPr>
          <w:rFonts w:ascii="Arial" w:hAnsi="Arial"/>
          <w:spacing w:val="-4"/>
          <w:sz w:val="20"/>
        </w:rPr>
        <w:t> </w:t>
      </w:r>
      <w:r>
        <w:rPr>
          <w:rFonts w:ascii="Arial" w:hAnsi="Arial"/>
          <w:sz w:val="20"/>
        </w:rPr>
        <w:t>der</w:t>
      </w:r>
      <w:r>
        <w:rPr>
          <w:rFonts w:ascii="Arial" w:hAnsi="Arial"/>
          <w:spacing w:val="-2"/>
          <w:sz w:val="20"/>
        </w:rPr>
        <w:t> </w:t>
      </w:r>
      <w:r>
        <w:rPr>
          <w:rFonts w:ascii="Arial" w:hAnsi="Arial"/>
          <w:sz w:val="20"/>
        </w:rPr>
        <w:t>Kommission</w:t>
      </w:r>
      <w:r>
        <w:rPr>
          <w:rFonts w:ascii="Arial" w:hAnsi="Arial"/>
          <w:spacing w:val="-3"/>
          <w:sz w:val="20"/>
        </w:rPr>
        <w:t> </w:t>
      </w:r>
      <w:r>
        <w:rPr>
          <w:rFonts w:ascii="Arial" w:hAnsi="Arial"/>
          <w:sz w:val="20"/>
        </w:rPr>
        <w:t>zur Vertiefung des Binnenmarkts für Dienstleistungen und für den Beitrag der Dienstleistungen zur Wettbewerbsfähigkeit und Resilienz der EU-Wirtschaft und ihres ökologischen und digitalen Wandels zuständig.</w:t>
      </w:r>
    </w:p>
    <w:p>
      <w:pPr>
        <w:spacing w:before="0"/>
        <w:ind w:left="370" w:right="0" w:firstLine="0"/>
        <w:jc w:val="left"/>
        <w:rPr>
          <w:rFonts w:ascii="Arial"/>
          <w:sz w:val="20"/>
        </w:rPr>
      </w:pPr>
      <w:r>
        <w:rPr>
          <w:rFonts w:ascii="Arial"/>
          <w:sz w:val="20"/>
        </w:rPr>
        <w:t>Unser</w:t>
      </w:r>
      <w:r>
        <w:rPr>
          <w:rFonts w:ascii="Arial"/>
          <w:spacing w:val="-9"/>
          <w:sz w:val="20"/>
        </w:rPr>
        <w:t> </w:t>
      </w:r>
      <w:r>
        <w:rPr>
          <w:rFonts w:ascii="Arial"/>
          <w:sz w:val="20"/>
        </w:rPr>
        <w:t>Dienstleistungsteam</w:t>
      </w:r>
      <w:r>
        <w:rPr>
          <w:rFonts w:ascii="Arial"/>
          <w:spacing w:val="-6"/>
          <w:sz w:val="20"/>
        </w:rPr>
        <w:t> </w:t>
      </w:r>
      <w:r>
        <w:rPr>
          <w:rFonts w:ascii="Arial"/>
          <w:sz w:val="20"/>
        </w:rPr>
        <w:t>besteht</w:t>
      </w:r>
      <w:r>
        <w:rPr>
          <w:rFonts w:ascii="Arial"/>
          <w:spacing w:val="-5"/>
          <w:sz w:val="20"/>
        </w:rPr>
        <w:t> </w:t>
      </w:r>
      <w:r>
        <w:rPr>
          <w:rFonts w:ascii="Arial"/>
          <w:sz w:val="20"/>
        </w:rPr>
        <w:t>derzeit</w:t>
      </w:r>
      <w:r>
        <w:rPr>
          <w:rFonts w:ascii="Arial"/>
          <w:spacing w:val="-5"/>
          <w:sz w:val="20"/>
        </w:rPr>
        <w:t> </w:t>
      </w:r>
      <w:r>
        <w:rPr>
          <w:rFonts w:ascii="Arial"/>
          <w:sz w:val="20"/>
        </w:rPr>
        <w:t>aus</w:t>
      </w:r>
      <w:r>
        <w:rPr>
          <w:rFonts w:ascii="Arial"/>
          <w:spacing w:val="-4"/>
          <w:sz w:val="20"/>
        </w:rPr>
        <w:t> </w:t>
      </w:r>
      <w:r>
        <w:rPr>
          <w:rFonts w:ascii="Arial"/>
          <w:sz w:val="20"/>
        </w:rPr>
        <w:t>zwei</w:t>
      </w:r>
      <w:r>
        <w:rPr>
          <w:rFonts w:ascii="Arial"/>
          <w:spacing w:val="-6"/>
          <w:sz w:val="20"/>
        </w:rPr>
        <w:t> </w:t>
      </w:r>
      <w:r>
        <w:rPr>
          <w:rFonts w:ascii="Arial"/>
          <w:sz w:val="20"/>
        </w:rPr>
        <w:t>Juristen</w:t>
      </w:r>
      <w:r>
        <w:rPr>
          <w:rFonts w:ascii="Arial"/>
          <w:spacing w:val="-5"/>
          <w:sz w:val="20"/>
        </w:rPr>
        <w:t> </w:t>
      </w:r>
      <w:r>
        <w:rPr>
          <w:rFonts w:ascii="Arial"/>
          <w:sz w:val="20"/>
        </w:rPr>
        <w:t>und</w:t>
      </w:r>
      <w:r>
        <w:rPr>
          <w:rFonts w:ascii="Arial"/>
          <w:spacing w:val="-5"/>
          <w:sz w:val="20"/>
        </w:rPr>
        <w:t> </w:t>
      </w:r>
      <w:r>
        <w:rPr>
          <w:rFonts w:ascii="Arial"/>
          <w:sz w:val="20"/>
        </w:rPr>
        <w:t>einem</w:t>
      </w:r>
      <w:r>
        <w:rPr>
          <w:rFonts w:ascii="Arial"/>
          <w:spacing w:val="-5"/>
          <w:sz w:val="20"/>
        </w:rPr>
        <w:t> </w:t>
      </w:r>
      <w:r>
        <w:rPr>
          <w:rFonts w:ascii="Arial"/>
          <w:sz w:val="20"/>
        </w:rPr>
        <w:t>Wirtschaftswissenschaftler.</w:t>
      </w:r>
      <w:r>
        <w:rPr>
          <w:rFonts w:ascii="Arial"/>
          <w:spacing w:val="-5"/>
          <w:sz w:val="20"/>
        </w:rPr>
        <w:t> </w:t>
      </w:r>
      <w:r>
        <w:rPr>
          <w:rFonts w:ascii="Arial"/>
          <w:sz w:val="20"/>
        </w:rPr>
        <w:t>Als</w:t>
      </w:r>
      <w:r>
        <w:rPr>
          <w:rFonts w:ascii="Arial"/>
          <w:spacing w:val="-4"/>
          <w:sz w:val="20"/>
        </w:rPr>
        <w:t> </w:t>
      </w:r>
      <w:r>
        <w:rPr>
          <w:rFonts w:ascii="Arial"/>
          <w:sz w:val="20"/>
        </w:rPr>
        <w:t>Teil</w:t>
      </w:r>
      <w:r>
        <w:rPr>
          <w:rFonts w:ascii="Arial"/>
          <w:spacing w:val="-6"/>
          <w:sz w:val="20"/>
        </w:rPr>
        <w:t> </w:t>
      </w:r>
      <w:r>
        <w:rPr>
          <w:rFonts w:ascii="Arial"/>
          <w:spacing w:val="-5"/>
          <w:sz w:val="20"/>
        </w:rPr>
        <w:t>des</w:t>
      </w:r>
    </w:p>
    <w:p>
      <w:pPr>
        <w:pStyle w:val="BodyText"/>
        <w:spacing w:before="4"/>
        <w:rPr>
          <w:rFonts w:ascii="Arial"/>
        </w:rPr>
      </w:pPr>
      <w:r>
        <w:rPr/>
        <w:pict>
          <v:rect style="position:absolute;margin-left:42.540001pt;margin-top:14.056465pt;width:144pt;height:.72pt;mso-position-horizontal-relative:page;mso-position-vertical-relative:paragraph;z-index:-15728640;mso-wrap-distance-left:0;mso-wrap-distance-right:0" id="docshape2" filled="true" fillcolor="#000000" stroked="false">
            <v:fill type="solid"/>
            <w10:wrap type="topAndBottom"/>
          </v:rect>
        </w:pict>
      </w:r>
    </w:p>
    <w:p>
      <w:pPr>
        <w:spacing w:before="100"/>
        <w:ind w:left="370" w:right="1285" w:firstLine="0"/>
        <w:jc w:val="left"/>
        <w:rPr>
          <w:sz w:val="20"/>
        </w:rPr>
      </w:pPr>
      <w:r>
        <w:rPr>
          <w:sz w:val="20"/>
          <w:vertAlign w:val="superscript"/>
        </w:rPr>
        <w:t>1</w:t>
      </w:r>
      <w:r>
        <w:rPr>
          <w:spacing w:val="30"/>
          <w:sz w:val="20"/>
          <w:vertAlign w:val="baseline"/>
        </w:rPr>
        <w:t> </w:t>
      </w:r>
      <w:r>
        <w:rPr>
          <w:sz w:val="20"/>
          <w:vertAlign w:val="baseline"/>
        </w:rPr>
        <w:t>Die</w:t>
      </w:r>
      <w:r>
        <w:rPr>
          <w:spacing w:val="29"/>
          <w:sz w:val="20"/>
          <w:vertAlign w:val="baseline"/>
        </w:rPr>
        <w:t> </w:t>
      </w:r>
      <w:r>
        <w:rPr>
          <w:sz w:val="20"/>
          <w:vertAlign w:val="baseline"/>
        </w:rPr>
        <w:t>Angaben</w:t>
      </w:r>
      <w:r>
        <w:rPr>
          <w:spacing w:val="30"/>
          <w:sz w:val="20"/>
          <w:vertAlign w:val="baseline"/>
        </w:rPr>
        <w:t> </w:t>
      </w:r>
      <w:r>
        <w:rPr>
          <w:sz w:val="20"/>
          <w:vertAlign w:val="baseline"/>
        </w:rPr>
        <w:t>zum</w:t>
      </w:r>
      <w:r>
        <w:rPr>
          <w:spacing w:val="29"/>
          <w:sz w:val="20"/>
          <w:vertAlign w:val="baseline"/>
        </w:rPr>
        <w:t> </w:t>
      </w:r>
      <w:r>
        <w:rPr>
          <w:sz w:val="20"/>
          <w:vertAlign w:val="baseline"/>
        </w:rPr>
        <w:t>Datum</w:t>
      </w:r>
      <w:r>
        <w:rPr>
          <w:spacing w:val="28"/>
          <w:sz w:val="20"/>
          <w:vertAlign w:val="baseline"/>
        </w:rPr>
        <w:t> </w:t>
      </w:r>
      <w:r>
        <w:rPr>
          <w:sz w:val="20"/>
          <w:vertAlign w:val="baseline"/>
        </w:rPr>
        <w:t>des</w:t>
      </w:r>
      <w:r>
        <w:rPr>
          <w:spacing w:val="29"/>
          <w:sz w:val="20"/>
          <w:vertAlign w:val="baseline"/>
        </w:rPr>
        <w:t> </w:t>
      </w:r>
      <w:r>
        <w:rPr>
          <w:sz w:val="20"/>
          <w:vertAlign w:val="baseline"/>
        </w:rPr>
        <w:t>Dienstantritts</w:t>
      </w:r>
      <w:r>
        <w:rPr>
          <w:spacing w:val="30"/>
          <w:sz w:val="20"/>
          <w:vertAlign w:val="baseline"/>
        </w:rPr>
        <w:t> </w:t>
      </w:r>
      <w:r>
        <w:rPr>
          <w:sz w:val="20"/>
          <w:vertAlign w:val="baseline"/>
        </w:rPr>
        <w:t>und</w:t>
      </w:r>
      <w:r>
        <w:rPr>
          <w:spacing w:val="31"/>
          <w:sz w:val="20"/>
          <w:vertAlign w:val="baseline"/>
        </w:rPr>
        <w:t> </w:t>
      </w:r>
      <w:r>
        <w:rPr>
          <w:sz w:val="20"/>
          <w:vertAlign w:val="baseline"/>
        </w:rPr>
        <w:t>zur</w:t>
      </w:r>
      <w:r>
        <w:rPr>
          <w:spacing w:val="30"/>
          <w:sz w:val="20"/>
          <w:vertAlign w:val="baseline"/>
        </w:rPr>
        <w:t> </w:t>
      </w:r>
      <w:r>
        <w:rPr>
          <w:sz w:val="20"/>
          <w:vertAlign w:val="baseline"/>
        </w:rPr>
        <w:t>Dauer</w:t>
      </w:r>
      <w:r>
        <w:rPr>
          <w:spacing w:val="30"/>
          <w:sz w:val="20"/>
          <w:vertAlign w:val="baseline"/>
        </w:rPr>
        <w:t> </w:t>
      </w:r>
      <w:r>
        <w:rPr>
          <w:sz w:val="20"/>
          <w:vertAlign w:val="baseline"/>
        </w:rPr>
        <w:t>der</w:t>
      </w:r>
      <w:r>
        <w:rPr>
          <w:spacing w:val="30"/>
          <w:sz w:val="20"/>
          <w:vertAlign w:val="baseline"/>
        </w:rPr>
        <w:t> </w:t>
      </w:r>
      <w:r>
        <w:rPr>
          <w:sz w:val="20"/>
          <w:vertAlign w:val="baseline"/>
        </w:rPr>
        <w:t>Abordnung</w:t>
      </w:r>
      <w:r>
        <w:rPr>
          <w:spacing w:val="30"/>
          <w:sz w:val="20"/>
          <w:vertAlign w:val="baseline"/>
        </w:rPr>
        <w:t> </w:t>
      </w:r>
      <w:r>
        <w:rPr>
          <w:sz w:val="20"/>
          <w:vertAlign w:val="baseline"/>
        </w:rPr>
        <w:t>sind</w:t>
      </w:r>
      <w:r>
        <w:rPr>
          <w:spacing w:val="30"/>
          <w:sz w:val="20"/>
          <w:vertAlign w:val="baseline"/>
        </w:rPr>
        <w:t> </w:t>
      </w:r>
      <w:r>
        <w:rPr>
          <w:sz w:val="20"/>
          <w:vertAlign w:val="baseline"/>
        </w:rPr>
        <w:t>unverbindlich</w:t>
      </w:r>
      <w:r>
        <w:rPr>
          <w:spacing w:val="30"/>
          <w:sz w:val="20"/>
          <w:vertAlign w:val="baseline"/>
        </w:rPr>
        <w:t> </w:t>
      </w:r>
      <w:r>
        <w:rPr>
          <w:sz w:val="20"/>
          <w:vertAlign w:val="baseline"/>
        </w:rPr>
        <w:t>(Art.</w:t>
      </w:r>
      <w:r>
        <w:rPr>
          <w:spacing w:val="29"/>
          <w:sz w:val="20"/>
          <w:vertAlign w:val="baseline"/>
        </w:rPr>
        <w:t> </w:t>
      </w:r>
      <w:r>
        <w:rPr>
          <w:sz w:val="20"/>
          <w:vertAlign w:val="baseline"/>
        </w:rPr>
        <w:t>4</w:t>
      </w:r>
      <w:r>
        <w:rPr>
          <w:spacing w:val="30"/>
          <w:sz w:val="20"/>
          <w:vertAlign w:val="baseline"/>
        </w:rPr>
        <w:t> </w:t>
      </w:r>
      <w:r>
        <w:rPr>
          <w:sz w:val="20"/>
          <w:vertAlign w:val="baseline"/>
        </w:rPr>
        <w:t>des </w:t>
      </w:r>
      <w:r>
        <w:rPr>
          <w:spacing w:val="-2"/>
          <w:sz w:val="20"/>
          <w:vertAlign w:val="baseline"/>
        </w:rPr>
        <w:t>ANS-Beschlusses).</w:t>
      </w:r>
    </w:p>
    <w:p>
      <w:pPr>
        <w:spacing w:after="0"/>
        <w:jc w:val="left"/>
        <w:rPr>
          <w:sz w:val="20"/>
        </w:rPr>
        <w:sectPr>
          <w:footerReference w:type="default" r:id="rId5"/>
          <w:type w:val="continuous"/>
          <w:pgSz w:w="11910" w:h="16840"/>
          <w:pgMar w:footer="686" w:header="0" w:top="520" w:bottom="880" w:left="480" w:right="740"/>
          <w:pgNumType w:start="1"/>
        </w:sectPr>
      </w:pPr>
    </w:p>
    <w:p>
      <w:pPr>
        <w:spacing w:before="76"/>
        <w:ind w:left="370" w:right="220" w:firstLine="0"/>
        <w:jc w:val="left"/>
        <w:rPr>
          <w:rFonts w:ascii="Arial" w:hAnsi="Arial"/>
          <w:sz w:val="20"/>
        </w:rPr>
      </w:pPr>
      <w:r>
        <w:rPr>
          <w:rFonts w:ascii="Arial" w:hAnsi="Arial"/>
          <w:sz w:val="20"/>
        </w:rPr>
        <w:t>Teams</w:t>
      </w:r>
      <w:r>
        <w:rPr>
          <w:rFonts w:ascii="Arial" w:hAnsi="Arial"/>
          <w:spacing w:val="-3"/>
          <w:sz w:val="20"/>
        </w:rPr>
        <w:t> </w:t>
      </w:r>
      <w:r>
        <w:rPr>
          <w:rFonts w:ascii="Arial" w:hAnsi="Arial"/>
          <w:sz w:val="20"/>
        </w:rPr>
        <w:t>würde</w:t>
      </w:r>
      <w:r>
        <w:rPr>
          <w:rFonts w:ascii="Arial" w:hAnsi="Arial"/>
          <w:spacing w:val="-5"/>
          <w:sz w:val="20"/>
        </w:rPr>
        <w:t> </w:t>
      </w:r>
      <w:r>
        <w:rPr>
          <w:rFonts w:ascii="Arial" w:hAnsi="Arial"/>
          <w:sz w:val="20"/>
        </w:rPr>
        <w:t>der/die</w:t>
      </w:r>
      <w:r>
        <w:rPr>
          <w:rFonts w:ascii="Arial" w:hAnsi="Arial"/>
          <w:spacing w:val="-4"/>
          <w:sz w:val="20"/>
        </w:rPr>
        <w:t> </w:t>
      </w:r>
      <w:r>
        <w:rPr>
          <w:rFonts w:ascii="Arial" w:hAnsi="Arial"/>
          <w:sz w:val="20"/>
        </w:rPr>
        <w:t>erfolgreiche</w:t>
      </w:r>
      <w:r>
        <w:rPr>
          <w:rFonts w:ascii="Arial" w:hAnsi="Arial"/>
          <w:spacing w:val="-4"/>
          <w:sz w:val="20"/>
        </w:rPr>
        <w:t> </w:t>
      </w:r>
      <w:r>
        <w:rPr>
          <w:rFonts w:ascii="Arial" w:hAnsi="Arial"/>
          <w:sz w:val="20"/>
        </w:rPr>
        <w:t>Bewerber/Bewerberin</w:t>
      </w:r>
      <w:r>
        <w:rPr>
          <w:rFonts w:ascii="Arial" w:hAnsi="Arial"/>
          <w:spacing w:val="-4"/>
          <w:sz w:val="20"/>
        </w:rPr>
        <w:t> </w:t>
      </w:r>
      <w:r>
        <w:rPr>
          <w:rFonts w:ascii="Arial" w:hAnsi="Arial"/>
          <w:sz w:val="20"/>
        </w:rPr>
        <w:t>zur</w:t>
      </w:r>
      <w:r>
        <w:rPr>
          <w:rFonts w:ascii="Arial" w:hAnsi="Arial"/>
          <w:spacing w:val="-3"/>
          <w:sz w:val="20"/>
        </w:rPr>
        <w:t> </w:t>
      </w:r>
      <w:r>
        <w:rPr>
          <w:rFonts w:ascii="Arial" w:hAnsi="Arial"/>
          <w:sz w:val="20"/>
        </w:rPr>
        <w:t>Entwicklung</w:t>
      </w:r>
      <w:r>
        <w:rPr>
          <w:rFonts w:ascii="Arial" w:hAnsi="Arial"/>
          <w:spacing w:val="-4"/>
          <w:sz w:val="20"/>
        </w:rPr>
        <w:t> </w:t>
      </w:r>
      <w:r>
        <w:rPr>
          <w:rFonts w:ascii="Arial" w:hAnsi="Arial"/>
          <w:sz w:val="20"/>
        </w:rPr>
        <w:t>und</w:t>
      </w:r>
      <w:r>
        <w:rPr>
          <w:rFonts w:ascii="Arial" w:hAnsi="Arial"/>
          <w:spacing w:val="-5"/>
          <w:sz w:val="20"/>
        </w:rPr>
        <w:t> </w:t>
      </w:r>
      <w:r>
        <w:rPr>
          <w:rFonts w:ascii="Arial" w:hAnsi="Arial"/>
          <w:sz w:val="20"/>
        </w:rPr>
        <w:t>Umsetzung</w:t>
      </w:r>
      <w:r>
        <w:rPr>
          <w:rFonts w:ascii="Arial" w:hAnsi="Arial"/>
          <w:spacing w:val="-5"/>
          <w:sz w:val="20"/>
        </w:rPr>
        <w:t> </w:t>
      </w:r>
      <w:r>
        <w:rPr>
          <w:rFonts w:ascii="Arial" w:hAnsi="Arial"/>
          <w:sz w:val="20"/>
        </w:rPr>
        <w:t>von</w:t>
      </w:r>
      <w:r>
        <w:rPr>
          <w:rFonts w:ascii="Arial" w:hAnsi="Arial"/>
          <w:spacing w:val="-4"/>
          <w:sz w:val="20"/>
        </w:rPr>
        <w:t> </w:t>
      </w:r>
      <w:r>
        <w:rPr>
          <w:rFonts w:ascii="Arial" w:hAnsi="Arial"/>
          <w:sz w:val="20"/>
        </w:rPr>
        <w:t>politischen Strategien und möglicherweise Rechtsvorschriften im Dienstleistungsbereich beitragen.</w:t>
      </w:r>
    </w:p>
    <w:p>
      <w:pPr>
        <w:pStyle w:val="BodyText"/>
        <w:rPr>
          <w:rFonts w:ascii="Arial"/>
        </w:rPr>
      </w:pPr>
    </w:p>
    <w:p>
      <w:pPr>
        <w:pStyle w:val="BodyText"/>
        <w:rPr>
          <w:rFonts w:ascii="Arial"/>
        </w:rPr>
      </w:pPr>
    </w:p>
    <w:p>
      <w:pPr>
        <w:pStyle w:val="ListParagraph"/>
        <w:numPr>
          <w:ilvl w:val="0"/>
          <w:numId w:val="4"/>
        </w:numPr>
        <w:tabs>
          <w:tab w:pos="796" w:val="left" w:leader="none"/>
          <w:tab w:pos="797" w:val="left" w:leader="none"/>
        </w:tabs>
        <w:spacing w:line="240" w:lineRule="auto" w:before="0" w:after="0"/>
        <w:ind w:left="796" w:right="0" w:hanging="427"/>
        <w:jc w:val="left"/>
        <w:rPr>
          <w:b/>
          <w:sz w:val="24"/>
        </w:rPr>
      </w:pPr>
      <w:r>
        <w:rPr>
          <w:b/>
          <w:sz w:val="24"/>
          <w:u w:val="single"/>
        </w:rPr>
        <w:t>Erforderliche</w:t>
      </w:r>
      <w:r>
        <w:rPr>
          <w:b/>
          <w:spacing w:val="-5"/>
          <w:sz w:val="24"/>
          <w:u w:val="single"/>
        </w:rPr>
        <w:t> </w:t>
      </w:r>
      <w:r>
        <w:rPr>
          <w:b/>
          <w:spacing w:val="-2"/>
          <w:sz w:val="24"/>
          <w:u w:val="single"/>
        </w:rPr>
        <w:t>Qualifikationen</w:t>
      </w:r>
    </w:p>
    <w:p>
      <w:pPr>
        <w:pStyle w:val="BodyText"/>
        <w:spacing w:before="1"/>
        <w:rPr>
          <w:b/>
          <w:sz w:val="16"/>
        </w:rPr>
      </w:pPr>
    </w:p>
    <w:p>
      <w:pPr>
        <w:pStyle w:val="Heading1"/>
        <w:numPr>
          <w:ilvl w:val="1"/>
          <w:numId w:val="4"/>
        </w:numPr>
        <w:tabs>
          <w:tab w:pos="1036" w:val="left" w:leader="none"/>
        </w:tabs>
        <w:spacing w:line="240" w:lineRule="auto" w:before="90" w:after="0"/>
        <w:ind w:left="1035" w:right="0" w:hanging="240"/>
        <w:jc w:val="left"/>
      </w:pPr>
      <w:r>
        <w:rPr>
          <w:spacing w:val="-2"/>
          <w:u w:val="single"/>
        </w:rPr>
        <w:t>Zulassungskriterien</w:t>
      </w:r>
    </w:p>
    <w:p>
      <w:pPr>
        <w:pStyle w:val="BodyText"/>
        <w:spacing w:before="1"/>
        <w:rPr>
          <w:b/>
          <w:sz w:val="14"/>
        </w:rPr>
      </w:pPr>
    </w:p>
    <w:p>
      <w:pPr>
        <w:pStyle w:val="BodyText"/>
        <w:spacing w:before="91"/>
        <w:ind w:left="796" w:right="107"/>
        <w:jc w:val="both"/>
      </w:pPr>
      <w:r>
        <w:rPr/>
        <w:t>Nationale Sachverständige können zur Kommission abgeordnet werden, wenn sie alle Zulassungskriterien erfüllen. Bewerberinnen und Bewerber, die nicht alle dieser Kriterien erfüllen, werden automatisch vom Auswahlverfahren ausgeschlossen.</w:t>
      </w:r>
    </w:p>
    <w:p>
      <w:pPr>
        <w:pStyle w:val="BodyText"/>
      </w:pPr>
    </w:p>
    <w:p>
      <w:pPr>
        <w:pStyle w:val="ListParagraph"/>
        <w:numPr>
          <w:ilvl w:val="2"/>
          <w:numId w:val="4"/>
        </w:numPr>
        <w:tabs>
          <w:tab w:pos="1081" w:val="left" w:leader="none"/>
        </w:tabs>
        <w:spacing w:line="240" w:lineRule="auto" w:before="0" w:after="0"/>
        <w:ind w:left="1080" w:right="107" w:hanging="284"/>
        <w:jc w:val="both"/>
        <w:rPr>
          <w:sz w:val="22"/>
        </w:rPr>
      </w:pPr>
      <w:r>
        <w:rPr>
          <w:sz w:val="22"/>
          <w:u w:val="single"/>
        </w:rPr>
        <w:t>Berufserfahrung</w:t>
      </w:r>
      <w:r>
        <w:rPr>
          <w:sz w:val="22"/>
        </w:rPr>
        <w:t> :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pPr>
        <w:pStyle w:val="BodyText"/>
      </w:pPr>
    </w:p>
    <w:p>
      <w:pPr>
        <w:pStyle w:val="ListParagraph"/>
        <w:numPr>
          <w:ilvl w:val="2"/>
          <w:numId w:val="4"/>
        </w:numPr>
        <w:tabs>
          <w:tab w:pos="1081" w:val="left" w:leader="none"/>
        </w:tabs>
        <w:spacing w:line="240" w:lineRule="auto" w:before="0" w:after="0"/>
        <w:ind w:left="1080" w:right="108" w:hanging="284"/>
        <w:jc w:val="both"/>
        <w:rPr>
          <w:sz w:val="22"/>
        </w:rPr>
      </w:pPr>
      <w:r>
        <w:rPr>
          <w:sz w:val="22"/>
          <w:u w:val="single"/>
        </w:rPr>
        <w:t>Dienstalter</w:t>
      </w:r>
      <w:r>
        <w:rPr>
          <w:sz w:val="22"/>
        </w:rPr>
        <w:t> : Bewerberinnen und Bewerber müssen ein Dienstalter von mindestens einem Jahr bei ihrem Arbeitgeber nachweisen, das heißt seit mindestens einem Jahr in einem dienst- oder vertragsrechtlichen Verhältnis mit einem Arbeitgeber im Sinne von Artikel 1 des ANS-Beschlusses stehen.</w:t>
      </w:r>
    </w:p>
    <w:p>
      <w:pPr>
        <w:pStyle w:val="BodyText"/>
      </w:pPr>
    </w:p>
    <w:p>
      <w:pPr>
        <w:pStyle w:val="ListParagraph"/>
        <w:numPr>
          <w:ilvl w:val="2"/>
          <w:numId w:val="4"/>
        </w:numPr>
        <w:tabs>
          <w:tab w:pos="1081" w:val="left" w:leader="none"/>
        </w:tabs>
        <w:spacing w:line="240" w:lineRule="auto" w:before="0" w:after="0"/>
        <w:ind w:left="1080" w:right="109" w:hanging="284"/>
        <w:jc w:val="both"/>
        <w:rPr>
          <w:sz w:val="22"/>
        </w:rPr>
      </w:pPr>
      <w:r>
        <w:rPr>
          <w:sz w:val="22"/>
          <w:u w:val="single"/>
        </w:rPr>
        <w:t>Sprachkenntnisse</w:t>
      </w:r>
      <w:r>
        <w:rPr>
          <w:sz w:val="22"/>
        </w:rPr>
        <w:t> : Bewerberinnen und Bewerber müssen gründliche Kenntnisse in einer Sprache der Europäischen Union und ausreichende Kenntnisse in einer weiteren Sprache der Europäischen Union in dem für die Wahrnehmung ihrer Funktion erforderlichen Maße besitzen. Ein abgeordneter nationaler Sachverständiger (ANS) aus einem Drittland muss nachweisen, dass er über gründliche Kenntnisse in einer zur Ausübung seiner Tätigkeit erforderlichen Sprache der Europäischen Union verfügt.</w:t>
      </w:r>
    </w:p>
    <w:p>
      <w:pPr>
        <w:pStyle w:val="BodyText"/>
        <w:rPr>
          <w:sz w:val="24"/>
        </w:rPr>
      </w:pPr>
    </w:p>
    <w:p>
      <w:pPr>
        <w:pStyle w:val="Heading1"/>
        <w:numPr>
          <w:ilvl w:val="1"/>
          <w:numId w:val="4"/>
        </w:numPr>
        <w:tabs>
          <w:tab w:pos="1079" w:val="left" w:leader="none"/>
        </w:tabs>
        <w:spacing w:line="240" w:lineRule="auto" w:before="0" w:after="0"/>
        <w:ind w:left="1078" w:right="0" w:hanging="283"/>
        <w:jc w:val="left"/>
      </w:pPr>
      <w:r>
        <w:rPr>
          <w:spacing w:val="-2"/>
          <w:u w:val="single"/>
        </w:rPr>
        <w:t>Auswahlkriterien</w:t>
      </w:r>
    </w:p>
    <w:p>
      <w:pPr>
        <w:pStyle w:val="BodyText"/>
        <w:spacing w:before="2"/>
        <w:rPr>
          <w:b/>
          <w:sz w:val="16"/>
        </w:rPr>
      </w:pPr>
    </w:p>
    <w:p>
      <w:pPr>
        <w:pStyle w:val="BodyText"/>
        <w:spacing w:before="90"/>
        <w:ind w:left="1080"/>
      </w:pPr>
      <w:r>
        <w:rPr>
          <w:spacing w:val="-2"/>
          <w:u w:val="single"/>
        </w:rPr>
        <w:t>Bildungsabschluss</w:t>
      </w:r>
    </w:p>
    <w:p>
      <w:pPr>
        <w:pStyle w:val="ListParagraph"/>
        <w:numPr>
          <w:ilvl w:val="0"/>
          <w:numId w:val="5"/>
        </w:numPr>
        <w:tabs>
          <w:tab w:pos="1209" w:val="left" w:leader="none"/>
        </w:tabs>
        <w:spacing w:line="253" w:lineRule="exact" w:before="0" w:after="0"/>
        <w:ind w:left="1208" w:right="0" w:hanging="129"/>
        <w:jc w:val="left"/>
        <w:rPr>
          <w:sz w:val="22"/>
        </w:rPr>
      </w:pPr>
      <w:r>
        <w:rPr>
          <w:spacing w:val="-2"/>
          <w:sz w:val="22"/>
        </w:rPr>
        <w:t>ein</w:t>
      </w:r>
      <w:r>
        <w:rPr>
          <w:spacing w:val="8"/>
          <w:sz w:val="22"/>
        </w:rPr>
        <w:t> </w:t>
      </w:r>
      <w:r>
        <w:rPr>
          <w:spacing w:val="-2"/>
          <w:sz w:val="22"/>
        </w:rPr>
        <w:t>Universitätsabschluss</w:t>
      </w:r>
      <w:r>
        <w:rPr>
          <w:spacing w:val="9"/>
          <w:sz w:val="22"/>
        </w:rPr>
        <w:t> </w:t>
      </w:r>
      <w:r>
        <w:rPr>
          <w:spacing w:val="-4"/>
          <w:sz w:val="22"/>
        </w:rPr>
        <w:t>oder</w:t>
      </w:r>
    </w:p>
    <w:p>
      <w:pPr>
        <w:pStyle w:val="ListParagraph"/>
        <w:numPr>
          <w:ilvl w:val="0"/>
          <w:numId w:val="5"/>
        </w:numPr>
        <w:tabs>
          <w:tab w:pos="1209" w:val="left" w:leader="none"/>
        </w:tabs>
        <w:spacing w:line="253" w:lineRule="exact" w:before="0" w:after="0"/>
        <w:ind w:left="1208" w:right="0" w:hanging="129"/>
        <w:jc w:val="left"/>
        <w:rPr>
          <w:sz w:val="22"/>
        </w:rPr>
      </w:pPr>
      <w:r>
        <w:rPr>
          <w:sz w:val="22"/>
        </w:rPr>
        <w:t>eine</w:t>
      </w:r>
      <w:r>
        <w:rPr>
          <w:spacing w:val="-13"/>
          <w:sz w:val="22"/>
        </w:rPr>
        <w:t> </w:t>
      </w:r>
      <w:r>
        <w:rPr>
          <w:sz w:val="22"/>
        </w:rPr>
        <w:t>gleichwertige</w:t>
      </w:r>
      <w:r>
        <w:rPr>
          <w:spacing w:val="-12"/>
          <w:sz w:val="22"/>
        </w:rPr>
        <w:t> </w:t>
      </w:r>
      <w:r>
        <w:rPr>
          <w:sz w:val="22"/>
        </w:rPr>
        <w:t>Berufsausbildung</w:t>
      </w:r>
      <w:r>
        <w:rPr>
          <w:spacing w:val="-13"/>
          <w:sz w:val="22"/>
        </w:rPr>
        <w:t> </w:t>
      </w:r>
      <w:r>
        <w:rPr>
          <w:sz w:val="22"/>
        </w:rPr>
        <w:t>oder</w:t>
      </w:r>
      <w:r>
        <w:rPr>
          <w:spacing w:val="-12"/>
          <w:sz w:val="22"/>
        </w:rPr>
        <w:t> </w:t>
      </w:r>
      <w:r>
        <w:rPr>
          <w:spacing w:val="-2"/>
          <w:sz w:val="22"/>
        </w:rPr>
        <w:t>Berufserfahrung</w:t>
      </w:r>
    </w:p>
    <w:p>
      <w:pPr>
        <w:pStyle w:val="BodyText"/>
        <w:spacing w:before="1"/>
      </w:pPr>
    </w:p>
    <w:p>
      <w:pPr>
        <w:pStyle w:val="BodyText"/>
        <w:ind w:left="1190"/>
      </w:pPr>
      <w:r>
        <w:rPr/>
        <w:t>im</w:t>
      </w:r>
      <w:r>
        <w:rPr>
          <w:spacing w:val="-4"/>
        </w:rPr>
        <w:t> </w:t>
      </w:r>
      <w:r>
        <w:rPr>
          <w:spacing w:val="-2"/>
        </w:rPr>
        <w:t>Bereich:</w:t>
      </w:r>
    </w:p>
    <w:p>
      <w:pPr>
        <w:pStyle w:val="BodyText"/>
        <w:spacing w:line="480" w:lineRule="auto"/>
        <w:ind w:left="1080" w:right="4005"/>
      </w:pPr>
      <w:r>
        <w:rPr/>
        <w:t>Sozial-,</w:t>
      </w:r>
      <w:r>
        <w:rPr>
          <w:spacing w:val="-13"/>
        </w:rPr>
        <w:t> </w:t>
      </w:r>
      <w:r>
        <w:rPr/>
        <w:t>Wirtschafts-</w:t>
      </w:r>
      <w:r>
        <w:rPr>
          <w:spacing w:val="-13"/>
        </w:rPr>
        <w:t> </w:t>
      </w:r>
      <w:r>
        <w:rPr/>
        <w:t>oder</w:t>
      </w:r>
      <w:r>
        <w:rPr>
          <w:spacing w:val="-13"/>
        </w:rPr>
        <w:t> </w:t>
      </w:r>
      <w:r>
        <w:rPr/>
        <w:t>Rechtswissenschaften </w:t>
      </w:r>
      <w:r>
        <w:rPr>
          <w:spacing w:val="-2"/>
          <w:u w:val="single"/>
        </w:rPr>
        <w:t>Berufserfahrung</w:t>
      </w:r>
    </w:p>
    <w:p>
      <w:pPr>
        <w:pStyle w:val="BodyText"/>
        <w:ind w:left="1080" w:right="168"/>
        <w:jc w:val="both"/>
      </w:pPr>
      <w:r>
        <w:rPr>
          <w:u w:val="single"/>
        </w:rPr>
        <w:t>In der Verwaltung eines Mitgliedstaates gesammelte Berufserfahrung im Bereich Binnenmarktpolitik und</w:t>
      </w:r>
      <w:r>
        <w:rPr/>
        <w:t> </w:t>
      </w:r>
      <w:r>
        <w:rPr>
          <w:u w:val="single"/>
        </w:rPr>
        <w:t>–regulierung, insbesondere im Hinblick auf den Binnenmarkt für Dienstleistungen, ist erw</w:t>
      </w:r>
      <w:r>
        <w:rPr/>
        <w:t>ü</w:t>
      </w:r>
      <w:r>
        <w:rPr>
          <w:u w:val="single"/>
        </w:rPr>
        <w:t>nscht. Ein</w:t>
      </w:r>
      <w:r>
        <w:rPr>
          <w:spacing w:val="40"/>
        </w:rPr>
        <w:t> </w:t>
      </w:r>
      <w:r>
        <w:rPr>
          <w:u w:val="single"/>
        </w:rPr>
        <w:t>gutes Verständnis des politischen Umfelds in dem die EU-Dienstleistungspolitiken verfolgt werden sowie</w:t>
      </w:r>
      <w:r>
        <w:rPr/>
        <w:t> </w:t>
      </w:r>
      <w:r>
        <w:rPr>
          <w:u w:val="single"/>
        </w:rPr>
        <w:t>ein Verständnis der Dienstleistungsmärkte und ihrer Funktionsweise sind von wesentlichem Vorteil.</w:t>
      </w:r>
      <w:r>
        <w:rPr/>
        <w:t> </w:t>
      </w:r>
      <w:r>
        <w:rPr>
          <w:u w:val="single"/>
        </w:rPr>
        <w:t>Erfahrung im Arbeiten mit den EU-Institutionen und -Verfahren ist von Vorteil.</w:t>
      </w:r>
    </w:p>
    <w:p>
      <w:pPr>
        <w:pStyle w:val="BodyText"/>
        <w:rPr>
          <w:sz w:val="20"/>
        </w:rPr>
      </w:pPr>
    </w:p>
    <w:p>
      <w:pPr>
        <w:pStyle w:val="BodyText"/>
        <w:spacing w:before="1"/>
        <w:rPr>
          <w:sz w:val="16"/>
        </w:rPr>
      </w:pPr>
    </w:p>
    <w:p>
      <w:pPr>
        <w:pStyle w:val="BodyText"/>
        <w:spacing w:before="91"/>
        <w:ind w:left="1080"/>
      </w:pPr>
      <w:r>
        <w:rPr>
          <w:u w:val="single"/>
        </w:rPr>
        <w:t>Zur</w:t>
      </w:r>
      <w:r>
        <w:rPr>
          <w:spacing w:val="-9"/>
          <w:u w:val="single"/>
        </w:rPr>
        <w:t> </w:t>
      </w:r>
      <w:r>
        <w:rPr>
          <w:u w:val="single"/>
        </w:rPr>
        <w:t>Ausübung</w:t>
      </w:r>
      <w:r>
        <w:rPr>
          <w:spacing w:val="-9"/>
          <w:u w:val="single"/>
        </w:rPr>
        <w:t> </w:t>
      </w:r>
      <w:r>
        <w:rPr>
          <w:u w:val="single"/>
        </w:rPr>
        <w:t>der</w:t>
      </w:r>
      <w:r>
        <w:rPr>
          <w:spacing w:val="-9"/>
          <w:u w:val="single"/>
        </w:rPr>
        <w:t> </w:t>
      </w:r>
      <w:r>
        <w:rPr>
          <w:u w:val="single"/>
        </w:rPr>
        <w:t>Tätigkeit</w:t>
      </w:r>
      <w:r>
        <w:rPr>
          <w:spacing w:val="-9"/>
          <w:u w:val="single"/>
        </w:rPr>
        <w:t> </w:t>
      </w:r>
      <w:r>
        <w:rPr>
          <w:u w:val="single"/>
        </w:rPr>
        <w:t>erforderliche</w:t>
      </w:r>
      <w:r>
        <w:rPr>
          <w:spacing w:val="-10"/>
          <w:u w:val="single"/>
        </w:rPr>
        <w:t> </w:t>
      </w:r>
      <w:r>
        <w:rPr>
          <w:spacing w:val="-2"/>
          <w:u w:val="single"/>
        </w:rPr>
        <w:t>Sprachkenntnisse</w:t>
      </w:r>
    </w:p>
    <w:p>
      <w:pPr>
        <w:pStyle w:val="BodyText"/>
        <w:spacing w:before="1"/>
        <w:rPr>
          <w:sz w:val="14"/>
        </w:rPr>
      </w:pPr>
    </w:p>
    <w:p>
      <w:pPr>
        <w:pStyle w:val="BodyText"/>
        <w:spacing w:before="90"/>
        <w:ind w:left="1080"/>
      </w:pPr>
      <w:r>
        <w:rPr>
          <w:u w:val="single"/>
        </w:rPr>
        <w:t>Englisch</w:t>
      </w:r>
      <w:r>
        <w:rPr>
          <w:spacing w:val="-10"/>
          <w:u w:val="single"/>
        </w:rPr>
        <w:t> </w:t>
      </w:r>
      <w:r>
        <w:rPr>
          <w:u w:val="single"/>
        </w:rPr>
        <w:t>und</w:t>
      </w:r>
      <w:r>
        <w:rPr>
          <w:spacing w:val="-10"/>
          <w:u w:val="single"/>
        </w:rPr>
        <w:t> </w:t>
      </w:r>
      <w:r>
        <w:rPr>
          <w:u w:val="single"/>
        </w:rPr>
        <w:t>dazu</w:t>
      </w:r>
      <w:r>
        <w:rPr>
          <w:spacing w:val="-9"/>
          <w:u w:val="single"/>
        </w:rPr>
        <w:t> </w:t>
      </w:r>
      <w:r>
        <w:rPr>
          <w:u w:val="single"/>
        </w:rPr>
        <w:t>mindestens</w:t>
      </w:r>
      <w:r>
        <w:rPr>
          <w:spacing w:val="-10"/>
          <w:u w:val="single"/>
        </w:rPr>
        <w:t> </w:t>
      </w:r>
      <w:r>
        <w:rPr>
          <w:u w:val="single"/>
        </w:rPr>
        <w:t>noch</w:t>
      </w:r>
      <w:r>
        <w:rPr>
          <w:spacing w:val="-10"/>
          <w:u w:val="single"/>
        </w:rPr>
        <w:t> </w:t>
      </w:r>
      <w:r>
        <w:rPr>
          <w:u w:val="single"/>
        </w:rPr>
        <w:t>eine</w:t>
      </w:r>
      <w:r>
        <w:rPr>
          <w:spacing w:val="-10"/>
          <w:u w:val="single"/>
        </w:rPr>
        <w:t> </w:t>
      </w:r>
      <w:r>
        <w:rPr>
          <w:u w:val="single"/>
        </w:rPr>
        <w:t>weitere</w:t>
      </w:r>
      <w:r>
        <w:rPr>
          <w:spacing w:val="-10"/>
          <w:u w:val="single"/>
        </w:rPr>
        <w:t> </w:t>
      </w:r>
      <w:r>
        <w:rPr>
          <w:u w:val="single"/>
        </w:rPr>
        <w:t>EU-Amtssprache</w:t>
      </w:r>
      <w:r>
        <w:rPr>
          <w:spacing w:val="-8"/>
          <w:u w:val="single"/>
        </w:rPr>
        <w:t> </w:t>
      </w:r>
      <w:r>
        <w:rPr>
          <w:u w:val="single"/>
        </w:rPr>
        <w:t>(Franz</w:t>
      </w:r>
      <w:r>
        <w:rPr/>
        <w:t>ö</w:t>
      </w:r>
      <w:r>
        <w:rPr>
          <w:u w:val="single"/>
        </w:rPr>
        <w:t>sisch</w:t>
      </w:r>
      <w:r>
        <w:rPr>
          <w:spacing w:val="-9"/>
          <w:u w:val="single"/>
        </w:rPr>
        <w:t> </w:t>
      </w:r>
      <w:r>
        <w:rPr>
          <w:u w:val="single"/>
        </w:rPr>
        <w:t>ein</w:t>
      </w:r>
      <w:r>
        <w:rPr>
          <w:spacing w:val="-9"/>
          <w:u w:val="single"/>
        </w:rPr>
        <w:t> </w:t>
      </w:r>
      <w:r>
        <w:rPr>
          <w:spacing w:val="-2"/>
          <w:u w:val="single"/>
        </w:rPr>
        <w:t>Vorteil)</w:t>
      </w:r>
    </w:p>
    <w:p>
      <w:pPr>
        <w:pStyle w:val="BodyText"/>
        <w:rPr>
          <w:sz w:val="20"/>
        </w:rPr>
      </w:pPr>
    </w:p>
    <w:p>
      <w:pPr>
        <w:pStyle w:val="BodyText"/>
        <w:spacing w:before="3"/>
        <w:rPr>
          <w:sz w:val="16"/>
        </w:rPr>
      </w:pPr>
    </w:p>
    <w:p>
      <w:pPr>
        <w:pStyle w:val="ListParagraph"/>
        <w:numPr>
          <w:ilvl w:val="0"/>
          <w:numId w:val="4"/>
        </w:numPr>
        <w:tabs>
          <w:tab w:pos="796" w:val="left" w:leader="none"/>
          <w:tab w:pos="797" w:val="left" w:leader="none"/>
        </w:tabs>
        <w:spacing w:line="240" w:lineRule="auto" w:before="90" w:after="0"/>
        <w:ind w:left="796" w:right="0" w:hanging="427"/>
        <w:jc w:val="left"/>
        <w:rPr>
          <w:b/>
          <w:sz w:val="24"/>
        </w:rPr>
      </w:pPr>
      <w:r>
        <w:rPr>
          <w:b/>
          <w:sz w:val="24"/>
          <w:u w:val="single"/>
        </w:rPr>
        <w:t>Bewerbung</w:t>
      </w:r>
      <w:r>
        <w:rPr>
          <w:b/>
          <w:spacing w:val="-3"/>
          <w:sz w:val="24"/>
          <w:u w:val="single"/>
        </w:rPr>
        <w:t> </w:t>
      </w:r>
      <w:r>
        <w:rPr>
          <w:b/>
          <w:sz w:val="24"/>
          <w:u w:val="single"/>
        </w:rPr>
        <w:t>und</w:t>
      </w:r>
      <w:r>
        <w:rPr>
          <w:b/>
          <w:spacing w:val="-4"/>
          <w:sz w:val="24"/>
          <w:u w:val="single"/>
        </w:rPr>
        <w:t> </w:t>
      </w:r>
      <w:r>
        <w:rPr>
          <w:b/>
          <w:spacing w:val="-2"/>
          <w:sz w:val="24"/>
          <w:u w:val="single"/>
        </w:rPr>
        <w:t>Auswahlverfahren</w:t>
      </w:r>
    </w:p>
    <w:p>
      <w:pPr>
        <w:pStyle w:val="BodyText"/>
        <w:spacing w:before="1"/>
        <w:rPr>
          <w:b/>
          <w:sz w:val="16"/>
        </w:rPr>
      </w:pPr>
    </w:p>
    <w:p>
      <w:pPr>
        <w:spacing w:before="91"/>
        <w:ind w:left="796" w:right="283" w:firstLine="0"/>
        <w:jc w:val="both"/>
        <w:rPr>
          <w:sz w:val="22"/>
        </w:rPr>
      </w:pPr>
      <w:r>
        <w:rPr>
          <w:sz w:val="22"/>
        </w:rPr>
        <w:t>Die Bewerberinnen und Bewerber senden ihren </w:t>
      </w:r>
      <w:r>
        <w:rPr>
          <w:b/>
          <w:sz w:val="22"/>
        </w:rPr>
        <w:t>Lebenslauf im Europass-Format </w:t>
      </w:r>
      <w:r>
        <w:rPr>
          <w:sz w:val="22"/>
        </w:rPr>
        <w:t>(</w:t>
      </w:r>
      <w:hyperlink r:id="rId8">
        <w:r>
          <w:rPr>
            <w:color w:val="0000FF"/>
            <w:sz w:val="22"/>
            <w:u w:val="single" w:color="0000FF"/>
          </w:rPr>
          <w:t>http://europass.cedefop.europa.eu/de/documents/curriculum-vitae</w:t>
        </w:r>
      </w:hyperlink>
      <w:r>
        <w:rPr>
          <w:sz w:val="22"/>
        </w:rPr>
        <w:t>) auf deutsch, englisch oder französisch </w:t>
      </w:r>
      <w:r>
        <w:rPr>
          <w:b/>
          <w:sz w:val="22"/>
          <w:u w:val="single"/>
        </w:rPr>
        <w:t>ausschließlich an die Ständige Vertretung / diplomatische Mission ihres Landes bei der EU</w:t>
      </w:r>
      <w:r>
        <w:rPr>
          <w:sz w:val="22"/>
        </w:rPr>
        <w:t>. Diese</w:t>
      </w:r>
      <w:r>
        <w:rPr>
          <w:spacing w:val="40"/>
          <w:sz w:val="22"/>
        </w:rPr>
        <w:t> </w:t>
      </w:r>
      <w:r>
        <w:rPr>
          <w:sz w:val="22"/>
        </w:rPr>
        <w:t>leitet die Bewerbungen innerhalb der Fristen für das Auswahlverfahren an die zuständigen Kommissionsdienststellen weiter. Der Lebenslauf muss das Geburtsdatum und die Staatsangehörigkeit des</w:t>
      </w:r>
    </w:p>
    <w:p>
      <w:pPr>
        <w:spacing w:after="0"/>
        <w:jc w:val="both"/>
        <w:rPr>
          <w:sz w:val="22"/>
        </w:rPr>
        <w:sectPr>
          <w:pgSz w:w="11910" w:h="16840"/>
          <w:pgMar w:header="0" w:footer="686" w:top="1040" w:bottom="880" w:left="480" w:right="740"/>
        </w:sectPr>
      </w:pPr>
    </w:p>
    <w:p>
      <w:pPr>
        <w:spacing w:before="75"/>
        <w:ind w:left="796" w:right="283" w:firstLine="0"/>
        <w:jc w:val="both"/>
        <w:rPr>
          <w:sz w:val="22"/>
        </w:rPr>
      </w:pPr>
      <w:r>
        <w:rPr>
          <w:sz w:val="22"/>
        </w:rPr>
        <w:t>Kandidaten enthalten. </w:t>
      </w:r>
      <w:r>
        <w:rPr>
          <w:b/>
          <w:sz w:val="22"/>
        </w:rPr>
        <w:t>Bei Nichteinhaltung dieses Verfahrens oder der Fristen wird die Bewerbung automatisch ungültig. </w:t>
      </w:r>
      <w:r>
        <w:rPr>
          <w:sz w:val="22"/>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pPr>
        <w:pStyle w:val="BodyText"/>
        <w:ind w:left="796" w:right="285"/>
        <w:jc w:val="both"/>
      </w:pPr>
      <w:r>
        <w:rPr/>
        <w:t>Die Bewerberinnen und Bewerber werden von dem einstellenden Referat über den Stand ihrer Bewerbung </w:t>
      </w:r>
      <w:r>
        <w:rPr>
          <w:spacing w:val="-2"/>
        </w:rPr>
        <w:t>informiert.</w:t>
      </w:r>
    </w:p>
    <w:p>
      <w:pPr>
        <w:pStyle w:val="BodyText"/>
        <w:spacing w:before="1"/>
      </w:pPr>
    </w:p>
    <w:p>
      <w:pPr>
        <w:pStyle w:val="ListParagraph"/>
        <w:numPr>
          <w:ilvl w:val="0"/>
          <w:numId w:val="4"/>
        </w:numPr>
        <w:tabs>
          <w:tab w:pos="796" w:val="left" w:leader="none"/>
          <w:tab w:pos="797" w:val="left" w:leader="none"/>
        </w:tabs>
        <w:spacing w:line="240" w:lineRule="auto" w:before="0" w:after="0"/>
        <w:ind w:left="796" w:right="0" w:hanging="427"/>
        <w:jc w:val="left"/>
        <w:rPr>
          <w:b/>
          <w:sz w:val="24"/>
        </w:rPr>
      </w:pPr>
      <w:r>
        <w:rPr>
          <w:b/>
          <w:sz w:val="24"/>
          <w:u w:val="single"/>
        </w:rPr>
        <w:t>Bedingungen</w:t>
      </w:r>
      <w:r>
        <w:rPr>
          <w:b/>
          <w:spacing w:val="-7"/>
          <w:sz w:val="24"/>
          <w:u w:val="single"/>
        </w:rPr>
        <w:t> </w:t>
      </w:r>
      <w:r>
        <w:rPr>
          <w:b/>
          <w:sz w:val="24"/>
          <w:u w:val="single"/>
        </w:rPr>
        <w:t>für</w:t>
      </w:r>
      <w:r>
        <w:rPr>
          <w:b/>
          <w:spacing w:val="-4"/>
          <w:sz w:val="24"/>
          <w:u w:val="single"/>
        </w:rPr>
        <w:t> </w:t>
      </w:r>
      <w:r>
        <w:rPr>
          <w:b/>
          <w:sz w:val="24"/>
          <w:u w:val="single"/>
        </w:rPr>
        <w:t>die</w:t>
      </w:r>
      <w:r>
        <w:rPr>
          <w:b/>
          <w:spacing w:val="-4"/>
          <w:sz w:val="24"/>
          <w:u w:val="single"/>
        </w:rPr>
        <w:t> </w:t>
      </w:r>
      <w:r>
        <w:rPr>
          <w:b/>
          <w:sz w:val="24"/>
          <w:u w:val="single"/>
        </w:rPr>
        <w:t>Abordnung</w:t>
      </w:r>
      <w:r>
        <w:rPr>
          <w:b/>
          <w:spacing w:val="-5"/>
          <w:sz w:val="24"/>
          <w:u w:val="single"/>
        </w:rPr>
        <w:t> </w:t>
      </w:r>
      <w:r>
        <w:rPr>
          <w:b/>
          <w:sz w:val="24"/>
          <w:u w:val="single"/>
        </w:rPr>
        <w:t>nationaler</w:t>
      </w:r>
      <w:r>
        <w:rPr>
          <w:b/>
          <w:spacing w:val="-3"/>
          <w:sz w:val="24"/>
          <w:u w:val="single"/>
        </w:rPr>
        <w:t> </w:t>
      </w:r>
      <w:r>
        <w:rPr>
          <w:b/>
          <w:spacing w:val="-2"/>
          <w:sz w:val="24"/>
          <w:u w:val="single"/>
        </w:rPr>
        <w:t>Sachverständiger</w:t>
      </w:r>
    </w:p>
    <w:p>
      <w:pPr>
        <w:pStyle w:val="BodyText"/>
        <w:rPr>
          <w:b/>
          <w:sz w:val="16"/>
        </w:rPr>
      </w:pPr>
    </w:p>
    <w:p>
      <w:pPr>
        <w:spacing w:before="91"/>
        <w:ind w:left="796" w:right="283" w:firstLine="0"/>
        <w:jc w:val="both"/>
        <w:rPr>
          <w:sz w:val="22"/>
        </w:rPr>
      </w:pPr>
      <w:r>
        <w:rPr>
          <w:sz w:val="22"/>
        </w:rPr>
        <w:t>Abordnungen fallen unter den </w:t>
      </w:r>
      <w:r>
        <w:rPr>
          <w:b/>
          <w:sz w:val="22"/>
        </w:rPr>
        <w:t>Beschluss C(2008)</w:t>
      </w:r>
      <w:r>
        <w:rPr>
          <w:b/>
          <w:spacing w:val="-3"/>
          <w:sz w:val="22"/>
        </w:rPr>
        <w:t> </w:t>
      </w:r>
      <w:r>
        <w:rPr>
          <w:b/>
          <w:sz w:val="22"/>
        </w:rPr>
        <w:t>6866 der Kommission vom 12.11.2008 </w:t>
      </w:r>
      <w:r>
        <w:rPr>
          <w:sz w:val="22"/>
        </w:rPr>
        <w:t>über die Regelung für zur Kommission abgeordnete oder sich zu Zwecken der beruflichen Weiterbildung bei der Kommission aufhaltende nationale Sachverständige (ANS-Beschluss).</w:t>
      </w:r>
    </w:p>
    <w:p>
      <w:pPr>
        <w:pStyle w:val="BodyText"/>
        <w:ind w:left="796" w:right="283"/>
        <w:jc w:val="both"/>
      </w:pPr>
      <w:r>
        <w:rPr/>
        <w:t>Der ANS bleibt während der gesamten Dauer der Abordnung bei seinem Arbeitgeber angestellt und erhält seine Bezüge von diesem. Zudem ist er während der Abordnung auch weiterhin seinem nationalen Sozialversicherungssystem angeschlossen.</w:t>
      </w:r>
    </w:p>
    <w:p>
      <w:pPr>
        <w:pStyle w:val="BodyText"/>
      </w:pPr>
    </w:p>
    <w:p>
      <w:pPr>
        <w:pStyle w:val="BodyText"/>
        <w:ind w:left="796" w:right="285"/>
        <w:jc w:val="both"/>
      </w:pPr>
      <w:r>
        <w:rPr/>
        <w:t>Mit Ausnahme der unentgeltlich abgeordneten Sachverständigen können den ANS, die die Bedingungen nach Artikel 17 des ANS-Beschlusses erfüllen, Tagegelder gezahlt werden.</w:t>
      </w:r>
    </w:p>
    <w:p>
      <w:pPr>
        <w:pStyle w:val="BodyText"/>
        <w:ind w:left="796" w:right="283"/>
        <w:jc w:val="both"/>
      </w:pPr>
      <w:r>
        <w:rPr/>
        <w:t>Während der Abordnung unterliegen die ANS den in den Artikeln</w:t>
      </w:r>
      <w:r>
        <w:rPr>
          <w:spacing w:val="-1"/>
        </w:rPr>
        <w:t> </w:t>
      </w:r>
      <w:r>
        <w:rPr/>
        <w:t>6 und</w:t>
      </w:r>
      <w:r>
        <w:rPr>
          <w:spacing w:val="-2"/>
        </w:rPr>
        <w:t> </w:t>
      </w:r>
      <w:r>
        <w:rPr/>
        <w:t>7 des ANS-Beschlusses vorgesehenen Verpflichtungen zur Vertraulichkeit, zur Loyalität und zum Nichtbestehen von </w:t>
      </w:r>
      <w:r>
        <w:rPr>
          <w:spacing w:val="-2"/>
        </w:rPr>
        <w:t>Interessenkonflikten.</w:t>
      </w:r>
    </w:p>
    <w:p>
      <w:pPr>
        <w:pStyle w:val="BodyText"/>
      </w:pPr>
    </w:p>
    <w:p>
      <w:pPr>
        <w:pStyle w:val="BodyText"/>
        <w:ind w:left="795"/>
        <w:jc w:val="both"/>
      </w:pPr>
      <w:r>
        <w:rPr/>
        <w:t>Bei</w:t>
      </w:r>
      <w:r>
        <w:rPr>
          <w:spacing w:val="-10"/>
        </w:rPr>
        <w:t> </w:t>
      </w:r>
      <w:r>
        <w:rPr/>
        <w:t>unvollständigen</w:t>
      </w:r>
      <w:r>
        <w:rPr>
          <w:spacing w:val="-10"/>
        </w:rPr>
        <w:t> </w:t>
      </w:r>
      <w:r>
        <w:rPr/>
        <w:t>oder</w:t>
      </w:r>
      <w:r>
        <w:rPr>
          <w:spacing w:val="-9"/>
        </w:rPr>
        <w:t> </w:t>
      </w:r>
      <w:r>
        <w:rPr/>
        <w:t>falschen</w:t>
      </w:r>
      <w:r>
        <w:rPr>
          <w:spacing w:val="-10"/>
        </w:rPr>
        <w:t> </w:t>
      </w:r>
      <w:r>
        <w:rPr/>
        <w:t>Angaben</w:t>
      </w:r>
      <w:r>
        <w:rPr>
          <w:spacing w:val="-9"/>
        </w:rPr>
        <w:t> </w:t>
      </w:r>
      <w:r>
        <w:rPr/>
        <w:t>kann</w:t>
      </w:r>
      <w:r>
        <w:rPr>
          <w:spacing w:val="-10"/>
        </w:rPr>
        <w:t> </w:t>
      </w:r>
      <w:r>
        <w:rPr/>
        <w:t>die</w:t>
      </w:r>
      <w:r>
        <w:rPr>
          <w:spacing w:val="-11"/>
        </w:rPr>
        <w:t> </w:t>
      </w:r>
      <w:r>
        <w:rPr/>
        <w:t>Bewerbung</w:t>
      </w:r>
      <w:r>
        <w:rPr>
          <w:spacing w:val="-9"/>
        </w:rPr>
        <w:t> </w:t>
      </w:r>
      <w:r>
        <w:rPr/>
        <w:t>abgelehnt</w:t>
      </w:r>
      <w:r>
        <w:rPr>
          <w:spacing w:val="-9"/>
        </w:rPr>
        <w:t> </w:t>
      </w:r>
      <w:r>
        <w:rPr>
          <w:spacing w:val="-2"/>
        </w:rPr>
        <w:t>werden.</w:t>
      </w:r>
    </w:p>
    <w:p>
      <w:pPr>
        <w:pStyle w:val="BodyText"/>
      </w:pPr>
    </w:p>
    <w:p>
      <w:pPr>
        <w:pStyle w:val="BodyText"/>
        <w:spacing w:before="1"/>
        <w:ind w:left="796" w:right="265"/>
        <w:jc w:val="both"/>
      </w:pPr>
      <w:r>
        <w:rPr/>
        <w:t>Mitarbeiter, die in eine </w:t>
      </w:r>
      <w:r>
        <w:rPr>
          <w:b/>
        </w:rPr>
        <w:t>Delegation der Europäischen Union </w:t>
      </w:r>
      <w:r>
        <w:rPr/>
        <w:t>entsandt werden, benötigen eine Sicherheitsüberprüfung (nach SECRET UE/EU SECRET Niveau gemäß der Entscheidung der Kommission (EU-Euratom) 2015/444, O.J. L 72, 17.03.2015, p.53).</w:t>
      </w:r>
      <w:r>
        <w:rPr>
          <w:spacing w:val="40"/>
        </w:rPr>
        <w:t> </w:t>
      </w:r>
      <w:r>
        <w:rPr/>
        <w:t>Der ausgewählte Bewerber ist verpflichtet, das Überprüfungsverfahren vor der Abordnung einzuleiten.</w:t>
      </w:r>
    </w:p>
    <w:p>
      <w:pPr>
        <w:pStyle w:val="BodyText"/>
        <w:spacing w:before="11"/>
        <w:rPr>
          <w:sz w:val="23"/>
        </w:rPr>
      </w:pPr>
    </w:p>
    <w:p>
      <w:pPr>
        <w:pStyle w:val="ListParagraph"/>
        <w:numPr>
          <w:ilvl w:val="0"/>
          <w:numId w:val="4"/>
        </w:numPr>
        <w:tabs>
          <w:tab w:pos="796" w:val="left" w:leader="none"/>
          <w:tab w:pos="797" w:val="left" w:leader="none"/>
        </w:tabs>
        <w:spacing w:line="240" w:lineRule="auto" w:before="0" w:after="0"/>
        <w:ind w:left="796" w:right="0" w:hanging="427"/>
        <w:jc w:val="left"/>
        <w:rPr>
          <w:b/>
          <w:sz w:val="24"/>
        </w:rPr>
      </w:pPr>
      <w:r>
        <w:rPr>
          <w:b/>
          <w:sz w:val="24"/>
          <w:u w:val="single"/>
        </w:rPr>
        <w:t>Verarbeitung</w:t>
      </w:r>
      <w:r>
        <w:rPr>
          <w:b/>
          <w:spacing w:val="-5"/>
          <w:sz w:val="24"/>
          <w:u w:val="single"/>
        </w:rPr>
        <w:t> </w:t>
      </w:r>
      <w:r>
        <w:rPr>
          <w:b/>
          <w:sz w:val="24"/>
          <w:u w:val="single"/>
        </w:rPr>
        <w:t>personenbezogener</w:t>
      </w:r>
      <w:r>
        <w:rPr>
          <w:b/>
          <w:spacing w:val="-5"/>
          <w:sz w:val="24"/>
          <w:u w:val="single"/>
        </w:rPr>
        <w:t> </w:t>
      </w:r>
      <w:r>
        <w:rPr>
          <w:b/>
          <w:spacing w:val="-4"/>
          <w:sz w:val="24"/>
          <w:u w:val="single"/>
        </w:rPr>
        <w:t>Daten</w:t>
      </w:r>
    </w:p>
    <w:p>
      <w:pPr>
        <w:pStyle w:val="BodyText"/>
        <w:spacing w:before="1"/>
        <w:rPr>
          <w:b/>
          <w:sz w:val="16"/>
        </w:rPr>
      </w:pPr>
    </w:p>
    <w:p>
      <w:pPr>
        <w:pStyle w:val="BodyText"/>
        <w:spacing w:before="91"/>
        <w:ind w:left="796" w:right="108"/>
        <w:jc w:val="both"/>
      </w:pPr>
      <w:r>
        <w:rPr/>
        <w:t>Bei der Durchführung des Auswahlverfahrens, der Abordnung und des Endes der Abordnung der ANS verarbeiten die zuständigen Dienststellen der GD HR, des PMO, der GD BUDG und der von dieser Ausschreibung betroffenen GD personenbezogene Daten der ANS unter der Verantwortung des Leiters des Referats GD HR.B.1. Diese Datenverarbeitung erfolgt auf der Grundlage des ANS-Beschlusses der Kommission und unterliegt der Verordnung (EU) Nr. 2018/1725.</w:t>
      </w:r>
    </w:p>
    <w:p>
      <w:pPr>
        <w:pStyle w:val="BodyText"/>
        <w:ind w:left="797" w:right="283" w:hanging="1"/>
        <w:jc w:val="both"/>
      </w:pPr>
      <w:r>
        <w:rPr/>
        <w:t>Die Daten der ANS werden für die Dauer von 7 Jahren ab dem Ende der Abordnung aufbewahrt (zwei Jahre bei ANS, deren Bewerbung zurückgezogen wurde).</w:t>
      </w:r>
    </w:p>
    <w:p>
      <w:pPr>
        <w:pStyle w:val="BodyText"/>
        <w:ind w:left="797" w:right="107"/>
        <w:jc w:val="both"/>
      </w:pPr>
      <w:r>
        <w:rPr/>
        <w:t>Gemäß Kapitel III (Artikel 14-25) der Verordnung (EU) 2018/1725 haben Sie als „betroffene Person“ bestimmte</w:t>
      </w:r>
      <w:r>
        <w:rPr>
          <w:spacing w:val="-4"/>
        </w:rPr>
        <w:t> </w:t>
      </w:r>
      <w:r>
        <w:rPr/>
        <w:t>Rechte,</w:t>
      </w:r>
      <w:r>
        <w:rPr>
          <w:spacing w:val="-3"/>
        </w:rPr>
        <w:t> </w:t>
      </w:r>
      <w:r>
        <w:rPr/>
        <w:t>insbesondere</w:t>
      </w:r>
      <w:r>
        <w:rPr>
          <w:spacing w:val="-4"/>
        </w:rPr>
        <w:t> </w:t>
      </w:r>
      <w:r>
        <w:rPr/>
        <w:t>das</w:t>
      </w:r>
      <w:r>
        <w:rPr>
          <w:spacing w:val="-4"/>
        </w:rPr>
        <w:t> </w:t>
      </w:r>
      <w:r>
        <w:rPr/>
        <w:t>Recht</w:t>
      </w:r>
      <w:r>
        <w:rPr>
          <w:spacing w:val="-3"/>
        </w:rPr>
        <w:t> </w:t>
      </w:r>
      <w:r>
        <w:rPr/>
        <w:t>auf</w:t>
      </w:r>
      <w:r>
        <w:rPr>
          <w:spacing w:val="-3"/>
        </w:rPr>
        <w:t> </w:t>
      </w:r>
      <w:r>
        <w:rPr/>
        <w:t>Zugang</w:t>
      </w:r>
      <w:r>
        <w:rPr>
          <w:spacing w:val="-3"/>
        </w:rPr>
        <w:t> </w:t>
      </w:r>
      <w:r>
        <w:rPr/>
        <w:t>zu</w:t>
      </w:r>
      <w:r>
        <w:rPr>
          <w:spacing w:val="-4"/>
        </w:rPr>
        <w:t> </w:t>
      </w:r>
      <w:r>
        <w:rPr/>
        <w:t>Ihren</w:t>
      </w:r>
      <w:r>
        <w:rPr>
          <w:spacing w:val="-3"/>
        </w:rPr>
        <w:t> </w:t>
      </w:r>
      <w:r>
        <w:rPr/>
        <w:t>personenbezogenen</w:t>
      </w:r>
      <w:r>
        <w:rPr>
          <w:spacing w:val="-3"/>
        </w:rPr>
        <w:t> </w:t>
      </w:r>
      <w:r>
        <w:rPr/>
        <w:t>Daten,</w:t>
      </w:r>
      <w:r>
        <w:rPr>
          <w:spacing w:val="-3"/>
        </w:rPr>
        <w:t> </w:t>
      </w:r>
      <w:r>
        <w:rPr/>
        <w:t>deren</w:t>
      </w:r>
      <w:r>
        <w:rPr>
          <w:spacing w:val="-3"/>
        </w:rPr>
        <w:t> </w:t>
      </w:r>
      <w:r>
        <w:rPr/>
        <w:t>Berichtigung oder Löschung und das Recht, die Verarbeitung Ihrer persönliche Daten zu beschränken. Gegebenenfalls</w:t>
      </w:r>
      <w:r>
        <w:rPr>
          <w:spacing w:val="40"/>
        </w:rPr>
        <w:t> </w:t>
      </w:r>
      <w:r>
        <w:rPr/>
        <w:t>haben Sie auch das Recht, der Verarbeitung oder dem Datenübertragungsrecht zu widersprechen.</w:t>
      </w:r>
    </w:p>
    <w:p>
      <w:pPr>
        <w:pStyle w:val="BodyText"/>
        <w:ind w:left="797" w:right="107"/>
        <w:jc w:val="both"/>
      </w:pPr>
      <w:r>
        <w:rPr/>
        <w:t>Sie können Ihre Rechte ausüben, indem Sie sich an den Data Controller oder im Falle eines Konflikts an den Datenschutzbeauftragten wenden. Bei Bedarf können Sie sich auch an den Europäischen Datenschutzbeauftragten wenden. Ihre Kontaktinformationen sind unten angegeben.</w:t>
      </w:r>
    </w:p>
    <w:p>
      <w:pPr>
        <w:pStyle w:val="BodyText"/>
        <w:spacing w:before="11"/>
        <w:rPr>
          <w:sz w:val="21"/>
        </w:rPr>
      </w:pPr>
    </w:p>
    <w:p>
      <w:pPr>
        <w:pStyle w:val="Heading1"/>
        <w:ind w:left="796" w:firstLine="0"/>
      </w:pPr>
      <w:r>
        <w:rPr>
          <w:spacing w:val="-2"/>
          <w:u w:val="single"/>
        </w:rPr>
        <w:t>Kontaktinformationen</w:t>
      </w:r>
    </w:p>
    <w:p>
      <w:pPr>
        <w:pStyle w:val="ListParagraph"/>
        <w:numPr>
          <w:ilvl w:val="0"/>
          <w:numId w:val="6"/>
        </w:numPr>
        <w:tabs>
          <w:tab w:pos="1078" w:val="left" w:leader="none"/>
          <w:tab w:pos="1079" w:val="left" w:leader="none"/>
        </w:tabs>
        <w:spacing w:line="240" w:lineRule="auto" w:before="0" w:after="0"/>
        <w:ind w:left="1078" w:right="0" w:hanging="283"/>
        <w:jc w:val="left"/>
        <w:rPr>
          <w:b/>
          <w:sz w:val="22"/>
        </w:rPr>
      </w:pPr>
      <w:r>
        <w:rPr>
          <w:b/>
          <w:sz w:val="22"/>
        </w:rPr>
        <w:t>Data</w:t>
      </w:r>
      <w:r>
        <w:rPr>
          <w:b/>
          <w:spacing w:val="-6"/>
          <w:sz w:val="22"/>
        </w:rPr>
        <w:t> </w:t>
      </w:r>
      <w:r>
        <w:rPr>
          <w:b/>
          <w:spacing w:val="-2"/>
          <w:sz w:val="22"/>
        </w:rPr>
        <w:t>Controller</w:t>
      </w:r>
    </w:p>
    <w:p>
      <w:pPr>
        <w:pStyle w:val="BodyText"/>
        <w:ind w:left="1080" w:right="107"/>
        <w:jc w:val="both"/>
      </w:pPr>
      <w:r>
        <w:rPr/>
        <w:t>Wenn Sie Ihre Rechte gemäß der Verordnung (EU) 2018/1725 geltend machen möchten, Kommentare, Fragen oder Bedenken haben, oder eine Beschwerde bezüglich der Erhebung und Verwendung Ihrer personenbezogenen Daten einreichen möchten, können Sie sich gerne direkt an den für die Datenverarbeitung Verantwortlichen, HR.B.1, </w:t>
      </w:r>
      <w:hyperlink r:id="rId9">
        <w:r>
          <w:rPr>
            <w:color w:val="0000FF"/>
            <w:u w:val="single" w:color="0000FF"/>
          </w:rPr>
          <w:t>HR-B1-DPR@ec.europa.eu</w:t>
        </w:r>
      </w:hyperlink>
      <w:r>
        <w:rPr>
          <w:color w:val="0000FF"/>
        </w:rPr>
        <w:t> </w:t>
      </w:r>
      <w:r>
        <w:rPr/>
        <w:t>wenden.</w:t>
      </w:r>
    </w:p>
    <w:p>
      <w:pPr>
        <w:pStyle w:val="BodyText"/>
        <w:spacing w:before="2"/>
        <w:rPr>
          <w:sz w:val="14"/>
        </w:rPr>
      </w:pPr>
    </w:p>
    <w:p>
      <w:pPr>
        <w:pStyle w:val="Heading1"/>
        <w:numPr>
          <w:ilvl w:val="0"/>
          <w:numId w:val="6"/>
        </w:numPr>
        <w:tabs>
          <w:tab w:pos="1078" w:val="left" w:leader="none"/>
          <w:tab w:pos="1079" w:val="left" w:leader="none"/>
        </w:tabs>
        <w:spacing w:line="240" w:lineRule="auto" w:before="90" w:after="0"/>
        <w:ind w:left="1078" w:right="0" w:hanging="283"/>
        <w:jc w:val="left"/>
      </w:pPr>
      <w:r>
        <w:rPr>
          <w:spacing w:val="-2"/>
        </w:rPr>
        <w:t>Datenschutzbeauftragte</w:t>
      </w:r>
      <w:r>
        <w:rPr>
          <w:spacing w:val="5"/>
        </w:rPr>
        <w:t> </w:t>
      </w:r>
      <w:r>
        <w:rPr>
          <w:spacing w:val="-2"/>
        </w:rPr>
        <w:t>(DPO)</w:t>
      </w:r>
      <w:r>
        <w:rPr>
          <w:spacing w:val="7"/>
        </w:rPr>
        <w:t> </w:t>
      </w:r>
      <w:r>
        <w:rPr>
          <w:spacing w:val="-2"/>
        </w:rPr>
        <w:t>der</w:t>
      </w:r>
      <w:r>
        <w:rPr>
          <w:spacing w:val="6"/>
        </w:rPr>
        <w:t> </w:t>
      </w:r>
      <w:r>
        <w:rPr>
          <w:spacing w:val="-2"/>
        </w:rPr>
        <w:t>Kommission</w:t>
      </w:r>
    </w:p>
    <w:p>
      <w:pPr>
        <w:spacing w:after="0" w:line="240" w:lineRule="auto"/>
        <w:jc w:val="left"/>
        <w:sectPr>
          <w:pgSz w:w="11910" w:h="16840"/>
          <w:pgMar w:header="0" w:footer="686" w:top="1040" w:bottom="880" w:left="480" w:right="740"/>
        </w:sectPr>
      </w:pPr>
    </w:p>
    <w:p>
      <w:pPr>
        <w:pStyle w:val="BodyText"/>
        <w:spacing w:before="75"/>
        <w:ind w:left="1080" w:right="107"/>
        <w:jc w:val="both"/>
      </w:pPr>
      <w:r>
        <w:rPr/>
        <w:t>Sie können sich an den Datenschutzbeauftragten (</w:t>
      </w:r>
      <w:hyperlink r:id="rId10">
        <w:r>
          <w:rPr>
            <w:color w:val="0000FF"/>
            <w:u w:val="single" w:color="0000FF"/>
          </w:rPr>
          <w:t>DATA-PROTECTION-OFFICER@ec.europa.eu</w:t>
        </w:r>
      </w:hyperlink>
      <w:r>
        <w:rPr/>
        <w:t>) wenden, wenn Sie Fragen zur Verarbeitung Ihrer personenbezogenen Daten gemäß der Verordnung (EU) 2018/1725 haben.</w:t>
      </w:r>
    </w:p>
    <w:p>
      <w:pPr>
        <w:pStyle w:val="BodyText"/>
      </w:pPr>
    </w:p>
    <w:p>
      <w:pPr>
        <w:pStyle w:val="Heading1"/>
        <w:numPr>
          <w:ilvl w:val="0"/>
          <w:numId w:val="6"/>
        </w:numPr>
        <w:tabs>
          <w:tab w:pos="1079" w:val="left" w:leader="none"/>
        </w:tabs>
        <w:spacing w:line="240" w:lineRule="auto" w:before="0" w:after="0"/>
        <w:ind w:left="1078" w:right="0" w:hanging="283"/>
        <w:jc w:val="both"/>
      </w:pPr>
      <w:r>
        <w:rPr>
          <w:spacing w:val="-2"/>
        </w:rPr>
        <w:t>Europäische</w:t>
      </w:r>
      <w:r>
        <w:rPr>
          <w:spacing w:val="12"/>
        </w:rPr>
        <w:t> </w:t>
      </w:r>
      <w:r>
        <w:rPr>
          <w:spacing w:val="-2"/>
        </w:rPr>
        <w:t>Datenschutzbeauftragte</w:t>
      </w:r>
      <w:r>
        <w:rPr>
          <w:spacing w:val="9"/>
        </w:rPr>
        <w:t> </w:t>
      </w:r>
      <w:r>
        <w:rPr>
          <w:spacing w:val="-2"/>
        </w:rPr>
        <w:t>(EDSB)</w:t>
      </w:r>
    </w:p>
    <w:p>
      <w:pPr>
        <w:pStyle w:val="BodyText"/>
        <w:ind w:left="1079" w:right="108"/>
        <w:jc w:val="both"/>
      </w:pPr>
      <w:r>
        <w:rPr/>
        <w:t>Sie haben das Recht, sich an den Europäischen Datenschutzbeauftragten (</w:t>
      </w:r>
      <w:hyperlink r:id="rId11">
        <w:r>
          <w:rPr>
            <w:color w:val="0000FF"/>
            <w:u w:val="single" w:color="0000FF"/>
          </w:rPr>
          <w:t>edps@edps.europa.eu</w:t>
        </w:r>
      </w:hyperlink>
      <w:r>
        <w:rPr/>
        <w:t>) zu</w:t>
      </w:r>
      <w:r>
        <w:rPr>
          <w:spacing w:val="80"/>
        </w:rPr>
        <w:t> </w:t>
      </w:r>
      <w:r>
        <w:rPr/>
        <w:t>wenden (d.h. Sie können eine Beschwerde einlegen), wenn Sie der Ansicht sind, dass Ihre Rechte gemäß der Verordnung (EU) 2018/1725 bei der Verarbeitung Ihrer persönlichen Daten durch den Data Controller verletzt wurden.</w:t>
      </w:r>
    </w:p>
    <w:p>
      <w:pPr>
        <w:pStyle w:val="BodyText"/>
      </w:pPr>
    </w:p>
    <w:p>
      <w:pPr>
        <w:pStyle w:val="BodyText"/>
        <w:ind w:left="1080" w:right="107"/>
        <w:jc w:val="both"/>
      </w:pPr>
      <w:r>
        <w:rPr/>
        <w:t>Hinweis für Bewerber aus Drittländern: Ihre personenbezogenen Daten können für erforderliche Überprüfungen herangezogen werden.</w:t>
      </w:r>
    </w:p>
    <w:sectPr>
      <w:pgSz w:w="11910" w:h="16840"/>
      <w:pgMar w:header="0" w:footer="686" w:top="1040" w:bottom="880" w:left="48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Wingdings 2">
    <w:altName w:val="Wingdings 2"/>
    <w:charset w:val="2"/>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97.720001pt;margin-top:796.608887pt;width:56.1pt;height:10.85pt;mso-position-horizontal-relative:page;mso-position-vertical-relative:page;z-index:-15819264" type="#_x0000_t202" id="docshape1" filled="false" stroked="false">
          <v:textbox inset="0,0,0,0">
            <w:txbxContent>
              <w:p>
                <w:pPr>
                  <w:spacing w:before="13"/>
                  <w:ind w:left="20" w:right="0" w:firstLine="0"/>
                  <w:jc w:val="left"/>
                  <w:rPr>
                    <w:sz w:val="16"/>
                  </w:rPr>
                </w:pPr>
                <w:r>
                  <w:rPr>
                    <w:spacing w:val="-2"/>
                    <w:sz w:val="16"/>
                  </w:rPr>
                  <w:t>Version</w:t>
                </w:r>
                <w:r>
                  <w:rPr>
                    <w:spacing w:val="8"/>
                    <w:sz w:val="16"/>
                  </w:rPr>
                  <w:t> </w:t>
                </w:r>
                <w:r>
                  <w:rPr>
                    <w:spacing w:val="-2"/>
                    <w:sz w:val="16"/>
                  </w:rPr>
                  <w:t>10-</w:t>
                </w:r>
                <w:r>
                  <w:rPr>
                    <w:spacing w:val="-4"/>
                    <w:sz w:val="16"/>
                  </w:rPr>
                  <w:t>2022</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1078" w:hanging="282"/>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040" w:hanging="282"/>
      </w:pPr>
      <w:rPr>
        <w:rFonts w:hint="default"/>
        <w:lang w:val="de-DE" w:eastAsia="en-US" w:bidi="ar-SA"/>
      </w:rPr>
    </w:lvl>
    <w:lvl w:ilvl="2">
      <w:start w:val="0"/>
      <w:numFmt w:val="bullet"/>
      <w:lvlText w:val="•"/>
      <w:lvlJc w:val="left"/>
      <w:pPr>
        <w:ind w:left="3001" w:hanging="282"/>
      </w:pPr>
      <w:rPr>
        <w:rFonts w:hint="default"/>
        <w:lang w:val="de-DE" w:eastAsia="en-US" w:bidi="ar-SA"/>
      </w:rPr>
    </w:lvl>
    <w:lvl w:ilvl="3">
      <w:start w:val="0"/>
      <w:numFmt w:val="bullet"/>
      <w:lvlText w:val="•"/>
      <w:lvlJc w:val="left"/>
      <w:pPr>
        <w:ind w:left="3961" w:hanging="282"/>
      </w:pPr>
      <w:rPr>
        <w:rFonts w:hint="default"/>
        <w:lang w:val="de-DE" w:eastAsia="en-US" w:bidi="ar-SA"/>
      </w:rPr>
    </w:lvl>
    <w:lvl w:ilvl="4">
      <w:start w:val="0"/>
      <w:numFmt w:val="bullet"/>
      <w:lvlText w:val="•"/>
      <w:lvlJc w:val="left"/>
      <w:pPr>
        <w:ind w:left="4922" w:hanging="282"/>
      </w:pPr>
      <w:rPr>
        <w:rFonts w:hint="default"/>
        <w:lang w:val="de-DE" w:eastAsia="en-US" w:bidi="ar-SA"/>
      </w:rPr>
    </w:lvl>
    <w:lvl w:ilvl="5">
      <w:start w:val="0"/>
      <w:numFmt w:val="bullet"/>
      <w:lvlText w:val="•"/>
      <w:lvlJc w:val="left"/>
      <w:pPr>
        <w:ind w:left="5883" w:hanging="282"/>
      </w:pPr>
      <w:rPr>
        <w:rFonts w:hint="default"/>
        <w:lang w:val="de-DE" w:eastAsia="en-US" w:bidi="ar-SA"/>
      </w:rPr>
    </w:lvl>
    <w:lvl w:ilvl="6">
      <w:start w:val="0"/>
      <w:numFmt w:val="bullet"/>
      <w:lvlText w:val="•"/>
      <w:lvlJc w:val="left"/>
      <w:pPr>
        <w:ind w:left="6843" w:hanging="282"/>
      </w:pPr>
      <w:rPr>
        <w:rFonts w:hint="default"/>
        <w:lang w:val="de-DE" w:eastAsia="en-US" w:bidi="ar-SA"/>
      </w:rPr>
    </w:lvl>
    <w:lvl w:ilvl="7">
      <w:start w:val="0"/>
      <w:numFmt w:val="bullet"/>
      <w:lvlText w:val="•"/>
      <w:lvlJc w:val="left"/>
      <w:pPr>
        <w:ind w:left="7804" w:hanging="282"/>
      </w:pPr>
      <w:rPr>
        <w:rFonts w:hint="default"/>
        <w:lang w:val="de-DE" w:eastAsia="en-US" w:bidi="ar-SA"/>
      </w:rPr>
    </w:lvl>
    <w:lvl w:ilvl="8">
      <w:start w:val="0"/>
      <w:numFmt w:val="bullet"/>
      <w:lvlText w:val="•"/>
      <w:lvlJc w:val="left"/>
      <w:pPr>
        <w:ind w:left="8765" w:hanging="282"/>
      </w:pPr>
      <w:rPr>
        <w:rFonts w:hint="default"/>
        <w:lang w:val="de-DE" w:eastAsia="en-US" w:bidi="ar-SA"/>
      </w:rPr>
    </w:lvl>
  </w:abstractNum>
  <w:abstractNum w:abstractNumId="4">
    <w:multiLevelType w:val="hybridMultilevel"/>
    <w:lvl w:ilvl="0">
      <w:start w:val="0"/>
      <w:numFmt w:val="bullet"/>
      <w:lvlText w:val="-"/>
      <w:lvlJc w:val="left"/>
      <w:pPr>
        <w:ind w:left="1208" w:hanging="129"/>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148" w:hanging="129"/>
      </w:pPr>
      <w:rPr>
        <w:rFonts w:hint="default"/>
        <w:lang w:val="de-DE" w:eastAsia="en-US" w:bidi="ar-SA"/>
      </w:rPr>
    </w:lvl>
    <w:lvl w:ilvl="2">
      <w:start w:val="0"/>
      <w:numFmt w:val="bullet"/>
      <w:lvlText w:val="•"/>
      <w:lvlJc w:val="left"/>
      <w:pPr>
        <w:ind w:left="3097" w:hanging="129"/>
      </w:pPr>
      <w:rPr>
        <w:rFonts w:hint="default"/>
        <w:lang w:val="de-DE" w:eastAsia="en-US" w:bidi="ar-SA"/>
      </w:rPr>
    </w:lvl>
    <w:lvl w:ilvl="3">
      <w:start w:val="0"/>
      <w:numFmt w:val="bullet"/>
      <w:lvlText w:val="•"/>
      <w:lvlJc w:val="left"/>
      <w:pPr>
        <w:ind w:left="4045" w:hanging="129"/>
      </w:pPr>
      <w:rPr>
        <w:rFonts w:hint="default"/>
        <w:lang w:val="de-DE" w:eastAsia="en-US" w:bidi="ar-SA"/>
      </w:rPr>
    </w:lvl>
    <w:lvl w:ilvl="4">
      <w:start w:val="0"/>
      <w:numFmt w:val="bullet"/>
      <w:lvlText w:val="•"/>
      <w:lvlJc w:val="left"/>
      <w:pPr>
        <w:ind w:left="4994" w:hanging="129"/>
      </w:pPr>
      <w:rPr>
        <w:rFonts w:hint="default"/>
        <w:lang w:val="de-DE" w:eastAsia="en-US" w:bidi="ar-SA"/>
      </w:rPr>
    </w:lvl>
    <w:lvl w:ilvl="5">
      <w:start w:val="0"/>
      <w:numFmt w:val="bullet"/>
      <w:lvlText w:val="•"/>
      <w:lvlJc w:val="left"/>
      <w:pPr>
        <w:ind w:left="5943" w:hanging="129"/>
      </w:pPr>
      <w:rPr>
        <w:rFonts w:hint="default"/>
        <w:lang w:val="de-DE" w:eastAsia="en-US" w:bidi="ar-SA"/>
      </w:rPr>
    </w:lvl>
    <w:lvl w:ilvl="6">
      <w:start w:val="0"/>
      <w:numFmt w:val="bullet"/>
      <w:lvlText w:val="•"/>
      <w:lvlJc w:val="left"/>
      <w:pPr>
        <w:ind w:left="6891" w:hanging="129"/>
      </w:pPr>
      <w:rPr>
        <w:rFonts w:hint="default"/>
        <w:lang w:val="de-DE" w:eastAsia="en-US" w:bidi="ar-SA"/>
      </w:rPr>
    </w:lvl>
    <w:lvl w:ilvl="7">
      <w:start w:val="0"/>
      <w:numFmt w:val="bullet"/>
      <w:lvlText w:val="•"/>
      <w:lvlJc w:val="left"/>
      <w:pPr>
        <w:ind w:left="7840" w:hanging="129"/>
      </w:pPr>
      <w:rPr>
        <w:rFonts w:hint="default"/>
        <w:lang w:val="de-DE" w:eastAsia="en-US" w:bidi="ar-SA"/>
      </w:rPr>
    </w:lvl>
    <w:lvl w:ilvl="8">
      <w:start w:val="0"/>
      <w:numFmt w:val="bullet"/>
      <w:lvlText w:val="•"/>
      <w:lvlJc w:val="left"/>
      <w:pPr>
        <w:ind w:left="8789" w:hanging="129"/>
      </w:pPr>
      <w:rPr>
        <w:rFonts w:hint="default"/>
        <w:lang w:val="de-DE" w:eastAsia="en-US" w:bidi="ar-SA"/>
      </w:rPr>
    </w:lvl>
  </w:abstractNum>
  <w:abstractNum w:abstractNumId="2">
    <w:multiLevelType w:val="hybridMultilevel"/>
    <w:lvl w:ilvl="0">
      <w:start w:val="0"/>
      <w:numFmt w:val="bullet"/>
      <w:lvlText w:val=""/>
      <w:lvlJc w:val="left"/>
      <w:pPr>
        <w:ind w:left="524" w:hanging="417"/>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816" w:hanging="251"/>
      </w:pPr>
      <w:rPr>
        <w:rFonts w:hint="default" w:ascii="Wingdings 2" w:hAnsi="Wingdings 2" w:eastAsia="Wingdings 2" w:cs="Wingdings 2"/>
        <w:b w:val="0"/>
        <w:bCs w:val="0"/>
        <w:i w:val="0"/>
        <w:iCs w:val="0"/>
        <w:w w:val="99"/>
        <w:sz w:val="22"/>
        <w:szCs w:val="22"/>
        <w:lang w:val="de-DE" w:eastAsia="en-US" w:bidi="ar-SA"/>
      </w:rPr>
    </w:lvl>
    <w:lvl w:ilvl="2">
      <w:start w:val="0"/>
      <w:numFmt w:val="bullet"/>
      <w:lvlText w:val="•"/>
      <w:lvlJc w:val="left"/>
      <w:pPr>
        <w:ind w:left="1834" w:hanging="251"/>
      </w:pPr>
      <w:rPr>
        <w:rFonts w:hint="default"/>
        <w:lang w:val="de-DE" w:eastAsia="en-US" w:bidi="ar-SA"/>
      </w:rPr>
    </w:lvl>
    <w:lvl w:ilvl="3">
      <w:start w:val="0"/>
      <w:numFmt w:val="bullet"/>
      <w:lvlText w:val="•"/>
      <w:lvlJc w:val="left"/>
      <w:pPr>
        <w:ind w:left="2848" w:hanging="251"/>
      </w:pPr>
      <w:rPr>
        <w:rFonts w:hint="default"/>
        <w:lang w:val="de-DE" w:eastAsia="en-US" w:bidi="ar-SA"/>
      </w:rPr>
    </w:lvl>
    <w:lvl w:ilvl="4">
      <w:start w:val="0"/>
      <w:numFmt w:val="bullet"/>
      <w:lvlText w:val="•"/>
      <w:lvlJc w:val="left"/>
      <w:pPr>
        <w:ind w:left="3862" w:hanging="251"/>
      </w:pPr>
      <w:rPr>
        <w:rFonts w:hint="default"/>
        <w:lang w:val="de-DE" w:eastAsia="en-US" w:bidi="ar-SA"/>
      </w:rPr>
    </w:lvl>
    <w:lvl w:ilvl="5">
      <w:start w:val="0"/>
      <w:numFmt w:val="bullet"/>
      <w:lvlText w:val="•"/>
      <w:lvlJc w:val="left"/>
      <w:pPr>
        <w:ind w:left="4876" w:hanging="251"/>
      </w:pPr>
      <w:rPr>
        <w:rFonts w:hint="default"/>
        <w:lang w:val="de-DE" w:eastAsia="en-US" w:bidi="ar-SA"/>
      </w:rPr>
    </w:lvl>
    <w:lvl w:ilvl="6">
      <w:start w:val="0"/>
      <w:numFmt w:val="bullet"/>
      <w:lvlText w:val="•"/>
      <w:lvlJc w:val="left"/>
      <w:pPr>
        <w:ind w:left="5890" w:hanging="251"/>
      </w:pPr>
      <w:rPr>
        <w:rFonts w:hint="default"/>
        <w:lang w:val="de-DE" w:eastAsia="en-US" w:bidi="ar-SA"/>
      </w:rPr>
    </w:lvl>
    <w:lvl w:ilvl="7">
      <w:start w:val="0"/>
      <w:numFmt w:val="bullet"/>
      <w:lvlText w:val="•"/>
      <w:lvlJc w:val="left"/>
      <w:pPr>
        <w:ind w:left="6904" w:hanging="251"/>
      </w:pPr>
      <w:rPr>
        <w:rFonts w:hint="default"/>
        <w:lang w:val="de-DE" w:eastAsia="en-US" w:bidi="ar-SA"/>
      </w:rPr>
    </w:lvl>
    <w:lvl w:ilvl="8">
      <w:start w:val="0"/>
      <w:numFmt w:val="bullet"/>
      <w:lvlText w:val="•"/>
      <w:lvlJc w:val="left"/>
      <w:pPr>
        <w:ind w:left="7918" w:hanging="251"/>
      </w:pPr>
      <w:rPr>
        <w:rFonts w:hint="default"/>
        <w:lang w:val="de-DE" w:eastAsia="en-US" w:bidi="ar-SA"/>
      </w:rPr>
    </w:lvl>
  </w:abstractNum>
  <w:abstractNum w:abstractNumId="1">
    <w:multiLevelType w:val="hybridMultilevel"/>
    <w:lvl w:ilvl="0">
      <w:start w:val="0"/>
      <w:numFmt w:val="bullet"/>
      <w:lvlText w:val=""/>
      <w:lvlJc w:val="left"/>
      <w:pPr>
        <w:ind w:left="304" w:hanging="197"/>
      </w:pPr>
      <w:rPr>
        <w:rFonts w:hint="default" w:ascii="Wingdings 2" w:hAnsi="Wingdings 2" w:eastAsia="Wingdings 2" w:cs="Wingdings 2"/>
        <w:b w:val="0"/>
        <w:bCs w:val="0"/>
        <w:i w:val="0"/>
        <w:iCs w:val="0"/>
        <w:spacing w:val="-1"/>
        <w:w w:val="99"/>
        <w:sz w:val="20"/>
        <w:szCs w:val="20"/>
        <w:lang w:val="de-DE" w:eastAsia="en-US" w:bidi="ar-SA"/>
      </w:rPr>
    </w:lvl>
    <w:lvl w:ilvl="1">
      <w:start w:val="0"/>
      <w:numFmt w:val="bullet"/>
      <w:lvlText w:val="•"/>
      <w:lvlJc w:val="left"/>
      <w:pPr>
        <w:ind w:left="828" w:hanging="197"/>
      </w:pPr>
      <w:rPr>
        <w:rFonts w:hint="default"/>
        <w:lang w:val="de-DE" w:eastAsia="en-US" w:bidi="ar-SA"/>
      </w:rPr>
    </w:lvl>
    <w:lvl w:ilvl="2">
      <w:start w:val="0"/>
      <w:numFmt w:val="bullet"/>
      <w:lvlText w:val="•"/>
      <w:lvlJc w:val="left"/>
      <w:pPr>
        <w:ind w:left="1357" w:hanging="197"/>
      </w:pPr>
      <w:rPr>
        <w:rFonts w:hint="default"/>
        <w:lang w:val="de-DE" w:eastAsia="en-US" w:bidi="ar-SA"/>
      </w:rPr>
    </w:lvl>
    <w:lvl w:ilvl="3">
      <w:start w:val="0"/>
      <w:numFmt w:val="bullet"/>
      <w:lvlText w:val="•"/>
      <w:lvlJc w:val="left"/>
      <w:pPr>
        <w:ind w:left="1886" w:hanging="197"/>
      </w:pPr>
      <w:rPr>
        <w:rFonts w:hint="default"/>
        <w:lang w:val="de-DE" w:eastAsia="en-US" w:bidi="ar-SA"/>
      </w:rPr>
    </w:lvl>
    <w:lvl w:ilvl="4">
      <w:start w:val="0"/>
      <w:numFmt w:val="bullet"/>
      <w:lvlText w:val="•"/>
      <w:lvlJc w:val="left"/>
      <w:pPr>
        <w:ind w:left="2414" w:hanging="197"/>
      </w:pPr>
      <w:rPr>
        <w:rFonts w:hint="default"/>
        <w:lang w:val="de-DE" w:eastAsia="en-US" w:bidi="ar-SA"/>
      </w:rPr>
    </w:lvl>
    <w:lvl w:ilvl="5">
      <w:start w:val="0"/>
      <w:numFmt w:val="bullet"/>
      <w:lvlText w:val="•"/>
      <w:lvlJc w:val="left"/>
      <w:pPr>
        <w:ind w:left="2943" w:hanging="197"/>
      </w:pPr>
      <w:rPr>
        <w:rFonts w:hint="default"/>
        <w:lang w:val="de-DE" w:eastAsia="en-US" w:bidi="ar-SA"/>
      </w:rPr>
    </w:lvl>
    <w:lvl w:ilvl="6">
      <w:start w:val="0"/>
      <w:numFmt w:val="bullet"/>
      <w:lvlText w:val="•"/>
      <w:lvlJc w:val="left"/>
      <w:pPr>
        <w:ind w:left="3472" w:hanging="197"/>
      </w:pPr>
      <w:rPr>
        <w:rFonts w:hint="default"/>
        <w:lang w:val="de-DE" w:eastAsia="en-US" w:bidi="ar-SA"/>
      </w:rPr>
    </w:lvl>
    <w:lvl w:ilvl="7">
      <w:start w:val="0"/>
      <w:numFmt w:val="bullet"/>
      <w:lvlText w:val="•"/>
      <w:lvlJc w:val="left"/>
      <w:pPr>
        <w:ind w:left="4000" w:hanging="197"/>
      </w:pPr>
      <w:rPr>
        <w:rFonts w:hint="default"/>
        <w:lang w:val="de-DE" w:eastAsia="en-US" w:bidi="ar-SA"/>
      </w:rPr>
    </w:lvl>
    <w:lvl w:ilvl="8">
      <w:start w:val="0"/>
      <w:numFmt w:val="bullet"/>
      <w:lvlText w:val="•"/>
      <w:lvlJc w:val="left"/>
      <w:pPr>
        <w:ind w:left="4529" w:hanging="197"/>
      </w:pPr>
      <w:rPr>
        <w:rFonts w:hint="default"/>
        <w:lang w:val="de-DE" w:eastAsia="en-US" w:bidi="ar-SA"/>
      </w:rPr>
    </w:lvl>
  </w:abstractNum>
  <w:abstractNum w:abstractNumId="0">
    <w:multiLevelType w:val="hybridMultilevel"/>
    <w:lvl w:ilvl="0">
      <w:start w:val="0"/>
      <w:numFmt w:val="bullet"/>
      <w:lvlText w:val=""/>
      <w:lvlJc w:val="left"/>
      <w:pPr>
        <w:ind w:left="304" w:hanging="197"/>
      </w:pPr>
      <w:rPr>
        <w:rFonts w:hint="default" w:ascii="Wingdings 2" w:hAnsi="Wingdings 2" w:eastAsia="Wingdings 2" w:cs="Wingdings 2"/>
        <w:b w:val="0"/>
        <w:bCs w:val="0"/>
        <w:i w:val="0"/>
        <w:iCs w:val="0"/>
        <w:spacing w:val="-1"/>
        <w:w w:val="99"/>
        <w:sz w:val="20"/>
        <w:szCs w:val="20"/>
        <w:lang w:val="de-DE" w:eastAsia="en-US" w:bidi="ar-SA"/>
      </w:rPr>
    </w:lvl>
    <w:lvl w:ilvl="1">
      <w:start w:val="0"/>
      <w:numFmt w:val="bullet"/>
      <w:lvlText w:val="•"/>
      <w:lvlJc w:val="left"/>
      <w:pPr>
        <w:ind w:left="828" w:hanging="197"/>
      </w:pPr>
      <w:rPr>
        <w:rFonts w:hint="default"/>
        <w:lang w:val="de-DE" w:eastAsia="en-US" w:bidi="ar-SA"/>
      </w:rPr>
    </w:lvl>
    <w:lvl w:ilvl="2">
      <w:start w:val="0"/>
      <w:numFmt w:val="bullet"/>
      <w:lvlText w:val="•"/>
      <w:lvlJc w:val="left"/>
      <w:pPr>
        <w:ind w:left="1357" w:hanging="197"/>
      </w:pPr>
      <w:rPr>
        <w:rFonts w:hint="default"/>
        <w:lang w:val="de-DE" w:eastAsia="en-US" w:bidi="ar-SA"/>
      </w:rPr>
    </w:lvl>
    <w:lvl w:ilvl="3">
      <w:start w:val="0"/>
      <w:numFmt w:val="bullet"/>
      <w:lvlText w:val="•"/>
      <w:lvlJc w:val="left"/>
      <w:pPr>
        <w:ind w:left="1886" w:hanging="197"/>
      </w:pPr>
      <w:rPr>
        <w:rFonts w:hint="default"/>
        <w:lang w:val="de-DE" w:eastAsia="en-US" w:bidi="ar-SA"/>
      </w:rPr>
    </w:lvl>
    <w:lvl w:ilvl="4">
      <w:start w:val="0"/>
      <w:numFmt w:val="bullet"/>
      <w:lvlText w:val="•"/>
      <w:lvlJc w:val="left"/>
      <w:pPr>
        <w:ind w:left="2414" w:hanging="197"/>
      </w:pPr>
      <w:rPr>
        <w:rFonts w:hint="default"/>
        <w:lang w:val="de-DE" w:eastAsia="en-US" w:bidi="ar-SA"/>
      </w:rPr>
    </w:lvl>
    <w:lvl w:ilvl="5">
      <w:start w:val="0"/>
      <w:numFmt w:val="bullet"/>
      <w:lvlText w:val="•"/>
      <w:lvlJc w:val="left"/>
      <w:pPr>
        <w:ind w:left="2943" w:hanging="197"/>
      </w:pPr>
      <w:rPr>
        <w:rFonts w:hint="default"/>
        <w:lang w:val="de-DE" w:eastAsia="en-US" w:bidi="ar-SA"/>
      </w:rPr>
    </w:lvl>
    <w:lvl w:ilvl="6">
      <w:start w:val="0"/>
      <w:numFmt w:val="bullet"/>
      <w:lvlText w:val="•"/>
      <w:lvlJc w:val="left"/>
      <w:pPr>
        <w:ind w:left="3472" w:hanging="197"/>
      </w:pPr>
      <w:rPr>
        <w:rFonts w:hint="default"/>
        <w:lang w:val="de-DE" w:eastAsia="en-US" w:bidi="ar-SA"/>
      </w:rPr>
    </w:lvl>
    <w:lvl w:ilvl="7">
      <w:start w:val="0"/>
      <w:numFmt w:val="bullet"/>
      <w:lvlText w:val="•"/>
      <w:lvlJc w:val="left"/>
      <w:pPr>
        <w:ind w:left="4000" w:hanging="197"/>
      </w:pPr>
      <w:rPr>
        <w:rFonts w:hint="default"/>
        <w:lang w:val="de-DE" w:eastAsia="en-US" w:bidi="ar-SA"/>
      </w:rPr>
    </w:lvl>
    <w:lvl w:ilvl="8">
      <w:start w:val="0"/>
      <w:numFmt w:val="bullet"/>
      <w:lvlText w:val="•"/>
      <w:lvlJc w:val="left"/>
      <w:pPr>
        <w:ind w:left="4529" w:hanging="197"/>
      </w:pPr>
      <w:rPr>
        <w:rFonts w:hint="default"/>
        <w:lang w:val="de-DE" w:eastAsia="en-US" w:bidi="ar-SA"/>
      </w:rPr>
    </w:lvl>
  </w:abstractNum>
  <w:abstractNum w:abstractNumId="3">
    <w:multiLevelType w:val="hybridMultilevel"/>
    <w:lvl w:ilvl="0">
      <w:start w:val="1"/>
      <w:numFmt w:val="decimal"/>
      <w:lvlText w:val="%1."/>
      <w:lvlJc w:val="left"/>
      <w:pPr>
        <w:ind w:left="796" w:hanging="426"/>
        <w:jc w:val="left"/>
      </w:pPr>
      <w:rPr>
        <w:rFonts w:hint="default" w:ascii="Times New Roman" w:hAnsi="Times New Roman" w:eastAsia="Times New Roman" w:cs="Times New Roman"/>
        <w:b/>
        <w:bCs/>
        <w:i w:val="0"/>
        <w:iCs w:val="0"/>
        <w:w w:val="100"/>
        <w:sz w:val="24"/>
        <w:szCs w:val="24"/>
        <w:lang w:val="de-DE" w:eastAsia="en-US" w:bidi="ar-SA"/>
      </w:rPr>
    </w:lvl>
    <w:lvl w:ilvl="1">
      <w:start w:val="1"/>
      <w:numFmt w:val="lowerLetter"/>
      <w:lvlText w:val="%2)"/>
      <w:lvlJc w:val="left"/>
      <w:pPr>
        <w:ind w:left="1035" w:hanging="239"/>
        <w:jc w:val="left"/>
      </w:pPr>
      <w:rPr>
        <w:rFonts w:hint="default" w:ascii="Times New Roman" w:hAnsi="Times New Roman" w:eastAsia="Times New Roman" w:cs="Times New Roman"/>
        <w:b/>
        <w:bCs/>
        <w:i w:val="0"/>
        <w:iCs w:val="0"/>
        <w:w w:val="99"/>
        <w:sz w:val="22"/>
        <w:szCs w:val="22"/>
        <w:lang w:val="de-DE" w:eastAsia="en-US" w:bidi="ar-SA"/>
      </w:rPr>
    </w:lvl>
    <w:lvl w:ilvl="2">
      <w:start w:val="0"/>
      <w:numFmt w:val="bullet"/>
      <w:lvlText w:val="•"/>
      <w:lvlJc w:val="left"/>
      <w:pPr>
        <w:ind w:left="1080" w:hanging="284"/>
      </w:pPr>
      <w:rPr>
        <w:rFonts w:hint="default" w:ascii="Times New Roman" w:hAnsi="Times New Roman" w:eastAsia="Times New Roman" w:cs="Times New Roman"/>
        <w:b w:val="0"/>
        <w:bCs w:val="0"/>
        <w:i w:val="0"/>
        <w:iCs w:val="0"/>
        <w:w w:val="99"/>
        <w:sz w:val="22"/>
        <w:szCs w:val="22"/>
        <w:lang w:val="de-DE" w:eastAsia="en-US" w:bidi="ar-SA"/>
      </w:rPr>
    </w:lvl>
    <w:lvl w:ilvl="3">
      <w:start w:val="0"/>
      <w:numFmt w:val="bullet"/>
      <w:lvlText w:val="•"/>
      <w:lvlJc w:val="left"/>
      <w:pPr>
        <w:ind w:left="2280" w:hanging="284"/>
      </w:pPr>
      <w:rPr>
        <w:rFonts w:hint="default"/>
        <w:lang w:val="de-DE" w:eastAsia="en-US" w:bidi="ar-SA"/>
      </w:rPr>
    </w:lvl>
    <w:lvl w:ilvl="4">
      <w:start w:val="0"/>
      <w:numFmt w:val="bullet"/>
      <w:lvlText w:val="•"/>
      <w:lvlJc w:val="left"/>
      <w:pPr>
        <w:ind w:left="3481" w:hanging="284"/>
      </w:pPr>
      <w:rPr>
        <w:rFonts w:hint="default"/>
        <w:lang w:val="de-DE" w:eastAsia="en-US" w:bidi="ar-SA"/>
      </w:rPr>
    </w:lvl>
    <w:lvl w:ilvl="5">
      <w:start w:val="0"/>
      <w:numFmt w:val="bullet"/>
      <w:lvlText w:val="•"/>
      <w:lvlJc w:val="left"/>
      <w:pPr>
        <w:ind w:left="4682" w:hanging="284"/>
      </w:pPr>
      <w:rPr>
        <w:rFonts w:hint="default"/>
        <w:lang w:val="de-DE" w:eastAsia="en-US" w:bidi="ar-SA"/>
      </w:rPr>
    </w:lvl>
    <w:lvl w:ilvl="6">
      <w:start w:val="0"/>
      <w:numFmt w:val="bullet"/>
      <w:lvlText w:val="•"/>
      <w:lvlJc w:val="left"/>
      <w:pPr>
        <w:ind w:left="5883" w:hanging="284"/>
      </w:pPr>
      <w:rPr>
        <w:rFonts w:hint="default"/>
        <w:lang w:val="de-DE" w:eastAsia="en-US" w:bidi="ar-SA"/>
      </w:rPr>
    </w:lvl>
    <w:lvl w:ilvl="7">
      <w:start w:val="0"/>
      <w:numFmt w:val="bullet"/>
      <w:lvlText w:val="•"/>
      <w:lvlJc w:val="left"/>
      <w:pPr>
        <w:ind w:left="7084" w:hanging="284"/>
      </w:pPr>
      <w:rPr>
        <w:rFonts w:hint="default"/>
        <w:lang w:val="de-DE" w:eastAsia="en-US" w:bidi="ar-SA"/>
      </w:rPr>
    </w:lvl>
    <w:lvl w:ilvl="8">
      <w:start w:val="0"/>
      <w:numFmt w:val="bullet"/>
      <w:lvlText w:val="•"/>
      <w:lvlJc w:val="left"/>
      <w:pPr>
        <w:ind w:left="8284" w:hanging="284"/>
      </w:pPr>
      <w:rPr>
        <w:rFonts w:hint="default"/>
        <w:lang w:val="de-DE" w:eastAsia="en-US" w:bidi="ar-SA"/>
      </w:rPr>
    </w:lvl>
  </w:abstractNum>
  <w:num w:numId="6">
    <w:abstractNumId w:val="5"/>
  </w:num>
  <w:num w:numId="5">
    <w:abstractNumId w:val="4"/>
  </w:num>
  <w:num w:numId="3">
    <w:abstractNumId w:val="2"/>
  </w:num>
  <w:num w:numId="2">
    <w:abstractNumId w:val="1"/>
  </w:num>
  <w:num w:numId="1">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de-DE"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de-DE" w:eastAsia="en-US" w:bidi="ar-SA"/>
    </w:rPr>
  </w:style>
  <w:style w:styleId="Heading1" w:type="paragraph">
    <w:name w:val="Heading 1"/>
    <w:basedOn w:val="Normal"/>
    <w:uiPriority w:val="1"/>
    <w:qFormat/>
    <w:pPr>
      <w:ind w:left="1078" w:hanging="283"/>
      <w:outlineLvl w:val="1"/>
    </w:pPr>
    <w:rPr>
      <w:rFonts w:ascii="Times New Roman" w:hAnsi="Times New Roman" w:eastAsia="Times New Roman" w:cs="Times New Roman"/>
      <w:b/>
      <w:bCs/>
      <w:sz w:val="22"/>
      <w:szCs w:val="22"/>
      <w:lang w:val="de-DE" w:eastAsia="en-US" w:bidi="ar-SA"/>
    </w:rPr>
  </w:style>
  <w:style w:styleId="ListParagraph" w:type="paragraph">
    <w:name w:val="List Paragraph"/>
    <w:basedOn w:val="Normal"/>
    <w:uiPriority w:val="1"/>
    <w:qFormat/>
    <w:pPr>
      <w:ind w:left="796" w:hanging="427"/>
    </w:pPr>
    <w:rPr>
      <w:rFonts w:ascii="Times New Roman" w:hAnsi="Times New Roman" w:eastAsia="Times New Roman" w:cs="Times New Roman"/>
      <w:lang w:val="de-DE"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de-DE"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mailto:henning.ehrenstein@ec.europa.eu" TargetMode="External"/><Relationship Id="rId8" Type="http://schemas.openxmlformats.org/officeDocument/2006/relationships/hyperlink" Target="http://europass.cedefop.europa.eu/de/documents/curriculum-vitae" TargetMode="External"/><Relationship Id="rId9" Type="http://schemas.openxmlformats.org/officeDocument/2006/relationships/hyperlink" Target="mailto:HR-B1-DPR@ec.europa.eu" TargetMode="External"/><Relationship Id="rId10" Type="http://schemas.openxmlformats.org/officeDocument/2006/relationships/hyperlink" Target="mailto:DATA-PROTECTION-OFFICER@ec.europa.eu" TargetMode="External"/><Relationship Id="rId11" Type="http://schemas.openxmlformats.org/officeDocument/2006/relationships/hyperlink" Target="mailto:edps@edps.europa.eu" TargetMode="Externa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European Commission</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dcterms:created xsi:type="dcterms:W3CDTF">2023-05-11T10:57:31Z</dcterms:created>
  <dcterms:modified xsi:type="dcterms:W3CDTF">2023-05-11T10:57:31Z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0x0101007EDF47E9E9043943AC0F0B26B8C0A136</vt:lpwstr>
  </property>
  <property fmtid="{D5CDD505-2E9C-101B-9397-08002B2CF9AE}" pid="3" name="Created">
    <vt:filetime>2023-05-11T00:00:00Z</vt:filetime>
  </property>
  <property fmtid="{D5CDD505-2E9C-101B-9397-08002B2CF9AE}" pid="4" name="Creator">
    <vt:lpwstr>Acrobat PDFMaker 23 for Word</vt:lpwstr>
  </property>
  <property fmtid="{D5CDD505-2E9C-101B-9397-08002B2CF9AE}" pid="5" name="LastSaved">
    <vt:filetime>2023-05-11T00:00:00Z</vt:filetime>
  </property>
  <property fmtid="{D5CDD505-2E9C-101B-9397-08002B2CF9AE}" pid="6" name="MSIP_Label_6bd9ddd1-4d20-43f6-abfa-fc3c07406f94_ActionId">
    <vt:lpwstr>1aa80442-f2c1-4bcf-a360-5e147e57166b</vt:lpwstr>
  </property>
  <property fmtid="{D5CDD505-2E9C-101B-9397-08002B2CF9AE}" pid="7" name="MSIP_Label_6bd9ddd1-4d20-43f6-abfa-fc3c07406f94_ContentBits">
    <vt:lpwstr>0</vt:lpwstr>
  </property>
  <property fmtid="{D5CDD505-2E9C-101B-9397-08002B2CF9AE}" pid="8" name="MSIP_Label_6bd9ddd1-4d20-43f6-abfa-fc3c07406f94_Enabled">
    <vt:lpwstr>true</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etDate">
    <vt:lpwstr>2023-05-08T14:03:02Z</vt:lpwstr>
  </property>
  <property fmtid="{D5CDD505-2E9C-101B-9397-08002B2CF9AE}" pid="12" name="MSIP_Label_6bd9ddd1-4d20-43f6-abfa-fc3c07406f94_SiteId">
    <vt:lpwstr>b24c8b06-522c-46fe-9080-70926f8dddb1</vt:lpwstr>
  </property>
  <property fmtid="{D5CDD505-2E9C-101B-9397-08002B2CF9AE}" pid="13" name="Producer">
    <vt:lpwstr>Adobe PDF Library 23.1.175</vt:lpwstr>
  </property>
  <property fmtid="{D5CDD505-2E9C-101B-9397-08002B2CF9AE}" pid="14" name="SourceModified">
    <vt:lpwstr>D:20230510125038</vt:lpwstr>
  </property>
</Properties>
</file>