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42669" w14:textId="7D44FD41" w:rsidR="00515E09" w:rsidRPr="00941457" w:rsidRDefault="00F8050C" w:rsidP="003542EC">
      <w:pPr>
        <w:spacing w:after="24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Impriża Konġunta għal Sistema Ferrovjarja tal-Ewropa</w:t>
      </w:r>
    </w:p>
    <w:p w14:paraId="0192755F" w14:textId="71A530B7" w:rsidR="001F08A9" w:rsidRPr="00941457" w:rsidRDefault="001F08A9" w:rsidP="009937EC">
      <w:pPr>
        <w:spacing w:after="24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Pubblikazzjoni ta’ post battal għall-kariga ta’ Direttur Eżekuttiv</w:t>
      </w:r>
    </w:p>
    <w:p w14:paraId="6AAD6E36" w14:textId="77777777" w:rsidR="001F08A9" w:rsidRPr="00941457" w:rsidRDefault="001F08A9" w:rsidP="003542EC">
      <w:pPr>
        <w:spacing w:after="24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(Aġent Temporanju – Grad AD 14)</w:t>
      </w:r>
    </w:p>
    <w:p w14:paraId="7202CA06" w14:textId="692C1B7F" w:rsidR="001F08A9" w:rsidRPr="00941457" w:rsidRDefault="001F08A9" w:rsidP="003542EC">
      <w:pPr>
        <w:spacing w:after="24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COM/2023/20092</w:t>
      </w:r>
    </w:p>
    <w:p w14:paraId="4224AFF5" w14:textId="77777777" w:rsidR="00054B68" w:rsidRPr="00941457" w:rsidRDefault="00054B68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00D4D40" w14:textId="443808E8" w:rsidR="001F08A9" w:rsidRDefault="001F08A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Min aħna</w:t>
      </w:r>
    </w:p>
    <w:p w14:paraId="1EDBEC86" w14:textId="2BD21345" w:rsidR="00F8050C" w:rsidRPr="00F8050C" w:rsidRDefault="00CE1852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L-impriża Konġunta għal Sistema Ferrovjarja tal-Ewropa (EU-Rail) ġiet stabbilita bir-Regolament tal-Kunsill (UE) 2021/2085 li jistabbilixxi l-Impriżi Konġunti fil-qafas ta’ Orizzont Ewropa</w:t>
      </w:r>
      <w:r>
        <w:rPr>
          <w:rStyle w:val="FootnoteReference"/>
          <w:rFonts w:ascii="Times New Roman" w:hAnsi="Times New Roman" w:cs="Times New Roman"/>
          <w:bCs/>
        </w:rPr>
        <w:footnoteReference w:id="1"/>
      </w:r>
      <w:r>
        <w:rPr>
          <w:rFonts w:ascii="Times New Roman" w:hAnsi="Times New Roman"/>
        </w:rPr>
        <w:t xml:space="preserve"> li daħal fis-seħħ fit-30 ta’ Novembru 2021, li jieħu post l-Impriża Konġunta Shift2Rail stabbilita bir-Regolament (UE) Nru 642/2014</w:t>
      </w:r>
      <w:r>
        <w:rPr>
          <w:rStyle w:val="FootnoteReference"/>
          <w:rFonts w:ascii="Times New Roman" w:hAnsi="Times New Roman" w:cs="Times New Roman"/>
          <w:bCs/>
        </w:rPr>
        <w:footnoteReference w:id="2"/>
      </w:r>
      <w:r>
        <w:rPr>
          <w:rFonts w:ascii="Times New Roman" w:hAnsi="Times New Roman"/>
        </w:rPr>
        <w:t>.</w:t>
      </w:r>
    </w:p>
    <w:p w14:paraId="760D9AC8" w14:textId="77777777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70C0"/>
        </w:rPr>
      </w:pPr>
    </w:p>
    <w:p w14:paraId="64AEAD9E" w14:textId="465300FD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 xml:space="preserve">L-EU-Rail hija sħubija pubblika-privata fis-settur ferrovjarju stabbilita skont l-Artikolu 187 tat-Trattat dwar il-Funzjonament tal-Unjoni Ewropea. </w:t>
      </w:r>
    </w:p>
    <w:p w14:paraId="1C4773DF" w14:textId="77777777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14:paraId="7C34F3F2" w14:textId="19CF554B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 xml:space="preserve">L-objettiv ta’ EU-Rail huwa li tipprovdi network ferrovjarju Ewropew integrat b’kapaċità għolja billi telimina l-ostakli għall-interoperabbiltà u tipprovdi soluzzjonijiet għal integrazzjoni sħiħa, li jkopru l-ġestjoni tat-traffiku, il-vetturi, l-infrastruttura u s-servizzi, bil-għan li l-proġetti u l-innovazzjonijiet jintużaw b’mod aktar rapidu. Jenħtieġ li b’hekk jiġi sfruttat il-potenzjal enormi għad-diġitalizzazzjoni u l-awtomatizzazzjoni biex jitnaqqsu l-kostijiet tal-ferroviji, tiżdied il-kapaċità u jissaħħu l-flessibbiltà u l-affidabbiltà tagħhom, u jenħtieġ li jkunu bbażati fuq arkitettura tas-sistema funzjonali ta’ referenza solida kondiviża mis-settur, f’koordinazzjoni mal-Aġenzija tal-Unjoni Ewropea għall-Ferroviji. </w:t>
      </w:r>
    </w:p>
    <w:p w14:paraId="167F8520" w14:textId="77777777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</w:p>
    <w:p w14:paraId="1480FFE7" w14:textId="7B730424" w:rsidR="00F8050C" w:rsidRPr="00F8050C" w:rsidRDefault="00F8050C" w:rsidP="00BA6C84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Filwaqt li tibni fuq l-avvanzi fl-awtomatizzazzjoni u d-diġitalizzazzjoni, l-EU-Rail għandha l-għan li tħaffef ir-riċerka, l-iżvilupp u l-użu ta’ soluzzjonijiet innovattivi operazzjonali u teknoloġiċi biex tinkiseb it-trasformazzjoni radikali tas-sistema ferrovjarja u jintlaħqu l-objettivi tal-Patt Ekoloġiku Ewropew. </w:t>
      </w:r>
    </w:p>
    <w:p w14:paraId="742423CE" w14:textId="6F42DF9C" w:rsidR="00F8050C" w:rsidRDefault="00F8050C" w:rsidP="00CE1852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0032A863" w14:textId="5D2EC471" w:rsidR="005A0A14" w:rsidRPr="005A0A14" w:rsidRDefault="005A0A14" w:rsidP="005A0A14">
      <w:pPr>
        <w:spacing w:after="24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Il-kontribuzzjoni finanzjarja massima mill-Unjoni Ewropea lill-Impriża Konġunta hija ta’ EUR 600 miljun matul il-perjodu mill-2021 sal-2027, filwaqt li l-implimentazzjoni tal-proġett tkompli għal 4 snin oħra wara dan.</w:t>
      </w:r>
    </w:p>
    <w:p w14:paraId="738957E2" w14:textId="754CDF74" w:rsidR="005A0A14" w:rsidRPr="005A0A14" w:rsidRDefault="005A0A14" w:rsidP="005A0A14">
      <w:pPr>
        <w:spacing w:after="24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/>
        </w:rPr>
        <w:t>L-Impriża Konġunta għandha total ta’ 29 membru tal-persunal, maqsuma bejn timijiet iffukati fuq il-ġestjoni u l-amministrazzjoni finanzjarja, fuq il-ġestjoni tal-programmi u tal-proġetti u fuq it-twettiq tal-Pilastru tas-Sistema.</w:t>
      </w:r>
    </w:p>
    <w:p w14:paraId="466CDFF8" w14:textId="6E460104" w:rsidR="00054B68" w:rsidRPr="00941457" w:rsidRDefault="00516AD8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X’qegħdin nipproponu</w:t>
      </w:r>
    </w:p>
    <w:p w14:paraId="6DAFB5AF" w14:textId="4B900DEA" w:rsidR="00F46730" w:rsidRPr="00941457" w:rsidRDefault="009B6A0C" w:rsidP="00F4673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Il-funzjoni tad-Direttur Eżekuttiv tal-Impriża Konġunta.</w:t>
      </w:r>
    </w:p>
    <w:p w14:paraId="5F0B937D" w14:textId="77E64E93" w:rsidR="00A75266" w:rsidRPr="00A75266" w:rsidRDefault="00A75266" w:rsidP="00BA6C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Id-Direttur Eżekuttiv huwa l-kap eżekuttiv responsabbli għall-ġestjoni ta’ kuljum tal-Impriża Konġunta f’konformità mad-deċiżjonijiet tal-bord tat-tmexxija. Huwa/Hija għandu jipprovdi lill-Bord tat-Tmexxija bl-informazzjoni kollha meħtieġa għat-twettiq tal-funzjonijiet tiegħu. Mingħajr </w:t>
      </w:r>
      <w:r>
        <w:rPr>
          <w:rFonts w:ascii="Times New Roman" w:hAnsi="Times New Roman"/>
        </w:rPr>
        <w:lastRenderedPageBreak/>
        <w:t>preġudizzju għall-kompetenzi rispettivi tal-istituzzjonijiet tal-Unjoni u tal-bord ta’ tmexxija, id-Direttur Eżekuttiv la għandu jfittex u lanqas jieħu struzzjonijiet minn xi gvern jew minn xi korp ieħor.</w:t>
      </w:r>
    </w:p>
    <w:p w14:paraId="5A2614D3" w14:textId="09855129" w:rsidR="00A75266" w:rsidRPr="00A75266" w:rsidRDefault="00A75266" w:rsidP="00BA6C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Id-Direttur Eżekuttiv għandu jkun ir-rappreżentant legali tal-Impriża Konġunta. Huwa/hija għandu jkun responsabbli quddiem il-Bord ta’ Tmexxija tal-Impriża Konġunta.</w:t>
      </w:r>
    </w:p>
    <w:p w14:paraId="01F9CA82" w14:textId="539DCFFB" w:rsidR="00A75266" w:rsidRDefault="00A75266" w:rsidP="00BA6C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Id-Direttur Eżekuttiv għandu jimplimenta l-baġit tal-Impriża Konġunta u għandu jiżgura l-koordinazzjoni bejn il-korpi u s-servizzi differenti tal-Impriża Konġunta. </w:t>
      </w:r>
    </w:p>
    <w:p w14:paraId="6840BDE0" w14:textId="5CF25E24" w:rsidR="000F2822" w:rsidRDefault="000F2822" w:rsidP="00BA6C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Id-Direttur Eżekuttiv huwa responsabbli għat-tfassil u t-twettiq tal-programm ta’ ħidma tal-Impriża Konġunta, biex jiżgura li jilħaq l-għanijiet stabbiliti hawn fuq, filwaqt li jirrifletti b’mod xieraq l-interessi differenti tal-Membri. Huwa/hija għandu rwol ewlieni fil-komunikazzjoni tal-ħidma li għaddejja tal-Impriża Konġunta lill-partijiet ikkonċernati kollha.</w:t>
      </w:r>
    </w:p>
    <w:p w14:paraId="038EA614" w14:textId="34D62051" w:rsidR="00343F94" w:rsidRPr="00E707C1" w:rsidRDefault="0010782D" w:rsidP="00BA6C84">
      <w:pPr>
        <w:jc w:val="both"/>
        <w:rPr>
          <w:rFonts w:ascii="Times New Roman" w:hAnsi="Times New Roman" w:cs="Times New Roman"/>
          <w:sz w:val="26"/>
          <w:szCs w:val="26"/>
          <w:vertAlign w:val="subscript"/>
        </w:rPr>
      </w:pPr>
      <w:r>
        <w:rPr>
          <w:rFonts w:ascii="Times New Roman" w:hAnsi="Times New Roman"/>
        </w:rPr>
        <w:t>Deskrizzjoni aktar dettaljata tal-kompiti tad-Direttur Eżekuttiv tinsab fl-Artikolu 19 tar-Regolament (UE) 2021/2085.</w:t>
      </w:r>
    </w:p>
    <w:p w14:paraId="61C13B2B" w14:textId="73BC995B" w:rsidR="00E53957" w:rsidRPr="00941457" w:rsidRDefault="003542EC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X’qegħdin infittxu (kriterji tal-għażla)</w:t>
      </w:r>
    </w:p>
    <w:p w14:paraId="3FC7CD2A" w14:textId="6ED56909" w:rsidR="00E53957" w:rsidRPr="00941457" w:rsidRDefault="00E53957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u w:val="single"/>
        </w:rPr>
        <w:t xml:space="preserve">Ħiliet ta’ maniġment </w:t>
      </w:r>
    </w:p>
    <w:p w14:paraId="27E1EC17" w14:textId="50ABE804" w:rsidR="00A75266" w:rsidRPr="00A75266" w:rsidRDefault="00054B68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Ħiliet solidi ta’ tmexxija, il-kapaċità li jmexxi organizzazzjoni importanti, kemm fil-livell strateġiku kif ukoll fil-livell ta’ mmaniġġjar operazzjonali, f’ambjent xjentifiku u operattiv dinamiku u li jinbidel.</w:t>
      </w:r>
    </w:p>
    <w:p w14:paraId="49B1F1EC" w14:textId="77777777" w:rsidR="007001F8" w:rsidRDefault="00A75266" w:rsidP="007001F8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 xml:space="preserve">Kapaċità ppruvata u rekord b’saħħtu fil-ġestjoni u t-tmexxija tar-riżorsi finanzjarji u umani ta’ servizz kbir, f’kuntest nazzjonali, Ewropew u/jew internazzjonali. </w:t>
      </w:r>
    </w:p>
    <w:p w14:paraId="09C33EEC" w14:textId="3B7DB0E7" w:rsidR="00E707C1" w:rsidRPr="007001F8" w:rsidRDefault="007001F8" w:rsidP="007001F8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</w:t>
      </w:r>
      <w:r>
        <w:tab/>
      </w:r>
      <w:r>
        <w:rPr>
          <w:rFonts w:ascii="Times New Roman" w:hAnsi="Times New Roman"/>
        </w:rPr>
        <w:t>Esperjenza soda ta’ negozjar f’ambjent internazzjonali.</w:t>
      </w:r>
    </w:p>
    <w:p w14:paraId="14A8D20C" w14:textId="4DF6A475" w:rsidR="008934EE" w:rsidRDefault="00E00652" w:rsidP="00E707C1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 w:rsidR="00E707C1">
        <w:rPr>
          <w:rFonts w:ascii="Times New Roman" w:hAnsi="Times New Roman"/>
        </w:rPr>
        <w:t>Esperjenza maniġerjali miksuba f’ambjent multikulturali u multilingwi tkun ta’ vantaġġ.</w:t>
      </w:r>
    </w:p>
    <w:p w14:paraId="3F673DA6" w14:textId="77777777" w:rsidR="008934EE" w:rsidRPr="00941457" w:rsidRDefault="008934EE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34FC24C0" w14:textId="5DA3C752" w:rsidR="00E53957" w:rsidRPr="00941457" w:rsidRDefault="009E5E8A" w:rsidP="003542EC">
      <w:pPr>
        <w:spacing w:after="24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u w:val="single"/>
        </w:rPr>
        <w:t xml:space="preserve">Ħiliet u esperjenza speċjalizzati </w:t>
      </w:r>
    </w:p>
    <w:p w14:paraId="563F013F" w14:textId="093648E4" w:rsidR="00A75266" w:rsidRPr="00A75266" w:rsidRDefault="00054B68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Fehim tajjeb ħafna tal-istituzzjonijiet tal-Unjoni Ewropea u ta’ kif joperaw u jinteraġixxu.</w:t>
      </w:r>
    </w:p>
    <w:p w14:paraId="4A1FB18B" w14:textId="02C28463" w:rsidR="00A75266" w:rsidRPr="00A75266" w:rsidRDefault="00A75266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Għarfien sod tal-politika tal-Unjoni dwar it-trasport ferrovjarju u/jew esperjenza fiha.</w:t>
      </w:r>
    </w:p>
    <w:p w14:paraId="0611EBF5" w14:textId="77777777" w:rsidR="00E707C1" w:rsidRDefault="00A75266" w:rsidP="00E707C1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Fehim tajjeb tar-riċerka u l-iżvilupp fil-qasam tar-riċerka u l-innovazzjoni ferrovjarja u/jew tat-trasport fil-livell nazzjonali, internazzjonali jew Ewropew ikun ta’ vantaġġ.</w:t>
      </w:r>
    </w:p>
    <w:p w14:paraId="13ED046F" w14:textId="1C5629B2" w:rsidR="003519EB" w:rsidRPr="00866E53" w:rsidRDefault="008641A0" w:rsidP="00E707C1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bookmarkStart w:id="0" w:name="_GoBack"/>
      <w:bookmarkEnd w:id="0"/>
      <w:r w:rsidR="00E707C1">
        <w:tab/>
      </w:r>
      <w:r w:rsidR="00E707C1">
        <w:rPr>
          <w:rFonts w:ascii="Times New Roman" w:hAnsi="Times New Roman"/>
        </w:rPr>
        <w:t>Esperjenza miksuba f’amministrazzjoni pubblika nazzjonali, Ewropea jew internazzjonali wkoll tkun ta’ vantaġġ.</w:t>
      </w:r>
    </w:p>
    <w:p w14:paraId="26047443" w14:textId="77777777" w:rsidR="003519EB" w:rsidRPr="00941457" w:rsidRDefault="003519EB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</w:p>
    <w:p w14:paraId="6F1B6A10" w14:textId="3C65066A" w:rsidR="00E53957" w:rsidRPr="00941457" w:rsidRDefault="009E5E8A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u w:val="single"/>
        </w:rPr>
        <w:t xml:space="preserve">Kwalitajiet personali </w:t>
      </w:r>
    </w:p>
    <w:p w14:paraId="6BE33085" w14:textId="3A6E55E9" w:rsidR="00A75266" w:rsidRPr="00A75266" w:rsidRDefault="00054B68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Ħila ta’ komunikazzjoni effiċjenti u mexxejja b’mod trasparenti u miftuħa mal-partijiet ikkonċernati interni u esterni, inkluż l-istampa, il-pubbliku, l-awtoritajiet Ewropej, internazzjonali, nazzjonali u lokali, organizzazzjonijiet internazzjonali, kif ukoll li jirrappreżenta lill-Impriża Konġunta f’fora esterni.</w:t>
      </w:r>
    </w:p>
    <w:p w14:paraId="145F3E24" w14:textId="15883B93" w:rsidR="00A75266" w:rsidRPr="00A75266" w:rsidRDefault="00A75266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-</w:t>
      </w:r>
      <w:r>
        <w:tab/>
      </w:r>
      <w:r>
        <w:rPr>
          <w:rFonts w:ascii="Times New Roman" w:hAnsi="Times New Roman"/>
        </w:rPr>
        <w:t>Ħiliet interpersonali eċċellenti u l-kapaċità li jżomm relazzjonijiet effettivi mal-istituzzjonijiet tal-UE u mal-awtoritajiet kompetenti tal-Istati Membri sabiex jiġi żgurat il-funzjonament tajjeb tal-Impriża Konġunta.</w:t>
      </w:r>
    </w:p>
    <w:p w14:paraId="46B488AB" w14:textId="417241A5" w:rsidR="00E53957" w:rsidRPr="00941457" w:rsidRDefault="00A75266" w:rsidP="00A75266">
      <w:pPr>
        <w:spacing w:after="240" w:line="240" w:lineRule="auto"/>
        <w:ind w:left="284" w:hanging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Il-ħila li jippromwovi l-prinċipji gwida tal-Impriża Konġunta tal-aċċess miftuħ, it-trasparenza u l-eċċellenza xjentifika.</w:t>
      </w:r>
    </w:p>
    <w:p w14:paraId="16EBE20A" w14:textId="623A5866" w:rsidR="003542EC" w:rsidRPr="00941457" w:rsidRDefault="003542EC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Kundizzjonijiet ta’ ammissjoni (ir-rekwiżiti tal-eliġibbiltà)</w:t>
      </w:r>
    </w:p>
    <w:p w14:paraId="724B4BE8" w14:textId="77777777" w:rsidR="003542EC" w:rsidRPr="00941457" w:rsidRDefault="003542E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Il-kandidati jiġu kkunsidrati biss għall-fażi tal-għażla abbażi tar-rekwiżiti formali li ġejjin, li jridu jiġu ssodisfati </w:t>
      </w:r>
      <w:r>
        <w:rPr>
          <w:rFonts w:ascii="Times New Roman" w:hAnsi="Times New Roman"/>
          <w:b/>
        </w:rPr>
        <w:t>sal-iskadenza għall-applikazzjonijiet</w:t>
      </w:r>
      <w:r>
        <w:rPr>
          <w:rFonts w:ascii="Times New Roman" w:hAnsi="Times New Roman"/>
        </w:rPr>
        <w:t>:</w:t>
      </w:r>
    </w:p>
    <w:p w14:paraId="4DABFEEA" w14:textId="35E2A662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Nazzjonalità</w:t>
      </w:r>
      <w:r>
        <w:rPr>
          <w:rFonts w:ascii="Times New Roman" w:hAnsi="Times New Roman"/>
        </w:rPr>
        <w:t>: il-kandidati jridu jkunu ċittadini ta’ wieħed mill-Istati Membri tal-Unjoni Ewropea.</w:t>
      </w:r>
    </w:p>
    <w:p w14:paraId="5A5F25C2" w14:textId="77777777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Lawrja jew diploma universitarja</w:t>
      </w:r>
      <w:r>
        <w:rPr>
          <w:rFonts w:ascii="Times New Roman" w:hAnsi="Times New Roman"/>
        </w:rPr>
        <w:t>: il-kandidati jrid ikollhom:</w:t>
      </w:r>
    </w:p>
    <w:p w14:paraId="0F3859A6" w14:textId="725F883F" w:rsidR="003542EC" w:rsidRPr="00941457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jew livell ta’ edukazzjoni li jikkorrispondi għal studji universitarji mitmuma u ċċertifikati b’diploma, meta l-perjodu normali tal-edukazzjoni universitarja jkun ta’ 4 snin jew iktar;</w:t>
      </w:r>
    </w:p>
    <w:p w14:paraId="7FD3E46E" w14:textId="77777777" w:rsidR="003542EC" w:rsidRPr="00941457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inkella livell ta’ edukazzjoni li jikkorrispondi għal studji universitarji kompluti u ċċertifikati b’diploma u esperjenza professjonali xierqa ta’ mill-inqas sena  meta l-perjodu normali ta’ edukazzjoni universitarja jkun tal-inqas tliet snin (din is-sena ta’ esperjenza professjonali ma tistax tkun inkluża fl-esperjenza professjonali postgradwatorja meħtieġa hawn taħt).</w:t>
      </w:r>
    </w:p>
    <w:p w14:paraId="7EEF59D3" w14:textId="55551FA7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Esperjenza professjonali</w:t>
      </w:r>
      <w:r>
        <w:rPr>
          <w:rFonts w:ascii="Times New Roman" w:hAnsi="Times New Roman"/>
        </w:rPr>
        <w:t>: il-kandidati jrid ikollhom tal-inqas 15-il sena esperjenza professjonali postgradwatorja</w:t>
      </w:r>
      <w:r>
        <w:rPr>
          <w:rStyle w:val="FootnoteReference"/>
          <w:rFonts w:ascii="Times New Roman" w:hAnsi="Times New Roman" w:cs="Times New Roman"/>
        </w:rPr>
        <w:footnoteReference w:id="3"/>
      </w:r>
      <w:r>
        <w:rPr>
          <w:rFonts w:ascii="Times New Roman" w:hAnsi="Times New Roman"/>
        </w:rPr>
        <w:t xml:space="preserve"> f’livell li l-kwalifiki msemmija hawn fuq jagħtu aċċess għalih. Mill-inqas 5 snin minn din l-esperjenza professjonali trid tkun fil-qasam tal-attivitajiet tal-Impriża Konġunta.</w:t>
      </w:r>
    </w:p>
    <w:p w14:paraId="3F55FC3F" w14:textId="049BA7FD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Esperjenza maniġerjali</w:t>
      </w:r>
      <w:r>
        <w:rPr>
          <w:rFonts w:ascii="Times New Roman" w:hAnsi="Times New Roman"/>
        </w:rPr>
        <w:t>: mill-anqas ħames snin mill-esperjenza professjonali postgradwatorja jridu jkunu nkisbu f’funzjoni maniġerjali ta’ livell għoli</w:t>
      </w:r>
      <w:r>
        <w:rPr>
          <w:rStyle w:val="FootnoteReference"/>
          <w:rFonts w:ascii="Times New Roman" w:hAnsi="Times New Roman" w:cs="Times New Roman"/>
        </w:rPr>
        <w:footnoteReference w:id="4"/>
      </w:r>
      <w:r>
        <w:rPr>
          <w:rFonts w:ascii="Times New Roman" w:hAnsi="Times New Roman"/>
        </w:rPr>
        <w:t xml:space="preserve"> f’qasam rilevanti għal din il-kariga.</w:t>
      </w:r>
    </w:p>
    <w:p w14:paraId="60BADBD2" w14:textId="23FBC378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Lingwi</w:t>
      </w:r>
      <w:r>
        <w:rPr>
          <w:rFonts w:ascii="Times New Roman" w:hAnsi="Times New Roman"/>
        </w:rPr>
        <w:t>: il-kandidati jrid ikollhom għarfien komplut ta’ waħda mil-lingwi uffiċjali tal-Unjoni Ewropea</w:t>
      </w:r>
      <w:r>
        <w:rPr>
          <w:rStyle w:val="FootnoteReference"/>
          <w:rFonts w:ascii="Times New Roman" w:hAnsi="Times New Roman" w:cs="Times New Roman"/>
        </w:rPr>
        <w:footnoteReference w:id="5"/>
      </w:r>
      <w:r>
        <w:rPr>
          <w:rFonts w:ascii="Times New Roman" w:hAnsi="Times New Roman"/>
        </w:rPr>
        <w:t xml:space="preserve"> u għarfien sodisfaċenti ta’ lingwa oħra minn dawn il-lingwi uffiċjali. Waqt l-intervista/i, il-bordijiet tal-għażla se jivverifikaw jekk il-kandidati jikkonformawx mar-rekwiżit ta’ għarfien sodisfaċenti ta’ lingwa uffiċjali oħra tal-UE. Dan jista’ jinkludi li l-intervista (jew parti minnha) ssir b’din il-lingwa l-oħra.</w:t>
      </w:r>
    </w:p>
    <w:p w14:paraId="7B8FE672" w14:textId="1095549C" w:rsidR="003542EC" w:rsidRPr="00941457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9F29E8">
        <w:rPr>
          <w:rFonts w:ascii="Times New Roman" w:hAnsi="Times New Roman"/>
          <w:u w:val="single"/>
        </w:rPr>
        <w:t>Età massima</w:t>
      </w:r>
      <w:r>
        <w:rPr>
          <w:rFonts w:ascii="Times New Roman" w:hAnsi="Times New Roman"/>
        </w:rPr>
        <w:t>: il-kandidati jridu jkunu jistgħu jlestu l-mandat sħiħ ta’ erba’ snin qabel ma jilħqu l-età tal-irtirar, mill-mument tal-għeluq tal-applikazzjoni. Fil-każ tal-persunal temporanju tal-Unjoni Ewropea, l-età tal-irtirar hija definita bħala l-aħħar tax-xahar li fih il-persuna tagħlaq 66 sena (ara l-Artikolu 47 tal-Kundizzjonijiet tal-Impjieg applikabbli għall-Aġenti l-oħra tal-Unjoni Ewropea</w:t>
      </w:r>
      <w:r>
        <w:rPr>
          <w:rStyle w:val="FootnoteReference"/>
          <w:rFonts w:ascii="Times New Roman" w:hAnsi="Times New Roman" w:cs="Times New Roman"/>
        </w:rPr>
        <w:footnoteReference w:id="6"/>
      </w:r>
      <w:r>
        <w:rPr>
          <w:rFonts w:ascii="Times New Roman" w:hAnsi="Times New Roman"/>
        </w:rPr>
        <w:t>).</w:t>
      </w:r>
    </w:p>
    <w:p w14:paraId="2C3E8783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Għażla u ħatra</w:t>
      </w:r>
    </w:p>
    <w:p w14:paraId="75E186BA" w14:textId="6CDD914D" w:rsidR="00E53957" w:rsidRPr="00941457" w:rsidRDefault="00E53957" w:rsidP="003542EC">
      <w:pPr>
        <w:pStyle w:val="Corpsdutexte0"/>
        <w:shd w:val="clear" w:color="auto" w:fill="auto"/>
        <w:spacing w:before="0" w:after="240" w:line="240" w:lineRule="auto"/>
        <w:ind w:firstLine="0"/>
        <w:jc w:val="both"/>
        <w:rPr>
          <w:rStyle w:val="Corpsdutexte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Corpsdutexte"/>
          <w:rFonts w:ascii="Times New Roman" w:hAnsi="Times New Roman"/>
          <w:color w:val="000000"/>
          <w:sz w:val="22"/>
        </w:rPr>
        <w:t>Id-Direttur Eżekuttiv se jinħatar mill-bord ta’ tmexxija tal-Impriża Konġunta abbażi ta’ lista qasira pprovduta mill-Kummissjoni Ewropea.</w:t>
      </w:r>
    </w:p>
    <w:p w14:paraId="67FA7B1D" w14:textId="4AFFDA38" w:rsidR="00335932" w:rsidRPr="00941457" w:rsidRDefault="0033593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Sabiex tistabbilixxi din il-lista preliminari, il-Kummissjoni Ewropea torganizza għażla f’konformità mal-proċeduri tal-għażla u tar-reklutaġġ tagħha (ara d-Dokument dwar il-Politika dwar Uffiċjali Għolja</w:t>
      </w:r>
      <w:r>
        <w:rPr>
          <w:rStyle w:val="FootnoteReference"/>
          <w:rFonts w:ascii="Times New Roman" w:hAnsi="Times New Roman" w:cs="Times New Roman"/>
        </w:rPr>
        <w:footnoteReference w:id="7"/>
      </w:r>
      <w:r>
        <w:rPr>
          <w:rFonts w:ascii="Times New Roman" w:hAnsi="Times New Roman"/>
        </w:rPr>
        <w:t xml:space="preserve">). </w:t>
      </w:r>
    </w:p>
    <w:p w14:paraId="528FC49F" w14:textId="6C2F785A" w:rsidR="002509C7" w:rsidRDefault="0033593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Bħala parti minn din il-proċedura tas-selezzjoni, il-Kummissjoni Ewropea tistabbilixxi bord ta’ preselezzjoni li, f’konformità mar-Regolament (UE) 2021/2085, jkun jinkludi rappreżentant maħtur minn kull tip ta’ membru għajr l-Unjoni</w:t>
      </w:r>
      <w:r>
        <w:rPr>
          <w:rStyle w:val="FootnoteReference"/>
          <w:rFonts w:ascii="Times New Roman" w:hAnsi="Times New Roman" w:cs="Times New Roman"/>
          <w:sz w:val="20"/>
        </w:rPr>
        <w:footnoteReference w:id="8"/>
      </w:r>
      <w:r>
        <w:rPr>
          <w:rFonts w:ascii="Times New Roman" w:hAnsi="Times New Roman"/>
        </w:rPr>
        <w:t xml:space="preserve"> tal-Impriża Konġunta, u osservatur wieħed maħtur mill-bord ta’ tmexxija. </w:t>
      </w:r>
    </w:p>
    <w:p w14:paraId="0F51F6F5" w14:textId="41B186DE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Dan il-bord janalizza l-applikazzjonijiet kollha, jipproċedi bl-ewwel verifika tal-eliġibilità u jidentifika l-kandidati li jkollhom l-aħjar profil fid-dawl tal-kriterji tal-għażla msemmija hawn fuq, u li jistgħu jiġu mistiedna għal intervista mal-bord tal-preselezzjoni.</w:t>
      </w:r>
    </w:p>
    <w:p w14:paraId="567BCC4D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Wara dawn l-intervisti, il-bord tal-preselezzjoni jfassal il-konklużjonijiet tiegħu u jipproponi lista ta’ kandidati għal intervisti ulterjuri mal-Kumitat Konsultattiv dwar il-Ħatriet (“Consultative Committee on Appointments” CCA) tal-Kummissjoni Ewropea. Is-CCA, filwaqt li jqis il-konklużjonijiet tal-bord tal-preselezzjoni, jiddeċiedi dwar il-kandidati li għandhom jiġu mistiedna għal intervista.</w:t>
      </w:r>
    </w:p>
    <w:p w14:paraId="665981C2" w14:textId="6F725920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Il-kandidati li jissejħu għal intervista mas-CCA jipparteċipaw f’ċentru ta’ valutazzjoni tal-maniġment ta’ jum sħiħ immexxi minn konsulenti ta’ reklutaġġ esterni. Filwaqt li jqis ir-riżultati tal-intervista u r-rapport taċ-ċentru ta’ evalwazzjoni, is-CCA jistabbilixxi lista qasira ta’ kandidati li jikkunsidra adatti biex jeżerċitaw il-funzjoni ta’ Direttur Eżekuttiv tal-Impriża Konġunta għal Sistema Ferrovjarja tal-Ewropa.</w:t>
      </w:r>
    </w:p>
    <w:p w14:paraId="12D3DCE0" w14:textId="5417A3CC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Il-kandidati fil-lista l-qasira tas-CCA jiġu intervistati mill-Membru/i tal-Kummissjoni responsabbli għad-Direttorat Ġenerali inkarigat mir-relazzjonijiet mal-Impriża Konġunta.</w:t>
      </w:r>
    </w:p>
    <w:p w14:paraId="64CD3857" w14:textId="15A29493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Wara dawn l-intervisti, il-Kummissjoni Ewropea tadotta lista mqassra ta’ preferibbilment mill-inqas tliet kandidati l-aktar xierqa, li se tiġi kkomunikata lill-bord ta’ tmexxija tal-Impriża Konġunta għal Sistema Ferrovjarja tal-Ewropa. Dan tal-aħħar jista’ jiddeċiedi li jintervista l-kandidati qabel jaħtar id-Direttur Eżekuttiv minn fost il-kandidati fuq il-lista qasira tal-Kummissjoni. L-inklużjoni f’din il-lista preliminari ma tiggarantix il-ħatra.</w:t>
      </w:r>
    </w:p>
    <w:p w14:paraId="2FF75FF0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Il-kandidati jistgħu jkunu meħtieġa jagħmlu iktar intervisti u/jew testijiet minbarra dawk indikati hawn fuq. Jistgħu jkunu meħtieġa wkoll jagħmlu dikjarazzjoni quddiem il-kumitat(i) relevanti tal-Parlament Ewropew.</w:t>
      </w:r>
    </w:p>
    <w:p w14:paraId="24F99624" w14:textId="192A9A61" w:rsidR="00431AEB" w:rsidRDefault="00431AEB" w:rsidP="00431AEB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 magħżul għandu jkollu, jew ikun f’pożizzjoni li jikseb, ċertifikat validu ta’ approvazzjoni tas-sigurtà mill-awtorità tas-sigurtà nazzjonali tiegħu. Approvazzjoni tas-sigurtà personali hija deċiżjoni amministrattiva li tiġi wara t-tlestija ta’ skrinjar tas-sigurtà mwettaq mill-awtorità kompetenti tas-sigurtà nazzjonali tal-individwu skont il-liġijiet u r-regolamenti tas-sigurtà nazzjonali applikabbli, u li tiċċertifika li individwu jista’ jitħalla jaċċessa informazzjoni klassifikata sa livell speċifikat. (Ta’ min jinnota li l-proċedura neċessarja biex tinkiseb approvazzjoni tas-sigurtà tista’ tibda biss wara li ssir talba mill-impjegatur, u mhux mill-kandidat individwali).</w:t>
      </w:r>
    </w:p>
    <w:p w14:paraId="1601A64B" w14:textId="12713FF3" w:rsidR="00431AEB" w:rsidRDefault="00431AEB" w:rsidP="00431AEB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Sakemm l-approvazzjoni tas-sigurtà personali ma tkunx għadha ngħatat mill-Istat Membru kkonċernat u l-proċedura tal-approvazzjoni ma tkunx kompluta bl-informazzjoni meħtieġa legalment mid-Direttorat tas-Sigurtà tal-Kummissjoni Ewropea, il-kandidat ma jkunx jista’ jaċċessa Informazzjoni Klassifikata tal-UE (EU Classified Information, EUCI) fil-livell ta’ CONFIDENTIEL UE/EU CONFIDENTIAL jew ogħla, u lanqas ma jkun jista’ jattendi laqgħat li fihom tiġi diskussa tali EUCI.</w:t>
      </w:r>
    </w:p>
    <w:p w14:paraId="1E2DD29B" w14:textId="41E46C04" w:rsidR="00431AEB" w:rsidRDefault="00431AEB" w:rsidP="00941457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7310BA14" w14:textId="77777777" w:rsidR="00703296" w:rsidRDefault="00703296" w:rsidP="00941457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7A4B04ED" w14:textId="4E6F4819" w:rsidR="00941457" w:rsidRPr="00941457" w:rsidRDefault="00941457" w:rsidP="00941457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Opportunitajiet Indaqs </w:t>
      </w:r>
    </w:p>
    <w:p w14:paraId="2B08FB00" w14:textId="04A6DD8F" w:rsidR="00941457" w:rsidRPr="00941457" w:rsidRDefault="00941457" w:rsidP="00941457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Il-Kummissjoni u l-Impriża Konġunta jsegwu objettiv strateġiku li jiksbu l-ugwaljanza bejn il-ġeneri fil-livelli maniġerjali kollha sa tmiem il-mandat attwali tagħhom u japplikaw politika ta’ opportunitajiet indaqs u ta’ nondiskriminazzjoni f’konformità mal-Artikolu 1d tar-Regolamenti tal-Persunal</w:t>
      </w:r>
      <w:r>
        <w:rPr>
          <w:rStyle w:val="FootnoteReference"/>
          <w:rFonts w:ascii="Times New Roman" w:hAnsi="Times New Roman" w:cs="Times New Roman"/>
        </w:rPr>
        <w:footnoteReference w:id="9"/>
      </w:r>
      <w:r>
        <w:rPr>
          <w:rFonts w:ascii="Times New Roman" w:hAnsi="Times New Roman"/>
        </w:rPr>
        <w:t xml:space="preserve"> filwaqt li jinkoraġġixxu applikazzjonijiet li jistgħu jikkontribwixxu għal aktar diversità, ugwaljanza bejn il-ġeneri u bilanċ ġeografiku ġenerali.</w:t>
      </w:r>
    </w:p>
    <w:p w14:paraId="09950794" w14:textId="0911026D" w:rsidR="006B1671" w:rsidRPr="00941457" w:rsidRDefault="005B116D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Diversità u Inklużjoni </w:t>
      </w:r>
    </w:p>
    <w:p w14:paraId="44C17C93" w14:textId="2DFE0231" w:rsidR="005B116D" w:rsidRPr="00412F66" w:rsidRDefault="005B116D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L-Impriża Konġunta tirrikonoxxi li bilanċ san bejn ix-xogħol u l-ħajja privata huwa fattur motivazzjonali importanti għal ħafna nies u li x-xogħol flessibbli huwa dejjem aktar mistenni li jkun parti minn ambjent tax-xogħol modern.  Bħala impjegatur, l-Impriża Konġunta hija impenjata li tiżgura l-ugwaljanza bejn is-sessi u li tipprevjeni d-diskriminazzjoni għal kwalunkwe raġuni. Hija tilqa’ b’mod attiv l-applikazzjonijiet mill-kandidati kwalifikati kollha minn ambjenti diversi, minn fost il-kapaċitajiet kollha u mill-bażi ġeografika l-aktar wiesgħa possibbli fost l-Istati Membri tal-UE. Biex tippromwovi l-ugwaljanza bejn is-sessi, l-Impriża Konġunta tinkoraġġixxi applikazzjonijiet b’mod partikolari min-nisa. Tista’ tingħata assistenza lil persuni b’diżabbiltà matul il-proċedura ta’ reklutaġġ. </w:t>
      </w:r>
    </w:p>
    <w:p w14:paraId="19F8019A" w14:textId="77777777" w:rsidR="006B1671" w:rsidRPr="00941457" w:rsidRDefault="006B1671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Kondizzjonijiet tal-impjieg</w:t>
      </w:r>
    </w:p>
    <w:p w14:paraId="5A62314F" w14:textId="75711826" w:rsidR="001C1F92" w:rsidRPr="00941457" w:rsidRDefault="001C1F92" w:rsidP="001C1F92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Is-salarji u l-kundizzjonijiet tal-impjieg huma stabbiliti fil-Kundizzjonijiet tal-Impjieg applikabbli għall-Aġenti l-Oħra tal-Unjoni Ewropea. </w:t>
      </w:r>
    </w:p>
    <w:p w14:paraId="040A7EAB" w14:textId="22C5952E" w:rsidR="00F75D74" w:rsidRPr="00941457" w:rsidRDefault="00F75D74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Il-kandidat li jirnexxi jiġi impjegat mill-Impriża Konġunta  għal Sistema Ferrovjarja tal-Ewropa bħala Aġent Temporanju fil-grad ta’ AD14. Il-kandidat li jintgħażel jiġi kklassifikat skont it-tul ta’ żmien tal-esperjenza professjonali preċedenti tiegħu fl-iskala 1 jew fl-iskala 2 ta’ dak il-grad. </w:t>
      </w:r>
    </w:p>
    <w:p w14:paraId="21AA06DE" w14:textId="28CC0C30" w:rsidR="00F75D74" w:rsidRPr="00941457" w:rsidRDefault="00F75D74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Il-kandidat(a) li j/tirnexxi jinħatar għal mandat inizjali ta’ erba’ snin, bil-possibbiltà ta’ estensjoni għal massimu ta’ tliet snin skont ir-Regolament li jistabbilixxi l-Impriża Konġunta.</w:t>
      </w:r>
    </w:p>
    <w:p w14:paraId="12D63497" w14:textId="4826279B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L-applikanti jenħtieġ li jinnotaw ir-rekwiżit skont il-Kundizzjonijiet tal-Impjieg applikabbli għall-Aġenti l-Oħra tal-Unjoni Ewropea għall-persunal il-ġdid kollu li jtemm b’suċċess perjodu ta’ prova ta’ disa’ xhur.</w:t>
      </w:r>
    </w:p>
    <w:p w14:paraId="3EAC3256" w14:textId="2EE43A1F" w:rsidR="001F08A9" w:rsidRPr="00941457" w:rsidRDefault="001C1F9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Il-post tax-xogħol huwa Brussell, il-Belġju.</w:t>
      </w:r>
    </w:p>
    <w:p w14:paraId="474DC449" w14:textId="0087A855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Informazzjoni importanti għall-kandidati</w:t>
      </w:r>
    </w:p>
    <w:p w14:paraId="0D6FF299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Infakkru lill-kandidati li x-xogħol tal-bordijiet tal-għażla huwa kunfidenzjali. Il-kandidati ma jistgħux jagħmlu kuntatt dirett jew indirett mal-membri individwali tagħhom, u lanqas ma’ jista’ jagħmel hekk ħaddieħor f’isimhom. Kull mistoqsija għandha tiġi indirizzata lis-segretarjat tal-bord rilevanti.</w:t>
      </w:r>
    </w:p>
    <w:p w14:paraId="03023E47" w14:textId="03F12231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Protezzjoni ta’ </w:t>
      </w:r>
      <w:r>
        <w:rPr>
          <w:rFonts w:ascii="Times New Roman" w:hAnsi="Times New Roman"/>
          <w:b/>
          <w:i/>
          <w:iCs/>
        </w:rPr>
        <w:t>data</w:t>
      </w:r>
      <w:r>
        <w:rPr>
          <w:rFonts w:ascii="Times New Roman" w:hAnsi="Times New Roman"/>
          <w:b/>
        </w:rPr>
        <w:t xml:space="preserve"> personali</w:t>
      </w:r>
    </w:p>
    <w:p w14:paraId="081BE391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Il-Kummissjoni tiżgura li 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personali tal-kandidati tiġi pproċessata kif meħtieġ mir-Regolament (UE) 2018/1725 tal-Parlament Ewropew u tal-Kunsill</w:t>
      </w:r>
      <w:r>
        <w:rPr>
          <w:rStyle w:val="FootnoteReference"/>
          <w:rFonts w:ascii="Times New Roman" w:hAnsi="Times New Roman" w:cs="Times New Roman"/>
        </w:rPr>
        <w:footnoteReference w:id="10"/>
      </w:r>
      <w:r>
        <w:rPr>
          <w:rFonts w:ascii="Times New Roman" w:hAnsi="Times New Roman"/>
        </w:rPr>
        <w:t>. Dan japplika b’mod partikolari għall-kunfidenzjalità u għas-sigurtà ta’ dik id-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>.</w:t>
      </w:r>
    </w:p>
    <w:p w14:paraId="6B0D715B" w14:textId="38C42627" w:rsidR="00F75D74" w:rsidRPr="00941457" w:rsidRDefault="00F75D74" w:rsidP="00F75D74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Indipendenza u dikjarazzjoni tal-interessi</w:t>
      </w:r>
    </w:p>
    <w:p w14:paraId="7DC2AD1C" w14:textId="2106A7AE" w:rsidR="00F75D74" w:rsidRPr="00941457" w:rsidRDefault="00F75D74" w:rsidP="00F75D74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Qabel jibda jaqdi dmirijietu, id-Direttur Eżekuttiv jintalab jagħmel dikjarazzjoni ta’ impenn li jaġixxi b’mod indipendenti fl-interess pubbliku u li jiddikjara kull interess li jista’ jitqies bħala li jippreġudika l-indipendenza tiegħu.</w:t>
      </w:r>
    </w:p>
    <w:p w14:paraId="0944E905" w14:textId="355DDE69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Il-proċedura tal-applikazzjoni</w:t>
      </w:r>
    </w:p>
    <w:p w14:paraId="33AC2628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Qabel tibgħat l-applikazzjoni tiegħek, għandek tivverifika bir-reqqa jekk tissodisfax ir-rekwiżiti tal-eliġibbiltà kollha (“Kundizzjonijiet ta’ ammissjoni”), b’mod partikolari dwar it-tipi ta’ diploma, l-esperjenza professjonali ta’ livell għoli kif ukoll il-kapaċità lingwistika meħtieġa. Jekk ma tissodisfax xi wieħed mir-rekwiżiti ta’ eliġibbiltà, tiġi eskluż awtomatikament mill-proċedura tal-għażla.</w:t>
      </w:r>
    </w:p>
    <w:p w14:paraId="6E408EFD" w14:textId="77777777" w:rsidR="005927E6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Jekk tkun trid tapplika, trid tirreġistra bl-internet fis-sit li ġej u ssegwi l-istruzzjonijiet li jirrigwardaw id-diversi stadji tal-proċedura: </w:t>
      </w:r>
    </w:p>
    <w:p w14:paraId="3DBA8489" w14:textId="77777777" w:rsidR="001F08A9" w:rsidRPr="00941457" w:rsidRDefault="008641A0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hyperlink r:id="rId8" w:history="1">
        <w:r w:rsidR="00703296">
          <w:rPr>
            <w:rStyle w:val="Hyperlink"/>
            <w:rFonts w:ascii="Times New Roman" w:hAnsi="Times New Roman"/>
          </w:rPr>
          <w:t>https://ec.europa.eu/dgs/human-resources/seniormanagementvacancies/</w:t>
        </w:r>
      </w:hyperlink>
    </w:p>
    <w:p w14:paraId="377B42BA" w14:textId="77777777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Irid ikollok indirizz tal-posta elettronika validu. Dan jintuża biex tiġi kkonfermata r-reġistrazzjoni tiegħek kif ukoll biex jinżamm kuntatt miegħek matul l-istadji differenti tal-proċedura. Għaldaqstant, nitolbuk tinforma lill-Kummissjoni Ewropea bi kwalunkwe bidla fl-indirizz tal-posta elettronika tiegħek.</w:t>
      </w:r>
    </w:p>
    <w:p w14:paraId="0EBBB3F0" w14:textId="517BE897" w:rsidR="0058564D" w:rsidRPr="00941457" w:rsidRDefault="001F08A9" w:rsidP="0058564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Sabiex timla l-applikazzjoni tiegħek, trid ittella’ CV f’format PDF, preferibbilment fil-format tas-CV tal-Europass</w:t>
      </w:r>
      <w:r>
        <w:rPr>
          <w:rStyle w:val="FootnoteReference"/>
          <w:rFonts w:ascii="Times New Roman" w:hAnsi="Times New Roman" w:cs="Times New Roman"/>
        </w:rPr>
        <w:footnoteReference w:id="11"/>
      </w:r>
      <w:r>
        <w:rPr>
          <w:rFonts w:ascii="Times New Roman" w:hAnsi="Times New Roman"/>
        </w:rPr>
        <w:t>, u timla, online, ittra ta’ motivazzjoni (massimu ta’ 8 000 karattru). Is-CV u l-ittra ta’ motivazzjoni tiegħek jistgħu jintbagħtu bi kwalunkwe lingwa uffiċjali tal-Unjoni Ewropea.</w:t>
      </w:r>
    </w:p>
    <w:p w14:paraId="188CD611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Huwa fl-interess tiegħek li tiżgura li l-applikazzjoni tiegħek tkun preċiża, dettaljata u veritiera.</w:t>
      </w:r>
    </w:p>
    <w:p w14:paraId="1E1FFB65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Ladarba tkun lestejt ir-reġistrazzjoni online tiegħek, tirċievi ittra elettronika li tikkonferma li l-applikazzjoni tiegħek tkun ġiet irreġistrata. </w:t>
      </w:r>
      <w:r>
        <w:rPr>
          <w:rFonts w:ascii="Times New Roman" w:hAnsi="Times New Roman"/>
          <w:b/>
        </w:rPr>
        <w:t>Jekk ma tirċevix ittra elettronika ta’ konferma, l-applikazzjoni tiegħek ma tkunx ġiet irreġistrata!</w:t>
      </w:r>
    </w:p>
    <w:p w14:paraId="4BFC06F7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Ta’ min jinnota li mhuwiex possibbli li ssegwi l-progress tal-applikazzjoni tiegħek online. Il-Kummissjoni Ewropea tikkuntattjak direttament rigward l-istatus tal-applikazzjoni tiegħek.</w:t>
      </w:r>
    </w:p>
    <w:p w14:paraId="1EA41131" w14:textId="77777777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 xml:space="preserve">L-applikazzjonijiet li jintbagħtu bil-posta elettronika ma jiġux aċċettati. </w:t>
      </w:r>
      <w:r>
        <w:rPr>
          <w:rFonts w:ascii="Times New Roman" w:hAnsi="Times New Roman"/>
        </w:rPr>
        <w:t xml:space="preserve">Jekk tkun teħtieġ iktar informazzjoni u/jew tiltaqa’ ma’ problemi tekniċi, ibgħat ittra elettronika lil: </w:t>
      </w:r>
      <w:r>
        <w:t xml:space="preserve"> </w:t>
      </w:r>
      <w:r>
        <w:br/>
      </w:r>
      <w:hyperlink r:id="rId9" w:history="1">
        <w:r>
          <w:rPr>
            <w:rStyle w:val="Hyperlink"/>
            <w:rFonts w:ascii="Times New Roman" w:hAnsi="Times New Roman"/>
          </w:rPr>
          <w:t>HR-MANAGEMENT-ONLINE@ec.europa.eu</w:t>
        </w:r>
      </w:hyperlink>
    </w:p>
    <w:p w14:paraId="17344804" w14:textId="2A9A0285" w:rsidR="00CB0E68" w:rsidRPr="008649AA" w:rsidRDefault="00CB0E68" w:rsidP="00CB0E68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Hija r-responsabbiltà tiegħek li timla r-reġistrazzjoni online fil-ħin. Nagħtuk parir biex ma tħallix għall-aħħar jiem biex tapplika, billi traffiku qawwi fuq l-internet jew problema fil-konnessjoni tal-internet tiegħek jistgħu jwasslu biex ir-reġistrazzjoni online tiegħek tiġi tterminata qabel ma tlestiha, u b’hekk ikollok tirrepeti l-proċess kollu. Ladarba jiskadi ż-żmien għas-sottomissjoni tar-reġistrazzjonijiet, ma tkunx tista’ ddaħħal iktar 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>. Ir-reġistrazzjonijiet li jaslu tard ma jiġux aċċettati.</w:t>
      </w:r>
    </w:p>
    <w:p w14:paraId="6E0BFD8E" w14:textId="611C94DD" w:rsidR="0071777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Data tal-għeluq </w:t>
      </w:r>
    </w:p>
    <w:p w14:paraId="5D0B1E94" w14:textId="677C30FF" w:rsidR="001F08A9" w:rsidRPr="00941457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Id-data tal-għeluq għar-reġistrazzjoni hija l-</w:t>
      </w:r>
      <w:r>
        <w:rPr>
          <w:rFonts w:ascii="Times New Roman" w:hAnsi="Times New Roman"/>
          <w:b/>
        </w:rPr>
        <w:t xml:space="preserve">15/05/2023, 12.00 nofsinhar, ħin ta’ Brussell, </w:t>
      </w:r>
      <w:r>
        <w:rPr>
          <w:rFonts w:ascii="Times New Roman" w:hAnsi="Times New Roman"/>
        </w:rPr>
        <w:t>u wara ma jkunx iktar possibbli li tirreġistra.</w:t>
      </w:r>
    </w:p>
    <w:sectPr w:rsidR="001F08A9" w:rsidRPr="00941457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BBB10" w14:textId="77777777" w:rsidR="003601C5" w:rsidRDefault="003601C5" w:rsidP="00110276">
      <w:pPr>
        <w:spacing w:after="0" w:line="240" w:lineRule="auto"/>
      </w:pPr>
      <w:r>
        <w:separator/>
      </w:r>
    </w:p>
  </w:endnote>
  <w:endnote w:type="continuationSeparator" w:id="0">
    <w:p w14:paraId="2F3E7989" w14:textId="77777777" w:rsidR="003601C5" w:rsidRDefault="003601C5" w:rsidP="0011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chment">
    <w:panose1 w:val="030406020407080408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266988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DFF3A7" w14:textId="45B29269" w:rsidR="00110276" w:rsidRPr="00174DE3" w:rsidRDefault="00397114" w:rsidP="004B637B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 w:rsidR="008641A0">
          <w:rPr>
            <w:rFonts w:ascii="Times New Roman" w:hAnsi="Times New Roman" w:cs="Times New Roman"/>
            <w:noProof/>
          </w:rPr>
          <w:t>3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4C516" w14:textId="77777777" w:rsidR="003601C5" w:rsidRDefault="003601C5" w:rsidP="00110276">
      <w:pPr>
        <w:spacing w:after="0" w:line="240" w:lineRule="auto"/>
      </w:pPr>
      <w:r>
        <w:separator/>
      </w:r>
    </w:p>
  </w:footnote>
  <w:footnote w:type="continuationSeparator" w:id="0">
    <w:p w14:paraId="5F9D2B03" w14:textId="77777777" w:rsidR="003601C5" w:rsidRDefault="003601C5" w:rsidP="00110276">
      <w:pPr>
        <w:spacing w:after="0" w:line="240" w:lineRule="auto"/>
      </w:pPr>
      <w:r>
        <w:continuationSeparator/>
      </w:r>
    </w:p>
  </w:footnote>
  <w:footnote w:id="1">
    <w:p w14:paraId="663BCC4D" w14:textId="3719968A" w:rsidR="009937EC" w:rsidRPr="00526673" w:rsidRDefault="009937EC" w:rsidP="00A1649D">
      <w:pPr>
        <w:spacing w:after="0" w:line="240" w:lineRule="auto"/>
        <w:ind w:left="284" w:hanging="284"/>
        <w:rPr>
          <w:rFonts w:ascii="Arial" w:hAnsi="Arial" w:cs="Arial"/>
          <w:sz w:val="16"/>
          <w:szCs w:val="16"/>
        </w:rPr>
      </w:pPr>
      <w:r w:rsidRPr="009F29E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tab/>
      </w:r>
      <w:r>
        <w:rPr>
          <w:rFonts w:ascii="Times New Roman" w:hAnsi="Times New Roman"/>
          <w:sz w:val="16"/>
        </w:rPr>
        <w:t>Ir-Regolament tal-Kunsill (UE) 2021/2085 tad-19 ta’ Novembru 2021 li jistabbilixxi l-Impriżi Konġunti fil-qafas ta’ Orizzont Ewropa u li jħassar ir-Regolamenti (KE) Nru 219/2007, (UE) Nru 557/2014, (UE) Nru 558/2014, (UE) Nru 559/2014, (UE) Nru 560/2014, (UE) Nru 561/2014 u (UE) Nru 642/2014 (ĠU L 427, 30.11.2021, p. 17).</w:t>
      </w:r>
    </w:p>
  </w:footnote>
  <w:footnote w:id="2">
    <w:p w14:paraId="7668A20E" w14:textId="23E1328A" w:rsidR="00CE1852" w:rsidRPr="00526673" w:rsidRDefault="00CE1852" w:rsidP="00A1649D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 w:rsidRPr="009F29E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tab/>
      </w:r>
      <w:r>
        <w:rPr>
          <w:rFonts w:ascii="Times New Roman" w:hAnsi="Times New Roman"/>
          <w:sz w:val="16"/>
        </w:rPr>
        <w:t>Ir-Regolament tal-Kunsill (UE) Nru 642/2014 tas-16 ta' Ġunju 2014 li jistabbilixxi l-Impriża Konġunta Shift2Rail (ĠU L 177, 17.6.2014, p. 9).</w:t>
      </w:r>
    </w:p>
  </w:footnote>
  <w:footnote w:id="3">
    <w:p w14:paraId="617D2DD6" w14:textId="77777777" w:rsidR="00776E22" w:rsidRPr="004B637B" w:rsidRDefault="00776E22" w:rsidP="00776E22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r>
        <w:rPr>
          <w:rFonts w:ascii="Times New Roman" w:hAnsi="Times New Roman"/>
          <w:sz w:val="16"/>
        </w:rPr>
        <w:t>L-esperjenza professjonali titqies biss jekk tkun tirrappreżenta relazzjoni ta’ ħidma konkreta li tkun definita bħala ħidma reali u ġenwina, bi ħlas u bħala impjegat (kull tip ta’ kuntratt) jew fornitur ta’ servizz. L-attivitajiet professjonali li jkunu saru fuq bażi part-time għandhom jiġu kkalkulati pro rata, abbażi tal-perċentwal iċċertifikat ta’ sigħat full-time li jkunu nħadmu. Il-leave tal-maternità / leave parentali / leave għall-adozzjoni jitqies jekk ikun fil-qafas ta’ kuntratt ta’ xogħol.  Il-PhDs jiġu assimilati mal-esperjenza professjonali, anki meta ma jkunux bi ħlas, iżda għal perjodu ta’ mhux aktar minn tliet snin, dment li l-PhD ikun ġie kkompletat b’eżitu pożittiv. Perjodu partikolari jista’ jingħadd darba biss.</w:t>
      </w:r>
    </w:p>
  </w:footnote>
  <w:footnote w:id="4">
    <w:p w14:paraId="1A544615" w14:textId="07711914" w:rsidR="003542EC" w:rsidRPr="004B637B" w:rsidRDefault="003542EC" w:rsidP="00335932">
      <w:pPr>
        <w:pStyle w:val="FootnoteText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r>
        <w:rPr>
          <w:rFonts w:ascii="Times New Roman" w:hAnsi="Times New Roman"/>
          <w:sz w:val="16"/>
        </w:rPr>
        <w:t>Għas-snin kollha li matulhom tkun inkisbet l-esperjenza maniġerjali, fil-curriculum vitae tagħhom, il-kandidati għandhom jindikaw b’mod ċar: (1) it-titlu u r-rwol tal-karigi maniġerjali okkupati; (2) l-għadd ta’ persunal li kellhom taħthom meta kienu f’dawn il-karigi; (3) id-daqs tal-baġits ġestiti; (4) l-għadd ta’ livelli ġerarkiċi ta’ fuqhom u ta’ taħthom; u (5) l-għadd ta’ kollegi fl-istess livell.</w:t>
      </w:r>
    </w:p>
  </w:footnote>
  <w:footnote w:id="5">
    <w:p w14:paraId="2E115737" w14:textId="32BD7AB8" w:rsidR="003542EC" w:rsidRPr="004B637B" w:rsidRDefault="003542EC" w:rsidP="00335932">
      <w:pPr>
        <w:pStyle w:val="FootnoteText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hyperlink r:id="rId1" w:history="1">
        <w:r>
          <w:rPr>
            <w:rStyle w:val="Hyperlink"/>
            <w:rFonts w:ascii="Times New Roman" w:hAnsi="Times New Roman"/>
            <w:sz w:val="16"/>
          </w:rPr>
          <w:t>https://eur-lex.europa.eu/legal-content/EN/TXT/?uri=CELEX%3A01958R0001-20130701</w:t>
        </w:r>
      </w:hyperlink>
      <w:r>
        <w:rPr>
          <w:rFonts w:ascii="Times New Roman" w:hAnsi="Times New Roman"/>
          <w:sz w:val="16"/>
        </w:rPr>
        <w:t xml:space="preserve"> </w:t>
      </w:r>
    </w:p>
  </w:footnote>
  <w:footnote w:id="6">
    <w:p w14:paraId="6A4BACAC" w14:textId="42F3029B" w:rsidR="003542EC" w:rsidRPr="004B637B" w:rsidRDefault="003542EC" w:rsidP="00335932">
      <w:pPr>
        <w:pStyle w:val="FootnoteText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hyperlink r:id="rId2" w:history="1">
        <w:r>
          <w:rPr>
            <w:rStyle w:val="Hyperlink"/>
            <w:rFonts w:ascii="Times New Roman" w:hAnsi="Times New Roman"/>
            <w:sz w:val="16"/>
          </w:rPr>
          <w:t>https://eur-lex.europa.eu/legal-content/EN/TXT/?uri=CELEX%3A01962R0031-20140701</w:t>
        </w:r>
      </w:hyperlink>
      <w:r>
        <w:rPr>
          <w:rStyle w:val="Hyperlink"/>
          <w:rFonts w:ascii="Times New Roman" w:hAnsi="Times New Roman"/>
          <w:sz w:val="16"/>
        </w:rPr>
        <w:t xml:space="preserve"> </w:t>
      </w:r>
    </w:p>
  </w:footnote>
  <w:footnote w:id="7">
    <w:p w14:paraId="742C3E90" w14:textId="6D7685CE" w:rsidR="00717779" w:rsidRPr="006E54F4" w:rsidRDefault="00717779" w:rsidP="00D86E6E">
      <w:pPr>
        <w:pStyle w:val="FootnoteText"/>
        <w:ind w:left="284" w:hanging="284"/>
        <w:jc w:val="both"/>
        <w:rPr>
          <w:rFonts w:ascii="Times New Roman" w:hAnsi="Times New Roman" w:cs="Times New Roman"/>
        </w:rPr>
      </w:pPr>
      <w:r w:rsidRPr="009F29E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9F29E8">
        <w:rPr>
          <w:rFonts w:ascii="Times New Roman" w:hAnsi="Times New Roman"/>
          <w:sz w:val="16"/>
        </w:rPr>
        <w:t xml:space="preserve"> </w:t>
      </w:r>
      <w:r w:rsidRPr="009F29E8">
        <w:rPr>
          <w:rStyle w:val="Hyperlink"/>
          <w:rFonts w:ascii="Times New Roman" w:hAnsi="Times New Roman"/>
          <w:color w:val="auto"/>
          <w:sz w:val="16"/>
          <w:u w:val="none"/>
        </w:rPr>
        <w:t xml:space="preserve"> </w:t>
      </w:r>
      <w:r>
        <w:tab/>
      </w:r>
      <w:hyperlink r:id="rId3" w:history="1">
        <w:r>
          <w:rPr>
            <w:rStyle w:val="Hyperlink"/>
            <w:rFonts w:ascii="Times New Roman" w:hAnsi="Times New Roman"/>
            <w:sz w:val="16"/>
          </w:rPr>
          <w:t>https://commission.europa.eu/jobs-european-commission/job-opportunities/managers-european-commission_en</w:t>
        </w:r>
      </w:hyperlink>
      <w:r>
        <w:rPr>
          <w:rFonts w:ascii="Times New Roman" w:hAnsi="Times New Roman"/>
          <w:sz w:val="16"/>
        </w:rPr>
        <w:t xml:space="preserve">  (only exists in English) </w:t>
      </w:r>
    </w:p>
  </w:footnote>
  <w:footnote w:id="8">
    <w:p w14:paraId="15DF06B4" w14:textId="2249541E" w:rsidR="00EF5F0D" w:rsidRPr="002F1B21" w:rsidRDefault="00EF5F0D" w:rsidP="00EF5F0D">
      <w:pPr>
        <w:pStyle w:val="FootnoteText"/>
        <w:ind w:left="284" w:hanging="284"/>
        <w:rPr>
          <w:rFonts w:ascii="Times New Roman" w:hAnsi="Times New Roman" w:cs="Times New Roman"/>
        </w:rPr>
      </w:pPr>
      <w:r w:rsidRPr="009F29E8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9F29E8">
        <w:rPr>
          <w:rFonts w:ascii="Times New Roman" w:hAnsi="Times New Roman"/>
          <w:sz w:val="16"/>
          <w:szCs w:val="16"/>
        </w:rPr>
        <w:t xml:space="preserve"> </w:t>
      </w:r>
      <w:r w:rsidRPr="009F29E8">
        <w:rPr>
          <w:sz w:val="16"/>
          <w:szCs w:val="16"/>
        </w:rPr>
        <w:tab/>
      </w:r>
      <w:r w:rsidRPr="009F29E8">
        <w:rPr>
          <w:rFonts w:ascii="Times New Roman" w:hAnsi="Times New Roman"/>
          <w:sz w:val="16"/>
          <w:szCs w:val="16"/>
        </w:rPr>
        <w:t>Membru għajr l-Unjoni tfisser “kwalunkwe stat parteċipanti, membru privat jew organizzazzjoni internazzjonali li tkun membru ta’</w:t>
      </w:r>
      <w:r>
        <w:rPr>
          <w:rFonts w:ascii="Times New Roman" w:hAnsi="Times New Roman"/>
          <w:sz w:val="16"/>
        </w:rPr>
        <w:t xml:space="preserve"> Impriża Konġunta”</w:t>
      </w:r>
    </w:p>
  </w:footnote>
  <w:footnote w:id="9">
    <w:p w14:paraId="1291EF11" w14:textId="77777777" w:rsidR="00941457" w:rsidRPr="002F1B21" w:rsidRDefault="00941457" w:rsidP="00941457">
      <w:pPr>
        <w:pStyle w:val="FootnoteText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r>
        <w:rPr>
          <w:rFonts w:ascii="Times New Roman" w:hAnsi="Times New Roman"/>
          <w:sz w:val="16"/>
        </w:rPr>
        <w:t>https://eur-lex.europa.eu/legal-content/EN/TXT/?uri=CELEX%3A01962R0031-20140701</w:t>
      </w:r>
    </w:p>
  </w:footnote>
  <w:footnote w:id="10">
    <w:p w14:paraId="30F5E6E1" w14:textId="77777777" w:rsidR="00CB0E68" w:rsidRPr="004B637B" w:rsidRDefault="00CB0E68" w:rsidP="00CB0E68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r>
        <w:rPr>
          <w:rFonts w:ascii="Times New Roman" w:hAnsi="Times New Roman"/>
          <w:sz w:val="16"/>
        </w:rPr>
        <w:t xml:space="preserve">Ir-Regolament (UE) 2018/1725 tal-Parlament Ewropew u tal-Kunsill tat-23 ta’ Ottubru 2018 dwar il-protezzjoni ta’ persuni fiżiċi fir-rigward tal-ipproċessar ta’ </w:t>
      </w:r>
      <w:r>
        <w:rPr>
          <w:rFonts w:ascii="Times New Roman" w:hAnsi="Times New Roman"/>
          <w:i/>
          <w:iCs/>
          <w:sz w:val="16"/>
        </w:rPr>
        <w:t>data</w:t>
      </w:r>
      <w:r>
        <w:rPr>
          <w:rFonts w:ascii="Times New Roman" w:hAnsi="Times New Roman"/>
          <w:sz w:val="16"/>
        </w:rPr>
        <w:t xml:space="preserve"> personali mill-istituzzjonijiet, korpi, uffiċċji u aġenziji tal-Unjoni u dwar il-moviment liberu ta’ tali </w:t>
      </w:r>
      <w:r>
        <w:rPr>
          <w:rFonts w:ascii="Times New Roman" w:hAnsi="Times New Roman"/>
          <w:i/>
          <w:iCs/>
          <w:sz w:val="16"/>
        </w:rPr>
        <w:t>data</w:t>
      </w:r>
      <w:r>
        <w:rPr>
          <w:rFonts w:ascii="Times New Roman" w:hAnsi="Times New Roman"/>
          <w:sz w:val="16"/>
        </w:rPr>
        <w:t>, u li jħassar ir-Regolament (KE) Nru 45/2001 u d-Deċiżjoni Nru 1247/2002/KE (ĠU L 295, 21.11.2018, p. 39).</w:t>
      </w:r>
    </w:p>
  </w:footnote>
  <w:footnote w:id="11">
    <w:p w14:paraId="7EAF5BFC" w14:textId="2143A1B8" w:rsidR="00176C45" w:rsidRPr="004B637B" w:rsidRDefault="00176C45" w:rsidP="004B637B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r>
        <w:rPr>
          <w:rFonts w:ascii="Times New Roman" w:hAnsi="Times New Roman"/>
          <w:sz w:val="16"/>
        </w:rPr>
        <w:t xml:space="preserve">Tista’ ssib informazzjoni dwar kif toħloq l-Europass CV tiegħek online hawnhekk: </w:t>
      </w:r>
      <w:hyperlink r:id="rId4" w:history="1">
        <w:r>
          <w:rPr>
            <w:rStyle w:val="Hyperlink"/>
            <w:rFonts w:ascii="Times New Roman" w:hAnsi="Times New Roman"/>
            <w:sz w:val="16"/>
          </w:rPr>
          <w:t>https://europa.eu/europass/en/create-europass-cv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56A46"/>
    <w:multiLevelType w:val="hybridMultilevel"/>
    <w:tmpl w:val="961AEFE8"/>
    <w:lvl w:ilvl="0" w:tplc="67B4DC9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B787412"/>
    <w:multiLevelType w:val="hybridMultilevel"/>
    <w:tmpl w:val="3C7CC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454FCF"/>
    <w:multiLevelType w:val="hybridMultilevel"/>
    <w:tmpl w:val="6FD470B6"/>
    <w:lvl w:ilvl="0" w:tplc="053AE5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47BA3"/>
    <w:multiLevelType w:val="hybridMultilevel"/>
    <w:tmpl w:val="FC32C4A4"/>
    <w:lvl w:ilvl="0" w:tplc="050CECE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C1F48"/>
    <w:multiLevelType w:val="hybridMultilevel"/>
    <w:tmpl w:val="315AD5F4"/>
    <w:lvl w:ilvl="0" w:tplc="8F2280D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7141F"/>
    <w:multiLevelType w:val="hybridMultilevel"/>
    <w:tmpl w:val="00924C4C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9E64E3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Parchment" w:eastAsia="Times New Roman" w:hAnsi="Parchment" w:cs="Parchment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F08A9"/>
    <w:rsid w:val="000006D7"/>
    <w:rsid w:val="00007542"/>
    <w:rsid w:val="00016209"/>
    <w:rsid w:val="00043213"/>
    <w:rsid w:val="00046385"/>
    <w:rsid w:val="00053B22"/>
    <w:rsid w:val="00054B68"/>
    <w:rsid w:val="0006221C"/>
    <w:rsid w:val="00081B31"/>
    <w:rsid w:val="000955F1"/>
    <w:rsid w:val="000F2822"/>
    <w:rsid w:val="0010508E"/>
    <w:rsid w:val="0010782D"/>
    <w:rsid w:val="00110276"/>
    <w:rsid w:val="00114AFF"/>
    <w:rsid w:val="001212E1"/>
    <w:rsid w:val="00137B4B"/>
    <w:rsid w:val="00140E30"/>
    <w:rsid w:val="00141514"/>
    <w:rsid w:val="00174DE3"/>
    <w:rsid w:val="00176C45"/>
    <w:rsid w:val="0018135D"/>
    <w:rsid w:val="001C1F92"/>
    <w:rsid w:val="001C2201"/>
    <w:rsid w:val="001C6B8B"/>
    <w:rsid w:val="001E4DB3"/>
    <w:rsid w:val="001F08A9"/>
    <w:rsid w:val="001F131A"/>
    <w:rsid w:val="00200A79"/>
    <w:rsid w:val="00202605"/>
    <w:rsid w:val="00207183"/>
    <w:rsid w:val="002136B6"/>
    <w:rsid w:val="00223DFE"/>
    <w:rsid w:val="00232375"/>
    <w:rsid w:val="00237AD9"/>
    <w:rsid w:val="002509C7"/>
    <w:rsid w:val="00283DF1"/>
    <w:rsid w:val="00291AAA"/>
    <w:rsid w:val="002B1243"/>
    <w:rsid w:val="002B2E0B"/>
    <w:rsid w:val="002D15B0"/>
    <w:rsid w:val="002D17D3"/>
    <w:rsid w:val="002F0CD7"/>
    <w:rsid w:val="002F1B21"/>
    <w:rsid w:val="00300548"/>
    <w:rsid w:val="00321B1B"/>
    <w:rsid w:val="003256B0"/>
    <w:rsid w:val="00335932"/>
    <w:rsid w:val="00337A3F"/>
    <w:rsid w:val="00343F94"/>
    <w:rsid w:val="003519EB"/>
    <w:rsid w:val="003542EC"/>
    <w:rsid w:val="003601C5"/>
    <w:rsid w:val="00397114"/>
    <w:rsid w:val="003A7AA0"/>
    <w:rsid w:val="003B3CEF"/>
    <w:rsid w:val="003B4B9B"/>
    <w:rsid w:val="003C52B5"/>
    <w:rsid w:val="003E4FB7"/>
    <w:rsid w:val="00404EFD"/>
    <w:rsid w:val="00412F66"/>
    <w:rsid w:val="00431AEB"/>
    <w:rsid w:val="00482E77"/>
    <w:rsid w:val="00482FC7"/>
    <w:rsid w:val="00483E38"/>
    <w:rsid w:val="004B637B"/>
    <w:rsid w:val="004D042F"/>
    <w:rsid w:val="004D133F"/>
    <w:rsid w:val="004E5E43"/>
    <w:rsid w:val="004F1158"/>
    <w:rsid w:val="0050511F"/>
    <w:rsid w:val="00515E09"/>
    <w:rsid w:val="00516AD8"/>
    <w:rsid w:val="00526673"/>
    <w:rsid w:val="00556A58"/>
    <w:rsid w:val="00574F9C"/>
    <w:rsid w:val="0058564D"/>
    <w:rsid w:val="005927E6"/>
    <w:rsid w:val="005A0A14"/>
    <w:rsid w:val="005A0DFE"/>
    <w:rsid w:val="005A7970"/>
    <w:rsid w:val="005B116D"/>
    <w:rsid w:val="005D37E0"/>
    <w:rsid w:val="005E5365"/>
    <w:rsid w:val="005E59A3"/>
    <w:rsid w:val="00603402"/>
    <w:rsid w:val="0060537F"/>
    <w:rsid w:val="00616FC5"/>
    <w:rsid w:val="00623094"/>
    <w:rsid w:val="0063777D"/>
    <w:rsid w:val="00644DAF"/>
    <w:rsid w:val="006850A9"/>
    <w:rsid w:val="0068767A"/>
    <w:rsid w:val="006B1671"/>
    <w:rsid w:val="006E54B6"/>
    <w:rsid w:val="006E54F4"/>
    <w:rsid w:val="006F3CB8"/>
    <w:rsid w:val="007001F8"/>
    <w:rsid w:val="00703296"/>
    <w:rsid w:val="00717779"/>
    <w:rsid w:val="00754C50"/>
    <w:rsid w:val="00763A77"/>
    <w:rsid w:val="00763D5C"/>
    <w:rsid w:val="00776E22"/>
    <w:rsid w:val="007B4086"/>
    <w:rsid w:val="007C79B0"/>
    <w:rsid w:val="007E7FE2"/>
    <w:rsid w:val="007F2FCD"/>
    <w:rsid w:val="00805BB3"/>
    <w:rsid w:val="00814484"/>
    <w:rsid w:val="008449B0"/>
    <w:rsid w:val="00850824"/>
    <w:rsid w:val="008510D5"/>
    <w:rsid w:val="00855307"/>
    <w:rsid w:val="008607CB"/>
    <w:rsid w:val="008641A0"/>
    <w:rsid w:val="008934EE"/>
    <w:rsid w:val="008A6901"/>
    <w:rsid w:val="008B535A"/>
    <w:rsid w:val="008C2C91"/>
    <w:rsid w:val="008F357B"/>
    <w:rsid w:val="008F5E89"/>
    <w:rsid w:val="00912FCA"/>
    <w:rsid w:val="00916D1E"/>
    <w:rsid w:val="00921BDB"/>
    <w:rsid w:val="009241F8"/>
    <w:rsid w:val="00941457"/>
    <w:rsid w:val="009937EC"/>
    <w:rsid w:val="009A5CCB"/>
    <w:rsid w:val="009B6A0C"/>
    <w:rsid w:val="009E5E8A"/>
    <w:rsid w:val="009E60AD"/>
    <w:rsid w:val="009F18CF"/>
    <w:rsid w:val="009F29E8"/>
    <w:rsid w:val="00A0727A"/>
    <w:rsid w:val="00A1649D"/>
    <w:rsid w:val="00A409A2"/>
    <w:rsid w:val="00A47C74"/>
    <w:rsid w:val="00A75266"/>
    <w:rsid w:val="00AB78CA"/>
    <w:rsid w:val="00AB7FFA"/>
    <w:rsid w:val="00AF35E0"/>
    <w:rsid w:val="00AF6197"/>
    <w:rsid w:val="00AF76B9"/>
    <w:rsid w:val="00B008E5"/>
    <w:rsid w:val="00B26BAE"/>
    <w:rsid w:val="00B27BBD"/>
    <w:rsid w:val="00B436BA"/>
    <w:rsid w:val="00B63430"/>
    <w:rsid w:val="00B72210"/>
    <w:rsid w:val="00B8198B"/>
    <w:rsid w:val="00BA6C84"/>
    <w:rsid w:val="00BC4AF9"/>
    <w:rsid w:val="00BD2190"/>
    <w:rsid w:val="00BD5F59"/>
    <w:rsid w:val="00BE5D15"/>
    <w:rsid w:val="00C0509F"/>
    <w:rsid w:val="00C0789F"/>
    <w:rsid w:val="00C40027"/>
    <w:rsid w:val="00C43091"/>
    <w:rsid w:val="00C460C7"/>
    <w:rsid w:val="00C47903"/>
    <w:rsid w:val="00C60B91"/>
    <w:rsid w:val="00C634A5"/>
    <w:rsid w:val="00C84A1E"/>
    <w:rsid w:val="00C863EE"/>
    <w:rsid w:val="00CB0E68"/>
    <w:rsid w:val="00CC467A"/>
    <w:rsid w:val="00CD63AD"/>
    <w:rsid w:val="00CE1852"/>
    <w:rsid w:val="00D0245C"/>
    <w:rsid w:val="00D035E8"/>
    <w:rsid w:val="00D13261"/>
    <w:rsid w:val="00D17155"/>
    <w:rsid w:val="00D20FE9"/>
    <w:rsid w:val="00D35D39"/>
    <w:rsid w:val="00D3740A"/>
    <w:rsid w:val="00D52D4B"/>
    <w:rsid w:val="00D86E6E"/>
    <w:rsid w:val="00D92E76"/>
    <w:rsid w:val="00D97BDA"/>
    <w:rsid w:val="00DA666E"/>
    <w:rsid w:val="00DB65DB"/>
    <w:rsid w:val="00DC04EE"/>
    <w:rsid w:val="00DC4B6F"/>
    <w:rsid w:val="00DC50D9"/>
    <w:rsid w:val="00DE1ACF"/>
    <w:rsid w:val="00DF725E"/>
    <w:rsid w:val="00E00652"/>
    <w:rsid w:val="00E018DF"/>
    <w:rsid w:val="00E227C0"/>
    <w:rsid w:val="00E22B3A"/>
    <w:rsid w:val="00E25088"/>
    <w:rsid w:val="00E53957"/>
    <w:rsid w:val="00E70197"/>
    <w:rsid w:val="00E707C1"/>
    <w:rsid w:val="00E76F35"/>
    <w:rsid w:val="00E7743B"/>
    <w:rsid w:val="00E928AF"/>
    <w:rsid w:val="00E96BEE"/>
    <w:rsid w:val="00EB1A74"/>
    <w:rsid w:val="00ED61A6"/>
    <w:rsid w:val="00EE3809"/>
    <w:rsid w:val="00EE6620"/>
    <w:rsid w:val="00EF5F0D"/>
    <w:rsid w:val="00F038E5"/>
    <w:rsid w:val="00F1236F"/>
    <w:rsid w:val="00F26B4B"/>
    <w:rsid w:val="00F46720"/>
    <w:rsid w:val="00F46730"/>
    <w:rsid w:val="00F57EA8"/>
    <w:rsid w:val="00F66B9D"/>
    <w:rsid w:val="00F75D74"/>
    <w:rsid w:val="00F8050C"/>
    <w:rsid w:val="00F82886"/>
    <w:rsid w:val="00FA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F73D16"/>
  <w15:docId w15:val="{1893F5E1-C95C-4523-8062-5B4A52C0F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F08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0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08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8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8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276"/>
  </w:style>
  <w:style w:type="paragraph" w:styleId="Footer">
    <w:name w:val="footer"/>
    <w:basedOn w:val="Normal"/>
    <w:link w:val="Foot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276"/>
  </w:style>
  <w:style w:type="paragraph" w:styleId="ListParagraph">
    <w:name w:val="List Paragraph"/>
    <w:aliases w:val="Heading table,Lista 1,body 2,lp1,lp11,List Paragraph1,Bulleted Text,Odstavec se seznamem,Listenabsatz,Listenabsatz1,Lettre d'introduction,Paragrafo elenco,1st level - Bullet List Paragraph,Nad,Odstavec_muj,Dot pt,L"/>
    <w:basedOn w:val="Normal"/>
    <w:link w:val="ListParagraphChar"/>
    <w:uiPriority w:val="34"/>
    <w:qFormat/>
    <w:rsid w:val="00516AD8"/>
    <w:pPr>
      <w:ind w:left="720"/>
      <w:contextualSpacing/>
    </w:pPr>
  </w:style>
  <w:style w:type="paragraph" w:styleId="FootnoteText">
    <w:name w:val="footnote text"/>
    <w:aliases w:val="Schriftart: 9 pt,Schriftart: 10 pt,Schriftart: 8 pt,WB-Fußnotentext,fn,Footnotes,Footnote ak,RSC_WP (footnotes),Footnote Text Char3,Footnote Text Char1 Char1,Footnote Text Char2 Char Char,Footnote Text Char1 Char1 Char Char,FoodNote"/>
    <w:basedOn w:val="Normal"/>
    <w:link w:val="FootnoteTextChar"/>
    <w:uiPriority w:val="99"/>
    <w:unhideWhenUsed/>
    <w:qFormat/>
    <w:rsid w:val="00516A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chriftart: 9 pt Char,Schriftart: 10 pt Char,Schriftart: 8 pt Char,WB-Fußnotentext Char,fn Char,Footnotes Char,Footnote ak Char,RSC_WP (footnotes) Char,Footnote Text Char3 Char,Footnote Text Char1 Char1 Char,FoodNote Char"/>
    <w:basedOn w:val="DefaultParagraphFont"/>
    <w:link w:val="FootnoteText"/>
    <w:uiPriority w:val="99"/>
    <w:qFormat/>
    <w:rsid w:val="00516AD8"/>
    <w:rPr>
      <w:sz w:val="20"/>
      <w:szCs w:val="20"/>
    </w:rPr>
  </w:style>
  <w:style w:type="character" w:styleId="FootnoteReference">
    <w:name w:val="footnote reference"/>
    <w:aliases w:val="Footnote,Footnote symbol,RSC_WP (footnote reference),number,Footnote reference number,note TESI,-E Fußnotenzeichen,SUPERS,Times 10 Point,Exposant 3 Point,Fußnotenzeichen, Exposant 3 Point,Footnote number,Footnote Reference Number"/>
    <w:basedOn w:val="DefaultParagraphFont"/>
    <w:link w:val="SUPERSCharChar"/>
    <w:uiPriority w:val="99"/>
    <w:unhideWhenUsed/>
    <w:qFormat/>
    <w:rsid w:val="00516AD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6A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2B5"/>
    <w:rPr>
      <w:color w:val="800080" w:themeColor="followedHyperlink"/>
      <w:u w:val="single"/>
    </w:rPr>
  </w:style>
  <w:style w:type="character" w:customStyle="1" w:styleId="Corpsdutexte">
    <w:name w:val="Corps du texte_"/>
    <w:link w:val="Corpsdutexte0"/>
    <w:uiPriority w:val="99"/>
    <w:locked/>
    <w:rsid w:val="00E53957"/>
    <w:rPr>
      <w:rFonts w:ascii="Arial" w:hAnsi="Arial" w:cs="Arial"/>
      <w:sz w:val="16"/>
      <w:szCs w:val="16"/>
      <w:shd w:val="clear" w:color="auto" w:fill="FFFFFF"/>
    </w:rPr>
  </w:style>
  <w:style w:type="paragraph" w:customStyle="1" w:styleId="Corpsdutexte0">
    <w:name w:val="Corps du texte"/>
    <w:basedOn w:val="Normal"/>
    <w:link w:val="Corpsdutexte"/>
    <w:uiPriority w:val="99"/>
    <w:rsid w:val="00E53957"/>
    <w:pPr>
      <w:widowControl w:val="0"/>
      <w:shd w:val="clear" w:color="auto" w:fill="FFFFFF"/>
      <w:spacing w:before="60" w:after="420" w:line="240" w:lineRule="atLeast"/>
      <w:ind w:hanging="280"/>
      <w:jc w:val="center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921BDB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921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aliases w:val="Heading table Char,Lista 1 Char,body 2 Char,lp1 Char,lp11 Char,List Paragraph1 Char,Bulleted Text Char,Odstavec se seznamem Char,Listenabsatz Char,Listenabsatz1 Char,Lettre d'introduction Char,Paragrafo elenco Char,Nad Char,L Char"/>
    <w:link w:val="ListParagraph"/>
    <w:uiPriority w:val="34"/>
    <w:qFormat/>
    <w:rsid w:val="00F8050C"/>
  </w:style>
  <w:style w:type="paragraph" w:customStyle="1" w:styleId="SUPERSCharChar">
    <w:name w:val="SUPERS Char Char"/>
    <w:aliases w:val="Footnote number Char Char,Footnote Char Char,Footnote symbol Char Char,Ref Char Char,de nota al pie Char Char,de nota al pi... Char Char Char Char Char Char Char Char,Voetnootverwijzing Char Char"/>
    <w:basedOn w:val="Normal"/>
    <w:link w:val="FootnoteReference"/>
    <w:uiPriority w:val="99"/>
    <w:rsid w:val="00F8050C"/>
    <w:pPr>
      <w:spacing w:after="160" w:line="240" w:lineRule="exact"/>
    </w:pPr>
    <w:rPr>
      <w:vertAlign w:val="superscript"/>
    </w:rPr>
  </w:style>
  <w:style w:type="paragraph" w:styleId="Revision">
    <w:name w:val="Revision"/>
    <w:hidden/>
    <w:uiPriority w:val="99"/>
    <w:semiHidden/>
    <w:rsid w:val="006E54B6"/>
    <w:pPr>
      <w:spacing w:after="0" w:line="240" w:lineRule="auto"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D63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dgs/human-resources/seniormanagementvacanc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HR-MANAGEMENT-ONLINE@ec.europa.eu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ommission.europa.eu/jobs-european-commission/job-opportunities/managers-european-commission_mt" TargetMode="External"/><Relationship Id="rId2" Type="http://schemas.openxmlformats.org/officeDocument/2006/relationships/hyperlink" Target="https://eur-lex.europa.eu/legal-content/EN/TXT/?uri=CELEX%3A01962R0031-20140701" TargetMode="External"/><Relationship Id="rId1" Type="http://schemas.openxmlformats.org/officeDocument/2006/relationships/hyperlink" Target="https://eur-lex.europa.eu/legal-content/EN/TXT/?uri=CELEX%3A01958R0001-20130701" TargetMode="External"/><Relationship Id="rId4" Type="http://schemas.openxmlformats.org/officeDocument/2006/relationships/hyperlink" Target="https://europa.eu/europass/mt/create-europass-c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B4799-D8A9-4307-A858-04A82F33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1994</Words>
  <Characters>15336</Characters>
  <Application>Microsoft Office Word</Application>
  <DocSecurity>0</DocSecurity>
  <Lines>225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HR.C.1</dc:creator>
  <cp:lastModifiedBy>MEILAK Moira (DGT)</cp:lastModifiedBy>
  <cp:revision>7</cp:revision>
  <cp:lastPrinted>2023-02-01T14:53:00Z</cp:lastPrinted>
  <dcterms:created xsi:type="dcterms:W3CDTF">2023-03-21T10:42:00Z</dcterms:created>
  <dcterms:modified xsi:type="dcterms:W3CDTF">2023-03-28T10:01:00Z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UpdateToken">
    <vt:lpwstr>20</vt:lpwstr>
  </property>
  <property fmtid="{D5CDD505-2E9C-101B-9397-08002B2CF9AE}" pid="3" name="Offisync_ServerID">
    <vt:lpwstr>0d3b22a6-6203-4efc-8e8e-b5279256493b</vt:lpwstr>
  </property>
  <property fmtid="{D5CDD505-2E9C-101B-9397-08002B2CF9AE}" pid="4" name="Jive_LatestUserAccountName">
    <vt:lpwstr>dimitmm</vt:lpwstr>
  </property>
  <property fmtid="{D5CDD505-2E9C-101B-9397-08002B2CF9AE}" pid="5" name="Offisync_ProviderInitializationData">
    <vt:lpwstr>https://webgate.ec.europa.eu/connected</vt:lpwstr>
  </property>
  <property fmtid="{D5CDD505-2E9C-101B-9397-08002B2CF9AE}" pid="6" name="Jive_VersionGuid">
    <vt:lpwstr>b9347931-ee18-4503-8536-8d15c539ee8b</vt:lpwstr>
  </property>
  <property fmtid="{D5CDD505-2E9C-101B-9397-08002B2CF9AE}" pid="7" name="Offisync_UniqueId">
    <vt:lpwstr>162038</vt:lpwstr>
  </property>
  <property fmtid="{D5CDD505-2E9C-101B-9397-08002B2CF9AE}" pid="8" name="Jive_ModifiedButNotPublished">
    <vt:lpwstr>True</vt:lpwstr>
  </property>
  <property fmtid="{D5CDD505-2E9C-101B-9397-08002B2CF9AE}" pid="9" name="Jive_PrevVersionNumber">
    <vt:lpwstr/>
  </property>
  <property fmtid="{D5CDD505-2E9C-101B-9397-08002B2CF9AE}" pid="10" name="Jive_VersionGuid_v2.5">
    <vt:lpwstr/>
  </property>
  <property fmtid="{D5CDD505-2E9C-101B-9397-08002B2CF9AE}" pid="11" name="Jive_LatestFileFullName">
    <vt:lpwstr/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2022-11-24T13:26:05Z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73fce64e-1ebb-44c3-89d2-327f53012331</vt:lpwstr>
  </property>
  <property fmtid="{D5CDD505-2E9C-101B-9397-08002B2CF9AE}" pid="18" name="MSIP_Label_6bd9ddd1-4d20-43f6-abfa-fc3c07406f94_ContentBits">
    <vt:lpwstr>0</vt:lpwstr>
  </property>
</Properties>
</file>