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Skupno podjetje za evropske železnice</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Objava prostega delovnega mesta izvršne direktorice / izvršnega direktorja</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(začasni uslužbenec/začasna uslužbenka – razred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Predstavitev delodajalca</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Skupno podjetje za evropske železnice (v nadaljnjem besedilu: Skupno podjetje EU-Rail) je bilo ustanovljeno z Uredbo Sveta (EU) 2021/2085 o ustanovitvi skupnih podjetij v okviru Obzorja Evropa</w:t>
      </w:r>
      <w:r>
        <w:rPr>
          <w:rStyle w:val="FootnoteReference"/>
          <w:rFonts w:ascii="Times New Roman" w:hAnsi="Times New Roman" w:cs="Times New Roman"/>
          <w:bCs/>
        </w:rPr>
        <w:footnoteReference w:id="1"/>
      </w:r>
      <w:r>
        <w:rPr>
          <w:rFonts w:ascii="Times New Roman" w:hAnsi="Times New Roman"/>
        </w:rPr>
        <w:t>, ki je začela veljati 30. novembra 2021, s čimer je nadomestilo in nasledilo Skupno podjetje Shift2Rail, ustanovljeno z Uredbo (EU) št. 642/2014</w:t>
      </w:r>
      <w:r>
        <w:rPr>
          <w:rStyle w:val="FootnoteReference"/>
          <w:rFonts w:ascii="Times New Roman" w:hAnsi="Times New Roman" w:cs="Times New Roman"/>
          <w:bCs/>
        </w:rPr>
        <w:footnoteReference w:id="2"/>
      </w:r>
      <w:r>
        <w:rPr>
          <w:rFonts w:ascii="Times New Roman" w:hAnsi="Times New Roman"/>
        </w:rPr>
        <w:t>.</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Skupno podjetje EU-Rail je javno-zasebno partnerstvo v železniškem sektorju, vzpostavljeno v skladu s členom 187 Pogodbe o delovanju Evropske unije.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Cilj Skupnega podjetja EU-Rail je vzpostaviti visokozmogljivo povezano evropsko železniško omrežje, in sicer z odpravo ovir za interoperabilnost in zagotovitvijo rešitev za popolno integracijo, ki vključuje upravljanje prometa, vozila, infrastrukturo in storitve, kar bi privedlo do hitrejše uvedbe in uporabe projektov in inovacij. Izkoristiti bi bilo treba velik potencial za digitalizacijo in avtomatizacijo, da se zmanjšajo stroški železnice ter poveča njena zmogljivost, prilagodljivost in zanesljivost, ter delovati na temelju zanesljive referenčne arhitekture funkcionalnih sistemov, ki je skupna sektorju, v sodelovanju z Agencijo Evropske unije za železnice.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Skupno podjetje EU-Rail želi na podlagi napredka pri avtomatizaciji in digitalizaciji pospešiti raziskave, razvoj in uvedbo inovativnih operativnih in tehnoloških rešitev za dosego radikalne preobrazbe železniškega sistema in uresničitev ciljev evropskega zelenega dogovora.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Najvišji finančni prispevek Evropske unije za Skupno podjetje je 600 milijonov EUR v obdobju 2021–2027, izvajanje projekta pa se bo nadaljevalo še štiri leta po tem.</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Skupno podjetje ima 29 zaposlenih, razdeljenih v skupine, ki se osredotočajo na finančno poslovodenje in upravo, vodenje programov in projektov ter izvajanje sistemskega stebra.</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Delovno mesto</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Razpisano je delovno mesto izvršne direktorice oziroma izvršnega direktorja Skupnega podjetja.</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Izvršni direktor oziroma direktorica ima glavno vodstveno odgovornost za tekoče upravljanje Skupnega podjetja v skladu z odločitvami upravnega odbora. Upravnemu odboru predloži vse informacije, potrebne za izvajanje njegovih nalog. Brez poseganja v ločene pristojnosti institucij Unije in upravnega odbora izvršni direktor oziroma direktorica ne sme zahtevati niti sprejemati navodil od vlad ali drugih organov.</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lastRenderedPageBreak/>
        <w:t>Izvršni direktor oziroma direktorica pravno zastopa Skupno podjetje in odgovarja njegovemu upravnemu odboru.</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Izvršna direktorica oziroma direktor izvršuje proračun Skupnega podjetja ter zagotavlja usklajevanje med njegovimi različnimi organi in službami. </w:t>
      </w:r>
    </w:p>
    <w:p w14:paraId="6840BDE0" w14:textId="5CF25E24" w:rsidR="000F2822" w:rsidRDefault="000F2822" w:rsidP="00BA6C84">
      <w:pPr>
        <w:jc w:val="both"/>
        <w:rPr>
          <w:rFonts w:ascii="Times New Roman" w:hAnsi="Times New Roman" w:cs="Times New Roman"/>
        </w:rPr>
      </w:pPr>
      <w:r>
        <w:rPr>
          <w:rFonts w:ascii="Times New Roman" w:hAnsi="Times New Roman"/>
        </w:rPr>
        <w:t>Izvršni direktor oziroma direktorica je odgovoren/odgovorna za oblikovanje in izvajanje programa dela Skupnega podjetja, da zagotovi doseganje navedenih ciljev, pri čemer ustrezno upošteva različne interese članov. Ima vodilno vlogo pri obveščanju vseh deležnikov o tekočem delu Skupnega podjetja.</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Podrobnejši opis nalog izvršne direktorice oziroma direktorja je na voljo v členu 19 Uredbe (EU) 2021/2085.</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Profil kandidata/kandidatke (merila za izbor)</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Vodstvene spretnosti: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dobre vodstvene sposobnosti za vodenje pomembne organizacije na strateški in operativni ravni upravljanja v dinamičnem in spreminjajočem se znanstvenem in operativnem okolju,</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dokazana sposobnost in bogate izkušnje na področju upravljanja in vodenja finančnih in človeških virov velike službe v nacionalnem, evropskem in/ali mednarodnem okviru,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bogate izkušnje s pogajanji v mednarodnem okolju,</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izkušnje z vodenjem v večkulturnem in večjezičnem okolju pomenijo prednost.</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Strokovne spretnosti in izkušnje: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zelo dobro poznavanje institucij Evropske unije, njihovega delovanja in medsebojnih odnosov,</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dobro poznavanje politike EU na področju železniškega prometa in/ali izkušnje z njo,</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dobro poznavanje raziskav in razvoja na področju železnic in/ali raziskav in inovacij na področju prometa na nacionalni, mednarodni ali evropski ravni pomeni prednost,</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izkušnje, pridobljene v nacionalni, evropski ali mednarodni javni upravi, prav tako pomenijo prednost.</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Osebnostne lastnosti: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sposobnost učinkovitega in tekočega sporazumevanja na pregleden in odprt način z notranjimi in zunanjimi deležniki (vključno z mediji, javnostjo, evropskimi, mednarodnimi, nacionalnimi in lokalnimi organi, mednarodnimi organizacijami) ter zastopanja Skupnega podjetja v zunanjih forumih,</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odlične medosebne spretnosti ter sposobnost vzdrževanja učinkovitih delovnih odnosov z institucijami EU in pristojnimi organi držav članic, da se zagotovi ustrezno delovanje Skupnega podjetja,</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lastRenderedPageBreak/>
        <w:t>–</w:t>
      </w:r>
      <w:r>
        <w:tab/>
      </w:r>
      <w:r>
        <w:rPr>
          <w:rFonts w:ascii="Times New Roman" w:hAnsi="Times New Roman"/>
        </w:rPr>
        <w:t>sposobnost spodbujanja vodilnih načel odprtosti, preglednosti, neodvisnosti in znanstvene odličnosti, v skladu s katerimi deluje Skupno podjetje.</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Pogoji za prijavo</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V fazi izbora bodo upoštevani tisti kandidati in kandidatke, ki </w:t>
      </w:r>
      <w:r>
        <w:rPr>
          <w:rFonts w:ascii="Times New Roman" w:hAnsi="Times New Roman"/>
          <w:b/>
        </w:rPr>
        <w:t>ob roku za prijavo</w:t>
      </w:r>
      <w:r>
        <w:rPr>
          <w:rFonts w:ascii="Times New Roman" w:hAnsi="Times New Roman"/>
        </w:rPr>
        <w:t xml:space="preserve"> izpolnjujejo naslednje formalne pogoje:</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državljanstvo</w:t>
      </w:r>
      <w:r>
        <w:rPr>
          <w:rFonts w:ascii="Times New Roman" w:hAnsi="Times New Roman"/>
        </w:rPr>
        <w:t>: imeti morajo državljanstvo države članice Evropske unije,</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visokošolska izobrazba ali diploma</w:t>
      </w:r>
      <w:r>
        <w:rPr>
          <w:rFonts w:ascii="Times New Roman" w:hAnsi="Times New Roman"/>
        </w:rPr>
        <w:t>: imeti morajo:</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bodisi raven izobrazbe, ki ustreza zaključenemu in z diplomo potrjenemu visokošolskemu študiju, če ta običajno traja štiri leta ali več,</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bodisi raven izobrazbe, ki ustreza zaključenemu in z diplomo potrjenemu visokošolskemu študiju, ter ustrezne vsaj enoletne delovne izkušnje, če visokošolski študij običajno traja vsaj tri leta (te enoletne delovne izkušnje se ne štejejo v delovne izkušnje po pridobitvi diplome, ki se zahtevajo v nadaljevanju),</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delovne izkušnje</w:t>
      </w:r>
      <w:r>
        <w:rPr>
          <w:rFonts w:ascii="Times New Roman" w:hAnsi="Times New Roman"/>
        </w:rPr>
        <w:t>: imeti morajo vsaj 15 let delovnih izkušenj</w:t>
      </w:r>
      <w:r>
        <w:rPr>
          <w:rStyle w:val="FootnoteReference"/>
          <w:rFonts w:ascii="Times New Roman" w:hAnsi="Times New Roman" w:cs="Times New Roman"/>
        </w:rPr>
        <w:footnoteReference w:id="3"/>
      </w:r>
      <w:r>
        <w:rPr>
          <w:rFonts w:ascii="Times New Roman" w:hAnsi="Times New Roman"/>
        </w:rPr>
        <w:t xml:space="preserve"> po pridobitvi diplome, in sicer na ravni, za katero so usposobljeni po zgoraj navedeni izobrazbi, od tega vsaj pet let na področju dejavnosti Skupnega podjetja;</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vodstvene izkušnje</w:t>
      </w:r>
      <w:r>
        <w:rPr>
          <w:rFonts w:ascii="Times New Roman" w:hAnsi="Times New Roman"/>
        </w:rPr>
        <w:t>: vsaj pet let delovnih izkušenj po pridobitvi diplome mora biti pridobljenih na visokem vodstvenem položaju</w:t>
      </w:r>
      <w:r>
        <w:rPr>
          <w:rStyle w:val="FootnoteReference"/>
          <w:rFonts w:ascii="Times New Roman" w:hAnsi="Times New Roman" w:cs="Times New Roman"/>
        </w:rPr>
        <w:footnoteReference w:id="4"/>
      </w:r>
      <w:r>
        <w:rPr>
          <w:rFonts w:ascii="Times New Roman" w:hAnsi="Times New Roman"/>
        </w:rPr>
        <w:t xml:space="preserve"> na področju, relevantnem za to delovno mesto;</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jeziki</w:t>
      </w:r>
      <w:r>
        <w:rPr>
          <w:rFonts w:ascii="Times New Roman" w:hAnsi="Times New Roman"/>
        </w:rPr>
        <w:t>: temeljito morajo obvladati enega od uradnih jezikov Evropske unije</w:t>
      </w:r>
      <w:r>
        <w:rPr>
          <w:rStyle w:val="FootnoteReference"/>
          <w:rFonts w:ascii="Times New Roman" w:hAnsi="Times New Roman" w:cs="Times New Roman"/>
        </w:rPr>
        <w:footnoteReference w:id="5"/>
      </w:r>
      <w:r>
        <w:rPr>
          <w:rFonts w:ascii="Times New Roman" w:hAnsi="Times New Roman"/>
        </w:rPr>
        <w:t xml:space="preserve"> in zadovoljivo še enega od njih. Izbirne komisije bodo med razgovori preverile, ali kandidati in kandidatke izpolnjujejo zahtevo po zadovoljivem znanju drugega uradnega jezika EU. To pomeni, da lahko razgovor (del razgovora) poteka v tem drugem jeziku,</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starostna omejitev</w:t>
      </w:r>
      <w:r>
        <w:rPr>
          <w:rFonts w:ascii="Times New Roman" w:hAnsi="Times New Roman"/>
        </w:rPr>
        <w:t>: starost kandidatk in kandidatov na dan roka za prijavo mora omogočati, da lahko opravijo celotni štiriletni mandat, preden dosežejo upokojitveno starost. Začasni uslužbenci in uslužbenke Evropske unije upokojitveno starost dosežejo zadnji dan meseca, v katerem dopolnijo 66 let (glej člen 47 Pogojev za zaposlitev drugih uslužbencev Evropske unije</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Izbor in imenovanje</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Izvršnega direktorja oziroma direktorico bo imenoval upravni odbor Skupnega podjetja na podlagi ožjega seznama Evropske komisije.</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lastRenderedPageBreak/>
        <w:t>Za oblikovanje tega ožjega seznama bo Evropska komisija organizirala izbirni postopek v skladu s svojimi postopki za izbor in zaposlitev (glej dokument o politiki glede visokih uradnikov – Compilation Document on Senior Officials Policy</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V tem izbirnem postopku bo Evropska komisija ustanovila predizbirno komisijo, ki bo v skladu z Uredbo (EU) 2021/2085 vključevala predstavnike, ki jih imenuje vsaka vrsta članov Skupnega podjetja razen Unije</w:t>
      </w:r>
      <w:r>
        <w:rPr>
          <w:rStyle w:val="FootnoteReference"/>
          <w:rFonts w:ascii="Times New Roman" w:hAnsi="Times New Roman" w:cs="Times New Roman"/>
          <w:sz w:val="20"/>
        </w:rPr>
        <w:footnoteReference w:id="8"/>
      </w:r>
      <w:r>
        <w:rPr>
          <w:rFonts w:ascii="Times New Roman" w:hAnsi="Times New Roman"/>
        </w:rPr>
        <w:t xml:space="preserve">, in enega opazovalca, ki ga imenuje upravni odbor.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Predizbirna komisija bo preučila vse prijave, prvič preverila izpolnjevanje pogojev za prijavo in opredelila kandidate oziroma kandidatke, katerih profil najbolj ustreza navedenim merilom za izbor in ki se lahko povabijo na razgovor s predizbirno komisijo.</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Iz opravljenih razgovorov bo predizbirna komisija povzela ugotovitve in predlagala seznam kandidatk oziroma kandidatov, s katerimi bo lahko Posvetovalni odbor Evropske komisije za imenovanja (v nadaljnjem besedilu: Posvetovalni odbor za imenovanja) opravil dodatne razgovore. Ta odbor bo ob upoštevanju ugotovitev predizbirne komisije izbral kandidate oziroma kandidatke, ki se povabijo na razgovor.</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Za kandidate oziroma kandidatke, povabljene na razgovor s Posvetovalnim odborom za imenovanja, bo potekalo celodnevno preverjanje vodstvenih sposobnosti v ocenjevalnem centru, ki ga vodijo zunanji kadrovski svetovalci. Posvetovalni odbor za imenovanja bo ob upoštevanju rezultatov razgovora in poročila ocenjevalnega centra sestavil ožji seznam kandidatk oziroma kandidatov, ki so po njegovem mnenju primerne/primerni za opravljanje funkcije izvršne direktorice oziroma direktorja Skupnega podjetja za evropske železnice.</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S kandidati oziroma kandidatkami z ožjega seznama Posvetovalnega odbora za imenovanja bodo opravili razgovor člani oziroma članice Evropske komisije, ki so pristojni za generalni direktorat, odgovoren za odnose s tem Skupnim podjetjem.</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Po teh razgovorih bo Evropska komisija sprejela ožji seznam najprimernejših kandidatk oziroma kandidatov, po možnosti vsaj treh, ter ga poslala upravnemu odboru Skupnega podjetja za evropske železnice. Ta se lahko odloči z njimi opraviti razgovor, preden z ožjega seznama imenuje izvršno direktorico oziroma direktorja. Uvrstitev na ožji seznam še ne zagotavlja imenovanja.</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Od kandidatk in kandidatov se lahko poleg navedenega zahteva, da se udeležijo dodatnih razgovorov in/ali testov. Od njih se lahko tudi zahteva, da podajo izjavo pred ustreznimi odbori Evropskega parlamenta.</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Izbrani kandidat ali kandidatka mora imeti veljavno potrdilo svojega nacionalnega varnostnega organa za dostop do tajnih podatkov ali možnost, da ga pridobi. Dovoljenje za dostop do tajnih podatkov je upravna odločba, ki se izda na podlagi varnostnega preverjanja, ki ga opravi pristojni nacionalni varnostni organ po veljavnih nacionalnih varnostnih predpisih, in ki potrjuje, da se osebi lahko dovoli dostop do tajnih podatkov do določene stopnje tajnosti. (Kandidat oziroma kandidatka ne more sam oziroma sama začeti postopka za izdajo tega dovoljenja, to lahko stori le delodajalec.)</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Dokler zadevni kandidat ali kandidatka od svoje države članice ne pridobi dovoljenja za dostop do tajnih podatkov in se postopek za pridobitev dovoljenja ne dokonča z zakonsko predpisano seznanitvijo, ki jo organizira direktorat Evropske komisije za varnost, ne more dostopati do tajnih podatkov EU s stopnjo tajnosti CONFIDENTIEL UE/EU CONFIDENTIAL ali višje niti se udeleževati sestankov, na katerih se razpravlja o takšnih tajnih podatkih EU.</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Enake možnosti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Evropska komisija in Skupno podjetje si prizadevata izpolniti strateški cilj doseganja enakosti spolov na vseh vodstvenih ravneh do konca sedanjega mandata Evropske komisije ter izvajata politiko enakih možnosti in nediskriminacije v skladu s členom 1d kadrovskih predpisov</w:t>
      </w:r>
      <w:r>
        <w:rPr>
          <w:rStyle w:val="FootnoteReference"/>
          <w:rFonts w:ascii="Times New Roman" w:hAnsi="Times New Roman" w:cs="Times New Roman"/>
        </w:rPr>
        <w:footnoteReference w:id="9"/>
      </w:r>
      <w:r>
        <w:rPr>
          <w:rFonts w:ascii="Times New Roman" w:hAnsi="Times New Roman"/>
        </w:rPr>
        <w:t xml:space="preserve"> in spodbujata prijave, ki bi lahko prispevale k večji raznolikosti, enakosti spolov in splošnemu geografskemu ravnotežju.</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Raznolikost in vključenost </w:t>
      </w:r>
    </w:p>
    <w:p w14:paraId="44C17C93" w14:textId="2DFE0231"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 xml:space="preserve">Skupno podjetje se zaveda, da je zdravo usklajevanje poklicnega in zasebnega življenja za mnoge pomemben motivacijski dejavnik ter da se v sodobnem delovnem okolju vse bolj pričakujejo prožne ureditve dela.  Skupno podjetje je kot delodajalec zavezano zagotavljanju enakosti spolov ter preprečevanju vsakršne diskriminacije. Dejavno spodbuja prijavo vseh usposobljenih kandidatk in kandidatov z različnimi ozadji, najrazličnejšimi sposobnostmi in s kar najširšega geografskega območja držav članic EU. Za spodbujanje enakosti spolov Skupno podjetje še posebej spodbuja prijavo kandidatk. Invalidnim osebam se lahko zagotovi pomoč med postopkom zaposlitve.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Pogoji zaposlitve</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Plača in pogoji zaposlitve so določeni v Pogojih za zaposlitev drugih uslužbencev Evropske unije.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Izbranega kandidata ali kandidatko bo Skupno podjetje zaposlilo kot začasnega uslužbenca oziroma uslužbenko v razredu AD 14. Glede na obseg delovnih izkušenj se razvrsti v stopnjo 1 ali 2 navedenega razreda.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Imenuje se za začetni štiriletni mandat z možnostjo podaljšanja za največ tri leta v skladu z uredbo o ustanovitvi Skupnega podjetja.</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Po Pogojih za zaposlitev drugih uslužbencev Evropske unije mora vse novozaposleno osebje uspešno opraviti devetmesečno poskusno dobo.</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Kraj zaposlitve je Bruselj, Belgija.</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Pomembne informacije za kandidate in kandidatke</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Kandidate in kandidatke opozarjamo, da je delo izbirnih komisij zaupno. Kandidatkam in kandidatom je prepovedano vzpostaviti neposreden ali posreden stik s člani izbirnih komisij in prav tako je prepovedano, da to stori kdo drug v njihovem imenu. Vsa vprašanja je treba nasloviti na sekretariat ustrezne komisije.</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Varstvo osebnih podatkov</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Evropska komisija bo zagotovila, da se osebni podatki kandidatk in kandidatov obdelujejo v skladu z Uredbo (EU) 2018/1725 Evropskega parlamenta in Sveta</w:t>
      </w:r>
      <w:r>
        <w:rPr>
          <w:rStyle w:val="FootnoteReference"/>
          <w:rFonts w:ascii="Times New Roman" w:hAnsi="Times New Roman" w:cs="Times New Roman"/>
        </w:rPr>
        <w:footnoteReference w:id="10"/>
      </w:r>
      <w:r>
        <w:rPr>
          <w:rFonts w:ascii="Times New Roman" w:hAnsi="Times New Roman"/>
        </w:rPr>
        <w:t>. To velja zlasti za zaupnost in varnost takih podatkov.</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Neodvisnost in izjava o interesih</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lastRenderedPageBreak/>
        <w:t>Od izvršne direktorice oziroma direktorja se pred prevzemom dolžnosti zahteva izjava o neodvisnem delovanju v javnem interesu ter o kakršnih koli interesih, ki bi lahko vplivali na njegovo oziroma njeno neodvisnost.</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Prijavni postopek</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Pred oddajo prijave morajo kandidati in kandidatke skrbno preveriti, ali izpolnjujejo vse pogoje za prijavo (glej Pogoji za prijavo), zlasti glede zahtevane izobrazbe, delovnih izkušenj na visokem položaju in znanja jezikov. Kandidati in kandidatke, ki ne izpolnjujejo katerega od navedenih pogojev za prijavo, so samodejno izločeni iz izbirnega postopka.</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Kandidati in kandidatke se morajo prijaviti prek interneta na spodnjem spletišču in slediti navodilom za posamezne stopnje postopka: </w:t>
      </w:r>
    </w:p>
    <w:p w14:paraId="3DBA8489" w14:textId="77777777" w:rsidR="001F08A9" w:rsidRPr="00941457" w:rsidRDefault="0028490E"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r w:rsidR="00703296">
        <w:t>.</w:t>
      </w:r>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Za prijavo je potreben veljaven elektronski naslov, ki bo uporabljen za potrditev prijave in za obveščanje na različnih stopnjah izbirnega postopka. Kandidate in kandidatke zato prosimo, da Evropski komisiji sporočijo morebitne spremembe elektronskega naslova.</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Za popolno prijavo morajo kandidati in kandidatke naložiti življenjepis v datoteki PDF, po možnosti v obliki življenjepisa Europass</w:t>
      </w:r>
      <w:r>
        <w:rPr>
          <w:rStyle w:val="FootnoteReference"/>
          <w:rFonts w:ascii="Times New Roman" w:hAnsi="Times New Roman" w:cs="Times New Roman"/>
        </w:rPr>
        <w:footnoteReference w:id="11"/>
      </w:r>
      <w:r>
        <w:rPr>
          <w:rFonts w:ascii="Times New Roman" w:hAnsi="Times New Roman"/>
        </w:rPr>
        <w:t>, in prek spleta izpolniti motivacijsko pismo (največ 8 000 znakov). Življenjepis in motivacijsko pismo lahko predložijo v katerem koli uradnem jeziku Evropske unije.</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V interesu kandidatk in kandidatov je, da poskrbijo za pravilno, popolno in verodostojno prijavo.</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Po zaključku spletne prijave bodo prejeli elektronsko sporočilo s potrditvijo, da je bila njihova prijava zabeležena. </w:t>
      </w:r>
      <w:r>
        <w:rPr>
          <w:rFonts w:ascii="Times New Roman" w:hAnsi="Times New Roman"/>
          <w:b/>
        </w:rPr>
        <w:t>Če kandidat oziroma kandidatka ne prejme elektronskega sporočila s potrditvijo, prijava ni bila uspešno zabeležena.</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Poteka prijave ni mogoče spremljati po spletu. O stanju prijave bo kandidate in kandidatke neposredno obveščala Evropska komisija.</w:t>
      </w:r>
    </w:p>
    <w:p w14:paraId="1EA4113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Prijave, oddane po elektronski pošti, se ne bodo upoštevale. </w:t>
      </w:r>
      <w:r>
        <w:rPr>
          <w:rFonts w:ascii="Times New Roman" w:hAnsi="Times New Roman"/>
        </w:rPr>
        <w:t xml:space="preserve">Za več informacij in/ali pomoč pri tehničnih težavah se kandidati in kandidatke lahko po elektronski pošti obrnejo na: </w:t>
      </w:r>
      <w:r>
        <w:t xml:space="preserve"> </w:t>
      </w:r>
      <w:r>
        <w:br/>
      </w:r>
      <w:hyperlink r:id="rId9" w:history="1">
        <w:r>
          <w:rPr>
            <w:rStyle w:val="Hyperlink"/>
            <w:rFonts w:ascii="Times New Roman" w:hAnsi="Times New Roman"/>
          </w:rPr>
          <w:t>HR-MANAGEMENT-ONLINE@ec.europa.eu</w:t>
        </w:r>
      </w:hyperlink>
      <w:r>
        <w:t>.</w:t>
      </w:r>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Za pravočasno dokončanje spletne prijave so odgovorni kandidati in kandidatke. Priporočamo, da s prijavo ne čakajo do zadnjih dni, saj lahko preobremenjenost internetnih povezav ali napaka pri internetni povezavi povzroči prekinitev postopka spletne prijave pred njenim dokončanjem, zaradi česar je treba celotni postopek ponoviti. Po izteku roka za prijavo ne bo več mogoče vnašati podatkov. Prijave, oddane po roku, se ne bodo upoštevale.</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Rok za prijavo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Rok za prijavo je </w:t>
      </w:r>
      <w:r>
        <w:rPr>
          <w:rFonts w:ascii="Times New Roman" w:hAnsi="Times New Roman"/>
          <w:b/>
        </w:rPr>
        <w:t>15. maj 2023 do 12. ure (opoldne) po srednjeevropskem času</w:t>
      </w:r>
      <w:r>
        <w:rPr>
          <w:rFonts w:ascii="Times New Roman" w:hAnsi="Times New Roman"/>
        </w:rPr>
        <w:t>; po tem prijave ne bodo več mogoče.</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3DE37CF8"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2</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Uredba Sveta (EU) 2021/2085 z dne 19. novembra 2021 o ustanovitvi skupnih podjetij v okviru Obzorja Evropa ter o razveljavitvi uredb (ES) št. 219/2007, (EU) št. 557/2014, (EU) št. 558/2014, (EU) št. 559/2014, (EU) št. 560/2014, (EU) št. 561/2014 in (EU) št. 642/2014 (UL L 427, 30.11.2021, str. 17).</w:t>
      </w:r>
    </w:p>
  </w:footnote>
  <w:footnote w:id="2">
    <w:p w14:paraId="7668A20E" w14:textId="23E1328A"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Uredba Sveta (EU) št. 642/2014 z dne 16. junija 2014 o ustanovitvi Skupnega podjetja Shift2Rail (UL L 177, 17.6.2014, str.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Delovne izkušnje se upoštevajo samo za dejansko delovno razmerje, ki je opredeljeno kot resnično, plačano delo zaposlene osebe (ne glede na vrsto pogodbe) ali osebe, ki opravlja storitve. Delo s krajšim delovnim časom se izračuna sorazmerno na podlagi potrjenega odstotka opravljenih ur s polnim delovnim časom. Materinski dopust / starševski dopust / posvojiteljski dopust se upošteva, če se je uveljavljal v okviru pogodbe o zaposlitvi.  Uspešno zaključen doktorski študij, tudi neplačan, je izenačen z delovnimi izkušnjami, vendar se priznajo največ tri leta. Dano obdobje se lahko šteje samo enkrat.</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Kandidati in kandidatke morajo v življenjepisu za vsa leta, v katerih so pridobili vodstvene izkušnje, navesti: (1) naziv in vlogo vodstvenih položajev, (2) število podrejenih na teh položajih, (3) obseg upravljanega proračuna, (4) število hierarhičnih ravni nad posameznim položajem in pod njim ter (5) število oseb s položajem na isti ravni.</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https://eur-lex.europa.eu/legal-content/SL/TXT/?uri=CELEX%3A01958R0001-20130701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https://eur-lex.europa.eu/legal-content/SL/TXT/?uri=CELEX%3A01962R0031-20140701</w:t>
        </w:r>
      </w:hyperlink>
      <w:r>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Pr>
            <w:rStyle w:val="Hyperlink"/>
            <w:rFonts w:ascii="Times New Roman" w:hAnsi="Times New Roman"/>
            <w:sz w:val="16"/>
          </w:rPr>
          <w:t>https://commission.europa.eu/jobs-european-commission/job-opportunities/managers-european-commission_en</w:t>
        </w:r>
      </w:hyperlink>
      <w:r>
        <w:rPr>
          <w:rFonts w:ascii="Times New Roman" w:hAnsi="Times New Roman"/>
          <w:sz w:val="16"/>
        </w:rPr>
        <w:t xml:space="preserve"> (na voljo samo v angleščini).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Člani razen Unije pomenijo „vsako sodelujočo državo, zasebnega člana ali mednarodno organizacijo, ki je član/članica skupnega podjetja“.</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https://eur-lex.europa.eu/legal-content/SL/TXT/?uri=CELEX:01962R0031-20140701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Uredba (EU) 2018/1725 Evropskega parlamenta in Sveta z dne 23. oktobra 2018 o varstvu posameznikov pri obdelavi osebnih podatkov v institucijah, organih, uradih in agencijah Unije in o prostem pretoku takih podatkov ter o razveljavitvi Uredbe (ES) št. 45/2001 in Sklepa št. 1247/2002/ES (UL L 295, 21.11.2018, str.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Informacije o pripravi življenjepisa Europass so na voljo na: </w:t>
      </w:r>
      <w:hyperlink r:id="rId4" w:history="1">
        <w:r>
          <w:rPr>
            <w:rStyle w:val="Hyperlink"/>
            <w:rFonts w:ascii="Times New Roman" w:hAnsi="Times New Roman"/>
            <w:sz w:val="16"/>
          </w:rPr>
          <w:t>https://europa.eu/europass/sl/create-europass-cv</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520706192">
    <w:abstractNumId w:val="1"/>
  </w:num>
  <w:num w:numId="2" w16cid:durableId="1640913506">
    <w:abstractNumId w:val="2"/>
  </w:num>
  <w:num w:numId="3" w16cid:durableId="1364206124">
    <w:abstractNumId w:val="3"/>
  </w:num>
  <w:num w:numId="4" w16cid:durableId="1221556929">
    <w:abstractNumId w:val="4"/>
  </w:num>
  <w:num w:numId="5" w16cid:durableId="1222594671">
    <w:abstractNumId w:val="5"/>
  </w:num>
  <w:num w:numId="6" w16cid:durableId="2023510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8490E"/>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1">
    <w:name w:val="Unresolved Mention1"/>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SL/TXT/?uri=CELEX:01962R0031-20140701" TargetMode="External"/><Relationship Id="rId1" Type="http://schemas.openxmlformats.org/officeDocument/2006/relationships/hyperlink" Target="https://eur-lex.europa.eu/legal-content/SL/TXT/?uri=CELEX:01958R0001-20130701" TargetMode="External"/><Relationship Id="rId4" Type="http://schemas.openxmlformats.org/officeDocument/2006/relationships/hyperlink" Target="https://europa.eu/europass/en/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850F-680B-412B-8DDE-8A1EC084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2088</Words>
  <Characters>13391</Characters>
  <Application>Microsoft Office Word</Application>
  <DocSecurity>0</DocSecurity>
  <Lines>212</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THUMAR Eva (DGT)</cp:lastModifiedBy>
  <cp:revision>4</cp:revision>
  <cp:lastPrinted>2023-02-01T14:53:00Z</cp:lastPrinted>
  <dcterms:created xsi:type="dcterms:W3CDTF">2023-03-21T10:42:00Z</dcterms:created>
  <dcterms:modified xsi:type="dcterms:W3CDTF">2023-03-24T14:37:00Z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