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Euroopa Raudtee Ühisettevõte</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Teade vaba ametikoha kohta: tegevdirektor</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(Ajutine teenistuja – palgaaste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Euroopa Raudtee Ühisettevõte</w:t>
      </w:r>
    </w:p>
    <w:p w14:paraId="1EDBEC86" w14:textId="03AF28B0"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Euroopa Raudtee Ühisettevõte loodi 30. novembril 2021 jõustunud nõukogu määrusega (EL)</w:t>
      </w:r>
      <w:r w:rsidR="005311A8">
        <w:rPr>
          <w:rFonts w:ascii="Times New Roman" w:hAnsi="Times New Roman"/>
        </w:rPr>
        <w:t> </w:t>
      </w:r>
      <w:r>
        <w:rPr>
          <w:rFonts w:ascii="Times New Roman" w:hAnsi="Times New Roman"/>
        </w:rPr>
        <w:t>2021/2085, millega luuakse ühisettevõtted programmi „Euroopa horisont“ raames,</w:t>
      </w:r>
      <w:r>
        <w:rPr>
          <w:rStyle w:val="FootnoteReference"/>
          <w:rFonts w:ascii="Times New Roman" w:hAnsi="Times New Roman" w:cs="Times New Roman"/>
          <w:bCs/>
        </w:rPr>
        <w:footnoteReference w:id="1"/>
      </w:r>
      <w:r>
        <w:rPr>
          <w:rFonts w:ascii="Times New Roman" w:hAnsi="Times New Roman"/>
        </w:rPr>
        <w:t xml:space="preserve"> ning see asendab määrusega (EL) nr 642/2014</w:t>
      </w:r>
      <w:r>
        <w:rPr>
          <w:rStyle w:val="FootnoteReference"/>
          <w:rFonts w:ascii="Times New Roman" w:hAnsi="Times New Roman" w:cs="Times New Roman"/>
          <w:bCs/>
        </w:rPr>
        <w:footnoteReference w:id="2"/>
      </w:r>
      <w:r>
        <w:rPr>
          <w:rFonts w:ascii="Times New Roman" w:hAnsi="Times New Roman"/>
        </w:rPr>
        <w:t xml:space="preserve"> loodud ühisettevõtet Shift2Rail ja on selle õigusjärglane.</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Euroopa Raudtee Ühisettevõte on raudteesektori avaliku ja erasektori partnerlus, mis on loodud Euroopa Liidu toimimise lepingu artikli 187 alusel.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Euroopa Raudtee Ühisettevõtte eesmärk on tagada suure läbilaskevõimega integreeritud Euroopa raudteevõrk, kaotades koostalitlusvõimet pärssivad tõkked ja pakkudes täielikuks integreerimiseks lahendusi, mis hõlmavad liikluskorraldust, sõidukeid, taristut ja teenuseid, ning seades sihiks projektide ja innovatiivsete lahenduste kiirema kasutuselevõtu ja kasutamise. Seda tehes tuleks Euroopa Liidu Raudteeameti koordineerimisel ära kasutada digitaliseerimise ja automatiseerimise pakutavad tohutud võimalused vähendada raudteesektoris kulusid, parandada läbilaskevõimet ning suurendada paindlikkust ja töökindlust ning see peaks põhinema sektori ühisel usaldusväärsel ja toimival süsteemi ülesehitusel.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Automatiseerimise ja digitaliseerimise valdkonnas tehtud edusammudele tuginedes on Euroopa Raudtee Ühisettevõtte eesmärk kiirendada operatiivsete ja tehnoloogiliste uuenduslike lahendustega seotud teadusuuringuid, nende arendamist ja kasutuselevõttu, et jõuda raudteesüsteemi radikaalse ümberkujundamiseni ja saavutada Euroopa rohelise kokkuleppe eesmärgid.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Euroopa Liidu maksimaalne rahaline toetus ühisettevõttele ajavahemikul 2021–2027 on 600 miljonit eurot, seejuures jätkub projekti rakendamine veel neli aastat pärast seda.</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Ühisettevõttes on kokku 29 töötajat, kes jagunevad meeskondadeks, mis keskenduvad finantsjuhtimisele ja haldusele, programmi- ja projektijuhtimisele ning süsteemisamba kaudu tulemuste saavutamisele.</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Pakutav ametikoht</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Ühisettevõtte tegevdirektori ametikoht.</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Tegevdirektor on tegevjuht, kes vastutab ühisettevõtte igapäevase juhtimise eest kooskõlas juhatuse otsustega. Ta esitab juhatusele kogu teabe, mida see oma ülesannete täitmiseks vajab. Ilma et see piiraks liidu institutsioonide ja juhatuse pädevust, ei taotle tegevdirektor juhiseid üheltki valitsuselt ega muult organilt ega allu sellistele juhistele.</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lastRenderedPageBreak/>
        <w:t>Tegevdirektor on ühisettevõtte seaduslik esindaja. Ta annab aru ühisettevõtte juhatusele.</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Tegevdirektor vastutab ühisettevõtte eelarve täitmise eest ning tagab koordineerimise ühisettevõtte eri organite ja talituste vahel. </w:t>
      </w:r>
    </w:p>
    <w:p w14:paraId="6840BDE0" w14:textId="5CF25E24" w:rsidR="000F2822" w:rsidRDefault="000F2822" w:rsidP="00BA6C84">
      <w:pPr>
        <w:jc w:val="both"/>
        <w:rPr>
          <w:rFonts w:ascii="Times New Roman" w:hAnsi="Times New Roman" w:cs="Times New Roman"/>
        </w:rPr>
      </w:pPr>
      <w:r>
        <w:rPr>
          <w:rFonts w:ascii="Times New Roman" w:hAnsi="Times New Roman"/>
        </w:rPr>
        <w:t>Tegevdirektor vastutab ühisettevõtte tööprogrammi kavandamise ja elluviimise eest, et tagada eespool nimetatud eesmärkide saavutamine, võttes samal ajal asjakohaselt arvesse liikmete erinevaid huve. Tal on juhtiv roll ühisettevõtte käimasolevast tööst kõigile sidusrühmadele teavitamisel.</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Tegevdirektori ülesannete üksikasjalikum kirjeldus on esitatud määruse (EL) 2021/2085 artiklis 19.</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Sobiv kandidaat (valikukriteeriumid)</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Juhtimisoskused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tõendatud juhtimisoskus, võime juhtida olulist organisatsiooni dünaamilises ja muutuvas teadus- ja tegevuskeskkonnas nii strateegilise kui ka operatiivse juhtimise tasandil;</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tõendatud suutlikkus ja head tulemused suure üksuse rahaliste vahendite ja inimressursside haldamisel ja suunamisel riiklikul, Euroopa ja/või rahvusvahelisel tasandil;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põhjalik kogemus rahvusvahelises keskkonnas läbirääkimiste pidamise alal;</w:t>
      </w:r>
    </w:p>
    <w:p w14:paraId="14A8D20C" w14:textId="2918C07E"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w:t>
      </w:r>
      <w:r w:rsidR="005311A8">
        <w:rPr>
          <w:rFonts w:ascii="Times New Roman" w:hAnsi="Times New Roman"/>
        </w:rPr>
        <w:tab/>
      </w:r>
      <w:r>
        <w:rPr>
          <w:rFonts w:ascii="Times New Roman" w:hAnsi="Times New Roman"/>
        </w:rPr>
        <w:t>eeliseks on mitmekultuurilises ja mitmekeelses keskkonnas omandatud juhtimiskogemus.</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Erioskused ja kogemused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Euroopa Liidu institutsioonide, nende toimimise ja omavaheliste suhete väga hea mõistmine;</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põhjalikud teadmised ja/või kogemused liidu raudteetranspordipoliitika valdkonnas;</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kasuks tuleb raudtee- ja/või transpordialase teadus- ja arendustegevuse hea tundmine riiklikul, rahvusvahelisel või Euroopa tasandil;</w:t>
      </w:r>
    </w:p>
    <w:p w14:paraId="13ED046F" w14:textId="6F22ABD6" w:rsidR="003519EB" w:rsidRPr="00866E53" w:rsidRDefault="005311A8" w:rsidP="00E707C1">
      <w:pPr>
        <w:spacing w:after="240" w:line="240" w:lineRule="auto"/>
        <w:ind w:left="284" w:hanging="284"/>
        <w:jc w:val="both"/>
        <w:rPr>
          <w:rFonts w:ascii="Times New Roman" w:hAnsi="Times New Roman" w:cs="Times New Roman"/>
        </w:rPr>
      </w:pPr>
      <w:r>
        <w:rPr>
          <w:rFonts w:ascii="Times New Roman" w:hAnsi="Times New Roman"/>
        </w:rPr>
        <w:t>-</w:t>
      </w:r>
      <w:r>
        <w:rPr>
          <w:rFonts w:ascii="Times New Roman" w:hAnsi="Times New Roman"/>
        </w:rPr>
        <w:tab/>
      </w:r>
      <w:r w:rsidR="00E707C1">
        <w:rPr>
          <w:rFonts w:ascii="Times New Roman" w:hAnsi="Times New Roman"/>
        </w:rPr>
        <w:t>eelistatakse riigi, Euroopa või rahvusvahelise avaliku teenistuse kogemusega kandidaate.</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Isikuomadused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võime suhelda tõhusalt ja ladusalt läbipaistval ja avatud viisil sisemiste ja väliste sidusrühmadega, sealhulgas ajakirjanduse, avalikkuse, Euroopa, rahvusvaheliste, riiklike ja kohalike ametiasutuste ning rahvusvaheliste organisatsioonidega, ning esindada ühisettevõtet välisfoorumitel;</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väga hea suhtlemisoskus ja võime hoida tulemuslikke tööalaseid suhteid ELi institutsioonide ja liikmesriikide pädevate asutustega, et tagada ühisettevõtte nõuetekohane toimimine;</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suutlikkus edendada ühisettevõtte juhtpõhimõtteid, milleks on avatus, läbipaistvus, sõltumatus ja teaduse tipptase.</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Nõuded kandidaadile (osalemistingimused)</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Kandidaat, kes soovib valikumenetluses osaleda, peab </w:t>
      </w:r>
      <w:r>
        <w:rPr>
          <w:rFonts w:ascii="Times New Roman" w:hAnsi="Times New Roman"/>
          <w:b/>
          <w:bCs/>
        </w:rPr>
        <w:t>avalduse esitamise tähtpäeval</w:t>
      </w:r>
      <w:r>
        <w:rPr>
          <w:rFonts w:ascii="Times New Roman" w:hAnsi="Times New Roman"/>
        </w:rPr>
        <w:t xml:space="preserve"> vastama järgmistele vormilistele tingimustele.</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Kodakondsus</w:t>
      </w:r>
      <w:r>
        <w:rPr>
          <w:rFonts w:ascii="Times New Roman" w:hAnsi="Times New Roman"/>
        </w:rPr>
        <w:t>: kandidaat peab olema ühe Euroopa Liidu liikmesriigi kodanik.</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Akadeemiline kraad või diplom</w:t>
      </w:r>
      <w:r>
        <w:rPr>
          <w:rFonts w:ascii="Times New Roman" w:hAnsi="Times New Roman"/>
        </w:rPr>
        <w:t>: kandidaadil peab olema:</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lõpetatud ülikooliõppele vastav haridustase, mida tõendab diplom ja mille omandamiseks vajaliku ülikooliõppe kestus on tavapäraselt vähemalt neli aastat,</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või lõpetatud ülikooliõppele vastav haridustase, mida tõendab diplom, ning vähemalt üheaastane erialane töökogemus asjaomases valdkonnas, juhul kui ülikooliõpingute kestus on tavapäraselt vähemalt kolm aastat (nimetatud üheaastast erialast töökogemust ei arvestata allpool nõutud ülikoolijärgse töökogemuse hulka).</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Erialane töökogemus</w:t>
      </w:r>
      <w:r>
        <w:rPr>
          <w:rFonts w:ascii="Times New Roman" w:hAnsi="Times New Roman"/>
        </w:rPr>
        <w:t>: kandidaadil peab olema vähemalt 15-aastane ülikoolijärgne erialane töökogemus</w:t>
      </w:r>
      <w:r>
        <w:rPr>
          <w:rStyle w:val="FootnoteReference"/>
          <w:rFonts w:ascii="Times New Roman" w:hAnsi="Times New Roman" w:cs="Times New Roman"/>
        </w:rPr>
        <w:footnoteReference w:id="3"/>
      </w:r>
      <w:r>
        <w:rPr>
          <w:rFonts w:ascii="Times New Roman" w:hAnsi="Times New Roman"/>
        </w:rPr>
        <w:t xml:space="preserve"> tasemel, mis vastab eespool osutatud kvalifikatsioonile. Vähemalt viis aastat nimetatud erialasest töökogemusest peab olema saadud ühisettevõtte tegevusvaldkonnas.</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Juhtimiskogemus</w:t>
      </w:r>
      <w:r>
        <w:rPr>
          <w:rFonts w:ascii="Times New Roman" w:hAnsi="Times New Roman"/>
        </w:rPr>
        <w:t>: vähemalt viis aastat ülikoolijärgsest erialasest töökogemusest peab olema saadud kõrgel juhtival ametikohal</w:t>
      </w:r>
      <w:r>
        <w:rPr>
          <w:rStyle w:val="FootnoteReference"/>
          <w:rFonts w:ascii="Times New Roman" w:hAnsi="Times New Roman" w:cs="Times New Roman"/>
        </w:rPr>
        <w:footnoteReference w:id="4"/>
      </w:r>
      <w:r>
        <w:rPr>
          <w:rFonts w:ascii="Times New Roman" w:hAnsi="Times New Roman"/>
        </w:rPr>
        <w:t xml:space="preserve"> valdkonnas, millega kandidaat tegeleks pakutaval ametikohal.</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Keeleoskus</w:t>
      </w:r>
      <w:r>
        <w:rPr>
          <w:rFonts w:ascii="Times New Roman" w:hAnsi="Times New Roman"/>
        </w:rPr>
        <w:t>: kandidaat peab oskama üht Euroopa Liidu ametlikku keelt</w:t>
      </w:r>
      <w:r>
        <w:rPr>
          <w:rStyle w:val="FootnoteReference"/>
          <w:rFonts w:ascii="Times New Roman" w:hAnsi="Times New Roman" w:cs="Times New Roman"/>
        </w:rPr>
        <w:footnoteReference w:id="5"/>
      </w:r>
      <w:r>
        <w:rPr>
          <w:rFonts w:ascii="Times New Roman" w:hAnsi="Times New Roman"/>
        </w:rPr>
        <w:t xml:space="preserve"> väga heal tasemel ja teist ametlikku keelt rahuldaval tasemel. Valikukomisjon kontrollib vestlus(t)e käigus, kas kandidaat täidab nõuet osata rahuldaval tasemel mõnda teist ELi ametlikku keelt. Selleks võib vestlus (või osa sellest) toimuda selles teises keeles.</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Vanusepiir</w:t>
      </w:r>
      <w:r>
        <w:rPr>
          <w:rFonts w:ascii="Times New Roman" w:hAnsi="Times New Roman"/>
        </w:rPr>
        <w:t>: kandidaat peab avalduse esitamise tähtpäeval olema vanuses, mis võimaldab tal töötada enne pensioniea saabumist nelja-aastase ametiaja lõpuni. Euroopa Liidu ajutiste töötajate pensioniiga saabub selle kuu lõpus, mil nad saavad 66-aastaseks (vt Euroopa Liidu muude teenistujate teenistustingimuste</w:t>
      </w:r>
      <w:r>
        <w:rPr>
          <w:rStyle w:val="FootnoteReference"/>
          <w:rFonts w:ascii="Times New Roman" w:hAnsi="Times New Roman" w:cs="Times New Roman"/>
        </w:rPr>
        <w:footnoteReference w:id="6"/>
      </w:r>
      <w:r>
        <w:rPr>
          <w:rFonts w:ascii="Times New Roman" w:hAnsi="Times New Roman"/>
        </w:rPr>
        <w:t xml:space="preserve"> artikkel 47).</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Valikumenetlus ja ametisse nimetamine</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Tegevdirektori nimetab ametisse ühisettevõtte juhatus Euroopa Komisjoni esitatud nimekirja alusel.</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Nimekirja koostamiseks korraldab Euroopa Komisjon personalivaliku- ja värbamismenetlusele vastava valikumenetluse (vt dokument, mis käsitleb kõrgemate ametnike suhtes kohaldatavat poliitikat</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Valikumenetluse raames moodustab Euroopa Komisjon eelvalikukomisjoni, kuhu kooskõlas määrusega (EL) 2021/2085 nimetatakse üks esindaja ühisettevõtte liikmete iga liigi kohta, v.a Euroopa Liit (muu liige kui liit</w:t>
      </w:r>
      <w:r>
        <w:rPr>
          <w:rStyle w:val="FootnoteReference"/>
          <w:rFonts w:ascii="Times New Roman" w:hAnsi="Times New Roman" w:cs="Times New Roman"/>
          <w:sz w:val="20"/>
        </w:rPr>
        <w:footnoteReference w:id="8"/>
      </w:r>
      <w:r>
        <w:rPr>
          <w:rFonts w:ascii="Times New Roman" w:hAnsi="Times New Roman"/>
        </w:rPr>
        <w:t xml:space="preserve">) ja juhatus nimetab ühe vaatleja.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Eelvalikukomisjon analüüsib kõiki kandideerimisavaldusi. Kõigepealt kontrollib ta osalemistingimuste täitmist ja teeb kindlaks kandidaadid, kellel on eespool nimetatud valikukriteeriumide põhjal parim profiil ja kes võidakse kutsuda vestlusele eelvalikukomisjoniga.</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Pärast neid vestlusi teeb eelvalikukomisjon oma otsuse ja koostab nimekirja kandidaatidest, kes kutsutakse vestlusele ametisse nimetamise küsimustega tegelevasse Euroopa Komisjoni nõuandekomiteesse. Nõuandekomitee otsustab eelvalikukomisjoni otsuse põhjal, millised kandidaadid vestlusele kutsutakse.</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Kandidaadid, kes on kutsutud vestlusele nõuandekomiteesse, osalevad ka juhtimisalases hindamiskeskuses väliste personalikonsultantide korraldataval hindamisel, mis kestab terve päeva. Vestluse ja hindamiskeskuse aruande põhjal koostab nõuandekomitee nimekirja kandidaatidest, keda ta peab Euroopa Raudtee Ühisettevõtte tegevdirektori ametikohale sobivaks.</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Nõuandekomitee koostatud nimekirja kuuluvad kandidaadid vestlevad komisjoni liikmega (liikmetega), kes vastutab (vastutavad) selle peadirektoraadi eest, kes haldab suhteid ühisettevõttega.</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Pärast neid vestlusi kinnitab Euroopa Komisjon soovitavalt vähemalt kolme kõige sobivama kandidaadiga nimekirja, mis esitatakse Euroopa Raudtee Ühisettevõtte juhatusele. Enne kui juhatus määrab komisjoni nimekirja kantud kandidaatide seast tegevdirektori, võib ta kandidaatidega vestelda. Nimekirja kandmine ei taga ametisse nimetamist.</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Kandidaadilt võidakse nõuda lisaks eespool nimetatutele muude vestluste ja/või testide läbimist. Kandidaat võidakse kutsuda esinema ka Euroopa Parlamendi pädeva(te) komisjoni(de) ette.</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Väljavalitud kandidaadil peaks olema oma liikmesriigi julgeolekuasutuse väljastatud kehtiv salastatud teabele juurdepääsu luba või võimalus see saada. Tegemist on juurdepääsuloaga, mis antakse isikule haldusotsusega pärast seda, kui ta on läbinud liikmesriigi pädeva julgeolekuasutuse kontrolli kooskõlas kohaldatavate siseriiklike julgeolekualaste õigusnormidega, ning mis tõendab, et isikule võib anda juurdepääsu teatava tasemeni salastatud teabele. (Juurdepääsuloa saamiseks vajaliku menetluse saab algatada ainult tööandja, mitte aga isik ise.)</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Kandidaat ei saa juurdepääsu teabele, mille ELi salastatud teabe tase on CONFIDENTIEL UE / EU CONFIDENTIAL või kõrge</w:t>
      </w:r>
      <w:bookmarkStart w:id="0" w:name="_GoBack"/>
      <w:bookmarkEnd w:id="0"/>
      <w:r>
        <w:rPr>
          <w:rFonts w:ascii="Times New Roman" w:hAnsi="Times New Roman"/>
        </w:rPr>
        <w:t>m, ning ta ei või osaleda koosolekutel, kus sellist teavet arutatakse, enne kui asjaomane liikmesriik on andnud talle juurdepääsuloa ja julgeolekukontrolli menetlus koos õigusaktidega nõutava Euroopa Komisjoni julgeolekudirektoraadi poolse julgeolekuülevaatega on lõpule viidud.</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Võrdsed võimalused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Vastavalt personalieeskirjade</w:t>
      </w:r>
      <w:r>
        <w:rPr>
          <w:rStyle w:val="FootnoteReference"/>
          <w:rFonts w:ascii="Times New Roman" w:hAnsi="Times New Roman" w:cs="Times New Roman"/>
        </w:rPr>
        <w:footnoteReference w:id="9"/>
      </w:r>
      <w:r>
        <w:rPr>
          <w:rFonts w:ascii="Times New Roman" w:hAnsi="Times New Roman"/>
        </w:rPr>
        <w:t xml:space="preserve"> artiklile 1d taotlevad Euroopa Komisjon ning Euroopa Raudtee Ühisettevõte strateegilist eesmärki saavutada oma praeguse ametiaja lõpuks sooline võrdõiguslikkus kõigil juhtimistasanditel ning kohaldavad võrdsete võimaluste ja mittediskrimineerimise poliitikat, kutsudes üles selliste taotluste esitamisele, mis võiksid kaasa aidata suuremale mitmekesisusele, soolisele võrdõiguslikkusele ja üldisele geograafilisele tasakaalule.</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Mitmekesisus ja kaasamine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Ühisettevõte tunnistab, et töö- ja eraelu õige tasakaal on paljude inimeste jaoks oluline motiveeriv tegur ning et paindlik töökorraldus on üha enam saamas tänapäevase töökeskkonna osaks.  Tööandjana on ühisettevõte võtnud endale kohustuse tagada sooline võrdõiguslikkus ja vältida igasugust diskrimineerimist. Kandideerimisavaldusi oodatakse kõigilt sobivatelt erineva tausta ja oskustega kandidaatidelt ELi liikmesriikidest võimalikult laialt geograafiliselt alalt. Soolise võrdõiguslikkuse edendamiseks julgustab ühisettevõte avaldusi esitama eelkõige naisi. Puuetega isikud võivad värbamismenetluse ajal saada abi.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Teenistustingimused</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Palk ja teenistustingimused on sätestatud Euroopa Liidu muude teenistujate teenistustingimustes.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Eduka kandidaadi võtab Euroopa Raudtee Ühisettevõte tööle ajutise töötajana palgaastmel AD 14. Väljavalitud kandidaadile määratakse sõltuvalt tema eelnevast erialasest töökogemusest kõnealuse palgaastme 1. või 2. järk.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Ta nimetatakse ametisse esialgu neljaks aastaks ja tema ametiaega võib pikendada veel kuni kolmeks aastaks vastavalt ühisettevõtte asutamismäärusele.</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Juhime kandidaatide tähelepanu sellele, et Euroopa Liidu muude teenistujate teenistustingimuste kohaselt peavad kõik uued töötajad läbima üheksakuulise katseaja.</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Töökoht asub Belgias Brüsselis.</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Oluline teave kandidaatidele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Tuletame kandidaatidele meelde, et valikukomisjonide töö on konfidentsiaalne. Kandidaatidel on keelatud võtta otse või kaudselt, isiklikult või kellegi vahendusel ühendust valikukomisjoni liikmetega. Kõik järelepärimised tuleb saata asjaomase valikukomisjoni sekretariaadile.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Isikuandmete kaitse</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Komisjon tagab, et kandidaatide isikuandmeid töödeldakse vastavalt Euroopa Parlamendi ja nõukogu määrusele (EL) 2018/1725</w:t>
      </w:r>
      <w:r>
        <w:rPr>
          <w:rStyle w:val="FootnoteReference"/>
          <w:rFonts w:ascii="Times New Roman" w:hAnsi="Times New Roman" w:cs="Times New Roman"/>
        </w:rPr>
        <w:footnoteReference w:id="10"/>
      </w:r>
      <w:r>
        <w:rPr>
          <w:rFonts w:ascii="Times New Roman" w:hAnsi="Times New Roman"/>
        </w:rPr>
        <w:t>. Eriti pööratakse tähelepanu isikuandmete konfidentsiaalsusele ja turvalisusele.</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Sõltumatus ja huvide deklaratsioon</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Enne ametikohale asumist peab tegevdirektor kinnitama, et ta kohustub tegutsema sõltumatult avalikes huvides, ja deklareerima huvid, mis võivad tema sõltumatust kahjustada.</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Avalduste esitamise kord</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Kontrollige enne kandideerimisavalduse esitamist hoolikalt, kas Te täidate kõik osalemistingimused („Nõuded kandidaadile“), eriti diplomi, kõrgel juhtival ametikohal töötamise kogemuse ning keelteoskuse kohta kehtestatud nõuded. Kandidaadid, kes osalemistingimusi ei täida, langevad valikumenetlusest automaatselt välja.</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Kandideerimisavalduse esitamiseks tuleb registreeruda internetis järgmisel veebisaidil ja järgida valikumenetluse eri etappe käsitlevaid juhiseid: </w:t>
      </w:r>
    </w:p>
    <w:p w14:paraId="3DBA8489" w14:textId="77777777" w:rsidR="001F08A9" w:rsidRPr="00941457" w:rsidRDefault="005311A8"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Teil peab olema toimiv e-posti aadress. Seda kasutatakse Teie registreerumise kinnitamiseks ja Teiega ühenduse pidamiseks valikumenetluse kõikides etappides. Seepärast palume Teil Euroopa Komisjoni teavitada, kui Teie e-posti aadress muutub.</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Avaldusele tuleb lisada PDF-vormingus, eelistatavalt Europass CV formaadis</w:t>
      </w:r>
      <w:r>
        <w:rPr>
          <w:rStyle w:val="FootnoteReference"/>
          <w:rFonts w:ascii="Times New Roman" w:hAnsi="Times New Roman" w:cs="Times New Roman"/>
        </w:rPr>
        <w:footnoteReference w:id="11"/>
      </w:r>
      <w:r>
        <w:rPr>
          <w:rFonts w:ascii="Times New Roman" w:hAnsi="Times New Roman"/>
        </w:rPr>
        <w:t xml:space="preserve"> elulookirjeldus ja täita veebis motivatsioonikiri (kuni 8 000 tähemärki). Elulookirjelduse ja motivatsioonikirja võib esitada ükskõik millises Euroopa Liidu ametlikus keeles.</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Teie huvides on tagada, et Teie avaldus on täpne, põhjalik ja tõene.</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Veebipõhise registreerumise lõpetamisel saate e-kirja, milles kinnitatakse, et Teie avaldus on registreeritud. </w:t>
      </w:r>
      <w:r>
        <w:rPr>
          <w:rFonts w:ascii="Times New Roman" w:hAnsi="Times New Roman"/>
          <w:b/>
        </w:rPr>
        <w:t>Kui Te e-kirjaga kinnitust ei saa, siis avalduse esitamine ebaõnnestus!</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Juhime Teie tähelepanu sellele, et avalduse läbivaatamise käiku ei saa veebis jälgida. Euroopa Komisjon võtab Teiega kandideerimisavalduse asjus ise ühendust.</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E-postiga saadetud avaldusi vastu ei võeta. </w:t>
      </w:r>
      <w:r>
        <w:rPr>
          <w:rFonts w:ascii="Times New Roman" w:hAnsi="Times New Roman"/>
        </w:rPr>
        <w:t xml:space="preserve">Kui vajate lisateavet ja/või kui esineb tehnilisi probleeme, saatke e-kiri aadressil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Õigeaegse veebis registreerumise eest vastutab kandidaat ise. Soovitame tungivalt mitte oodata avalduse esitamisega viimaste päevadeni, sest avalduse täitmine veebilehel võib interneti koormatuse või internetiühenduse häire tõttu enne täitmise lõpetamist katkeda ja sel juhul tuleb Teil kogu protsessi korrata. Pärast avalduse esitamise lõppkuupäeva möödumist andmeid enam lisada ei saa. Hilinenud kandideerimisavaldusi vastu ei võeta.</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Avalduste esitamise lõppkuupäev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Avalduste esitamise lõppkuupäev on </w:t>
      </w:r>
      <w:r>
        <w:rPr>
          <w:rFonts w:ascii="Times New Roman" w:hAnsi="Times New Roman"/>
          <w:b/>
          <w:bCs/>
        </w:rPr>
        <w:t>15. mai 2023 kell 12.00 päeval Brüsseli aja järgi</w:t>
      </w:r>
      <w:r>
        <w:rPr>
          <w:rFonts w:ascii="Times New Roman" w:hAnsi="Times New Roman"/>
        </w:rPr>
        <w:t>. Hiljem ei ole kandideerimisavaldust enam võimalik esitada.</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28BBA44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5311A8">
          <w:rPr>
            <w:rFonts w:ascii="Times New Roman" w:hAnsi="Times New Roman" w:cs="Times New Roman"/>
            <w:noProof/>
          </w:rPr>
          <w:t>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Nõukogu 19. novembri 2021. aasta määrus (EL) 2021/2085, millega luuakse ühisettevõtted programmi „Euroopa horisont“ raames ning tunnistatakse kehtetuks määrused (EÜ) nr 219/2007, (EL) nr 557/2014, (EL) nr 558/2014, (EL) nr 559/2014, (EL) nr 560/2014, (EL) nr 561/2014 ja (EL) nr 642/2014 (ELT L 427, 30.11.2021, lk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Nõukogu 16. juuni 2014. aasta määrus (EL) nr 642/2014, millega luuakse ühisettevõte Shift2Rail (ELT L 177, 17.6.2014, lk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Erialast töökogemust võetakse arvesse üksnes juhul, kui see on saadud tegeliku töösuhte raames, mis kujutab endast tegelikku tasustatud tööd töövõtjana (mis tahes liiki tööleping) või teenusepakkujana. Osaajatööd arvestatakse protsendina tõendatud töötatud täistööajast. Emapuhkust/vanemapuhkust/lapsendamispuhkust võetakse arvesse, kui seda võeti töölepingu raames.  Doktoriõpet (ka tasustamata) käsitatakse erialase töökogemusena (maksimaalselt kolm aastat), tingimusel et see on edukalt läbitud. Ühte ja sama ajavahemikku arvestatakse ainult üks kord.</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Elulookirjelduses peaks kandidaat kõigi nende aastate kohta, mille jooksul ta töötas juhtival ametikohal, esitama järgmised andmed: 1) ametinimetus ja -ülesanded, 2) alluvate arv ametikohal/-kohtadel, 3) hallatud eelarvete suurus, 4) kõrgemate ja madalamate juhtimistasandite arv ja 5) sama tasandi kolleegide arv.</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https://eur-lex.europa.eu/legal-content/ET/TXT/?uri=CELEX%3A01958R0001-20130701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https://eur-lex.europa.eu/legal-content/ET/TXT/?uri=CELEX%3A01962R0031-20140701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t xml:space="preserve"> </w:t>
      </w:r>
      <w:r>
        <w:rPr>
          <w:rFonts w:ascii="Times New Roman" w:hAnsi="Times New Roman"/>
          <w:sz w:val="16"/>
        </w:rPr>
        <w:t xml:space="preserve">(ainult inglise keeles)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„Muu liige kui liit“ – ühisettevõtte liikmeks olev osalev riik, erasektorist pärit liige või rahvusvaheline organisatsioon.</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https://eur-lex.europa.eu/legal-content/ET/TXT/?uri=CELEX%3A01962R0031-20140701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Euroopa Parlamendi ja nõukogu 23. oktoobri 2018. aasta määrus (EL) 2018/1725, mis käsitleb füüsiliste isikute kaitset isikuandmete töötlemisel liidu institutsioonides, organites ja asutustes ning isikuandmete vaba liikumist, ning millega tunnistatakse kehtetuks määrus (EÜ) nr 45/2001 ja otsus nr 1247/2002/EÜ (ELT L 295, 21.11.2018, lk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Europassi CV vormi kohase elulookirjelduse koostamise õpetuse leiate veebiaadressilt </w:t>
      </w:r>
      <w:hyperlink r:id="rId4" w:history="1">
        <w:r>
          <w:rPr>
            <w:rStyle w:val="Hyperlink"/>
            <w:rFonts w:ascii="Times New Roman" w:hAnsi="Times New Roman"/>
            <w:sz w:val="16"/>
          </w:rPr>
          <w:t>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311A8"/>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ET/TXT/?uri=CELEX%3A01962R0031-20140701" TargetMode="External"/><Relationship Id="rId1" Type="http://schemas.openxmlformats.org/officeDocument/2006/relationships/hyperlink" Target="https://eur-lex.europa.eu/legal-content/ET/TXT/?uri=CELEX%3A01958R0001-20130701" TargetMode="External"/><Relationship Id="rId4" Type="http://schemas.openxmlformats.org/officeDocument/2006/relationships/hyperlink" Target="https://europa.eu/europass/et/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99F66-A537-468F-9E59-5DAC7A939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2170</Words>
  <Characters>12438</Characters>
  <Application>Microsoft Office Word</Application>
  <DocSecurity>0</DocSecurity>
  <Lines>194</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PETERSON Simone (DGT)</cp:lastModifiedBy>
  <cp:revision>4</cp:revision>
  <cp:lastPrinted>2023-02-01T14:53:00Z</cp:lastPrinted>
  <dcterms:created xsi:type="dcterms:W3CDTF">2023-03-21T10:42:00Z</dcterms:created>
  <dcterms:modified xsi:type="dcterms:W3CDTF">2023-03-27T14:27:00Z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