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Euroopan rautatiet -yhteisyritys</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Ilmoitus avoinna olevasta toimitusjohtajan tehtävästä</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(Väliaikainen toimihenkilö – palkkaluokka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Keitä olemme</w:t>
      </w:r>
    </w:p>
    <w:p w14:paraId="1EDBEC86" w14:textId="192F1F07"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Euroopan rautatiet -yhteisyritys (EU-</w:t>
      </w:r>
      <w:proofErr w:type="spellStart"/>
      <w:r>
        <w:rPr>
          <w:rFonts w:ascii="Times New Roman" w:hAnsi="Times New Roman"/>
        </w:rPr>
        <w:t>Rail</w:t>
      </w:r>
      <w:proofErr w:type="spellEnd"/>
      <w:r>
        <w:rPr>
          <w:rFonts w:ascii="Times New Roman" w:hAnsi="Times New Roman"/>
        </w:rPr>
        <w:t>) perustettiin Horisontti Eurooppa -ohjelman yhteisyritysten perustamisesta annetulla neuvoston asetuksella (EU) 2021/2085</w:t>
      </w:r>
      <w:r>
        <w:rPr>
          <w:rStyle w:val="FootnoteReference"/>
          <w:rFonts w:ascii="Times New Roman" w:hAnsi="Times New Roman" w:cs="Times New Roman"/>
          <w:bCs/>
        </w:rPr>
        <w:footnoteReference w:id="1"/>
      </w:r>
      <w:r>
        <w:rPr>
          <w:rFonts w:ascii="Times New Roman" w:hAnsi="Times New Roman"/>
        </w:rPr>
        <w:t>, jo</w:t>
      </w:r>
      <w:r w:rsidR="007708AF">
        <w:rPr>
          <w:rFonts w:ascii="Times New Roman" w:hAnsi="Times New Roman"/>
        </w:rPr>
        <w:t>ka tuli voimaan 30. marraskuuta </w:t>
      </w:r>
      <w:r>
        <w:rPr>
          <w:rFonts w:ascii="Times New Roman" w:hAnsi="Times New Roman"/>
        </w:rPr>
        <w:t>2021 ja korvaa asetuksella (EU) N:o 642/2014</w:t>
      </w:r>
      <w:r>
        <w:rPr>
          <w:rStyle w:val="FootnoteReference"/>
          <w:rFonts w:ascii="Times New Roman" w:hAnsi="Times New Roman" w:cs="Times New Roman"/>
          <w:bCs/>
        </w:rPr>
        <w:footnoteReference w:id="2"/>
      </w:r>
      <w:r>
        <w:rPr>
          <w:rFonts w:ascii="Times New Roman" w:hAnsi="Times New Roman"/>
        </w:rPr>
        <w:t xml:space="preserve"> perustetun Shift2Rail-yhteisyrityksen ja seuraa sitä.</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EU-</w:t>
      </w:r>
      <w:proofErr w:type="spellStart"/>
      <w:r>
        <w:rPr>
          <w:rFonts w:ascii="Times New Roman" w:hAnsi="Times New Roman"/>
        </w:rPr>
        <w:t>Rail</w:t>
      </w:r>
      <w:proofErr w:type="spellEnd"/>
      <w:r>
        <w:rPr>
          <w:rFonts w:ascii="Times New Roman" w:hAnsi="Times New Roman"/>
        </w:rPr>
        <w:t xml:space="preserve"> on rautatiealan julkisen ja yksityisen sektorin kumppanuus, joka on perustettu Euroopan unionin toiminnasta tehdyn sopimuksen 187 artiklan nojalla.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EU-Railin tavoitteena on suuren kapasiteetin yhdennetyn eurooppalaisen rautatieverkon toteuttaminen poistamalla yhteentoimivuuden esteitä ja tarjoamalla ratkaisuja täyttä integroitumista varten, muun muassa liikenteen hallinnan, kalustoyksikköjen, infrastruktuurin ja palvelujen osalta. Näin pyritään saavuttamaan hankkeiden ja innovaatioiden nopeampi käyttöönotto ja hyödyntäminen. EU-Railin olisi hyödynnettävä digitalisoinnin ja automatisoinnin valtava potentiaali rautateiden kustannusten alentamiseksi ja sen kapasiteetin, joustavuuden ja luotettavuuden lisäämiseksi, ja sen olisi perustuttava vankkaan jaettuun viitejärjestelmäarkkitehtuuriin, jota koordinoidaan Euroopan unionin rautatieviraston kanssa.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EU-</w:t>
      </w:r>
      <w:proofErr w:type="spellStart"/>
      <w:r>
        <w:rPr>
          <w:rFonts w:ascii="Times New Roman" w:hAnsi="Times New Roman"/>
        </w:rPr>
        <w:t>Rail</w:t>
      </w:r>
      <w:proofErr w:type="spellEnd"/>
      <w:r>
        <w:rPr>
          <w:rFonts w:ascii="Times New Roman" w:hAnsi="Times New Roman"/>
        </w:rPr>
        <w:t xml:space="preserve"> pyrkii automaation ja digitalisaation edistysaskeleita hyödyntäen nopeuttamaan operatiivisten ja teknologisten innovatiivisten ratkaisujen tutkimusta, kehittämistä ja käyttöönottoa. Tavoitteena on muuttaa rautatiejärjestelmää perinpohjaisesti ja saavuttaa Euroopan vihreän kehityksen ohjelman tavoitteet.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0961C18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Euroopan unionin rahoitusosuus yhteisyritykselle on enintä</w:t>
      </w:r>
      <w:r w:rsidR="007708AF">
        <w:rPr>
          <w:rFonts w:ascii="Times New Roman" w:hAnsi="Times New Roman"/>
        </w:rPr>
        <w:t>än 600 miljoonaa euroa kaudella </w:t>
      </w:r>
      <w:r>
        <w:rPr>
          <w:rFonts w:ascii="Times New Roman" w:hAnsi="Times New Roman"/>
        </w:rPr>
        <w:t>2021–2027, ja hankkeen toteuttaminen jatkuu vielä neljä vuotta sen jälkeen.</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Yhteisyrityksessä on yhteensä 29 työntekijää, jotka jakautuvat taloushallintoon ja hallintoon, ohjelmien ja hankkeiden hallintaan sekä järjestelmäpilarin toteuttamiseen keskittyviin tiimeihin.</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Mitä tarjoamme</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Toimitusjohtaja vastaa yhteisyrityksen päivittäisestä johtamisesta hallintoneuvoston päätösten mukaisesti.</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 Hän toimittaa hallintoneuvostolle kaikki tiedot, joita se tarvitsee tehtäviensä suorittamiseksi. Toimitusjohtaja ei saa pyytää eikä ottaa vastaan ohjeita valtioiden hallituksilta tai muilta elimiltä, sanotun kuitenkaan rajoittamatta unionin toimielinten ja hallintoneuvoston toimivaltaa.</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lastRenderedPageBreak/>
        <w:t>Toimitusjohtaja on yhteisyrityksen laillinen edustaja. Hän vastaa toimistaan yhteisyrityksen hallintoneuvostolle.</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Toimitusjohtaja toteuttaa yhteisyrityksen talousarvion ja varmistaa yhteisyrityksen eri elinten ja yksiköiden välisen koordinoinnin. </w:t>
      </w:r>
    </w:p>
    <w:p w14:paraId="6840BDE0" w14:textId="5CF25E24" w:rsidR="000F2822" w:rsidRDefault="000F2822" w:rsidP="00BA6C84">
      <w:pPr>
        <w:jc w:val="both"/>
        <w:rPr>
          <w:rFonts w:ascii="Times New Roman" w:hAnsi="Times New Roman" w:cs="Times New Roman"/>
        </w:rPr>
      </w:pPr>
      <w:r>
        <w:rPr>
          <w:rFonts w:ascii="Times New Roman" w:hAnsi="Times New Roman"/>
        </w:rPr>
        <w:t>Toimitusjohtaja vastaa yhteisyrityksen työohjelman suunnittelusta ja toteuttamisesta sen varmistamiseksi, että se saavuttaa edellä esitetyt tavoitteet ja ottaa samalla asianmukaisesti huomioon osakkaiden erilaiset edut. Hänellä on johtava rooli viestittäessä yhteisyrityksen meneillään olevasta työstä kaikille sidosryhmille.</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Tarkempi kuvaus toimitusjohtajan tehtävistä on asetuksen (EU) 2021/2085 19 artiklassa.</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Toivomme hakijalta (valintaperusteet)</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Johtamistaidot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vankkaa johtamistaitoa ja kykyä johtaa tärkeää organisaatiota sekä strategisesti että toimivan johdon tasolla dynaamisessa ja muuttuvassa tieteellisessä ja operatiivisessa toimintaympäristössä</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osoitettua kykyä ja vankkaa kokemusta suuren yksikön taloudellisten ja henkilöresurssien johtamisesta ja ohjaamisesta kansallisella, EU:n tai kansainvälisellä tasolla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vankkaa kokemusta neuvottelemisesta kansainvälisessä toimintaympäristössä</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johtamiskokemus monikulttuurisessa ja monikielisessä toimintaympäristössä katsotaan eduksi;</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Erityisosaaminen ja asiantuntemus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EU:n toimielinten sekä niiden toiminnan ja yhteistyötapojen erittäin hyvää tuntemusta</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vankkaa tietämystä ja/tai kokemusta unionin rautatieliikennepolitiikasta</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rautateiden ja/tai liikenteen tutkimuksen ja innovoinnin alan tutkimuksen ja kehittämisen hyvä tuntemus kansallisella, kansainvälisellä tai Euroopan tasolla katsotaan eduksi</w:t>
      </w:r>
    </w:p>
    <w:p w14:paraId="13ED046F" w14:textId="1EA9F128" w:rsidR="003519EB" w:rsidRPr="00866E53" w:rsidRDefault="007708AF" w:rsidP="00E707C1">
      <w:pPr>
        <w:spacing w:after="240" w:line="240" w:lineRule="auto"/>
        <w:ind w:left="284" w:hanging="284"/>
        <w:jc w:val="both"/>
        <w:rPr>
          <w:rFonts w:ascii="Times New Roman" w:hAnsi="Times New Roman" w:cs="Times New Roman"/>
        </w:rPr>
      </w:pPr>
      <w:r>
        <w:rPr>
          <w:rFonts w:ascii="Times New Roman" w:hAnsi="Times New Roman"/>
        </w:rPr>
        <w:t>–</w:t>
      </w:r>
      <w:r>
        <w:rPr>
          <w:rFonts w:ascii="Times New Roman" w:hAnsi="Times New Roman"/>
        </w:rPr>
        <w:tab/>
      </w:r>
      <w:r w:rsidR="00E707C1">
        <w:rPr>
          <w:rFonts w:ascii="Times New Roman" w:hAnsi="Times New Roman"/>
        </w:rPr>
        <w:t>myös kokemus kansallisesta, eurooppalaisesta tai muusta kansainvälisestä julkishallinnosta katsotaan eduksi;</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Henkilökohtaiset ominaisuudet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kykyä viestiä tehokkaasti ja sujuvasti läpinäkyvällä ja avoimella tavalla sisäisten ja ulkoisten sidosryhmien kanssa (mukaan lukien lehdistö, suuri yleisö, eurooppalaiset, kansainväliset, kansalliset ja paikalliset viranomaiset sekä kansainväliset järjestöt) sekä edustaa yhteisyritystä ulkoisilla foorumeilla</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erinomaisia ihmissuhdetaitoja ja kykyä säilyttää tulokselliset työsuhteet EU:n toimielimiin ja jäsenvaltioiden toimivaltaisiin viranomaisiin yhteisyrityksen moitteettoman toiminnan varmistamiseksi</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lastRenderedPageBreak/>
        <w:t>–</w:t>
      </w:r>
      <w:r>
        <w:tab/>
      </w:r>
      <w:r>
        <w:rPr>
          <w:rFonts w:ascii="Times New Roman" w:hAnsi="Times New Roman"/>
        </w:rPr>
        <w:t>kykyä edistää yhteisyrityksen toimintaa ohjaavia periaatteita eli avoimuutta, läpinäkyvyyttä, riippumattomuutta ja tieteellistä huippuosaamista.</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Mitä edellytämme (hakuedellytykset)</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Valintavaiheeseen päästäkseen hakijan on täytettävä seuraavat muodolliset vaatimukset </w:t>
      </w:r>
      <w:r>
        <w:rPr>
          <w:rFonts w:ascii="Times New Roman" w:hAnsi="Times New Roman"/>
          <w:b/>
        </w:rPr>
        <w:t>viimeistään hakuajan päättyessä</w:t>
      </w:r>
      <w:r>
        <w:rPr>
          <w:rFonts w:ascii="Times New Roman" w:hAnsi="Times New Roman"/>
        </w:rPr>
        <w:t>:</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Kansalaisuus</w:t>
      </w:r>
      <w:r>
        <w:rPr>
          <w:rFonts w:ascii="Times New Roman" w:hAnsi="Times New Roman"/>
        </w:rPr>
        <w:t>: Hakijan on oltava jonkin Euroopan unionin jäsenvaltion kansalainen.</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Korkeakoulututkinto</w:t>
      </w:r>
      <w:r>
        <w:rPr>
          <w:rFonts w:ascii="Times New Roman" w:hAnsi="Times New Roman"/>
        </w:rPr>
        <w:t>: Hakijalla on oltava</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joko korkeakoulututkintoa vastaava koulutus, joka kestää tavallisesti vähintään neljä vuotta ja josta on osoituksena tutkintotodistus,</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tai korkeakoulututkintoa vastaava koulutus, joka kestää tavallisesti vähintään kolme vuotta ja josta on osoituksena tutkintotodistus, ja vähintään yhden vuoden soveltuva työkokemus (tätä vuoden työkokemusta ei lasketa mukaan jäljempänä vaadittuun, korkeakoulutuksen jälkeen hankittuun työkokemukseen).</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Työkokemus</w:t>
      </w:r>
      <w:r>
        <w:rPr>
          <w:rFonts w:ascii="Times New Roman" w:hAnsi="Times New Roman"/>
        </w:rPr>
        <w:t>: Hakijalla on oltava korkeakoulututkinnon suorittamisen jälkeen hankittu vähintään 15 vuoden työkokemus</w:t>
      </w:r>
      <w:r>
        <w:rPr>
          <w:rStyle w:val="FootnoteReference"/>
          <w:rFonts w:ascii="Times New Roman" w:hAnsi="Times New Roman" w:cs="Times New Roman"/>
        </w:rPr>
        <w:footnoteReference w:id="3"/>
      </w:r>
      <w:r>
        <w:rPr>
          <w:rFonts w:ascii="Times New Roman" w:hAnsi="Times New Roman"/>
        </w:rPr>
        <w:t xml:space="preserve"> tutkintoa vastaavalla pätevyystasolla. Tästä työkokemuksesta vähintään viisi vuotta on oltava yhteisyrityksen toiminta-alalta.</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Kokemus johtotehtävistä</w:t>
      </w:r>
      <w:r>
        <w:rPr>
          <w:rFonts w:ascii="Times New Roman" w:hAnsi="Times New Roman"/>
        </w:rPr>
        <w:t>: Tutkinnon suorittamisen jälkeen hankitusta työkokemuksesta vähintään viisi vuotta on oltava korkean tason johtotehtävästä</w:t>
      </w:r>
      <w:r>
        <w:rPr>
          <w:rStyle w:val="FootnoteReference"/>
          <w:rFonts w:ascii="Times New Roman" w:hAnsi="Times New Roman" w:cs="Times New Roman"/>
        </w:rPr>
        <w:footnoteReference w:id="4"/>
      </w:r>
      <w:r>
        <w:rPr>
          <w:rFonts w:ascii="Times New Roman" w:hAnsi="Times New Roman"/>
        </w:rPr>
        <w:t xml:space="preserve"> tämän toimen kannalta olennaiselta alalta.</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Kielitaito</w:t>
      </w:r>
      <w:r>
        <w:rPr>
          <w:rFonts w:ascii="Times New Roman" w:hAnsi="Times New Roman"/>
        </w:rPr>
        <w:t>: Hakijalla on oltava yhden Euroopan unionin virallisen kielen</w:t>
      </w:r>
      <w:r>
        <w:rPr>
          <w:rStyle w:val="FootnoteReference"/>
          <w:rFonts w:ascii="Times New Roman" w:hAnsi="Times New Roman" w:cs="Times New Roman"/>
        </w:rPr>
        <w:footnoteReference w:id="5"/>
      </w:r>
      <w:r>
        <w:rPr>
          <w:rFonts w:ascii="Times New Roman" w:hAnsi="Times New Roman"/>
        </w:rPr>
        <w:t xml:space="preserve"> perusteellinen taito ja toisen virallisen kielen riittävä taito. Valintalautakunta varmistaa haastattelun (haastattelujen) aikana, että hakijat täyttävät jonkin toisen EU:n virallisen kielen riittävää taitoa koskevan vaatimuksen. Tämän vuoksi haastattelu saatetaan tehdä ainakin osittain kyseisellä toisella kielellä.</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Ikäraja</w:t>
      </w:r>
      <w:r>
        <w:rPr>
          <w:rFonts w:ascii="Times New Roman" w:hAnsi="Times New Roman"/>
        </w:rPr>
        <w:t>: Hakijan on hakemuksen jättämisen määräajasta lukien voitava työskennellä koko neljän vuoden toimikausi ennen eläkeiän saavuttamista. Euroopan unionin väliaikainen toimihenkilö saavuttaa eläkeiän sen kuukauden päättyessä, jonka aikana hän täyttää 66 vuotta (ks. Euroopan unionin muuhun henkilöstöön sovellettavien palvelussuhteen ehtojen</w:t>
      </w:r>
      <w:r>
        <w:rPr>
          <w:rStyle w:val="FootnoteReference"/>
          <w:rFonts w:ascii="Times New Roman" w:hAnsi="Times New Roman" w:cs="Times New Roman"/>
        </w:rPr>
        <w:footnoteReference w:id="6"/>
      </w:r>
      <w:r>
        <w:rPr>
          <w:rFonts w:ascii="Times New Roman" w:hAnsi="Times New Roman"/>
        </w:rPr>
        <w:t xml:space="preserve"> 47 artikla).</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Valinta ja nimittäminen</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Yhteisyrityksen hallintoneuvosto nimittää toimitusjohtajan Euroopan komission hakijoista laatiman luettelon perusteella.</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lastRenderedPageBreak/>
        <w:t xml:space="preserve">Euroopan komissio valitsee hakijat luetteloon järjestämällä valintamenettelyn omien valinta- ja </w:t>
      </w:r>
      <w:proofErr w:type="spellStart"/>
      <w:r>
        <w:rPr>
          <w:rFonts w:ascii="Times New Roman" w:hAnsi="Times New Roman"/>
        </w:rPr>
        <w:t>palvelukseenottomenettelyjensä</w:t>
      </w:r>
      <w:proofErr w:type="spellEnd"/>
      <w:r>
        <w:rPr>
          <w:rFonts w:ascii="Times New Roman" w:hAnsi="Times New Roman"/>
        </w:rPr>
        <w:t xml:space="preserve"> mukaisesti (ks. asiakirja ”</w:t>
      </w:r>
      <w:proofErr w:type="spellStart"/>
      <w:r>
        <w:rPr>
          <w:rFonts w:ascii="Times New Roman" w:hAnsi="Times New Roman"/>
        </w:rPr>
        <w:t>Compilation</w:t>
      </w:r>
      <w:proofErr w:type="spellEnd"/>
      <w:r>
        <w:rPr>
          <w:rFonts w:ascii="Times New Roman" w:hAnsi="Times New Roman"/>
        </w:rPr>
        <w:t xml:space="preserve"> </w:t>
      </w:r>
      <w:proofErr w:type="spellStart"/>
      <w:r>
        <w:rPr>
          <w:rFonts w:ascii="Times New Roman" w:hAnsi="Times New Roman"/>
        </w:rPr>
        <w:t>Document</w:t>
      </w:r>
      <w:proofErr w:type="spellEnd"/>
      <w:r>
        <w:rPr>
          <w:rFonts w:ascii="Times New Roman" w:hAnsi="Times New Roman"/>
        </w:rPr>
        <w:t xml:space="preserve"> on Senior </w:t>
      </w:r>
      <w:proofErr w:type="spellStart"/>
      <w:r>
        <w:rPr>
          <w:rFonts w:ascii="Times New Roman" w:hAnsi="Times New Roman"/>
        </w:rPr>
        <w:t>Officials</w:t>
      </w:r>
      <w:proofErr w:type="spellEnd"/>
      <w:r>
        <w:rPr>
          <w:rFonts w:ascii="Times New Roman" w:hAnsi="Times New Roman"/>
        </w:rPr>
        <w:t xml:space="preserve"> </w:t>
      </w:r>
      <w:proofErr w:type="spellStart"/>
      <w:r>
        <w:rPr>
          <w:rFonts w:ascii="Times New Roman" w:hAnsi="Times New Roman"/>
        </w:rPr>
        <w:t>Policy</w:t>
      </w:r>
      <w:proofErr w:type="spellEnd"/>
      <w:r>
        <w:rPr>
          <w:rFonts w:ascii="Times New Roman" w:hAnsi="Times New Roman"/>
        </w:rPr>
        <w:t xml:space="preserve"> ”</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Osana tätä valintamenettelyä Euroopan komissio perustaa esivalintalautakunnan, johon kuuluu asetuksen (EU) 2021/2085 mukaisesti yhteisyrityksen kaikkien muiden osakasryhmien paitsi unionin nimittämä edustaja</w:t>
      </w:r>
      <w:r>
        <w:rPr>
          <w:rStyle w:val="FootnoteReference"/>
          <w:rFonts w:ascii="Times New Roman" w:hAnsi="Times New Roman" w:cs="Times New Roman"/>
          <w:sz w:val="20"/>
        </w:rPr>
        <w:footnoteReference w:id="8"/>
      </w:r>
      <w:r>
        <w:rPr>
          <w:rFonts w:ascii="Times New Roman" w:hAnsi="Times New Roman"/>
        </w:rPr>
        <w:t xml:space="preserve"> ja yksi hallintoneuvoston nimittämä tarkkailija.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Lautakunta arvioi kaikki hakemukset, tarkastaa kelpoisuusvaatimusten täyttymisen ja valitsee sitten ne hakijat, joiden profiilit vastaavat parhaiten edellä mainittuja valintaperusteita ja jotka voidaan kutsua sen haastateltaviksi.</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Haastattelujen jälkeen esivalintalautakunta tekee päätelmänsä ja laatii luettelon hakijoista, jotka voidaan kutsua Euroopan komission neuvoa-antavan nimityskomitean jatkohaastatteluun. Nimityskomitea päättää esivalintalautakunnan päätelmät huomioon ottaen, ketkä hakijoista kutsutaan haastatteluun.</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Neuvoa-antavan nimityskomitean haastateltaviksi kutsutut hakijat osallistuvat koko päivän kestävään, ulkopuolisten rekrytointikonsulttien toteuttamaan johtamistaitojen arviointiin. Haastattelun ja arvioinnin tulosten perusteella neuvoa-antava nimityskomitea laatii luettelon hakijoista, joiden se katsoo soveltuvan Euroopan rautatiet -yhteisyrityksen toimitusjohtajan toimeen.</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Neuvoa-antavan nimityskomitean luettelossa olevat hakijat </w:t>
      </w:r>
      <w:proofErr w:type="gramStart"/>
      <w:r>
        <w:rPr>
          <w:rFonts w:ascii="Times New Roman" w:hAnsi="Times New Roman"/>
        </w:rPr>
        <w:t>haastattelee</w:t>
      </w:r>
      <w:proofErr w:type="gramEnd"/>
      <w:r>
        <w:rPr>
          <w:rFonts w:ascii="Times New Roman" w:hAnsi="Times New Roman"/>
        </w:rPr>
        <w:t xml:space="preserve"> yksi tai useampi komission jäsen, jonka alaisuudessa suhteista virastoon vastaava pääosasto toimii.</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Näiden haastattelujen jälkeen Euroopan komissio vahvistaa luettelon sopivimmista hakijoista, joita on mielellään ainakin kolme, ja luettelo toimitetaan Euroopan rautatiet -yhteisyrityksen hallintoneuvostolle. Hallintoneuvosto voi päättää haastatella hakijoita, ennen kuin se nimittää toimitusjohtajan komission luettelossa olevien hakijoiden joukosta. Hakijan ottaminen ehdolle valittujen hakijoiden luetteloon ei takaa nimitystä.</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Hakijat saatetaan kutsua edellä mainittujen haastattelujen ja testien lisäksi lisähaastatteluihin ja/tai ‑testeihin. Heitä voidaan myös pyytää antamaan lausunto yhdelle tai useammalle Euroopan parlamentin asiaankuuluvalle valiokunnalle.</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Hänellä on oltava tai hänen on kyettävä hankkimaan voimassa oleva henkilöturvallisuusselvitykseen perustuva todistus kansalliselta turvallisuusviranomaiselta. Henkilöturvallisuusselvitys on hallinnollinen päätös, jonka perustana on toimivaltaisen kansallisen turvallisuusviranomaisen tekemä kansallisten lakien ja muiden säännösten mukainen turvallisuusselvitys. Sillä todistetaan, että henkilölle voidaan antaa oikeus tutustua tietyntasoisiin turvallisuusluokiteltuihin tietoihin. (Henkilöturvallisuusselvitystä koskeva menettely voidaan aloittaa ainoastaan työnantajan, ei yksittäisen hakijan pyynnöstä.)</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EU:n turvallisuusluokiteltuihin tietoihin pääseminen vähintään tasolla CONFIDENTIEL UE/EU CONFIDENTIAL ja osallistuminen kokouksiin, joissa tällaisia tietoja käsitellään, edellyttää, että hakijalla on asianomaisen jäsenvaltion myöntämä henkilöturvallisuusselvitys. Lisäksi vaaditaan, että turvallisuusselvitysmenettely on saatettu päätökseen ja hakija on saanut Euroopan komission turvallisuusyksikön antaman asiaankuuluvan ohjeistuksen.</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Yhtäläiset mahdollisuudet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Henkilöstösääntöjen</w:t>
      </w:r>
      <w:r>
        <w:rPr>
          <w:rStyle w:val="FootnoteReference"/>
          <w:rFonts w:ascii="Times New Roman" w:hAnsi="Times New Roman" w:cs="Times New Roman"/>
        </w:rPr>
        <w:footnoteReference w:id="9"/>
      </w:r>
      <w:r>
        <w:rPr>
          <w:rFonts w:ascii="Times New Roman" w:hAnsi="Times New Roman"/>
        </w:rPr>
        <w:t xml:space="preserve"> 1 d artiklan mukaisesti komission ja yhteisyrityksen strategisena tavoitteena on saavuttaa sukupuolten tasa-arvo kaikilla hallinnon tasoilla komission nykyisen toimikauden loppuun mennessä. Ne soveltavat tasa-arvopolitiikkaa ja syrjimättömyyden periaatetta ja kannustavat sellaisia henkilöitä hakemaan virkoihin, jotka voivat omalta osaltaan edistää monimuotoisuutta, sukupuolten tasa-arvoa ja maantieteellisen edustuksen tasapainoa.</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Monimuotoisuus ja osallisuus </w:t>
      </w:r>
    </w:p>
    <w:p w14:paraId="44C17C93" w14:textId="3AF5F2A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Yhteisyritys toteaa, että työ- ja yksityiselämän terve tasapaino on monille ihmisille tärkeä motivaation lähde. Se myös tiedostaa odotuksen siitä, että joustavat työjärjestelyt ovat o</w:t>
      </w:r>
      <w:r w:rsidR="007708AF">
        <w:rPr>
          <w:rFonts w:ascii="Times New Roman" w:hAnsi="Times New Roman"/>
        </w:rPr>
        <w:t xml:space="preserve">sa nykyaikaista työympäristöä. </w:t>
      </w:r>
      <w:r>
        <w:rPr>
          <w:rFonts w:ascii="Times New Roman" w:hAnsi="Times New Roman"/>
        </w:rPr>
        <w:t xml:space="preserve">Työnantajana yhteisyritys on sitoutunut varmistamaan sukupuolten tasa-arvon ja ehkäisemään kaikenlaista syrjintää. Se toivoo saavansa hakemuksia EU:n jäsenvaltioista taustaltaan erilaisilta ja erilaista osaamista omaavilta päteviltä hakijoilta mahdollisimman laajalta maantieteelliseltä alueelta. Sukupuolten tasa-arvon edistämiseksi yhteisyritys kannustaa erityisesti naisia hakemaan. Vammaisille henkilöille voidaan tarjota apua </w:t>
      </w:r>
      <w:proofErr w:type="spellStart"/>
      <w:r>
        <w:rPr>
          <w:rFonts w:ascii="Times New Roman" w:hAnsi="Times New Roman"/>
        </w:rPr>
        <w:t>palvelukseenottomenettelyn</w:t>
      </w:r>
      <w:proofErr w:type="spellEnd"/>
      <w:r>
        <w:rPr>
          <w:rFonts w:ascii="Times New Roman" w:hAnsi="Times New Roman"/>
        </w:rPr>
        <w:t xml:space="preserve"> aikana.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Palvelussuhteen ehdot</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Palkkaus ja palvelussuhteen ehdot määräytyvät Euroopan unionin muuhun henkilöstöön sovellettavien palvelussuhteen ehtojen mukaan.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Valituksi tullut hakija otetaan Euroopan rautatiet -yhteisyrityksen palvelukseen väliaikaisena toimihenkilönä palkkaluokkaan AD 14. Hänet luokitellaan aiemman työkokemuksensa perusteella palkkaluokan palkkatasolle 1 tai 2.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Valittu hakija nimitetään neljän vuoden toimikaudeksi, jota voidaan yhteisyrityksen perustamisasetuksen mukaan jatkaa enintään kolmella vuodella.</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Hakijoiden tulee ottaa huomioon, että Euroopan unionin muuhun henkilöstöön sovellettavien palvelussuhteen ehtojen mukaan kaikkien uusien toimihenkilöiden on suoritettava hyväksyttävästi yhdeksän kuukauden koeaika.</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Toimipaikkana on Bryssel, Belgia.</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Tärkeää tietoa hakijoille</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Hakijoita muistutetaan siitä, että valintalautakuntien työ on luottamuksellista. Hakijat eivät tämän vuoksi saa itse tai toisen henkilön välityksellä olla suoraan tai epäsuorasti yhteydessä valintalautakuntien jäseniin. Kaikki kyselyt on osoitettava asiaa käsittelevän lautakunnan sihteeristölle.</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Henkilötietojen suoja</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Euroopan komissio huolehtii siitä, että hakijoiden henkilötietojen käsittelyssä noudatetaan Euroopan parlamentin ja neuvoston asetusta (EU) 2018/1725</w:t>
      </w:r>
      <w:r>
        <w:rPr>
          <w:rStyle w:val="FootnoteReference"/>
          <w:rFonts w:ascii="Times New Roman" w:hAnsi="Times New Roman" w:cs="Times New Roman"/>
        </w:rPr>
        <w:footnoteReference w:id="10"/>
      </w:r>
      <w:r>
        <w:rPr>
          <w:rFonts w:ascii="Times New Roman" w:hAnsi="Times New Roman"/>
        </w:rPr>
        <w:t>. Erityistä huomiota kiinnitetään tietojen luottamuksellisuuteen ja tietosuojaan.</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Riippumattomuus ja sidonnaisuuksia koskeva ilmoitus</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lastRenderedPageBreak/>
        <w:t>Ennen työtehtävien aloittamista toimitusjohtajan on annettava vakuutus, jossa hän sitoutuu toimimaan riippumattomasti ja yleisen edun hyväksi. Hänen on myös annettava ilmoitus sidonnaisuuksista, joiden voidaan katsoa heikentävän hänen riippumattomuuttaan.</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Hakumenettely</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Hakijan on ennen hakemuksensa jättämistä varmistettava, että hän täyttää kaikki hakuedellytykset (”Mitä edellytämme”) ja erityisesti tutkintoa, korkean tason työkokemusta ja kielitaitoa koskevat vaatimukset. Jos jokin edellytyksistä ei täyty, hakemus hylätään automaattisesti.</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Hakijan on rekisteröidyttävä seuraavalla verkkosivustolla ja noudatettava menettelyn eri vaiheista annettuja ohjeita: </w:t>
      </w:r>
    </w:p>
    <w:p w14:paraId="3DBA8489" w14:textId="77777777" w:rsidR="001F08A9" w:rsidRPr="00941457" w:rsidRDefault="00894648"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w:t>
        </w:r>
        <w:r w:rsidR="00703296">
          <w:rPr>
            <w:rStyle w:val="Hyperlink"/>
            <w:rFonts w:ascii="Times New Roman" w:hAnsi="Times New Roman"/>
          </w:rPr>
          <w:t>a</w:t>
        </w:r>
        <w:r w:rsidR="00703296">
          <w:rPr>
            <w:rStyle w:val="Hyperlink"/>
            <w:rFonts w:ascii="Times New Roman" w:hAnsi="Times New Roman"/>
          </w:rPr>
          <w:t>.eu/dgs/human-resources/seniormanagementvacancies/CV_Encadext/index.cfm?fuseaction=premierAcces&amp;langue=EN</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Hakijalla on oltava voimassa oleva sähköpostiosoite. Sitä käytetään sekä rekisteröitymisen vahvistamiseen että yhteydenpitoon hakijan kanssa menettelyn aikana. Sähköpostiosoitteen muutoksista on siksi ilmoitettava Euroopan komissiolle.</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 xml:space="preserve">Hakijan on liitettävä hakemukseensa ansioluettelo pdf-muodossa, mieluiten </w:t>
      </w:r>
      <w:proofErr w:type="spellStart"/>
      <w:r>
        <w:rPr>
          <w:rFonts w:ascii="Times New Roman" w:hAnsi="Times New Roman"/>
        </w:rPr>
        <w:t>Europass</w:t>
      </w:r>
      <w:proofErr w:type="spellEnd"/>
      <w:r>
        <w:rPr>
          <w:rFonts w:ascii="Times New Roman" w:hAnsi="Times New Roman"/>
        </w:rPr>
        <w:t>-ansioluettelomallia</w:t>
      </w:r>
      <w:r>
        <w:rPr>
          <w:rStyle w:val="FootnoteReference"/>
          <w:rFonts w:ascii="Times New Roman" w:hAnsi="Times New Roman" w:cs="Times New Roman"/>
        </w:rPr>
        <w:footnoteReference w:id="11"/>
      </w:r>
      <w:r>
        <w:rPr>
          <w:rFonts w:ascii="Times New Roman" w:hAnsi="Times New Roman"/>
        </w:rPr>
        <w:t xml:space="preserve"> käyttäen, ja laadittava verkossa vapaamuotoinen hakemuskirje (enintään 8 000 merkkiä). Ansioluettelo ja vapaamuotoinen hakemuskirje voidaan toimittaa millä tahansa Euroopan unionin virallisella kielellä.</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On hakijan oman edun mukaista varmistaa, että hakemus on täsmällinen, perusteellinen ja totuudenmukainen.</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Kun hakija on lähettänyt sähköisen rekisteröitymislomakkeen, hän saa sähköpostiviestin, jossa vahvistetaan, että hakemus on rekisteröity. </w:t>
      </w:r>
      <w:r>
        <w:rPr>
          <w:rFonts w:ascii="Times New Roman" w:hAnsi="Times New Roman"/>
          <w:b/>
        </w:rPr>
        <w:t>Jos hakija ei saa vahvistusviestiä, hakemusta ei ole rekisteröity!</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Hakuprosessin etenemistä ei ole mahdollista seurata verkossa. Euroopan komissio ottaa suoraan yhteyttä hakijaan hakemuksen käsittelyyn liittyvissä asioissa.</w:t>
      </w:r>
    </w:p>
    <w:p w14:paraId="1EA41131" w14:textId="4F21B30C"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Sähköpostitse lähetettyjä hakemuksia ei hyväksytä. </w:t>
      </w:r>
      <w:r>
        <w:rPr>
          <w:rFonts w:ascii="Times New Roman" w:hAnsi="Times New Roman"/>
        </w:rPr>
        <w:t>Lisätietoja ja/tai apua teknisiin ongelmiin voi pyytää sähköpostitse osoitteesta</w:t>
      </w:r>
      <w:r w:rsidR="003256A3">
        <w:rPr>
          <w:rFonts w:ascii="Times New Roman" w:hAnsi="Times New Roman"/>
        </w:rP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Sähköinen rekisteröityminen on syytä tehdä hyvissä ajoin ennen määräajan päättymistä. Hakemista ei kannata jättää hakuajan viimeisiin päiviin, sillä rekisteröityminen ei verkkoliikenteen ruuhkien tai internetyhteyden katkosten takia välttämättä onnistu ensi yrittämällä. Tietojen syöttäminen ei ole mahdollista sen jälkeen, kun rekisteröitymisen määräaika on päättynyt. Rekisteröitymistä määräajan jälkeen ei oteta huomioon.</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Rekisteröitymisen määräaika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Rekisteröityminen päättyy </w:t>
      </w:r>
      <w:r>
        <w:rPr>
          <w:rFonts w:ascii="Times New Roman" w:hAnsi="Times New Roman"/>
          <w:b/>
        </w:rPr>
        <w:t>15.5.2023 klo 12.00 Belgian aikaa</w:t>
      </w:r>
      <w:r>
        <w:rPr>
          <w:rFonts w:ascii="Times New Roman" w:hAnsi="Times New Roman"/>
        </w:rPr>
        <w:t>, jonka jälkeen rekisteröityminen ei ole enää mahdollista.</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14B66DF2"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7708AF">
          <w:rPr>
            <w:rFonts w:ascii="Times New Roman" w:hAnsi="Times New Roman" w:cs="Times New Roman"/>
            <w:noProof/>
          </w:rPr>
          <w:t>6</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sidRPr="007708AF">
        <w:rPr>
          <w:rStyle w:val="FootnoteReference"/>
          <w:sz w:val="20"/>
          <w:szCs w:val="20"/>
        </w:rPr>
        <w:footnoteRef/>
      </w:r>
      <w:r>
        <w:t xml:space="preserve"> </w:t>
      </w:r>
      <w:r>
        <w:rPr>
          <w:rFonts w:ascii="Times New Roman" w:hAnsi="Times New Roman"/>
          <w:sz w:val="16"/>
        </w:rPr>
        <w:t>Neuvoston asetus (EU) 2021/2085, annettu 19 päivänä marraskuuta 2021, Horisontti Eurooppa -ohjelman yhteisyritysten perustamisesta sekä asetusten (EY) N:o 219/2007, (EU) N:o 557/2014, (EU) N:o 558/2014, (EU) N:o 559/2014, (EU) N:o 560/2014, (EU) N:o 561/2014 ja (EU) N:o 642/2014 kumoamisesta (EUVL L 427, 30.11.2021, s. 17).</w:t>
      </w:r>
    </w:p>
  </w:footnote>
  <w:footnote w:id="2">
    <w:p w14:paraId="7668A20E" w14:textId="41E2D505"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Neuvoston asetus (EU) N:o 642/2014, annettu 16 päivänä kesäkuuta 2014, Shift2Rail-yhteisyrityk</w:t>
      </w:r>
      <w:r w:rsidR="007708AF">
        <w:rPr>
          <w:rFonts w:ascii="Times New Roman" w:hAnsi="Times New Roman"/>
          <w:sz w:val="16"/>
        </w:rPr>
        <w:t>sen perustamisesta (EUVL L 177, </w:t>
      </w:r>
      <w:r>
        <w:rPr>
          <w:rFonts w:ascii="Times New Roman" w:hAnsi="Times New Roman"/>
          <w:sz w:val="16"/>
        </w:rPr>
        <w:t>17.6.2014, s. 9).</w:t>
      </w:r>
    </w:p>
  </w:footnote>
  <w:footnote w:id="3">
    <w:p w14:paraId="617D2DD6" w14:textId="2C9024BA"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Työkokemus otetaan huomioon vain, jos se edustaa todellista työsuhdetta, jossa on kyse tosiasiallisesta työnteosta palkattuna työntekijänä (mikä tahansa työsopimus) tai palvelun tarjoajana. Osa-aikatyö otetaan huomioon kokoaikatyöksi muunnettuna. Äitiys-/vanhempain-/adoptiovapaa otetaan huomioon, jos se on pidetty työsopimuksen puitteissa.</w:t>
      </w:r>
      <w:r w:rsidR="003256A3">
        <w:rPr>
          <w:rFonts w:ascii="Times New Roman" w:hAnsi="Times New Roman"/>
          <w:sz w:val="16"/>
        </w:rPr>
        <w:t xml:space="preserve"> </w:t>
      </w:r>
      <w:r>
        <w:rPr>
          <w:rFonts w:ascii="Times New Roman" w:hAnsi="Times New Roman"/>
          <w:sz w:val="16"/>
        </w:rPr>
        <w:t>Tohtorinopinnot rinnastetaan työkokemukseen myös siinä tapauksessa, että niistä ei ole maksettu korvausta, enintään kolmen vuoden ajalta, edellyttäen että tohtorintutkinto on suoritettu hyväksytysti. Tietty ajanjakso voidaan ottaa huomioon vain kerran.</w:t>
      </w:r>
    </w:p>
  </w:footnote>
  <w:footnote w:id="4">
    <w:p w14:paraId="1A544615" w14:textId="125EF9DA"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Hakijan on ilmoitettava ansioluettelossaan selvästi seuraavat tiedot kaikilta niiltä vuosilta, jotka hän </w:t>
      </w:r>
      <w:r w:rsidR="007708AF">
        <w:rPr>
          <w:rFonts w:ascii="Times New Roman" w:hAnsi="Times New Roman"/>
          <w:sz w:val="16"/>
        </w:rPr>
        <w:t>on toiminut johtotehtävässä: 1) </w:t>
      </w:r>
      <w:r>
        <w:rPr>
          <w:rFonts w:ascii="Times New Roman" w:hAnsi="Times New Roman"/>
          <w:sz w:val="16"/>
        </w:rPr>
        <w:t>johtotehtävien nimike ja tehtävänkuvaus, 2) alaisten määrä kyseisessä tehtävässä, 3) tehtävässä hallinnoitujen varojen suuruusluokka, 4) ylempien ja alempien organisaatiotasojen määrä sekä 5) samantasoisessa tehtävässä toimineiden henkilöiden määrä.</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https://eur-lex.europa.eu/legal-content/FI/TXT/?uri=CELEX%3A01958R0001-20130701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https://eur-lex.europa.eu/legal-content/FI/TXT/?uri=CELEX%3A01962R0031-20140701</w:t>
        </w:r>
      </w:hyperlink>
      <w:r>
        <w:rPr>
          <w:rStyle w:val="Hyperlink"/>
          <w:rFonts w:ascii="Times New Roman" w:hAnsi="Times New Roman"/>
          <w:sz w:val="16"/>
        </w:rPr>
        <w:t xml:space="preserve"> </w:t>
      </w:r>
    </w:p>
  </w:footnote>
  <w:footnote w:id="7">
    <w:p w14:paraId="742C3E90" w14:textId="4404D605"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sidR="003256A3">
        <w:rPr>
          <w:rFonts w:ascii="Times New Roman" w:hAnsi="Times New Roman"/>
          <w:sz w:val="16"/>
        </w:rPr>
        <w:t xml:space="preserve"> </w:t>
      </w:r>
      <w:r>
        <w:tab/>
      </w:r>
      <w:hyperlink r:id="rId3" w:history="1">
        <w:r>
          <w:rPr>
            <w:rStyle w:val="Hyperlink"/>
            <w:rFonts w:ascii="Times New Roman" w:hAnsi="Times New Roman"/>
            <w:sz w:val="16"/>
          </w:rPr>
          <w:t>https://commission.europa.eu/jobs-european-commission/job-opportunities/managers-european-commission_fi</w:t>
        </w:r>
      </w:hyperlink>
      <w:r>
        <w:t xml:space="preserve"> </w:t>
      </w:r>
      <w:r>
        <w:rPr>
          <w:rFonts w:ascii="Times New Roman" w:hAnsi="Times New Roman"/>
          <w:sz w:val="16"/>
        </w:rPr>
        <w:t xml:space="preserve">(saatavilla vain englanniksi).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Muilla osakkailla kuin unionilla tarkoitetaan ”mitä tahansa osallistujavaltiota, yksityistä osakasta tai kansainvälistä järjestöä, joka on yhteisyrityksen osakas”.</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https://eur-lex.europa.eu/legal-content/FI/TXT/?uri=CELEX%3A01962R0031-20140701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Euroopan parlamentin ja neuvoston asetus (EU) 2018/1725, annettu 23 päivänä lokakuuta 2018, luonnollisten henkilöiden suojelusta unionin toimielinten, elinten ja laitosten suorittamassa henkilötietojen käsittelyssä ja näiden tietojen vapaasta liikkuvuudesta sekä asetuksen (EY) N:o 45/2001 ja päätöksen N:o 1247/2002/EY kumoamisesta (EUVL L 295, 21.11.2018, s.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Lisätietoja </w:t>
      </w:r>
      <w:proofErr w:type="spellStart"/>
      <w:r>
        <w:rPr>
          <w:rFonts w:ascii="Times New Roman" w:hAnsi="Times New Roman"/>
          <w:sz w:val="16"/>
        </w:rPr>
        <w:t>Europass</w:t>
      </w:r>
      <w:proofErr w:type="spellEnd"/>
      <w:r>
        <w:rPr>
          <w:rFonts w:ascii="Times New Roman" w:hAnsi="Times New Roman"/>
          <w:sz w:val="16"/>
        </w:rPr>
        <w:t xml:space="preserve">-ansioluettelon luomisesta verkossa on osoitteessa </w:t>
      </w:r>
      <w:hyperlink r:id="rId4" w:history="1">
        <w:r>
          <w:rPr>
            <w:rStyle w:val="Hyperlink"/>
            <w:rFonts w:ascii="Times New Roman" w:hAnsi="Times New Roman"/>
            <w:sz w:val="16"/>
          </w:rPr>
          <w:t>https://europa.eu/europass/fi/create-europass-cv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0806866">
    <w:abstractNumId w:val="1"/>
  </w:num>
  <w:num w:numId="2" w16cid:durableId="242641913">
    <w:abstractNumId w:val="2"/>
  </w:num>
  <w:num w:numId="3" w16cid:durableId="56903894">
    <w:abstractNumId w:val="3"/>
  </w:num>
  <w:num w:numId="4" w16cid:durableId="463667295">
    <w:abstractNumId w:val="4"/>
  </w:num>
  <w:num w:numId="5" w16cid:durableId="1378160359">
    <w:abstractNumId w:val="5"/>
  </w:num>
  <w:num w:numId="6" w16cid:durableId="89009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A3"/>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08AF"/>
    <w:rsid w:val="00776E22"/>
    <w:rsid w:val="007C79B0"/>
    <w:rsid w:val="007E7FE2"/>
    <w:rsid w:val="007F2FCD"/>
    <w:rsid w:val="00805BB3"/>
    <w:rsid w:val="00814484"/>
    <w:rsid w:val="008449B0"/>
    <w:rsid w:val="00850824"/>
    <w:rsid w:val="008510D5"/>
    <w:rsid w:val="00855307"/>
    <w:rsid w:val="008607CB"/>
    <w:rsid w:val="008934EE"/>
    <w:rsid w:val="00894648"/>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1">
    <w:name w:val="Unresolved Mention1"/>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CV_Encadext/index.cfm?fuseaction=premierAcces&amp;langue=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fi" TargetMode="External"/><Relationship Id="rId2" Type="http://schemas.openxmlformats.org/officeDocument/2006/relationships/hyperlink" Target="https://eur-lex.europa.eu/legal-content/FI/TXT/?uri=CELEX%3A01962R0031-20140701" TargetMode="External"/><Relationship Id="rId1" Type="http://schemas.openxmlformats.org/officeDocument/2006/relationships/hyperlink" Target="https://eur-lex.europa.eu/legal-content/FI/TXT/?uri=CELEX%3A01958R0001-20130701" TargetMode="External"/><Relationship Id="rId4" Type="http://schemas.openxmlformats.org/officeDocument/2006/relationships/hyperlink" Target="https://europa.eu/europass/fi/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6E306-97C2-4C63-A946-B099E7F2B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1564</Words>
  <Characters>13924</Characters>
  <Application>Microsoft Office Word</Application>
  <DocSecurity>0</DocSecurity>
  <Lines>221</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SLOTTE Eva (DGT)</cp:lastModifiedBy>
  <cp:revision>5</cp:revision>
  <cp:lastPrinted>2023-02-01T14:53:00Z</cp:lastPrinted>
  <dcterms:created xsi:type="dcterms:W3CDTF">2023-03-21T10:42:00Z</dcterms:created>
  <dcterms:modified xsi:type="dcterms:W3CDTF">2023-03-28T11:03:00Z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