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rFonts w:ascii="Times New Roman" w:hAnsi="Times New Roman" w:cs="Times New Roman"/>
          <w:b/>
        </w:rPr>
      </w:pPr>
      <w:r>
        <w:rPr>
          <w:rFonts w:ascii="Times New Roman" w:hAnsi="Times New Roman"/>
          <w:b/>
        </w:rPr>
        <w:t>Európai Vasút Közös Vállalkozás</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Pályázati felhívás ügyvezető igazgatói állás betöltésére</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(Ideiglenes alkalmazott – AD 14-es besorolás)</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Pr>
          <w:rFonts w:ascii="Times New Roman" w:hAnsi="Times New Roman"/>
          <w:b/>
        </w:rPr>
        <w:t>Magunkról</w:t>
      </w:r>
    </w:p>
    <w:p w14:paraId="1EDBEC86" w14:textId="2BD21345"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Az Európai Vasút Közös Vállalkozást (EU-Rail) a közös vállalkozásoknak a Horizont Európa keretében történő létrehozásáról szóló (EU) 2021/2085 tanácsi rendelet</w:t>
      </w:r>
      <w:r>
        <w:rPr>
          <w:rStyle w:val="FootnoteReference"/>
          <w:rFonts w:ascii="Times New Roman" w:hAnsi="Times New Roman" w:cs="Times New Roman"/>
          <w:bCs/>
        </w:rPr>
        <w:footnoteReference w:id="1"/>
      </w:r>
      <w:r>
        <w:rPr>
          <w:rFonts w:ascii="Times New Roman" w:hAnsi="Times New Roman"/>
        </w:rPr>
        <w:t xml:space="preserve"> hozta létre, amely 2021. november 30-án lépett hatályba, és amely a 642/2014/EU rendelettel</w:t>
      </w:r>
      <w:r>
        <w:rPr>
          <w:rStyle w:val="FootnoteReference"/>
          <w:rFonts w:ascii="Times New Roman" w:hAnsi="Times New Roman" w:cs="Times New Roman"/>
          <w:bCs/>
        </w:rPr>
        <w:footnoteReference w:id="2"/>
      </w:r>
      <w:r>
        <w:rPr>
          <w:rFonts w:ascii="Times New Roman" w:hAnsi="Times New Roman"/>
        </w:rPr>
        <w:t xml:space="preserve"> létrehozott Shift2Rail közös vállalkozás helyébe lépett és annak jogutódja.</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Az EU-Rail az Európai Unió működéséről szóló szerződés 187. cikke alapján létrehozott, a vasúti ágazatban működő köz-magán társulásként működik.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Az EU-Rail célja egy nagy kapacitású integrált európai vasúti hálózat létrehozása az interoperabilitást gátló akadályok felszámolása és a teljes integrációra vonatkozó – azaz a forgalomirányításra, a járművekre, az infrastruktúrára és a szolgáltatásokra kiterjedő – megoldások biztosítása révén, és amelynek célja a projektek és innovációk gyorsabb alkalmazásának és elterjedésének megvalósítása. Ennek során ki kell aknázni a digitalizációban és az automatizálásban rejlő hatalmas potenciált a vasút költségeinek csökkentése, kapacitásának növelése, valamint rugalmasságának és megbízhatóságának fokozása érdekében: mindezt a funkcionális rendszernek az ágazatban közös, stabil referenciaarchitektúrájára kell alapozni, az Európai Unió Vasúti Ügynökségével együttműködésben.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Az automatizálás és a digitalizáció terén elért eredményekre építve az EU-Rail célja az operatív és technológiai innovatív megoldások kutatásának, fejlesztésének és alkalmazásának felgyorsítása a vasúti rendszer radikális átalakításának megvalósítása és az európai zöld megállapodás célkitűzéseinek megvalósítása érdekében.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A közös vállalkozás számára az Európai Unió maximális pénzügyi hozzájárulása 600 millió EUR a 2021–2027-es időszakban, a projektvégrehajtás ezt követően további 4 évig folytatódik.</w:t>
      </w:r>
    </w:p>
    <w:p w14:paraId="738957E2" w14:textId="754CDF74"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A közös vállalkozás összesen 29 fős személyzettel rendelkezik, amely a pénzgazdálkodásra és adminisztrációra, a program- és projektmenedzsmentre, valamint a rendszerpillér megvalósítására összpontosító csoportok között oszlik meg.</w:t>
      </w:r>
    </w:p>
    <w:p w14:paraId="466CDFF8" w14:textId="6E460104" w:rsidR="00054B68" w:rsidRPr="00941457" w:rsidRDefault="00516AD8" w:rsidP="003542EC">
      <w:pPr>
        <w:spacing w:after="240" w:line="240" w:lineRule="auto"/>
        <w:jc w:val="both"/>
        <w:rPr>
          <w:rFonts w:ascii="Times New Roman" w:hAnsi="Times New Roman" w:cs="Times New Roman"/>
          <w:b/>
        </w:rPr>
      </w:pPr>
      <w:r>
        <w:rPr>
          <w:rFonts w:ascii="Times New Roman" w:hAnsi="Times New Roman"/>
          <w:b/>
        </w:rPr>
        <w:t>Ajánlatunk</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A közös vállalkozás ügyvezető igazgatói feladatköre.</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 xml:space="preserve">Az ügyvezető igazgató a közös vállalkozásnak az irányító testület döntéseivel összhangban végzett napi szintű működtetéséért felelős legfelsőbb vezetője. Az ügyvezető igazgató az irányító testület rendelkezésére bocsátja az irányító testület feladatai ellátásához szükséges összes információt. Az </w:t>
      </w:r>
      <w:r>
        <w:rPr>
          <w:rFonts w:ascii="Times New Roman" w:hAnsi="Times New Roman"/>
        </w:rPr>
        <w:lastRenderedPageBreak/>
        <w:t>uniós intézmények és az irányító testület vonatkozó hatásköreinek sérelme nélkül az ügyvezető igazgató nem kérhet és nem fogadhat el utasítást semmilyen kormánytól vagy egyéb szervtől.</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Az ügyvezető igazgató a közös vállalkozás jogi képviselője. Az ügyvezető igazgató a közös vállalkozás irányító testületének tartozik elszámolással.</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Az ügyvezető igazgatónak végre kell hajtania a közös vállalkozás költségvetését, és biztosítania kell a közös vállalkozás különböző szervei és szolgálatai közötti koordinációt. </w:t>
      </w:r>
    </w:p>
    <w:p w14:paraId="6840BDE0" w14:textId="5CF25E24" w:rsidR="000F2822" w:rsidRDefault="000F2822" w:rsidP="00BA6C84">
      <w:pPr>
        <w:jc w:val="both"/>
        <w:rPr>
          <w:rFonts w:ascii="Times New Roman" w:hAnsi="Times New Roman" w:cs="Times New Roman"/>
        </w:rPr>
      </w:pPr>
      <w:r>
        <w:rPr>
          <w:rFonts w:ascii="Times New Roman" w:hAnsi="Times New Roman"/>
        </w:rPr>
        <w:t>Az ügyvezető igazgató felel a közös vállalkozás munkaprogramjának kialakításáért és megvalósításáért annak biztosítása érdekében, hogy az elérje a fent meghatározott célokat, ugyanakkor megfelelően tükrözze a tagok eltérő érdekeit. Az ügyvezető igazgató vezető szerepet játszik a közös vállalkozás folyamatban lévő munkájának valamennyi érdekelt fél felé történő kommunikálásában.</w:t>
      </w:r>
    </w:p>
    <w:p w14:paraId="038EA614" w14:textId="34D62051"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Az ügyvezető igazgató feladatainak részletesebb leírása az (EU) 2021/2085 tanácsi rendelet 19. cikkében található.</w:t>
      </w:r>
    </w:p>
    <w:p w14:paraId="61C13B2B" w14:textId="73BC995B" w:rsidR="00E53957" w:rsidRPr="00941457" w:rsidRDefault="003542EC" w:rsidP="003542EC">
      <w:pPr>
        <w:spacing w:after="240" w:line="240" w:lineRule="auto"/>
        <w:jc w:val="both"/>
        <w:rPr>
          <w:rFonts w:ascii="Times New Roman" w:hAnsi="Times New Roman" w:cs="Times New Roman"/>
          <w:b/>
        </w:rPr>
      </w:pPr>
      <w:r>
        <w:rPr>
          <w:rFonts w:ascii="Times New Roman" w:hAnsi="Times New Roman"/>
          <w:b/>
        </w:rPr>
        <w:t>Elvárásaink (kiválasztási kritériumok)</w:t>
      </w:r>
    </w:p>
    <w:p w14:paraId="3FC7CD2A" w14:textId="6ED56909" w:rsidR="00E53957" w:rsidRPr="00941457" w:rsidRDefault="00E53957" w:rsidP="003542EC">
      <w:pPr>
        <w:spacing w:after="240" w:line="240" w:lineRule="auto"/>
        <w:jc w:val="both"/>
        <w:rPr>
          <w:rFonts w:ascii="Times New Roman" w:hAnsi="Times New Roman" w:cs="Times New Roman"/>
          <w:b/>
        </w:rPr>
      </w:pPr>
      <w:r>
        <w:rPr>
          <w:rFonts w:ascii="Times New Roman" w:hAnsi="Times New Roman"/>
          <w:b/>
          <w:u w:val="single"/>
        </w:rPr>
        <w:t xml:space="preserve">Vezetői készségek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megalapozott vezetői készség, képesség arra, hogy dinamikus és változó tudományos és operatív közegben vezessen egy jelentős szervezetet stratégiai és operatív irányítási szinten egyaránt,</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bizonyított kapacitás és komoly elért eredmények egy nagy szervezeti egység pénzügyi és emberi erőforrásainak kezelése és irányítása terén nemzeti, európai és/vagy nemzetközi összefüggésben,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nemzetközi környezetben szerzett jelentős tárgyalási tapasztalat,</w:t>
      </w:r>
    </w:p>
    <w:p w14:paraId="14A8D20C" w14:textId="17E6AF48"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w:t>
      </w:r>
      <w:r w:rsidR="001967CA">
        <w:rPr>
          <w:rFonts w:ascii="Times New Roman" w:hAnsi="Times New Roman"/>
        </w:rPr>
        <w:tab/>
      </w:r>
      <w:r>
        <w:rPr>
          <w:rFonts w:ascii="Times New Roman" w:hAnsi="Times New Roman"/>
        </w:rPr>
        <w:t>a multikulturális és többnyelvű környezetben szerzett vezetői tapasztalat előnyt jelent.</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rFonts w:ascii="Times New Roman" w:hAnsi="Times New Roman" w:cs="Times New Roman"/>
          <w:b/>
        </w:rPr>
      </w:pPr>
      <w:r>
        <w:rPr>
          <w:rFonts w:ascii="Times New Roman" w:hAnsi="Times New Roman"/>
          <w:b/>
          <w:u w:val="single"/>
        </w:rPr>
        <w:t xml:space="preserve">Szakértelem és szakmai tapasztalat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az Európai Unió intézményeinek, azok működésének, valamint a közöttük fennálló kapcsolatoknak a kiváló ismerete,</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az Unió vasúti közlekedéspolitikájának alapos ismerete és/vagy az e politika terén szerzett tapasztalat,</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előnyt jelent a vasúti és/vagy közlekedési kutatás és innováció terén folytatott nemzeti, nemzetközi vagy európai szintű kutatás–fejlesztés alapos ismerete,</w:t>
      </w:r>
    </w:p>
    <w:p w14:paraId="13ED046F" w14:textId="03AC37DD"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szintén előnyt jelent a nemzeti, európai vagy nemzetközi közigazgatásban szerzett tapasztalat.</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rFonts w:ascii="Times New Roman" w:hAnsi="Times New Roman" w:cs="Times New Roman"/>
          <w:b/>
        </w:rPr>
      </w:pPr>
      <w:r>
        <w:rPr>
          <w:rFonts w:ascii="Times New Roman" w:hAnsi="Times New Roman"/>
          <w:b/>
          <w:u w:val="single"/>
        </w:rPr>
        <w:t xml:space="preserve">Személyes tulajdonságok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képesség a belső és külső érdekelt felekkel – többek között a sajtóval, a nyilvánossággal, az európai, nemzetközi, nemzeti és helyi hatóságokkal, nemzetközi szervezetekkel – való hatékony és zökkenőmentes, átlátható és nyílt kommunikációra, valamint a közös vállalkozás külső fórumokon való képviseletére,</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lastRenderedPageBreak/>
        <w:t>–</w:t>
      </w:r>
      <w:r>
        <w:tab/>
      </w:r>
      <w:r>
        <w:rPr>
          <w:rFonts w:ascii="Times New Roman" w:hAnsi="Times New Roman"/>
        </w:rPr>
        <w:t>kiváló interperszonális készségek, valamint az uniós intézményekkel és a tagállamok illetékes hatóságaival való hatékony munkakapcsolatok fenntartásának képessége a közös vállalkozás szabályszerű működésének biztosítása céljából,</w:t>
      </w:r>
    </w:p>
    <w:p w14:paraId="46B488AB" w14:textId="417241A5" w:rsidR="00E53957" w:rsidRPr="00941457" w:rsidRDefault="00A75266" w:rsidP="00A75266">
      <w:pPr>
        <w:spacing w:after="240" w:line="240" w:lineRule="auto"/>
        <w:ind w:left="284" w:hanging="284"/>
        <w:jc w:val="both"/>
        <w:rPr>
          <w:rFonts w:ascii="Times New Roman" w:hAnsi="Times New Roman" w:cs="Times New Roman"/>
          <w:b/>
        </w:rPr>
      </w:pPr>
      <w:r>
        <w:rPr>
          <w:rFonts w:ascii="Times New Roman" w:hAnsi="Times New Roman"/>
        </w:rPr>
        <w:t>–</w:t>
      </w:r>
      <w:r>
        <w:tab/>
      </w:r>
      <w:r>
        <w:rPr>
          <w:rFonts w:ascii="Times New Roman" w:hAnsi="Times New Roman"/>
        </w:rPr>
        <w:t>képesség a közös vállalkozás általános elveinek (nyitottság, átláthatóság, függetlenség és tudományos kiválóság) érvényre juttatására.</w:t>
      </w:r>
    </w:p>
    <w:p w14:paraId="16EBE20A" w14:textId="623A5866" w:rsidR="003542EC" w:rsidRPr="00941457" w:rsidRDefault="003542EC" w:rsidP="003542EC">
      <w:pPr>
        <w:spacing w:after="240" w:line="240" w:lineRule="auto"/>
        <w:jc w:val="both"/>
        <w:rPr>
          <w:rFonts w:ascii="Times New Roman" w:hAnsi="Times New Roman" w:cs="Times New Roman"/>
          <w:b/>
        </w:rPr>
      </w:pPr>
      <w:r>
        <w:rPr>
          <w:rFonts w:ascii="Times New Roman" w:hAnsi="Times New Roman"/>
          <w:b/>
        </w:rPr>
        <w:t>A pályázóval szemben támasztott követelmények (pályázati feltételek)</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A kiválasztási szakaszban csak az a pályázó vehet részt, aki a </w:t>
      </w:r>
      <w:r>
        <w:rPr>
          <w:rFonts w:ascii="Times New Roman" w:hAnsi="Times New Roman"/>
          <w:b/>
        </w:rPr>
        <w:t>jelentkezési határidő lejártakor</w:t>
      </w:r>
      <w:r>
        <w:rPr>
          <w:rFonts w:ascii="Times New Roman" w:hAnsi="Times New Roman"/>
        </w:rPr>
        <w:t xml:space="preserve"> megfelel a következő formai követelményeknek:</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Állampolgárság</w:t>
      </w:r>
      <w:r>
        <w:rPr>
          <w:rFonts w:ascii="Times New Roman" w:hAnsi="Times New Roman"/>
        </w:rPr>
        <w:t>: a pályázó az Európai Unió valamely tagállamának állampolgára.</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Felsőoktatásban szerzett oklevél vagy diploma</w:t>
      </w:r>
      <w:r>
        <w:rPr>
          <w:rFonts w:ascii="Times New Roman" w:hAnsi="Times New Roman"/>
        </w:rPr>
        <w:t>: a pályázó</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vagy oklevéllel igazolt, legalább négyéves befejezett felsőoktatási tanulmányoknak megfelelő végzettséggel rendelkezik,</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vagy oklevéllel igazolt, legalább hároméves befejezett felsőoktatási tanulmányoknak megfelelő végzettséggel és legalább egyéves megfelelő szakmai tapasztalattal rendelkezik (ez az egyéves szakmai tapasztalat az alább megkövetelt, a végzettség megszerzését követő szakmai tapasztalat éveinek számába nem számítható bele).</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Szakmai tapasztalat</w:t>
      </w:r>
      <w:r>
        <w:rPr>
          <w:rFonts w:ascii="Times New Roman" w:hAnsi="Times New Roman"/>
        </w:rPr>
        <w:t>: a pályázók legalább 15 éves, a fenti végzettség megszerzését követően szerzett, annak megfelelő szakmai tapasztalattal</w:t>
      </w:r>
      <w:r>
        <w:rPr>
          <w:rStyle w:val="FootnoteReference"/>
          <w:rFonts w:ascii="Times New Roman" w:hAnsi="Times New Roman" w:cs="Times New Roman"/>
        </w:rPr>
        <w:footnoteReference w:id="3"/>
      </w:r>
      <w:r>
        <w:rPr>
          <w:rFonts w:ascii="Times New Roman" w:hAnsi="Times New Roman"/>
        </w:rPr>
        <w:t xml:space="preserve"> rendelkeznek. Az említett szakmai tapasztalatból legalább öt évet a közös vállalkozás tevékenységi területén szerzett.</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Vezetői tapasztalat</w:t>
      </w:r>
      <w:r>
        <w:rPr>
          <w:rFonts w:ascii="Times New Roman" w:hAnsi="Times New Roman"/>
        </w:rPr>
        <w:t>: a pályázó az említett, a fenti végzettség megszerzését követően szerzett szakmai tapasztalatból legalább öt évet felső vezetői munkakörben</w:t>
      </w:r>
      <w:r>
        <w:rPr>
          <w:rStyle w:val="FootnoteReference"/>
          <w:rFonts w:ascii="Times New Roman" w:hAnsi="Times New Roman" w:cs="Times New Roman"/>
        </w:rPr>
        <w:footnoteReference w:id="4"/>
      </w:r>
      <w:r>
        <w:rPr>
          <w:rFonts w:ascii="Times New Roman" w:hAnsi="Times New Roman"/>
        </w:rPr>
        <w:t>, az itt meghirdetett munkakörhöz kapcsolódó területen szerzett.</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Nyelvismeret</w:t>
      </w:r>
      <w:r>
        <w:rPr>
          <w:rFonts w:ascii="Times New Roman" w:hAnsi="Times New Roman"/>
        </w:rPr>
        <w:t>: a pályázó az Európai Unió egyik hivatalos nyelvét</w:t>
      </w:r>
      <w:r>
        <w:rPr>
          <w:rStyle w:val="FootnoteReference"/>
          <w:rFonts w:ascii="Times New Roman" w:hAnsi="Times New Roman" w:cs="Times New Roman"/>
        </w:rPr>
        <w:footnoteReference w:id="5"/>
      </w:r>
      <w:r>
        <w:rPr>
          <w:rFonts w:ascii="Times New Roman" w:hAnsi="Times New Roman"/>
        </w:rPr>
        <w:t xml:space="preserve"> magas szinten, egy további hivatalos nyelvét pedig kielégítő szinten ismeri. A kiválasztási bizottság az interjú(k) során ellenőrzi, hogy a pályázók eleget tesznek-e a másik hivatalos uniós nyelv kielégítő szintű ismeretére vonatkozó követelménynek. E célból az interjú (egy része) esetlegesen ezen a másik nyelven zajlik.</w:t>
      </w:r>
    </w:p>
    <w:p w14:paraId="7B8FE672" w14:textId="68807A53" w:rsidR="003542EC" w:rsidRPr="001967CA"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Korhatár</w:t>
      </w:r>
      <w:r>
        <w:rPr>
          <w:rFonts w:ascii="Times New Roman" w:hAnsi="Times New Roman"/>
        </w:rPr>
        <w:t>: a pályázó életkora lehetővé teszi, hogy a jelentkezési határidőtől számítva a teljes négyéves megbízatást a nyugdíjkorhatár elérése előtt kitöltse. Az Európai Unió ideiglenes alkalmazottaira vonatkozóan a nyugdíjkorhatár azon hónap utolsó napja, amely során az érintett a 66. életévét betölti (lásd az Európai Unió egyéb alkalmazottaira vonatkozó alkalmazási feltételek</w:t>
      </w:r>
      <w:r>
        <w:rPr>
          <w:rStyle w:val="FootnoteReference"/>
          <w:rFonts w:ascii="Times New Roman" w:hAnsi="Times New Roman" w:cs="Times New Roman"/>
        </w:rPr>
        <w:footnoteReference w:id="6"/>
      </w:r>
      <w:r>
        <w:rPr>
          <w:rFonts w:ascii="Times New Roman" w:hAnsi="Times New Roman"/>
        </w:rPr>
        <w:t xml:space="preserve"> 47. cikkét).</w:t>
      </w:r>
    </w:p>
    <w:p w14:paraId="23E1AE80" w14:textId="77777777" w:rsidR="001967CA" w:rsidRPr="00941457" w:rsidRDefault="001967CA" w:rsidP="001967CA">
      <w:pPr>
        <w:pStyle w:val="ListParagraph"/>
        <w:spacing w:after="240" w:line="240" w:lineRule="auto"/>
        <w:ind w:left="284"/>
        <w:contextualSpacing w:val="0"/>
        <w:jc w:val="both"/>
        <w:rPr>
          <w:rFonts w:ascii="Times New Roman" w:hAnsi="Times New Roman" w:cs="Times New Roman"/>
        </w:rPr>
      </w:pPr>
    </w:p>
    <w:p w14:paraId="2C3E8783" w14:textId="77777777"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lastRenderedPageBreak/>
        <w:t>Kiválasztás és kinevezés</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Az ügyvezető igazgatót az Európai Bizottság által biztosított, előválogatott jelöltek listájáról a közös vállalkozás irányító testülete nevezi ki.</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Az előválogatott pályázók listájának összeállítása céljából az Európai Bizottság saját kiválasztási és felvételi eljárásai szerint kiválasztást szervez (lásd a felső vezetők alkalmazási politikájára vonatkozó összefoglaló dokumentumot</w:t>
      </w:r>
      <w:r>
        <w:rPr>
          <w:rStyle w:val="FootnoteReference"/>
          <w:rFonts w:ascii="Times New Roman" w:hAnsi="Times New Roman" w:cs="Times New Roman"/>
        </w:rPr>
        <w:footnoteReference w:id="7"/>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A kiválasztási eljárás keretében az Európai Bizottság előválogató bizottságot hoz létre, amely az (EU) 2021/2085 tanácsi rendelettel összhangban a közös vállalkozás Uniótól eltérő tagjai</w:t>
      </w:r>
      <w:r>
        <w:rPr>
          <w:rStyle w:val="FootnoteReference"/>
          <w:rFonts w:ascii="Times New Roman" w:hAnsi="Times New Roman" w:cs="Times New Roman"/>
          <w:sz w:val="20"/>
        </w:rPr>
        <w:footnoteReference w:id="8"/>
      </w:r>
      <w:r>
        <w:rPr>
          <w:rFonts w:ascii="Times New Roman" w:hAnsi="Times New Roman"/>
        </w:rPr>
        <w:t xml:space="preserve"> által kinevezett egy-egy képviselőből, valamint az irányító testület által kinevezett egy-egy megfigyelőből áll.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Ez a bizottság megvizsgálja a benyújtott pályázatokat, elvégzi a pályázati feltételek teljesülésének előzetes ellenőrzését, és kiválasztja a fentiekben ismertetett kiválasztási kritériumoknak leginkább megfelelő pályázókat, akik az előválogató bizottsággal folytatandó interjúra kaphatnak meghívást.</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Az interjúkat követően az előválogató bizottság kialakítja a véleményét, és javaslatot tesz azon pályázók listájára, akik további interjúkon vehetnek részt az Európai Bizottság kinevezési tanácsadó bizottságával. A kinevezési tanácsadó bizottság az előválogató bizottság véleményét figyelembe véve határoz arról, hogy erre az interjúra mely pályázók kapnak meghívást.</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 kinevezési tanácsadó bizottsággal folytatandó interjúra meghívott pályázók külső személyzeti felvételi tanácsadók által szervezett egész napos vezetői értékelőközpontban (assessment centre) lebonyolított vizsgákon vesznek részt. Az interjú és az értékelőközpontról készült jelentés eredményei alapján a kinevezési tanácsadó bizottság összeállítja azon előválogatott jelöltek listáját, akik a megítélése szerint alkalmasak az Európai Vasút Közös Vállalkozás ügyvezető igazgatói munkakörének betöltésére.</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 kinevezési tanácsadó bizottság által kiválasztott pályázókat ezután a közös vállalkozással való kapcsolattartást végző főigazgatóságért felelős egy vagy több biztos hallgatja meg.</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Az interjúkat követően az Európai Bizottság elfogadja a legalkalmasabb pályázók listáját, amelyen lehetőleg legalább három pályázó neve szerepel, és ezt továbbítja az Európai Vasút Közös Vállalkozás irányító testületének. Ez utóbbi szintén meghallgathatja a pályázókat, mielőtt a Bizottság által listára vett pályázók közül kinevezi az ügyvezető igazgatót. A legalkalmasabb pályázók listájára vétel nem jelent semmiféle garanciát a kinevezésre.</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Előfordulhat, hogy a pályázóknak a fentieken kívül további interjúkon és/vagy vizsgákon kell részt venniük. Előfordulhat továbbá, hogy nyilatkozatot kell tenniük az Európai Parlament illetékes bizottsága(i) előtt.</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A kiválasztott pályázónak tagállama nemzeti biztonsági hatóságától származó érvényes biztonsági tanúsítványról szóló igazolással kell rendelkeznie, vagy módjában kell, hogy álljon annak megszerzése. A személyi biztonsági tanúsítvány olyan közigazgatási határozat, amelyet az érintett személy illetékes nemzeti biztonsági hatósága által a vonatkozó nemzeti biztonsági jogszabályoknak és rendelkezéseknek megfelelően elvégzett biztonsági ellenőrzést követően adnak ki, és amely igazolja, hogy az illető hozzáférhet meghatározott szintű minősített adatokhoz. (Felhívjuk a figyelmet arra, hogy a biztonsági tanúsítvány megszerzéséhez szükséges eljárást csak a munkáltató kezdeményeztetheti, az adott pályázó nem).</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A jelölt mindaddig nem férhet hozzá a CONFIDENTIEL UE/EU CONFIDENTIAL vagy magasabb szintű EU-minősített adatokhoz, és nem vehet részt az ilyen EU-minősített adatokat megvitató </w:t>
      </w:r>
      <w:r>
        <w:rPr>
          <w:rFonts w:ascii="Times New Roman" w:hAnsi="Times New Roman"/>
        </w:rPr>
        <w:lastRenderedPageBreak/>
        <w:t>üléseken, amíg az érintett tagállam meg nem adja a személyi biztonsági tanúsítványt, és amíg a biztonsági ellenőrzési eljárás le nem zárul az Európai Bizottság Biztonsági Igazgatóságától származó, jogilag előírt tájékoztatással.</w:t>
      </w:r>
    </w:p>
    <w:p w14:paraId="7A4B04ED" w14:textId="4E6F4819" w:rsidR="00941457" w:rsidRPr="00941457" w:rsidRDefault="00941457" w:rsidP="00941457">
      <w:pPr>
        <w:spacing w:after="240" w:line="240" w:lineRule="auto"/>
        <w:jc w:val="both"/>
        <w:rPr>
          <w:rFonts w:ascii="Times New Roman" w:hAnsi="Times New Roman" w:cs="Times New Roman"/>
          <w:b/>
        </w:rPr>
      </w:pPr>
      <w:r>
        <w:rPr>
          <w:rFonts w:ascii="Times New Roman" w:hAnsi="Times New Roman"/>
          <w:b/>
        </w:rPr>
        <w:t xml:space="preserve">Esélyegyenlőség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A Bizottság és a közös vállalkozás stratégiai célkitűzése az, hogy jelenlegi megbízatásának végéig valamennyi igazgatási szinten megvalósuljon a nemek közötti egyenlőség, és a személyzeti szabályzat</w:t>
      </w:r>
      <w:r>
        <w:rPr>
          <w:rStyle w:val="FootnoteReference"/>
          <w:rFonts w:ascii="Times New Roman" w:hAnsi="Times New Roman" w:cs="Times New Roman"/>
        </w:rPr>
        <w:footnoteReference w:id="9"/>
      </w:r>
      <w:r>
        <w:rPr>
          <w:rFonts w:ascii="Times New Roman" w:hAnsi="Times New Roman"/>
        </w:rPr>
        <w:t xml:space="preserve"> 1d. cikkével összhangban esélyegyenlőségi és megkülönböztetésmentességi politikát alkalmaz, amely ösztönzi azokat a pályázatokat, amelyek hozzájárulhatnak a nagyobb sokszínűséghez, a nemek közötti egyenlőséghez és az általános földrajzi egyensúlyhoz.</w:t>
      </w:r>
    </w:p>
    <w:p w14:paraId="09950794" w14:textId="0911026D" w:rsidR="006B1671" w:rsidRPr="00941457" w:rsidRDefault="005B116D" w:rsidP="003542EC">
      <w:pPr>
        <w:spacing w:after="240" w:line="240" w:lineRule="auto"/>
        <w:jc w:val="both"/>
        <w:rPr>
          <w:rFonts w:ascii="Times New Roman" w:hAnsi="Times New Roman" w:cs="Times New Roman"/>
          <w:b/>
        </w:rPr>
      </w:pPr>
      <w:r>
        <w:rPr>
          <w:rFonts w:ascii="Times New Roman" w:hAnsi="Times New Roman"/>
          <w:b/>
        </w:rPr>
        <w:t xml:space="preserve">Sokszínűség és befogadás </w:t>
      </w:r>
    </w:p>
    <w:p w14:paraId="44C17C93" w14:textId="2DFE0231" w:rsidR="005B116D" w:rsidRPr="00412F66" w:rsidRDefault="005B116D" w:rsidP="003542EC">
      <w:pPr>
        <w:spacing w:after="240" w:line="240" w:lineRule="auto"/>
        <w:jc w:val="both"/>
        <w:rPr>
          <w:rFonts w:ascii="Times New Roman" w:hAnsi="Times New Roman" w:cs="Times New Roman"/>
          <w:b/>
        </w:rPr>
      </w:pPr>
      <w:r>
        <w:rPr>
          <w:rFonts w:ascii="Times New Roman" w:hAnsi="Times New Roman"/>
        </w:rPr>
        <w:t xml:space="preserve">A közös vállalkozás elismeri, hogy a munka és a magánélet közötti egészséges egyensúly sok ember számára fontos motivációs tényező, és hogy a rugalmas munkavégzés egyre erősebb elvárás a modern munkakörnyezet részeként.  A közös vállalkozás munkáltatóként elkötelezett a nemek közötti egyenlőség biztosítása és a megkülönböztetés minden formájának kiküszöbölése mellett. A közös vállalkozás kifejezetten támogatja, hogy a különböző háttérrel és képességekkel rendelkező, földrajzi szempontból az uniós tagállamok lehető legszélesebb körét képviselő, megfelelően képzett pályázók mindegyike benyújtsa jelentkezését. A nemek közötti egyenlőség előmozdítása érdekében a közös vállalkozás különösen ösztönzi a nők jelentkezését. A fogyatékossággal élő személyek segítségnyújtásban részesülhetnek a felvételi eljárás során. </w:t>
      </w:r>
    </w:p>
    <w:p w14:paraId="19F8019A" w14:textId="77777777" w:rsidR="006B1671" w:rsidRPr="00941457" w:rsidRDefault="006B1671" w:rsidP="003542EC">
      <w:pPr>
        <w:spacing w:after="240" w:line="240" w:lineRule="auto"/>
        <w:jc w:val="both"/>
        <w:rPr>
          <w:rFonts w:ascii="Times New Roman" w:hAnsi="Times New Roman" w:cs="Times New Roman"/>
          <w:b/>
        </w:rPr>
      </w:pPr>
      <w:r>
        <w:rPr>
          <w:rFonts w:ascii="Times New Roman" w:hAnsi="Times New Roman"/>
          <w:b/>
        </w:rPr>
        <w:t>Alkalmazási feltételek</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A javadalmazás és az alkalmazási feltételek tekintetében az Európai Unió egyéb alkalmazottaira vonatkozó alkalmazási feltételek rendelkezései az irányadók.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A sikeres pályázót az Európai Vasút Közös Vállalkozás AD 14-es besorolási fokozatú ideiglenes alkalmazottként alkalmazza. Szakmai tapasztalatának hosszától függően a besorolási fokozaton belül az 1. vagy a 2. fizetési fokozatba sorolják be.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Az ügyvezető igazgató kinevezése négyéves időtartamra szól, amely a közös vállalkozást létrehozó rendeletnek megfelelően legfeljebb három évvel meghosszabbítható.</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Felhívjuk a pályázók figyelmét, hogy az Európai Unió egyéb alkalmazottaira vonatkozó alkalmazási feltételek értelmében valamennyi újonnan felvett munkatárs kilenc hónapos próbaidő letöltésére köteles.</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A munkavégzés helye Brüsszel, Belgium.</w:t>
      </w:r>
    </w:p>
    <w:p w14:paraId="474DC449" w14:textId="0087A855"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Fontos tudnivaló a pályázók számára</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Felhívjuk a pályázók figyelmét, hogy a kiválasztási bizottságok munkája bizalmas. A bizottságok tagjaival sem a pályázók, sem a nevükben eljáró más személyek nem léphetnek közvetlenül vagy közvetve kapcsolatba. Minden megkeresést a megfelelő bizottság titkárságának kell címezni.</w:t>
      </w:r>
    </w:p>
    <w:p w14:paraId="582C85BE" w14:textId="77777777" w:rsidR="001967CA" w:rsidRDefault="001967CA" w:rsidP="00CB0E68">
      <w:pPr>
        <w:spacing w:after="240" w:line="240" w:lineRule="auto"/>
        <w:jc w:val="both"/>
        <w:rPr>
          <w:rFonts w:ascii="Times New Roman" w:hAnsi="Times New Roman"/>
          <w:b/>
        </w:rPr>
      </w:pPr>
    </w:p>
    <w:p w14:paraId="64208DB4" w14:textId="77777777" w:rsidR="001967CA" w:rsidRDefault="001967CA" w:rsidP="00CB0E68">
      <w:pPr>
        <w:spacing w:after="240" w:line="240" w:lineRule="auto"/>
        <w:jc w:val="both"/>
        <w:rPr>
          <w:rFonts w:ascii="Times New Roman" w:hAnsi="Times New Roman"/>
          <w:b/>
        </w:rPr>
      </w:pPr>
    </w:p>
    <w:p w14:paraId="062C7170" w14:textId="77777777" w:rsidR="001967CA" w:rsidRDefault="001967CA" w:rsidP="00CB0E68">
      <w:pPr>
        <w:spacing w:after="240" w:line="240" w:lineRule="auto"/>
        <w:jc w:val="both"/>
        <w:rPr>
          <w:rFonts w:ascii="Times New Roman" w:hAnsi="Times New Roman"/>
          <w:b/>
        </w:rPr>
      </w:pPr>
    </w:p>
    <w:p w14:paraId="03023E47" w14:textId="2848A69C" w:rsidR="00CB0E68" w:rsidRPr="008649AA" w:rsidRDefault="00CB0E68" w:rsidP="00CB0E68">
      <w:pPr>
        <w:spacing w:after="240" w:line="240" w:lineRule="auto"/>
        <w:jc w:val="both"/>
        <w:rPr>
          <w:rFonts w:ascii="Times New Roman" w:hAnsi="Times New Roman" w:cs="Times New Roman"/>
          <w:b/>
        </w:rPr>
      </w:pPr>
      <w:bookmarkStart w:id="0" w:name="_GoBack"/>
      <w:bookmarkEnd w:id="0"/>
      <w:r>
        <w:rPr>
          <w:rFonts w:ascii="Times New Roman" w:hAnsi="Times New Roman"/>
          <w:b/>
        </w:rPr>
        <w:lastRenderedPageBreak/>
        <w:t>A személyes adatok védelme</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A Bizottság gondoskodik arról, hogy a pályázók személyes adatait az (EU) 2018/1725 európai parlamenti és tanácsi rendeletnek</w:t>
      </w:r>
      <w:r>
        <w:rPr>
          <w:rStyle w:val="FootnoteReference"/>
          <w:rFonts w:ascii="Times New Roman" w:hAnsi="Times New Roman" w:cs="Times New Roman"/>
        </w:rPr>
        <w:footnoteReference w:id="10"/>
      </w:r>
      <w:r>
        <w:rPr>
          <w:rFonts w:ascii="Times New Roman" w:hAnsi="Times New Roman"/>
        </w:rPr>
        <w:t xml:space="preserve"> megfelelően kezeljék. Ez különösen vonatkozik az ilyen adatok bizalmas jellegére és biztonságára.</w:t>
      </w:r>
    </w:p>
    <w:p w14:paraId="6B0D715B" w14:textId="38C42627" w:rsidR="00F75D74" w:rsidRPr="00941457" w:rsidRDefault="00F75D74" w:rsidP="00F75D74">
      <w:pPr>
        <w:spacing w:after="240" w:line="240" w:lineRule="auto"/>
        <w:jc w:val="both"/>
        <w:rPr>
          <w:rFonts w:ascii="Times New Roman" w:hAnsi="Times New Roman" w:cs="Times New Roman"/>
          <w:b/>
        </w:rPr>
      </w:pPr>
      <w:r>
        <w:rPr>
          <w:rFonts w:ascii="Times New Roman" w:hAnsi="Times New Roman"/>
          <w:b/>
        </w:rPr>
        <w:t>Függetlenség és érdekeltségi nyilatkozat</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Hivatalba lépése előtt az ügyvezető igazgatónak nyilatkozatban kell vállalnia, hogy feladatai ellátása során függetlenül, kizárólag a köz érdekében jár el, és nyilatkoznia kell a függetlenségét esetleg befolyásoló bármely érdekeltségéről.</w:t>
      </w:r>
    </w:p>
    <w:p w14:paraId="0944E905" w14:textId="355DDE69"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Jelentkezési eljárás</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Pályázatának benyújtása előtt gondosan ellenőrizze, hogy valóban megfelel-e valamennyi pályázati feltételnek („A pályázóval szemben támasztott követelmények”), különös tekintettel a megkövetelt oklevélre és magas szintű szakmai tapasztalatra, valamint a nyelvismeretre. Azt a pályázót, aki valamelyik pályázati feltételnek nem felel meg, a kiválasztási eljárásból automatikusan kizárjuk.</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Amennyiben jelentkezni kíván, regisztráljon az alábbi internetes oldalon, és kövesse az eljárás egyes szakaszaira vonatkozó utasításokat: </w:t>
      </w:r>
    </w:p>
    <w:p w14:paraId="3DBA8489" w14:textId="77777777" w:rsidR="001F08A9" w:rsidRPr="00941457" w:rsidRDefault="001967CA" w:rsidP="003542EC">
      <w:pPr>
        <w:spacing w:after="240" w:line="240" w:lineRule="auto"/>
        <w:jc w:val="both"/>
        <w:rPr>
          <w:rFonts w:ascii="Times New Roman" w:hAnsi="Times New Roman" w:cs="Times New Roman"/>
        </w:rPr>
      </w:pPr>
      <w:hyperlink r:id="rId8" w:history="1">
        <w:r w:rsidR="00703296">
          <w:rPr>
            <w:rStyle w:val="Hyperlink"/>
            <w:rFonts w:ascii="Times New Roman" w:hAnsi="Times New Roman"/>
          </w:rPr>
          <w:t>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Mindenképpen rendelkeznie kell érvényes e-mail-címmel. Ennek segítségével igazoljuk vissza regisztrációját, és ezen tartjuk Önnel a kapcsolatot az eljárás különböző szakaszai során. Ebből következően e-mail-címének esetleges későbbi változásairól értesítenie kell majd az Európai Bizottságot.</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A pályázónak a jelentkezés részeként – a lehetőleg Europass önéletrajzi formátumban</w:t>
      </w:r>
      <w:r>
        <w:rPr>
          <w:rStyle w:val="FootnoteReference"/>
          <w:rFonts w:ascii="Times New Roman" w:hAnsi="Times New Roman" w:cs="Times New Roman"/>
        </w:rPr>
        <w:footnoteReference w:id="11"/>
      </w:r>
      <w:r>
        <w:rPr>
          <w:rFonts w:ascii="Times New Roman" w:hAnsi="Times New Roman"/>
        </w:rPr>
        <w:t xml:space="preserve"> elkészített – önéletrajzát PDF formátumban fel kell töltenie, továbbá (legfeljebb 8 000 karakter terjedelemben) online motivációs levelet kell írnia. Önéletrajzát és motivációs levelét az Európai Unió bármely hivatalos nyelvén benyújthatja.</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A pályázó érdeke, hogy jelentkezése pontos, alapos és valósághű legyen.</w:t>
      </w:r>
    </w:p>
    <w:p w14:paraId="1E1FFB65" w14:textId="77777777"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rPr>
        <w:t xml:space="preserve">Az internetes regisztráció befejeztével a pályázó elektronikus levélben kap visszaigazolást jelentkezésének regisztrálásáról. </w:t>
      </w:r>
      <w:r>
        <w:rPr>
          <w:rFonts w:ascii="Times New Roman" w:hAnsi="Times New Roman"/>
          <w:b/>
        </w:rPr>
        <w:t>Amennyiben nem kap visszaigazoló e-mailt, ez azt jelenti, hogy jelentkezését nem regisztráltuk!</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Felhívjuk figyelmét, hogy a pályázat folyamatának online nyomon követésére nincs lehetőség. A jelentkezését érintő ügyekben az Európai Bizottság közvetlenül fogja Önnel felvenni a kapcsolatot.</w:t>
      </w:r>
    </w:p>
    <w:p w14:paraId="1EA4113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b/>
        </w:rPr>
        <w:t xml:space="preserve">Az e-mailben elküldött pályázatokat nem fogadjuk el. </w:t>
      </w:r>
      <w:r>
        <w:rPr>
          <w:rFonts w:ascii="Times New Roman" w:hAnsi="Times New Roman"/>
        </w:rPr>
        <w:t xml:space="preserve">Amennyiben további információra van szüksége, illetve technikai problémával szembesül, kérjük, jelezze a következő e-mail-címen: </w:t>
      </w:r>
      <w:r>
        <w:t xml:space="preserve"> </w:t>
      </w:r>
      <w:r>
        <w:br/>
      </w:r>
      <w:hyperlink r:id="rId9" w:history="1">
        <w:r>
          <w:rPr>
            <w:rStyle w:val="Hyperlink"/>
            <w:rFonts w:ascii="Times New Roman" w:hAnsi="Times New Roman"/>
          </w:rPr>
          <w:t>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Az elektronikus regisztráció határidőn belüli elvégzéséért a pályázót terheli a felelősség. Nyomatékosan javasoljuk, hogy a jelentkezéssel ne várjon az utolsó napokig, mivel a hálózat esetleges túlterheltsége vagy az internetkapcsolat meghibásodása miatt előfordulhat, hogy az elektronikus regisztráció folyamata félbeszakad, és ekkor újra kell kezdenie az eljárást. A regisztrációra vonatkozó </w:t>
      </w:r>
      <w:r>
        <w:rPr>
          <w:rFonts w:ascii="Times New Roman" w:hAnsi="Times New Roman"/>
        </w:rPr>
        <w:lastRenderedPageBreak/>
        <w:t>határidő lejárta után nem lesz lehetősége semmiféle adatot bevinni. Késedelmes regisztrációt nem fogadunk el.</w:t>
      </w:r>
    </w:p>
    <w:p w14:paraId="6E0BFD8E" w14:textId="611C94DD" w:rsidR="00717779" w:rsidRPr="00941457" w:rsidRDefault="001F08A9" w:rsidP="003542EC">
      <w:pPr>
        <w:spacing w:after="240" w:line="240" w:lineRule="auto"/>
        <w:jc w:val="both"/>
        <w:rPr>
          <w:rFonts w:ascii="Times New Roman" w:hAnsi="Times New Roman" w:cs="Times New Roman"/>
          <w:b/>
        </w:rPr>
      </w:pPr>
      <w:r>
        <w:rPr>
          <w:rFonts w:ascii="Times New Roman" w:hAnsi="Times New Roman"/>
          <w:b/>
        </w:rPr>
        <w:t xml:space="preserve">Határidő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A regisztráció határideje </w:t>
      </w:r>
      <w:r>
        <w:rPr>
          <w:rFonts w:ascii="Times New Roman" w:hAnsi="Times New Roman"/>
          <w:b/>
        </w:rPr>
        <w:t>2023. május 15., brüsszeli idő szerint déli 12 óra</w:t>
      </w:r>
      <w:r>
        <w:rPr>
          <w:rFonts w:ascii="Times New Roman" w:hAnsi="Times New Roman"/>
        </w:rPr>
        <w:t>, amely időpontot követően regisztrációra már nincs lehetőség.</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0AFAF403"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1967CA">
          <w:rPr>
            <w:rFonts w:ascii="Times New Roman" w:hAnsi="Times New Roman" w:cs="Times New Roman"/>
            <w:noProof/>
          </w:rPr>
          <w:t>7</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rFonts w:ascii="Arial" w:hAnsi="Arial" w:cs="Arial"/>
          <w:sz w:val="16"/>
          <w:szCs w:val="16"/>
        </w:rPr>
      </w:pPr>
      <w:r>
        <w:rPr>
          <w:rStyle w:val="FootnoteReference"/>
        </w:rPr>
        <w:footnoteRef/>
      </w:r>
      <w:r>
        <w:t xml:space="preserve"> </w:t>
      </w:r>
      <w:r>
        <w:rPr>
          <w:rFonts w:ascii="Times New Roman" w:hAnsi="Times New Roman"/>
          <w:sz w:val="16"/>
        </w:rPr>
        <w:t>A Tanács (EU) 2021/2085 rendelete (2021. november 19.) a közös vállalkozásoknak a Horizont Európa keretében történő létrehozásáról, valamint a 219/2007/EK, az 557/2014/EU, az 558/2014/EU, az 559/2014/EU, az 560/2014/EU, az 561/2014/EU és a 642/2014/EU rendelet hatályon kívül helyezéséről (HL L 427., 2021.11.30., 17. o.).</w:t>
      </w:r>
    </w:p>
  </w:footnote>
  <w:footnote w:id="2">
    <w:p w14:paraId="7668A20E" w14:textId="23E1328A" w:rsidR="00CE1852" w:rsidRPr="00526673" w:rsidRDefault="00CE1852">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sz w:val="16"/>
        </w:rPr>
        <w:t>A Tanács 642/2014/EU rendelete (2014. június 16.) a Shift2Rail közös vállalkozás létrehozásáról (HL L 177., 2014.6.17., 9. o.).</w:t>
      </w:r>
    </w:p>
  </w:footnote>
  <w:footnote w:id="3">
    <w:p w14:paraId="617D2DD6" w14:textId="77777777"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A szakmai tapasztalat csak akkor vehető figyelembe, ha arra a pályázó olyan tényleges munkaviszony keretében tett szert, amelyet valós, fizetett (bármilyen típusú szerződéssel rendelkező) alkalmazottként vagy szolgáltatóként végzett munka jellemez. A részmunkaidőben végzett szakmai tevékenységeket arányosan, a teljes munkaidő igazolt hányada alapján kell kiszámítani. A szülési szabadság/szülői szabadság/örökbefogadási szabadság akkor vehető figyelembe, ha arra munkaszerződés keretében került sor.  A doktori tanulmányok akkor is szakmai tapasztalatnak minősülnek, ha nem fizetettek, ugyanakkor az ilyen tanulmányok időtartamából legfeljebb három év vehető szakmai tapasztalatként figyelembe, és kizárólag abban az esetben, ha a pályázó az adott doktori képzést sikeresen elvégezte. Egy adott időszak csak egyszer vehető figyelembe.</w:t>
      </w:r>
    </w:p>
  </w:footnote>
  <w:footnote w:id="4">
    <w:p w14:paraId="1A544615" w14:textId="07711914"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Önéletrajzukban a pályázók a vezetői munkakörben töltött évekre vonatkozóan egyértelműen közöljék a következőket: 1. a betöltött vezető beosztások megnevezése és az ezekhez tartozó munkakör; 2. a felügyelt személyzet létszáma; 3. az irányításuk alá tartozó költségvetés nagysága; 4. a hierarchiában alattuk és felettük lévő szintek száma, valamint 5. a velük azonos beosztásban lévő munkatársak száma.</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Fonts w:ascii="Times New Roman" w:hAnsi="Times New Roman"/>
            <w:sz w:val="16"/>
          </w:rPr>
          <w:t>https://eur-lex.europa.eu/legal-content/HU/TXT/?uri=CELEX%3A01958R0001-20130701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https://eur-lex.europa.eu/legal-content/HU/TXT/?uri=CELEX%3A01962R0031-20140701</w:t>
        </w:r>
      </w:hyperlink>
      <w:r>
        <w:rPr>
          <w:rStyle w:val="Hyperlink"/>
          <w:rFonts w:ascii="Times New Roman" w:hAnsi="Times New Roman"/>
          <w:sz w:val="16"/>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rFonts w:ascii="Times New Roman" w:hAnsi="Times New Roman"/>
          <w:sz w:val="16"/>
        </w:rPr>
        <w:t xml:space="preserve"> </w:t>
      </w:r>
      <w:r>
        <w:rPr>
          <w:rStyle w:val="Hyperlink"/>
          <w:rFonts w:ascii="Times New Roman" w:hAnsi="Times New Roman"/>
          <w:sz w:val="16"/>
          <w:u w:val="none"/>
        </w:rPr>
        <w:t xml:space="preserve"> </w:t>
      </w:r>
      <w:r>
        <w:tab/>
      </w:r>
      <w:hyperlink r:id="rId3" w:history="1">
        <w:r>
          <w:rPr>
            <w:rStyle w:val="Hyperlink"/>
            <w:rFonts w:ascii="Times New Roman" w:hAnsi="Times New Roman"/>
            <w:sz w:val="16"/>
          </w:rPr>
          <w:t>https://commission.europa.eu/jobs-european-commission/job-opportunities/managers-european-commission_en</w:t>
        </w:r>
      </w:hyperlink>
      <w:r>
        <w:rPr>
          <w:rFonts w:ascii="Times New Roman" w:hAnsi="Times New Roman"/>
          <w:sz w:val="16"/>
        </w:rPr>
        <w:t xml:space="preserve"> (csak angolul)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sz w:val="16"/>
        </w:rPr>
        <w:t>Az Uniótól eltérő tag: „bármely részt vevő állam, magánszektorbeli tag vagy nemzetközi szervezet, amely egy közös vállalkozás tagja”.</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https://eur-lex.europa.eu/legal-content/HU/TXT/?uri=CELEX%3A01962R0031-20140701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Az Európai Parlament és a Tanács (EU) 2018/1725 rendelete (2018. október 23.) a természetes személyeknek a személyes adatok uniós intézmények, szervek, hivatalok és ügynökségek általi kezelése tekintetében való védelméről és az ilyen adatok szabad áramlásáról, valamint a 45/2001/EK rendelet és az 1247/2002/EK határozat hatályon kívül helyezéséről (HL L 295., 2018.11.21., 39. o.).</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Europass önéletrajzának online elkészítésével kapcsolatban az alábbi címen tájékozódhat: </w:t>
      </w:r>
      <w:hyperlink r:id="rId4" w:history="1">
        <w:r>
          <w:rPr>
            <w:rStyle w:val="Hyperlink"/>
            <w:rFonts w:ascii="Times New Roman" w:hAnsi="Times New Roman"/>
            <w:sz w:val="16"/>
          </w:rPr>
          <w:t>https://europa.eu/europass/hu/create-europass-cv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967CA"/>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HU/TXT/?uri=CELEX%3A01962R0031-20140701" TargetMode="External"/><Relationship Id="rId1" Type="http://schemas.openxmlformats.org/officeDocument/2006/relationships/hyperlink" Target="https://eur-lex.europa.eu/legal-content/HU/TXT/?uri=CELEX%3A01958R0001-20130701" TargetMode="External"/><Relationship Id="rId4" Type="http://schemas.openxmlformats.org/officeDocument/2006/relationships/hyperlink" Target="https://europa.eu/europass/hu/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A5F8-D6AB-4815-A747-1EBB22002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2020</Words>
  <Characters>14953</Characters>
  <Application>Microsoft Office Word</Application>
  <DocSecurity>0</DocSecurity>
  <Lines>230</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LOVASZIK Gabor (DGT-EXT)</cp:lastModifiedBy>
  <cp:revision>4</cp:revision>
  <cp:lastPrinted>2023-02-01T14:53:00Z</cp:lastPrinted>
  <dcterms:created xsi:type="dcterms:W3CDTF">2023-03-21T10:42:00Z</dcterms:created>
  <dcterms:modified xsi:type="dcterms:W3CDTF">2023-03-27T13:54:00Z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