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Společný podnik pro evropské železnice</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Oznámení o volném pracovním místě výkonného ředitele / výkonné ředitelky</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(dočasný zaměstnanec – platová třída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Kdo jsme</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Společný podnik pro evropské železnice (EU-Rail) byl zřízen nařízením Rady (EU) 2021/2085, kterým se zřizují společné podniky v rámci programu Horizont Evropa</w:t>
      </w:r>
      <w:r>
        <w:rPr>
          <w:rStyle w:val="FootnoteReference"/>
          <w:rFonts w:ascii="Times New Roman" w:hAnsi="Times New Roman" w:cs="Times New Roman"/>
          <w:bCs/>
        </w:rPr>
        <w:footnoteReference w:id="1"/>
      </w:r>
      <w:r>
        <w:rPr>
          <w:rFonts w:ascii="Times New Roman" w:hAnsi="Times New Roman"/>
        </w:rPr>
        <w:t>, které vstoupilo v platnost dne 30. listopadu 2021, nahrazuje s</w:t>
      </w:r>
      <w:bookmarkStart w:id="0" w:name="_GoBack"/>
      <w:bookmarkEnd w:id="0"/>
      <w:r>
        <w:rPr>
          <w:rFonts w:ascii="Times New Roman" w:hAnsi="Times New Roman"/>
        </w:rPr>
        <w:t>polečný podnik Shift2Rail zřízený nařízením (EU) č. 642/2014 a je jeho nástupcem</w:t>
      </w:r>
      <w:r>
        <w:rPr>
          <w:rStyle w:val="FootnoteReference"/>
          <w:rFonts w:ascii="Times New Roman" w:hAnsi="Times New Roman" w:cs="Times New Roman"/>
          <w:bCs/>
        </w:rPr>
        <w:footnoteReference w:id="2"/>
      </w:r>
      <w:r>
        <w:rPr>
          <w:rFonts w:ascii="Times New Roman" w:hAnsi="Times New Roman"/>
        </w:rPr>
        <w:t>.</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EU-Rail je partnerství veřejného a soukromého sektoru v odvětví železniční dopravy, které bylo zřízeno na základě článku 187 Smlouvy o fungování Evropské unie.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Cílem podniku EU-Rail je zajištění vysokokapacitní integrované evropské železniční sítě odstraněním překážek interoperability a poskytnutím řešení pro plnou integraci zahrnujících řízení provozu, vozidla, infrastrukturu a služby, aby se dosáhlo rychlejšího využití a zavádění projektů a inovací. Při tom by se měl využít obrovský potenciál digitalizace a automatizace ke snížení nákladů na železniční dopravu, zvýšení kapacity a posílení její flexibility a spolehlivosti, přičemž základem by měla být spolehlivá referenční funkční systémová architektura sdílená odvětvím v koordinaci s Agenturou Evropské unie pro železnice.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V návaznosti na pokrok v oblasti automatizace a digitalizace se podnik EU-Rail snaží urychlit výzkum, vývoj a zavádění provozních a technologických inovativních řešení s cílem dosáhnout radikální transformace železničního systému a splnit cíle Zelené dohody pro Evropu.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Maximální finanční příspěvek Evropské unie společnému podniku na období 2021–2027 činí 600 milionů EUR, přičemž provádění projektu bude pokračovat ještě čtyři roky po konci tohoto období.</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Společný podnik má celkem 29 zaměstnanců, kteří jsou rozděleni do týmů zaměřených na finanční řízení a správu, na řízení programů a projektů a na provádění systémového pilíře.</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Co nabízíme</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Funkci výkonného ředitele společného podniku.</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Výkonný ředitel je nejvyšším výkonným představitelem odpovědným za každodenní řízení společného podniku v souladu s rozhodnutími správní rady. Poskytuje správní radě veškeré informace nezbytné pro výkon jejích funkcí. Aniž jsou dotčeny příslušné pravomoci orgánů Unie a správní rady, výkonný ředitel nevyhledává ani nepřijímá pokyny od žádné vlády ani od jakéhokoli jiného subjektu.</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Výkonný ředitel společný podnik právně zastupuje. Je odpovědný správní radě společného podniku,</w:t>
      </w:r>
    </w:p>
    <w:p w14:paraId="01F9CA82" w14:textId="539DCFFB" w:rsidR="00A75266" w:rsidRDefault="00A75266" w:rsidP="00BA6C84">
      <w:pPr>
        <w:jc w:val="both"/>
        <w:rPr>
          <w:rFonts w:ascii="Times New Roman" w:hAnsi="Times New Roman" w:cs="Times New Roman"/>
        </w:rPr>
      </w:pPr>
      <w:r>
        <w:rPr>
          <w:rFonts w:ascii="Times New Roman" w:hAnsi="Times New Roman"/>
        </w:rPr>
        <w:lastRenderedPageBreak/>
        <w:t xml:space="preserve">Výkonný ředitel plní rozpočet společného podniku a zajišťuje koordinaci mezi jeho různými orgány a útvary. </w:t>
      </w:r>
    </w:p>
    <w:p w14:paraId="6840BDE0" w14:textId="5CF25E24" w:rsidR="000F2822" w:rsidRDefault="000F2822" w:rsidP="00BA6C84">
      <w:pPr>
        <w:jc w:val="both"/>
        <w:rPr>
          <w:rFonts w:ascii="Times New Roman" w:hAnsi="Times New Roman" w:cs="Times New Roman"/>
        </w:rPr>
      </w:pPr>
      <w:r>
        <w:rPr>
          <w:rFonts w:ascii="Times New Roman" w:hAnsi="Times New Roman"/>
        </w:rPr>
        <w:t>Výkonný ředitel odpovídá za návrh a plnění pracovního programu společného podniku, aby bylo zajištěno, že bude dosaženo výše uvedených cílů a zároveň budou náležitě zohledněny různé zájmy členů. Hraje vedoucí úlohu při informování všech zúčastněných stran o probíhající činnosti společného podniku.</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Podrobnější popis úkolů výkonného ředitele je uveden v článku 19 nařízení (EU) 2021/2085.</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Koho hledáme (kritéria výběru)</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Manažerské dovednosti </w:t>
      </w:r>
    </w:p>
    <w:p w14:paraId="27E1EC17" w14:textId="386F2246"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silné vůdčí schopnosti, schopnost vést významnou organizaci jak na úrovni strategického, tak provozního řízení, a to v dynamickém a měnícím se vědeckém a operačním prostředí,</w:t>
      </w:r>
    </w:p>
    <w:p w14:paraId="49B1F1EC" w14:textId="2FB8FD19"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prokázaná kapacita a dobré výsledky při řízení a vedení finančních a lidských zdrojů velkého útvaru ve vnitrostátním, evropském a/nebo mezinárodním kontextu, </w:t>
      </w:r>
    </w:p>
    <w:p w14:paraId="09C33EEC" w14:textId="3EBFBEBB"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rozsáhlé zkušenosti s vyjednáváním v mezinárodním prostředí,</w:t>
      </w:r>
    </w:p>
    <w:p w14:paraId="14A8D20C" w14:textId="62D34484" w:rsidR="008934EE" w:rsidRDefault="00CD2AEA" w:rsidP="00E707C1">
      <w:pPr>
        <w:spacing w:after="240" w:line="240" w:lineRule="auto"/>
        <w:ind w:left="284" w:hanging="284"/>
        <w:jc w:val="both"/>
        <w:rPr>
          <w:rFonts w:ascii="Times New Roman" w:hAnsi="Times New Roman" w:cs="Times New Roman"/>
        </w:rPr>
      </w:pPr>
      <w:r>
        <w:rPr>
          <w:rFonts w:ascii="Times New Roman" w:hAnsi="Times New Roman"/>
        </w:rPr>
        <w:t>–</w:t>
      </w:r>
      <w:r>
        <w:rPr>
          <w:rFonts w:ascii="Times New Roman" w:hAnsi="Times New Roman"/>
        </w:rPr>
        <w:tab/>
      </w:r>
      <w:r w:rsidR="00E707C1">
        <w:rPr>
          <w:rFonts w:ascii="Times New Roman" w:hAnsi="Times New Roman"/>
        </w:rPr>
        <w:t>manažerské zkušenosti získané v multikulturním a mnohojazyčném prostředí by byly výhodou.</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Odborné dovednosti a zkušenosti </w:t>
      </w:r>
    </w:p>
    <w:p w14:paraId="563F013F" w14:textId="47B751A0"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velmi dobrá znalost orgánů Evropské unie, jejich fungování a vzájemných vztahů,</w:t>
      </w:r>
    </w:p>
    <w:p w14:paraId="4A1FB18B" w14:textId="4370648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důkladná znalost politiky Unie v oblasti železniční dopravy a/nebo zkušenosti s ní,</w:t>
      </w:r>
    </w:p>
    <w:p w14:paraId="0611EBF5" w14:textId="70B40111"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dobrá znalost výzkumu a vývoje v oblasti železniční dopravy a/nebo v oblasti dopravního výzkumu a inovací na vnitrostátní, mezinárodní nebo evropské úrovni by byla výhodou,</w:t>
      </w:r>
    </w:p>
    <w:p w14:paraId="13ED046F" w14:textId="0C53E9FB"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zkušenosti získané ve vnitrostátní, evropské nebo mezinárodní veřejné správě by byly rovněž výhodou.</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Osobnostní předpoklady </w:t>
      </w:r>
    </w:p>
    <w:p w14:paraId="6BE33085" w14:textId="1673AE46"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schopnost účinně a plynule transparentním a otevřeným způsobem komunikovat s interními a externími zúčastněnými stranami, včetně tisku, veřejnosti, evropských, mezinárodních, vnitrostátních a místních orgánů a mezinárodních organizací, jakož i zastupovat společný podnik na externích fórech,</w:t>
      </w:r>
    </w:p>
    <w:p w14:paraId="145F3E24" w14:textId="42216AEA"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vynikající interpersonální dovednosti a schopnost udržovat efektivní pracovní vztahy s orgány EU a s příslušnými orgány členských států, a zajišťovat tak řádné fungování společného podniku,</w:t>
      </w:r>
    </w:p>
    <w:p w14:paraId="46B488AB" w14:textId="542DACCE"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schopnost prosazovat hlavní zásady společného podniku, jimiž jsou otevřenost, transparentnost, nezávislost a vědecká excelence.</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Podmínky účasti ve výběrovém řízení</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lastRenderedPageBreak/>
        <w:t xml:space="preserve">Uchazeči mohou postoupit do fáze výběru, pouze pokud </w:t>
      </w:r>
      <w:r>
        <w:rPr>
          <w:rFonts w:ascii="Times New Roman" w:hAnsi="Times New Roman"/>
          <w:b/>
        </w:rPr>
        <w:t>ke dni uzávěrky pro podání přihlášek</w:t>
      </w:r>
      <w:r>
        <w:rPr>
          <w:rFonts w:ascii="Times New Roman" w:hAnsi="Times New Roman"/>
        </w:rPr>
        <w:t xml:space="preserve"> splní tyto formální podmínky účasti:</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Státní příslušnost</w:t>
      </w:r>
      <w:r>
        <w:rPr>
          <w:rFonts w:ascii="Times New Roman" w:hAnsi="Times New Roman"/>
        </w:rPr>
        <w:t>: uchazeči musí být občany některého z členských států Evropské unie.</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Vysokoškolské vzdělání nebo diplom</w:t>
      </w:r>
      <w:r>
        <w:rPr>
          <w:rFonts w:ascii="Times New Roman" w:hAnsi="Times New Roman"/>
        </w:rPr>
        <w:t>: uchazeči musí mít:</w:t>
      </w:r>
    </w:p>
    <w:p w14:paraId="0F3859A6" w14:textId="6B80A5CB"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buď vzdělání na úrovni, která odpovídá dokončenému vysokoškolskému vzdělání, doložené diplomem, je-li obvyklá délka vysokoškolského studia nejméně čtyři roky,</w:t>
      </w:r>
    </w:p>
    <w:p w14:paraId="7FD3E46E" w14:textId="33C9C5B5"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nebo vzdělání na úrovni, která odpovídá dokončenému vysokoškolskému vzdělání, doložené diplomem a odpovídající odbornou praxi v délce nejméně jednoho roku, je-li obvyklá délka vysokoškolského studia nejméně tři roky (tento jeden rok odborné praxe nelze započíst do doby trvání níže uvedené odborné praxe požadované po dokončení vysokoškolského studia).</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Odborná praxe</w:t>
      </w:r>
      <w:r>
        <w:rPr>
          <w:rFonts w:ascii="Times New Roman" w:hAnsi="Times New Roman"/>
        </w:rPr>
        <w:t>: uchazeči musí mít nejméně 15 let odborné praxe získané po ukončení vysokoškolského vzdělání</w:t>
      </w:r>
      <w:r>
        <w:rPr>
          <w:rStyle w:val="FootnoteReference"/>
          <w:rFonts w:ascii="Times New Roman" w:hAnsi="Times New Roman" w:cs="Times New Roman"/>
        </w:rPr>
        <w:footnoteReference w:id="3"/>
      </w:r>
      <w:r>
        <w:rPr>
          <w:rFonts w:ascii="Times New Roman" w:hAnsi="Times New Roman"/>
        </w:rPr>
        <w:t>, a to na úrovni odpovídající výše uvedené kvalifikaci. Alespoň pět let této odborné praxe musí být získáno v oblasti činností společného podniku.</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Praxe v oblasti řízení:</w:t>
      </w:r>
      <w:r>
        <w:rPr>
          <w:rFonts w:ascii="Times New Roman" w:hAnsi="Times New Roman"/>
        </w:rPr>
        <w:t xml:space="preserve"> nejméně pět let odborné praxe získané po ukončení vysokoškolského vzdělání musí být ve vysoké řídicí funkci</w:t>
      </w:r>
      <w:r>
        <w:rPr>
          <w:rStyle w:val="FootnoteReference"/>
          <w:rFonts w:ascii="Times New Roman" w:hAnsi="Times New Roman" w:cs="Times New Roman"/>
        </w:rPr>
        <w:footnoteReference w:id="4"/>
      </w:r>
      <w:r>
        <w:rPr>
          <w:rFonts w:ascii="Times New Roman" w:hAnsi="Times New Roman"/>
        </w:rPr>
        <w:t xml:space="preserve"> v oboru, který je pro tuto pozici relevantní.</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Jazyky</w:t>
      </w:r>
      <w:r>
        <w:rPr>
          <w:rFonts w:ascii="Times New Roman" w:hAnsi="Times New Roman"/>
        </w:rPr>
        <w:t>: uchazeči musí mít důkladnou znalost jednoho z úředních jazyků Evropské unie</w:t>
      </w:r>
      <w:r>
        <w:rPr>
          <w:rStyle w:val="FootnoteReference"/>
          <w:rFonts w:ascii="Times New Roman" w:hAnsi="Times New Roman" w:cs="Times New Roman"/>
        </w:rPr>
        <w:footnoteReference w:id="5"/>
      </w:r>
      <w:r>
        <w:rPr>
          <w:rFonts w:ascii="Times New Roman" w:hAnsi="Times New Roman"/>
        </w:rPr>
        <w:t xml:space="preserve"> a uspokojivou znalost dalšího z těchto úředních jazyků. Výběrové komise během pohovorů ověří, zda uchazeči kritérium uspokojivé znalosti dalšího úředního jazyka EU splňují. Znamená to, že pohovor (nebo jeho část) může být veden v tomto druhém jazyce.</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Věková hranice</w:t>
      </w:r>
      <w:r>
        <w:rPr>
          <w:rFonts w:ascii="Times New Roman" w:hAnsi="Times New Roman"/>
        </w:rPr>
        <w:t>: k poslednímu dni lhůty pro podání přihlášek musí být uchazeči schopni dokončit celé čtyřleté funkční období před dosažením věkové hranice pro odchod do důchodu. Pro dočasné zaměstnance Evropské unie je věková hranice pro odchod do důchodu stanovena na konec měsíce, v němž daná osoba dosáhne věku 66 let (viz článek 47 pracovního řádu ostatních zaměstnanců Evropské unie</w:t>
      </w:r>
      <w:r>
        <w:rPr>
          <w:rStyle w:val="FootnoteReference"/>
          <w:rFonts w:ascii="Times New Roman" w:hAnsi="Times New Roman" w:cs="Times New Roman"/>
        </w:rPr>
        <w:footnoteReference w:id="6"/>
      </w:r>
      <w:r>
        <w:rPr>
          <w:rFonts w:ascii="Times New Roman" w:hAnsi="Times New Roman"/>
        </w:rPr>
        <w:t>).</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Výběr a jmenování</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Výkonného ředitele jmenuje správní rada společného podniku z užšího seznamu navrženého Evropskou komisí.</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Za účelem vytvoření tohoto užšího seznamu pořádá Evropská komise výběrové řízení v souladu se svými výběrovými a náborovými postupy (viz souhrnný dokument k politice týkající se vyšších úředníků</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V rámci tohoto výběrového řízení zřídí Evropská komise komisi pro předběžný výběr, která bude v souladu s nařízením (EU) 2021/2085 složena ze zástupců jmenovaných jednotlivými kategoriemi jiných členů společného podniku než Unie</w:t>
      </w:r>
      <w:r>
        <w:rPr>
          <w:rStyle w:val="FootnoteReference"/>
          <w:rFonts w:ascii="Times New Roman" w:hAnsi="Times New Roman" w:cs="Times New Roman"/>
          <w:sz w:val="20"/>
        </w:rPr>
        <w:footnoteReference w:id="8"/>
      </w:r>
      <w:r>
        <w:rPr>
          <w:rFonts w:ascii="Times New Roman" w:hAnsi="Times New Roman"/>
        </w:rPr>
        <w:t xml:space="preserve"> a jednoho pozorovatele jmenovaného správní radou.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lastRenderedPageBreak/>
        <w:t>Komise pro předběžný výběr zanalyzuje všechny přihlášky, provede první ověření splnění podmínek účasti a na základě výše uvedených kritérií vybere uchazeče s nejlepším profilem, kteří mohou být pozváni na pohovor s touto komisí.</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Po dokončení pohovorů vypracuje komise pro předběžný výběr závěry a navrhne seznam uchazečů pro další pohovory s Poradním výborem Evropské komise pro jmenování (CCA). CCA s ohledem na závěry komise pro předběžný výběr rozhodne o uchazečích, kteří budou pozváni k pohovorům.</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Uchazeči pozvaní na pohovor s CCA se zúčastní celodenních testů pro vedoucí pracovníky v hodnotícím centru („assessment centre“) vedeném externími konzultanty pro nábor nových zaměstnanců. S ohledem na výsledky pohovorů a zprávu z hodnotícího centra sestaví výbor CCA užší seznam uchazečů, jež bude pokládat za vhodné kandidáty na výkon funkce výkonného ředitele Společného podniku pro evropské železnice.</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Uchazeči z užšího seznamu CCA absolvují pohovor se členem nebo členy Komise, kteří jsou odpovědní za generální ředitelství pověřené vztahy se společným podnikem.</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Po těchto pohovorech schválí Evropská komise užší seznam pokud možno alespoň tří nejvhodnějších uchazečů, který bude předán správní radě Společného podniku pro evropské železnice. Předtím, než správní rada z uchazečů uvedených na tomto užším seznamu Komise jmenuje výkonného ředitele, může uchazeče pozvat k pohovoru. Zařazení na užší seznam není zárukou jmenování do funkce.</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Kromě výše uvedeného mohou být uchazeči vyzváni k absolvování dalších pohovorů a/nebo testů. Mohou být rovněž požádáni o učinění prohlášení před příslušným výborem či výbory Evropského parlamentu.</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Vybraný uchazeč by měl mít nebo být s to získat platné osvědčení o bezpečnostní prověrce vydané bezpečnostním orgánem jeho státu. Osobní bezpečnostní prověrka je správní rozhodnutí po dokončení bezpečnostního šetření vedeného příslušným vnitrostátním bezpečnostním orgánem v souladu s platnými vnitrostátními právními předpisy v oblasti bezpečnosti, které osvědčuje, že určité osobě může být dovolen přístup k utajovaným informacím až do stanoveného stupně utajení. (Upozorňujeme, že postup nutný pro získání bezpečnostní prověrky může být zahájen pouze na žádost zaměstnavatele, nikoli na žádost jednotlivého uchazeče.)</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Dokud uchazeč nezíská osobní bezpečnostní prověrku daného členského státu a nebude dokončen proces udělení bezpečnostní prověrky spolu s právními předpisy vyžadovanou instruktáží provedenou ředitelstvím Evropské komise pro bezpečnost, nebude mít přístup k utajovaným informacím EU se stupněm utajení CONFIDENTIEL UE / EU CONFIDENTIAL a vyšším a nebude se moci účastnit jednání, na nichž se projednávají informace s tímto stupněm utajení.</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Rovné příležitosti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Komise a společný podnik sledují strategický cíl spočívající v dosažení rovnosti žen a mužů na všech úrovních řízení do konce jejich současného mandátu a uplatňují politiku rovných příležitostí a nediskriminace v souladu s článkem 1d služebního řádu</w:t>
      </w:r>
      <w:r>
        <w:rPr>
          <w:rStyle w:val="FootnoteReference"/>
          <w:rFonts w:ascii="Times New Roman" w:hAnsi="Times New Roman" w:cs="Times New Roman"/>
        </w:rPr>
        <w:footnoteReference w:id="9"/>
      </w:r>
      <w:r>
        <w:rPr>
          <w:rFonts w:ascii="Times New Roman" w:hAnsi="Times New Roman"/>
        </w:rPr>
        <w:t>, podporují tedy přihlášky, které by mohly přispět k větší rozmanitosti, rovnosti žen a mužů a celkové zeměpisné vyváženosti.</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 xml:space="preserve">Rozmanitost a inkluze </w:t>
      </w:r>
    </w:p>
    <w:p w14:paraId="44C17C93" w14:textId="2DFE0231"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lastRenderedPageBreak/>
        <w:t xml:space="preserve">Společný podnik uznává, že zdravá rovnováha mezi pracovním a soukromým životem je pro mnohé uchazeče důležitým motivačním faktorem a že flexibilní pracovní uspořádání se stále častěji považuje za součást moderního pracovního prostředí.  Jako zaměstnavatel je společný podnik odhodlán zajistit rovnost žen a mužů a předcházet diskriminaci z jakýchkoli důvodů. Velmi vítá přihlášky všech kvalifikovaných osob z různých prostředí, s nejrůznějšími schopnostmi a z co nejvíce členských států EU. V zájmu prosazování rovnosti žen a mužů společný podnik k podávání přihlášek vybízí zejména ženy. Uchazečům se zdravotním postižením může být během výběrového řízení poskytnuta pomoc.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Pracovní podmínky</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Platové a pracovní podmínky jsou stanoveny v pracovním řádu ostatních zaměstnanců Evropské unie.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Vybraný uchazeč bude jmenován Společným podnikem pro evropské železnice jako dočasný zaměstnanec v platové třídě AD 14. V závislosti na délce své odborné praxe bude v rámci této platové třídy zařazen do stupně 1 nebo 2.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Bude jmenován na počáteční období čtyř let s možností prodloužení nejvýše o tři roky podle nařízení o zřízení společného podniku.</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Uchazeči by měli vzít na vědomí, že podle pracovního řádu ostatních zaměstnanců Evropské unie musí všichni noví zaměstnanci úspěšně absolvovat devítiměsíční zkušební dobu.</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Místem výkonu zaměstnání je Brusel (Belgie).</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Důležité informace pro uchazeče</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Připomínáme uchazečům, že činnost výběrových komisí má důvěrný charakter. Jakýkoli přímý či nepřímý kontakt s jednotlivými členy výběrových komisí je uchazečům nebo osobám jednajícím jejich jménem zakázán. Veškeré dotazy je třeba zaslat sekretariátu příslušné komise.</w:t>
      </w:r>
    </w:p>
    <w:p w14:paraId="03023E47" w14:textId="03F12231"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Ochrana osobních údajů</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Komise zajistí, aby byly osobní údaje uchazečů zpracovávány v souladu s nařízením Evropského parlamentu a Rady (EU) 2018/1725</w:t>
      </w:r>
      <w:r>
        <w:rPr>
          <w:rStyle w:val="FootnoteReference"/>
          <w:rFonts w:ascii="Times New Roman" w:hAnsi="Times New Roman" w:cs="Times New Roman"/>
        </w:rPr>
        <w:footnoteReference w:id="10"/>
      </w:r>
      <w:r>
        <w:rPr>
          <w:rFonts w:ascii="Times New Roman" w:hAnsi="Times New Roman"/>
        </w:rPr>
        <w:t>. To se týká zejména důvěrnosti a zabezpečení těchto údajů.</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Nezávislost a prohlášení o zájmech</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Před nástupem do funkce musí výkonný ředitel učinit prohlášení, že se zavazuje jednat nezávisle ve veřejném zájmu, a dále prohlášení o veškerých zájmech, jež by mohly jeho nezávislost ohrozit.</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Postup podání přihlášky</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Před podáním přihlášky si pečlivě zkontrolujte, zda splňujete všechny podmínky účasti (uvedené v oddíle „Podmínky účasti ve výběrovém řízení“), zejména pokud jde o požadovaný typ vzdělání, odbornou praxi ve vysoké funkci a jazykové schopnosti. Uchazeči, kteří některou z podmínek účasti nesplňují, budou z výběrového řízení automaticky vyloučeni.</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Chcete-li se přihlásit, musíte se zaregistrovat přes internet na následující stránce a řídit se pokyny k jednotlivým fázím výběrového řízení: </w:t>
      </w:r>
    </w:p>
    <w:p w14:paraId="3DBA8489" w14:textId="77777777" w:rsidR="001F08A9" w:rsidRPr="00941457" w:rsidRDefault="00CD2AEA"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lastRenderedPageBreak/>
        <w:t>Musíte mít platnou e-mailovou adresu. Tato adresa bude použita pro potvrzení vaší registrace i pro kontakt s vámi v různých fázích řízení. Jakoukoli změnu e-mailové adresy proto Evropské komisi oznamte.</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Ke své přihlášce musíte přiložit životopis ve formátu PDF, nejlépe ve formátu Europass</w:t>
      </w:r>
      <w:r>
        <w:rPr>
          <w:rStyle w:val="FootnoteReference"/>
          <w:rFonts w:ascii="Times New Roman" w:hAnsi="Times New Roman" w:cs="Times New Roman"/>
        </w:rPr>
        <w:footnoteReference w:id="11"/>
      </w:r>
      <w:r>
        <w:rPr>
          <w:rFonts w:ascii="Times New Roman" w:hAnsi="Times New Roman"/>
        </w:rPr>
        <w:t>, a vyplnit on-line motivační dopis (maximálně 8 000 znaků). Životopis a motivační dopis můžete předložit v kterémkoli úředním jazyce Evropské unie.</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Je ve vašem zájmu zajistit, aby vaše přihláška byla přesná, úplná a pravdivá.</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 xml:space="preserve">Po dokončení online registrace obdržíte e-mail s potvrzením o zaregistrování vaší přihlášky. </w:t>
      </w:r>
      <w:r>
        <w:rPr>
          <w:rFonts w:ascii="Times New Roman" w:hAnsi="Times New Roman"/>
          <w:b/>
        </w:rPr>
        <w:t>Pokud e-mail s potvrzením neobdržíte, vaše přihláška zaregistrována nebyla!</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Upozorňujeme, že postup zpracování vaší přihlášky nelze sledovat online. O stavu přihlášky vás bude informovat přímo Evropská komise.</w:t>
      </w:r>
    </w:p>
    <w:p w14:paraId="1EA4113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Přihlášky zaslané e-mailem nebudou přijaty. </w:t>
      </w:r>
      <w:r>
        <w:rPr>
          <w:rFonts w:ascii="Times New Roman" w:hAnsi="Times New Roman"/>
        </w:rPr>
        <w:t xml:space="preserve">Pro vyžádání dalších informací a/nebo v případě technických problémů zašlete e-mail na adresu: </w:t>
      </w:r>
      <w:r>
        <w:t xml:space="preserve"> </w:t>
      </w:r>
      <w:r>
        <w:br/>
      </w:r>
      <w:hyperlink r:id="rId9" w:history="1">
        <w:r>
          <w:rPr>
            <w:rStyle w:val="Hyperlink"/>
            <w:rFonts w:ascii="Times New Roman" w:hAnsi="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Za včasnou online registraci odpovídají uchazeči. Důrazně vám doporučujeme, abyste přihlášení neodkládali na poslední chvíli, neboť přetížení internetu či porucha internetového připojení by mohly způsobit přerušení elektronické registrace dříve, než ji dokončíte, čímž byste byli nuceni celý proces opakovat. Po uplynutí lhůty pro registraci již nebude možné zadávat žádné údaje. Opožděné registrace nebudou přijaty.</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Datum uzávěrky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Datum uzávěrky registrací je </w:t>
      </w:r>
      <w:r>
        <w:rPr>
          <w:rFonts w:ascii="Times New Roman" w:hAnsi="Times New Roman"/>
          <w:b/>
          <w:bCs/>
        </w:rPr>
        <w:t>15. května 2023</w:t>
      </w:r>
      <w:r>
        <w:rPr>
          <w:rFonts w:ascii="Times New Roman" w:hAnsi="Times New Roman"/>
        </w:rPr>
        <w:t xml:space="preserve">, </w:t>
      </w:r>
      <w:r>
        <w:rPr>
          <w:rFonts w:ascii="Times New Roman" w:hAnsi="Times New Roman"/>
          <w:b/>
          <w:bCs/>
        </w:rPr>
        <w:t>12:00 (poledne) bruselského času</w:t>
      </w:r>
      <w:r>
        <w:rPr>
          <w:rFonts w:ascii="Times New Roman" w:hAnsi="Times New Roman"/>
        </w:rPr>
        <w:t>. Poté již registrace nebude možná.</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75C77221"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CD2AEA">
          <w:rPr>
            <w:rFonts w:ascii="Times New Roman" w:hAnsi="Times New Roman" w:cs="Times New Roman"/>
            <w:noProof/>
          </w:rPr>
          <w:t>1</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CD2AEA" w:rsidRDefault="009937EC" w:rsidP="00526673">
      <w:pPr>
        <w:spacing w:after="0" w:line="240" w:lineRule="auto"/>
        <w:rPr>
          <w:rFonts w:ascii="Times New Roman" w:hAnsi="Times New Roman" w:cs="Times New Roman"/>
          <w:sz w:val="16"/>
          <w:szCs w:val="16"/>
        </w:rPr>
      </w:pPr>
      <w:r w:rsidRPr="00CD2AEA">
        <w:rPr>
          <w:rStyle w:val="FootnoteReference"/>
          <w:rFonts w:ascii="Times New Roman" w:hAnsi="Times New Roman" w:cs="Times New Roman"/>
          <w:sz w:val="16"/>
          <w:szCs w:val="16"/>
        </w:rPr>
        <w:footnoteRef/>
      </w:r>
      <w:r w:rsidRPr="00CD2AEA">
        <w:rPr>
          <w:rFonts w:ascii="Times New Roman" w:hAnsi="Times New Roman" w:cs="Times New Roman"/>
          <w:sz w:val="16"/>
          <w:szCs w:val="16"/>
        </w:rPr>
        <w:t xml:space="preserve"> Nařízení Rady (EU) 2021/2085 ze dne 19. listopadu 2021, kterým se zřizují společné podniky v rámci programu Horizont Evropa a zrušují nařízení (ES) č. 219/2007, (EU) č. 557/2014, (EU) č. 558/2014, (EU) č. 559/2014, (EU) č. 560/2014, (EU) č. 561/2014 a (EU) č. 642/2014 (Úř. věst. L 427, 30.11.2021, s. 17).</w:t>
      </w:r>
    </w:p>
  </w:footnote>
  <w:footnote w:id="2">
    <w:p w14:paraId="7668A20E" w14:textId="23E1328A" w:rsidR="00CE1852" w:rsidRPr="00CD2AEA" w:rsidRDefault="00CE1852">
      <w:pPr>
        <w:pStyle w:val="FootnoteText"/>
        <w:rPr>
          <w:rFonts w:ascii="Times New Roman" w:hAnsi="Times New Roman" w:cs="Times New Roman"/>
          <w:sz w:val="16"/>
          <w:szCs w:val="16"/>
        </w:rPr>
      </w:pPr>
      <w:r w:rsidRPr="00CD2AEA">
        <w:rPr>
          <w:rStyle w:val="FootnoteReference"/>
          <w:rFonts w:ascii="Times New Roman" w:hAnsi="Times New Roman" w:cs="Times New Roman"/>
          <w:sz w:val="16"/>
          <w:szCs w:val="16"/>
        </w:rPr>
        <w:footnoteRef/>
      </w:r>
      <w:r w:rsidRPr="00CD2AEA">
        <w:rPr>
          <w:rFonts w:ascii="Times New Roman" w:hAnsi="Times New Roman" w:cs="Times New Roman"/>
          <w:sz w:val="16"/>
          <w:szCs w:val="16"/>
        </w:rPr>
        <w:t xml:space="preserve"> Nařízení Rady (EU) č. 642/2014 ze dne 16. června 2014 o zřízení společného podniku Shift2Rail (Úř. věst. L 177, 17.6.2014, s. 9).</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Odborná praxe se bere v úvahu pouze tehdy, pokud představuje skutečný pracovní vztah, který je definován jako skutečná, placená práce, již uchazeč vykonával jako zaměstnanec (na libovolný druh smlouvy) nebo poskytovatel služby. Profesní činnost vykonávaná na částečný úvazek se započítá v poměrné výši na základě potvrzeného procenta odpracovaných hodin plného pracovního úvazku. Mateřská dovolená / rodičovská dovolená / dovolená při adopci dítěte se zohledňuje, pokud se na ni vztahuje pracovní smlouva.  Doktorandské studium se považuje za rovnocenné odborné praxi i v případě, že bylo neplacené, avšak nejdéle v trvání tří let a za předpokladu, že byl úspěšně získán titul PhD. Každé období může být započítáno pouze jednou.</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Ve svém životopise by uchazeči měli ke všem rokům, v jejichž průběhu získali praxi v řídicí funkci, jasně uvést: 1) název zastávaných vedoucích funkcí a úkoly s nimi spojené, 2) počty podřízených pracovníků v daných funkcích, 3) výši spravovaných rozpočtů; 4) počet úrovní v organizační struktuře, jež byly dané funkci nadřízeny a podřízeny, a 5) počet pracovníků stejného postavení.</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https://eur-lex.europa.eu/legal-content/CS/TXT/?uri=CELEX%3A01958R0001-20130701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https://eur-lex.europa.eu/legal-content/CS/TXT/?uri=CELEX%3A01962R0031-20140701</w:t>
        </w:r>
      </w:hyperlink>
      <w:r>
        <w:rPr>
          <w:rStyle w:val="Hyperlink"/>
          <w:rFonts w:ascii="Times New Roman" w:hAnsi="Times New Roman"/>
          <w:sz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Pr>
            <w:rStyle w:val="Hyperlink"/>
            <w:rFonts w:ascii="Times New Roman" w:hAnsi="Times New Roman"/>
            <w:sz w:val="16"/>
          </w:rPr>
          <w:t>https://commission.europa.eu/jobs-european-commission/job-opportunities/managers-european-commission_en</w:t>
        </w:r>
      </w:hyperlink>
      <w:r>
        <w:rPr>
          <w:rFonts w:ascii="Times New Roman" w:hAnsi="Times New Roman"/>
          <w:sz w:val="16"/>
        </w:rPr>
        <w:t xml:space="preserve">  (k dispozici je pouze anglické znění)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Jiným členem než Unie se rozumí jakýkoli zúčastněný stát, soukromý člen či mezinárodní organizace, jež jsou členy společného podniku.</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https://eur-lex.europa.eu/legal-content/CS/TXT/?uri=CELEX%3A01962R0031-20140701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Nařízení Evropského parlamentu a Rady (EU) 2018/1725 ze dne 23. října 2018 o ochraně fyzických osob v souvislosti se zpracováním osobních údajů orgány, institucemi a jinými subjekty Unie a o volném pohybu těchto údajů a o zrušení nařízení (ES) č. 45/2001 a rozhodnutí č. 1247/2002/ES (Úř. věst. L 295, 21.11.2018, s.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Informace o tom, jak online vytvořit životopis ve formátu Europass, naleznete na adrese: </w:t>
      </w:r>
      <w:hyperlink r:id="rId4" w:history="1">
        <w:r>
          <w:rPr>
            <w:rStyle w:val="Hyperlink"/>
            <w:rFonts w:ascii="Times New Roman" w:hAnsi="Times New Roman"/>
            <w:sz w:val="16"/>
          </w:rPr>
          <w:t>https://europa.eu/europass/cs/create-europass-cv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2AE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CS/TXT/?uri=CELEX%3A01962R0031-20140701" TargetMode="External"/><Relationship Id="rId1" Type="http://schemas.openxmlformats.org/officeDocument/2006/relationships/hyperlink" Target="https://eur-lex.europa.eu/legal-content/CS/TXT/?uri=CELEX%3A01958R0001-20130701" TargetMode="External"/><Relationship Id="rId4" Type="http://schemas.openxmlformats.org/officeDocument/2006/relationships/hyperlink" Target="https://europa.eu/europass/cs/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105D1-07D1-42F9-9242-49DA65A30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2182</Words>
  <Characters>12507</Characters>
  <Application>Microsoft Office Word</Application>
  <DocSecurity>0</DocSecurity>
  <Lines>195</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YAGHMOUROVA Zita (DGT)</cp:lastModifiedBy>
  <cp:revision>4</cp:revision>
  <cp:lastPrinted>2023-02-01T14:53:00Z</cp:lastPrinted>
  <dcterms:created xsi:type="dcterms:W3CDTF">2023-03-21T10:42:00Z</dcterms:created>
  <dcterms:modified xsi:type="dcterms:W3CDTF">2023-03-27T11:52:00Z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