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b/>
          <w:rFonts w:ascii="Times New Roman" w:hAnsi="Times New Roman" w:cs="Times New Roman"/>
        </w:rPr>
      </w:pPr>
      <w:r>
        <w:rPr>
          <w:b/>
          <w:rFonts w:ascii="Times New Roman" w:hAnsi="Times New Roman"/>
        </w:rPr>
        <w:t xml:space="preserve">Europos geležinkelių bendroji įmonė</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 xml:space="preserve">Pranešimas apie konkursą vykdomojo direktoriaus pareigoms</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 xml:space="preserve">(AD 14 lygio laikinasis darbuotojas)</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 xml:space="preserve">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b/>
          <w:rFonts w:ascii="Times New Roman" w:hAnsi="Times New Roman" w:cs="Times New Roman"/>
        </w:rPr>
      </w:pPr>
      <w:r>
        <w:rPr>
          <w:b/>
          <w:rFonts w:ascii="Times New Roman" w:hAnsi="Times New Roman"/>
        </w:rPr>
        <w:t xml:space="preserve">Apie mus</w:t>
      </w:r>
    </w:p>
    <w:p w14:paraId="1EDBEC86" w14:textId="2BD21345" w:rsidR="00F8050C" w:rsidRPr="00F8050C" w:rsidRDefault="00CE1852" w:rsidP="00BA6C84">
      <w:pPr>
        <w:spacing w:after="0" w:line="240" w:lineRule="auto"/>
        <w:contextualSpacing/>
        <w:jc w:val="both"/>
        <w:rPr>
          <w:bCs/>
          <w:rFonts w:ascii="Times New Roman" w:hAnsi="Times New Roman" w:cs="Times New Roman"/>
        </w:rPr>
      </w:pPr>
      <w:r>
        <w:rPr>
          <w:rFonts w:ascii="Times New Roman" w:hAnsi="Times New Roman"/>
        </w:rPr>
        <w:t xml:space="preserve">Europos geležinkelių bendroji įmonė („EU-Rail“) įsteigta 2021 m. lapkričio 30 d. įsigaliojusiu Tarybos reglamentu (ES) 2021/2085, kuriuo pagal programą „Europos horizontas“ steigiamos bendrosios įmonės</w:t>
      </w:r>
      <w:r>
        <w:rPr>
          <w:rStyle w:val="FootnoteReference"/>
          <w:rFonts w:ascii="Times New Roman" w:hAnsi="Times New Roman" w:cs="Times New Roman"/>
          <w:bCs/>
        </w:rPr>
        <w:footnoteReference w:id="1"/>
      </w:r>
      <w:r>
        <w:rPr>
          <w:rFonts w:ascii="Times New Roman" w:hAnsi="Times New Roman"/>
        </w:rPr>
        <w:t xml:space="preserve">. Ji pakeitė Reglamentu (ES) Nr. 642/2014</w:t>
      </w:r>
      <w:r>
        <w:rPr>
          <w:rStyle w:val="FootnoteReference"/>
          <w:rFonts w:ascii="Times New Roman" w:hAnsi="Times New Roman" w:cs="Times New Roman"/>
          <w:bCs/>
        </w:rPr>
        <w:footnoteReference w:id="2"/>
      </w:r>
      <w:r>
        <w:rPr>
          <w:rFonts w:ascii="Times New Roman" w:hAnsi="Times New Roman"/>
        </w:rPr>
        <w:t xml:space="preserve"> įsteigtą bendrąją įmonę „Shift2Rail“ ir perėmė jos teises ir pareigas.</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bCs/>
          <w:rFonts w:ascii="Times New Roman" w:hAnsi="Times New Roman" w:cs="Times New Roman"/>
        </w:rPr>
      </w:pPr>
      <w:r>
        <w:rPr>
          <w:rFonts w:ascii="Times New Roman" w:hAnsi="Times New Roman"/>
        </w:rPr>
        <w:t xml:space="preserve">„EU-Rail“ yra geležinkelių sektoriaus viešojo ir privačiojo sektorių partnerių įmonė, įsteigta pagal Sutarties dėl Europos Sąjungos veikimo 187 straipsnį.</w:t>
      </w:r>
      <w:r>
        <w:rPr>
          <w:rFonts w:ascii="Times New Roman" w:hAnsi="Times New Roman"/>
        </w:rPr>
        <w:t xml:space="preserv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bCs/>
          <w:rFonts w:ascii="Times New Roman" w:hAnsi="Times New Roman" w:cs="Times New Roman"/>
        </w:rPr>
      </w:pPr>
      <w:r>
        <w:rPr>
          <w:rFonts w:ascii="Times New Roman" w:hAnsi="Times New Roman"/>
        </w:rPr>
        <w:t xml:space="preserve">„EU-Rail“ tikslas yra sukurti didelio pajėgumo integruotą Europos geležinkelių tinklą, pašalinant sąveikumo kliūtis ir teikiant visapusiško integravimo sprendimus, apimančius eismo valdymą, transporto priemones, infrastruktūrą ir paslaugas, kad būtų galima greičiau diegti ir panaudoti projektus bei inovacijas.</w:t>
      </w:r>
      <w:r>
        <w:rPr>
          <w:rFonts w:ascii="Times New Roman" w:hAnsi="Times New Roman"/>
        </w:rPr>
        <w:t xml:space="preserve"> </w:t>
      </w:r>
      <w:r>
        <w:rPr>
          <w:rFonts w:ascii="Times New Roman" w:hAnsi="Times New Roman"/>
        </w:rPr>
        <w:t xml:space="preserve">Tuo tikslu turėtų būti išnaudotas didžiulis skaitmeninimo ir automatizavimo potencialas, kad būtų sumažintos geležinkelių sąnaudos, sustiprinti jų pajėgumai ir padidintas jų lankstumas bei patikimumas, ir tai turėtų būti grindžiama tvirta pavyzdine funkcine sistemos architektūra, kuria dalijasi sektorius, koordinuojant veiksmus su Europos Sąjungos geležinkelių agentūra.</w:t>
      </w:r>
      <w:r>
        <w:rPr>
          <w:rFonts w:ascii="Times New Roman" w:hAnsi="Times New Roman"/>
        </w:rPr>
        <w:t xml:space="preserve">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Naudodamasi automatizavimo ir skaitmeninimo pažanga „EU-Rail“ siekia paspartinti mokslinius tyrimus, kurti ir diegti novatoriškus veiklos ir technologinius sprendimus, kad būtų galima iš esmės pertvarkyti geležinkelių sistemą ir įgyvendinti Europos žaliojo kurso tikslus.</w:t>
      </w:r>
      <w:r>
        <w:rPr>
          <w:rFonts w:ascii="Times New Roman" w:hAnsi="Times New Roman"/>
        </w:rPr>
        <w:t xml:space="preserve">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bCs/>
          <w:rFonts w:ascii="Times New Roman" w:hAnsi="Times New Roman" w:cs="Times New Roman"/>
        </w:rPr>
      </w:pPr>
      <w:r>
        <w:rPr>
          <w:rFonts w:ascii="Times New Roman" w:hAnsi="Times New Roman"/>
        </w:rPr>
        <w:t xml:space="preserve">Didžiausias bendrajai įmonei skiriamas Europos Sąjungos finansinis įnašas yra 600 mln. EUR per 2021–2027 m. laikotarpį, o projektas paskui bus toliau įgyvendinamas dar ketverius metus.</w:t>
      </w:r>
    </w:p>
    <w:p w14:paraId="738957E2" w14:textId="754CDF74" w:rsidR="005A0A14" w:rsidRPr="005A0A14" w:rsidRDefault="005A0A14" w:rsidP="005A0A14">
      <w:pPr>
        <w:spacing w:after="240" w:line="240" w:lineRule="auto"/>
        <w:jc w:val="both"/>
        <w:rPr>
          <w:bCs/>
          <w:rFonts w:ascii="Times New Roman" w:hAnsi="Times New Roman" w:cs="Times New Roman"/>
        </w:rPr>
      </w:pPr>
      <w:r>
        <w:rPr>
          <w:rFonts w:ascii="Times New Roman" w:hAnsi="Times New Roman"/>
        </w:rPr>
        <w:t xml:space="preserve">Bendrojoje įmonėje iš viso dirba 29 darbuotojai, suskirstyti į grupes, kurios yra atsakingos už finansų valdymą ir administravimą, programos ir projekto valdymą ir sistemos ramsčio įgyvendinimą.</w:t>
      </w:r>
    </w:p>
    <w:p w14:paraId="466CDFF8" w14:textId="6E460104" w:rsidR="00054B68" w:rsidRPr="00941457" w:rsidRDefault="00516AD8" w:rsidP="003542EC">
      <w:pPr>
        <w:spacing w:after="240" w:line="240" w:lineRule="auto"/>
        <w:jc w:val="both"/>
        <w:rPr>
          <w:b/>
          <w:rFonts w:ascii="Times New Roman" w:hAnsi="Times New Roman" w:cs="Times New Roman"/>
        </w:rPr>
      </w:pPr>
      <w:r>
        <w:rPr>
          <w:b/>
          <w:rFonts w:ascii="Times New Roman" w:hAnsi="Times New Roman"/>
        </w:rPr>
        <w:t xml:space="preserve">Siūlome</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 xml:space="preserve">Siūlome eiti bendrosios įmonės vykdomojo direktoriaus pareigas.</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Vykdomasis direktorius – vykdomasis vadovas, atsakingas už kasdienį bendrosios įmonės valdymą vadovaujantis valdybos sprendimais.</w:t>
      </w:r>
      <w:r>
        <w:rPr>
          <w:rFonts w:ascii="Times New Roman" w:hAnsi="Times New Roman"/>
        </w:rPr>
        <w:t xml:space="preserve"> </w:t>
      </w:r>
      <w:r>
        <w:rPr>
          <w:rFonts w:ascii="Times New Roman" w:hAnsi="Times New Roman"/>
        </w:rPr>
        <w:t xml:space="preserve">Jis teikia valdybai visą jos funkcijoms vykdyti būtiną informaciją.</w:t>
      </w:r>
      <w:r>
        <w:rPr>
          <w:rFonts w:ascii="Times New Roman" w:hAnsi="Times New Roman"/>
        </w:rPr>
        <w:t xml:space="preserve"> </w:t>
      </w:r>
      <w:r>
        <w:rPr>
          <w:rFonts w:ascii="Times New Roman" w:hAnsi="Times New Roman"/>
        </w:rPr>
        <w:t xml:space="preserve">Nedarant poveikio atitinkamai Sąjungos institucijų ir valdybos kompetencijai, vykdomasis direktorius neprašo duoti ir nepriima nurodymų iš jokios vyriausybės arba kitos įstaigos.</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 xml:space="preserve">Vykdomasis direktorius yra bendrosios įmonės teisinis atstovas.</w:t>
      </w:r>
      <w:r>
        <w:rPr>
          <w:rFonts w:ascii="Times New Roman" w:hAnsi="Times New Roman"/>
        </w:rPr>
        <w:t xml:space="preserve"> </w:t>
      </w:r>
      <w:r>
        <w:rPr>
          <w:rFonts w:ascii="Times New Roman" w:hAnsi="Times New Roman"/>
        </w:rPr>
        <w:t xml:space="preserve">Jis yra atskaitingas bendrosios įmonės valdybai.</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Vykdomasis direktorius vykdo bendrosios įmonės biudžetą ir užtikrina įvairių bendrosios įmonės organų ir tarnybų veiklos koordinavimą.</w:t>
      </w:r>
      <w:r>
        <w:rPr>
          <w:rFonts w:ascii="Times New Roman" w:hAnsi="Times New Roman"/>
        </w:rPr>
        <w:t xml:space="preserve"> </w:t>
      </w:r>
    </w:p>
    <w:p w14:paraId="6840BDE0" w14:textId="5CF25E24" w:rsidR="000F2822" w:rsidRDefault="000F2822" w:rsidP="00BA6C84">
      <w:pPr>
        <w:jc w:val="both"/>
        <w:rPr>
          <w:rFonts w:ascii="Times New Roman" w:hAnsi="Times New Roman" w:cs="Times New Roman"/>
        </w:rPr>
      </w:pPr>
      <w:r>
        <w:rPr>
          <w:rFonts w:ascii="Times New Roman" w:hAnsi="Times New Roman"/>
        </w:rPr>
        <w:t xml:space="preserve">Vykdomasis direktorius yra atsakingas už bendrosios įmonės darbo programos rengimą ir įgyvendinimą, kad būtų pasiekti pirmiau išdėstyti tikslai ir kartu būtų tinkamai atsižvelgiama į skirtingus narių interesus.</w:t>
      </w:r>
      <w:r>
        <w:rPr>
          <w:rFonts w:ascii="Times New Roman" w:hAnsi="Times New Roman"/>
        </w:rPr>
        <w:t xml:space="preserve"> </w:t>
      </w:r>
      <w:r>
        <w:rPr>
          <w:rFonts w:ascii="Times New Roman" w:hAnsi="Times New Roman"/>
        </w:rPr>
        <w:t xml:space="preserve">Jis atlieka pagrindinį vaidmenį informuojant visus suinteresuotuosius subjektus apie bendrosios įmonės vykdomą darbą.</w:t>
      </w:r>
    </w:p>
    <w:p w14:paraId="038EA614" w14:textId="34D62051" w:rsidR="00343F94" w:rsidRPr="00E707C1" w:rsidRDefault="0010782D" w:rsidP="00BA6C84">
      <w:pPr>
        <w:jc w:val="both"/>
        <w:rPr>
          <w:sz w:val="26"/>
          <w:szCs w:val="26"/>
          <w:vertAlign w:val="subscript"/>
          <w:rFonts w:ascii="Times New Roman" w:hAnsi="Times New Roman" w:cs="Times New Roman"/>
        </w:rPr>
      </w:pPr>
      <w:r>
        <w:rPr>
          <w:rFonts w:ascii="Times New Roman" w:hAnsi="Times New Roman"/>
        </w:rPr>
        <w:t xml:space="preserve">Išsamiau vykdomojo direktoriaus užduotys aprašomos Reglamento (ES) 2021/2085 19 straipsnyje.</w:t>
      </w:r>
    </w:p>
    <w:p w14:paraId="61C13B2B" w14:textId="73BC995B" w:rsidR="00E53957" w:rsidRPr="00941457" w:rsidRDefault="003542EC" w:rsidP="003542EC">
      <w:pPr>
        <w:spacing w:after="240" w:line="240" w:lineRule="auto"/>
        <w:jc w:val="both"/>
        <w:rPr>
          <w:b/>
          <w:rFonts w:ascii="Times New Roman" w:hAnsi="Times New Roman" w:cs="Times New Roman"/>
        </w:rPr>
      </w:pPr>
      <w:r>
        <w:rPr>
          <w:b/>
          <w:rFonts w:ascii="Times New Roman" w:hAnsi="Times New Roman"/>
        </w:rPr>
        <w:t xml:space="preserve">Ieškome (atrankos kriterijai)</w:t>
      </w:r>
    </w:p>
    <w:p w14:paraId="3FC7CD2A" w14:textId="6ED56909" w:rsidR="00E53957" w:rsidRPr="00941457" w:rsidRDefault="00E53957" w:rsidP="003542EC">
      <w:pPr>
        <w:spacing w:after="240" w:line="240" w:lineRule="auto"/>
        <w:jc w:val="both"/>
        <w:rPr>
          <w:b/>
          <w:rFonts w:ascii="Times New Roman" w:hAnsi="Times New Roman" w:cs="Times New Roman"/>
        </w:rPr>
      </w:pPr>
      <w:r>
        <w:rPr>
          <w:b/>
          <w:u w:val="single"/>
          <w:rFonts w:ascii="Times New Roman" w:hAnsi="Times New Roman"/>
        </w:rPr>
        <w:t xml:space="preserve">Vadovavimo įgūdžiai</w:t>
      </w:r>
      <w:r>
        <w:rPr>
          <w:b/>
          <w:u w:val="single"/>
          <w:rFonts w:ascii="Times New Roman" w:hAnsi="Times New Roman"/>
        </w:rPr>
        <w:t xml:space="preserve">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Tvirti lyderystės įgūdžiai, gebėjimas vadovauti svarbiai organizacijai tiek strateginiu, tiek veiklos valdymo lygmenimis dinamiškoje ir kintančioje mokslinėje ir operacinėje aplinkoje.</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Įrodymais pagrįstas gebėjimas nacionaliniu, Europos ir (arba) tarptautiniu lygmeniu valdyti ir organizuoti didelės tarnybos finansinius ir žmogiškuosius išteklius ir šioje srityje pasiekti geri rezultatai</w:t>
      </w:r>
      <w:r>
        <w:rPr>
          <w:rFonts w:ascii="Times New Roman" w:hAnsi="Times New Roman"/>
        </w:rPr>
        <w:t xml:space="preserve">.</w:t>
      </w:r>
      <w:r>
        <w:rPr>
          <w:rFonts w:ascii="Times New Roman" w:hAnsi="Times New Roman"/>
        </w:rPr>
        <w:t xml:space="preserve">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w:t>
      </w:r>
      <w:r>
        <w:rPr>
          <w:rFonts w:ascii="Times New Roman" w:hAnsi="Times New Roman"/>
        </w:rPr>
        <w:t xml:space="preserve"> </w:t>
      </w:r>
      <w:r>
        <w:tab/>
      </w:r>
      <w:r>
        <w:rPr>
          <w:rFonts w:ascii="Times New Roman" w:hAnsi="Times New Roman"/>
        </w:rPr>
        <w:t xml:space="preserve">Didelė derybų tarptautinėje aplinkoje patirtis.</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Pranašumas būtų vadovavimo patirtis, įgyta daugiakultūrėje ir daugiakalbėje aplinkoje.</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b/>
          <w:rFonts w:ascii="Times New Roman" w:hAnsi="Times New Roman" w:cs="Times New Roman"/>
        </w:rPr>
      </w:pPr>
      <w:r>
        <w:rPr>
          <w:b/>
          <w:u w:val="single"/>
          <w:rFonts w:ascii="Times New Roman" w:hAnsi="Times New Roman"/>
        </w:rPr>
        <w:t xml:space="preserve">Specialieji įgūdžiai ir patirtis</w:t>
      </w:r>
      <w:r>
        <w:rPr>
          <w:b/>
          <w:u w:val="single"/>
          <w:rFonts w:ascii="Times New Roman" w:hAnsi="Times New Roman"/>
        </w:rPr>
        <w:t xml:space="preserve">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Labai geras supratimas apie Europos Sąjungos institucijas, jų veiklą ir sąveiką.</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Geras Sąjungos geležinkelių transporto politikos išmanymas ir (arba) šios srities patirtis.</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Privalumas būtų geras supratimas apie nacionalinio ar Europos lygmens mokslinius tyrimus ir plėtrą geležinkelių srityje ir (arba) transporto mokslinius tyrimus ir inovacijas.</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w:t>
      </w:r>
      <w:r>
        <w:rPr>
          <w:rFonts w:ascii="Times New Roman" w:hAnsi="Times New Roman"/>
        </w:rPr>
        <w:t xml:space="preserve">   </w:t>
      </w:r>
      <w:r>
        <w:tab/>
      </w:r>
      <w:r>
        <w:rPr>
          <w:rFonts w:ascii="Times New Roman" w:hAnsi="Times New Roman"/>
        </w:rPr>
        <w:t xml:space="preserve">Pranašumas būtų ir patirtis, įgyta nacionalinėje, europinėje ar tarptautinėje viešojo administravimo įstaigoje.</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b/>
          <w:rFonts w:ascii="Times New Roman" w:hAnsi="Times New Roman" w:cs="Times New Roman"/>
        </w:rPr>
      </w:pPr>
      <w:r>
        <w:rPr>
          <w:b/>
          <w:u w:val="single"/>
          <w:rFonts w:ascii="Times New Roman" w:hAnsi="Times New Roman"/>
        </w:rPr>
        <w:t xml:space="preserve">Asmeninės savybės</w:t>
      </w:r>
      <w:r>
        <w:rPr>
          <w:b/>
          <w:u w:val="single"/>
          <w:rFonts w:ascii="Times New Roman" w:hAnsi="Times New Roman"/>
        </w:rPr>
        <w:t xml:space="preserve">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Gebėjimas veiksmingai, sklandžiai, skaidriai ir atvirai bendrauti su vidaus ir išorės suinteresuotaisiais subjektais, įskaitant spaudą, visuomenę, Europos, tarptautines, nacionalines ir vietos valdžios institucijas, tarptautines organizacijas, taip pat atstovauti bendrajai įmonei išorės forumuose.</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Puikūs bendravimo įgūdžiai ir gebėjimas palaikyti veiksmingus darbo santykius su ES institucijomis ir valstybių narių kompetentingomis institucijomis, kad būtų užtikrintas tinkamas bendrosios įmonės veikimas.</w:t>
      </w:r>
    </w:p>
    <w:p w14:paraId="46B488AB" w14:textId="417241A5" w:rsidR="00E53957" w:rsidRPr="00941457" w:rsidRDefault="00A75266" w:rsidP="00A75266">
      <w:pPr>
        <w:spacing w:after="240" w:line="240" w:lineRule="auto"/>
        <w:ind w:left="284" w:hanging="284"/>
        <w:jc w:val="both"/>
        <w:rPr>
          <w:b/>
          <w:rFonts w:ascii="Times New Roman" w:hAnsi="Times New Roman" w:cs="Times New Roman"/>
        </w:rPr>
      </w:pPr>
      <w:r>
        <w:rPr>
          <w:rFonts w:ascii="Times New Roman" w:hAnsi="Times New Roman"/>
        </w:rPr>
        <w:t xml:space="preserve">-</w:t>
      </w:r>
      <w:r>
        <w:tab/>
      </w:r>
      <w:r>
        <w:rPr>
          <w:rFonts w:ascii="Times New Roman" w:hAnsi="Times New Roman"/>
        </w:rPr>
        <w:t xml:space="preserve">Gebėjimas propaguoti pagrindinius bendrosios įmonės principus – atvirumą, skaidrumą, nepriklausomumą ir mokslinę kompetenciją.</w:t>
      </w:r>
    </w:p>
    <w:p w14:paraId="16EBE20A" w14:textId="623A5866" w:rsidR="003542EC" w:rsidRPr="00941457" w:rsidRDefault="003542EC" w:rsidP="003542EC">
      <w:pPr>
        <w:spacing w:after="240" w:line="240" w:lineRule="auto"/>
        <w:jc w:val="both"/>
        <w:rPr>
          <w:b/>
          <w:rFonts w:ascii="Times New Roman" w:hAnsi="Times New Roman" w:cs="Times New Roman"/>
        </w:rPr>
      </w:pPr>
      <w:r>
        <w:rPr>
          <w:b/>
          <w:rFonts w:ascii="Times New Roman" w:hAnsi="Times New Roman"/>
        </w:rPr>
        <w:t xml:space="preserve">Kandidatai privalo (tinkamumo reikalavimai)</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Kandidatai galės dalyvauti atrankos etape tik jei </w:t>
      </w:r>
      <w:r>
        <w:rPr>
          <w:b/>
          <w:rFonts w:ascii="Times New Roman" w:hAnsi="Times New Roman"/>
        </w:rPr>
        <w:t xml:space="preserve">iki paraiškų pateikimo termino</w:t>
      </w:r>
      <w:r>
        <w:rPr>
          <w:rFonts w:ascii="Times New Roman" w:hAnsi="Times New Roman"/>
        </w:rPr>
        <w:t xml:space="preserve"> atitiks toliau nurodytus formalius reikalavimus.</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Pilietybė</w:t>
      </w:r>
      <w:r>
        <w:rPr>
          <w:rFonts w:ascii="Times New Roman" w:hAnsi="Times New Roman"/>
        </w:rPr>
        <w:t xml:space="preserve">:</w:t>
      </w:r>
      <w:r>
        <w:rPr>
          <w:rFonts w:ascii="Times New Roman" w:hAnsi="Times New Roman"/>
        </w:rPr>
        <w:t xml:space="preserve"> </w:t>
      </w:r>
      <w:r>
        <w:rPr>
          <w:rFonts w:ascii="Times New Roman" w:hAnsi="Times New Roman"/>
        </w:rPr>
        <w:t xml:space="preserve">kandidatas turi turėti vienos iš Europos Sąjungos valstybių narių pilietybę.</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Universitetinis išsilavinimas arba diplomas</w:t>
      </w:r>
      <w:r>
        <w:rPr>
          <w:rFonts w:ascii="Times New Roman" w:hAnsi="Times New Roman"/>
        </w:rPr>
        <w:t xml:space="preserve">:</w:t>
      </w:r>
      <w:r>
        <w:rPr>
          <w:rFonts w:ascii="Times New Roman" w:hAnsi="Times New Roman"/>
        </w:rPr>
        <w:t xml:space="preserve"> </w:t>
      </w:r>
      <w:r>
        <w:rPr>
          <w:rFonts w:ascii="Times New Roman" w:hAnsi="Times New Roman"/>
        </w:rPr>
        <w:t xml:space="preserve">kandidatas privalo turėti:</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arba diplomu patvirtintą ketverių metų ar ilgesnį užbaigtą universitetinį išsilavinimą,</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arba diplomu patvirtintą bent trejų metų užbaigtą universitetinį išsilavinimą ir ne mažesnę kaip vienų metų atitinkamą profesinę patirtį (ši vienų metų profesinė patirtis negali būti įtraukta į baigus studijas įgytos profesinės patirties, kurios reikalaujama toliau, laikotarpį).</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Profesinė patirtis</w:t>
      </w:r>
      <w:r>
        <w:rPr>
          <w:rFonts w:ascii="Times New Roman" w:hAnsi="Times New Roman"/>
        </w:rPr>
        <w:t xml:space="preserve">:</w:t>
      </w:r>
      <w:r>
        <w:rPr>
          <w:rFonts w:ascii="Times New Roman" w:hAnsi="Times New Roman"/>
        </w:rPr>
        <w:t xml:space="preserve"> </w:t>
      </w:r>
      <w:r>
        <w:rPr>
          <w:rFonts w:ascii="Times New Roman" w:hAnsi="Times New Roman"/>
        </w:rPr>
        <w:t xml:space="preserve">kandidatas privalo turėti ne mažesnę kaip 15 metų darbo patirtį</w:t>
      </w:r>
      <w:r>
        <w:rPr>
          <w:rStyle w:val="FootnoteReference"/>
          <w:rFonts w:ascii="Times New Roman" w:hAnsi="Times New Roman" w:cs="Times New Roman"/>
        </w:rPr>
        <w:footnoteReference w:id="3"/>
      </w:r>
      <w:r>
        <w:rPr>
          <w:rFonts w:ascii="Times New Roman" w:hAnsi="Times New Roman"/>
        </w:rPr>
        <w:t xml:space="preserve">, įgytą baigus studijas, kurios lygmuo atitinka minėtus kvalifikacinius reikalavimus.</w:t>
      </w:r>
      <w:r>
        <w:rPr>
          <w:rFonts w:ascii="Times New Roman" w:hAnsi="Times New Roman"/>
        </w:rPr>
        <w:t xml:space="preserve"> </w:t>
      </w:r>
      <w:r>
        <w:rPr>
          <w:rFonts w:ascii="Times New Roman" w:hAnsi="Times New Roman"/>
        </w:rPr>
        <w:t xml:space="preserve">Bent penkerių metų profesinė patirtis turi būti įgyta bendrosios įmonės veiklos srityje.</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Vadovavimo patirtis</w:t>
      </w:r>
      <w:r>
        <w:rPr>
          <w:rFonts w:ascii="Times New Roman" w:hAnsi="Times New Roman"/>
        </w:rPr>
        <w:t xml:space="preserve">:</w:t>
      </w:r>
      <w:r>
        <w:rPr>
          <w:rFonts w:ascii="Times New Roman" w:hAnsi="Times New Roman"/>
        </w:rPr>
        <w:t xml:space="preserve"> </w:t>
      </w:r>
      <w:r>
        <w:rPr>
          <w:rFonts w:ascii="Times New Roman" w:hAnsi="Times New Roman"/>
        </w:rPr>
        <w:t xml:space="preserve">iš baigus studijas įgytos profesinės patirties bent penkerių metų profesinė patirtis turi būti įgyta einant aukšto lygio vadovo pareigas</w:t>
      </w:r>
      <w:r>
        <w:rPr>
          <w:rStyle w:val="FootnoteReference"/>
          <w:rFonts w:ascii="Times New Roman" w:hAnsi="Times New Roman" w:cs="Times New Roman"/>
        </w:rPr>
        <w:footnoteReference w:id="4"/>
      </w:r>
      <w:r>
        <w:rPr>
          <w:rFonts w:ascii="Times New Roman" w:hAnsi="Times New Roman"/>
        </w:rPr>
        <w:t xml:space="preserve"> su siūlomomis pareigomis susijusioje srityje.</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Kalbos</w:t>
      </w:r>
      <w:r>
        <w:rPr>
          <w:rFonts w:ascii="Times New Roman" w:hAnsi="Times New Roman"/>
        </w:rPr>
        <w:t xml:space="preserve">:</w:t>
      </w:r>
      <w:r>
        <w:rPr>
          <w:rFonts w:ascii="Times New Roman" w:hAnsi="Times New Roman"/>
        </w:rPr>
        <w:t xml:space="preserve"> </w:t>
      </w:r>
      <w:r>
        <w:rPr>
          <w:rFonts w:ascii="Times New Roman" w:hAnsi="Times New Roman"/>
        </w:rPr>
        <w:t xml:space="preserve">kandidatai turi labai gerai mokėti vieną iš oficialiųjų Europos Sąjungos kalbų</w:t>
      </w:r>
      <w:r>
        <w:rPr>
          <w:rStyle w:val="FootnoteReference"/>
          <w:rFonts w:ascii="Times New Roman" w:hAnsi="Times New Roman" w:cs="Times New Roman"/>
        </w:rPr>
        <w:footnoteReference w:id="5"/>
      </w:r>
      <w:r>
        <w:rPr>
          <w:rFonts w:ascii="Times New Roman" w:hAnsi="Times New Roman"/>
        </w:rPr>
        <w:t xml:space="preserve"> ir pakankamai gerai mokėti kurią nors kitą oficialiąją ES kalbą.</w:t>
      </w:r>
      <w:r>
        <w:rPr>
          <w:rFonts w:ascii="Times New Roman" w:hAnsi="Times New Roman"/>
        </w:rPr>
        <w:t xml:space="preserve"> </w:t>
      </w:r>
      <w:r>
        <w:rPr>
          <w:rFonts w:ascii="Times New Roman" w:hAnsi="Times New Roman"/>
        </w:rPr>
        <w:t xml:space="preserve">Atrankos komisijos per pokalbį (-ius) tikrins, ar kandidatai atitinka reikalavimą pakankamai gerai mokėti kurią nors kitą oficialiąją ES kalbą.</w:t>
      </w:r>
      <w:r>
        <w:rPr>
          <w:rFonts w:ascii="Times New Roman" w:hAnsi="Times New Roman"/>
        </w:rPr>
        <w:t xml:space="preserve"> </w:t>
      </w:r>
      <w:r>
        <w:rPr>
          <w:rFonts w:ascii="Times New Roman" w:hAnsi="Times New Roman"/>
        </w:rPr>
        <w:t xml:space="preserve">Todėl pokalbis arba jo dalis gali vykti ta kita kalba.</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Amžiaus riba</w:t>
      </w:r>
      <w:r>
        <w:rPr>
          <w:rFonts w:ascii="Times New Roman" w:hAnsi="Times New Roman"/>
        </w:rPr>
        <w:t xml:space="preserve">:</w:t>
      </w:r>
      <w:r>
        <w:rPr>
          <w:rFonts w:ascii="Times New Roman" w:hAnsi="Times New Roman"/>
        </w:rPr>
        <w:t xml:space="preserve"> </w:t>
      </w:r>
      <w:r>
        <w:rPr>
          <w:rFonts w:ascii="Times New Roman" w:hAnsi="Times New Roman"/>
        </w:rPr>
        <w:t xml:space="preserve">nuo paraiškų pateikimo termino dienos kandidatai turi galėti išdirbti visą ketverių metų kadenciją nesulaukę pensinio amžiaus.</w:t>
      </w:r>
      <w:r>
        <w:rPr>
          <w:rFonts w:ascii="Times New Roman" w:hAnsi="Times New Roman"/>
        </w:rPr>
        <w:t xml:space="preserve"> </w:t>
      </w:r>
      <w:r>
        <w:rPr>
          <w:rFonts w:ascii="Times New Roman" w:hAnsi="Times New Roman"/>
        </w:rPr>
        <w:t xml:space="preserve">Europos Sąjungos laikinųjų darbuotojų pensinis amžius skaičiuojamas nuo mėnesio, kurį jiems sukanka 66 metai, pabaigos (žr. Kitų Europos Sąjungos tarnautojų įdarbinimo sąlygų</w:t>
      </w:r>
      <w:r>
        <w:rPr>
          <w:rStyle w:val="FootnoteReference"/>
          <w:rFonts w:ascii="Times New Roman" w:hAnsi="Times New Roman" w:cs="Times New Roman"/>
        </w:rPr>
        <w:footnoteReference w:id="6"/>
      </w:r>
      <w:r>
        <w:rPr>
          <w:rFonts w:ascii="Times New Roman" w:hAnsi="Times New Roman"/>
        </w:rPr>
        <w:t xml:space="preserve"> 47 straipsnį).</w:t>
      </w:r>
    </w:p>
    <w:p w14:paraId="2C3E8783" w14:textId="77777777" w:rsidR="001F08A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Atranka ir paskyrimas</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color w:val="000000"/>
          <w:sz w:val="22"/>
          <w:szCs w:val="22"/>
          <w:rFonts w:ascii="Times New Roman" w:hAnsi="Times New Roman" w:cs="Times New Roman"/>
        </w:rPr>
      </w:pPr>
      <w:r>
        <w:rPr>
          <w:rStyle w:val="Corpsdutexte"/>
          <w:color w:val="000000"/>
          <w:sz w:val="22"/>
          <w:rFonts w:ascii="Times New Roman" w:hAnsi="Times New Roman"/>
        </w:rPr>
        <w:t xml:space="preserve">Vykdomąjį direktorių, remdamasi Europos Komisijos pateiktu galutiniu kandidatų sąrašu, skirs bendrosios įmonės valdyba.</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 xml:space="preserve">Norėdama sudaryti galutinį kandidatų sąrašą, Europos Komisija organizuos atranką laikydamasi atrankos ir įdarbinimo tvarkos (žr. Su vyresniaisiais pareigūnais susijusios politikos dokumentą</w:t>
      </w:r>
      <w:r>
        <w:rPr>
          <w:rStyle w:val="FootnoteReference"/>
          <w:rFonts w:ascii="Times New Roman" w:hAnsi="Times New Roman" w:cs="Times New Roman"/>
        </w:rPr>
        <w:footnoteReference w:id="7"/>
      </w:r>
      <w:r>
        <w:rPr>
          <w:rFonts w:ascii="Times New Roman" w:hAnsi="Times New Roman"/>
        </w:rPr>
        <w:t xml:space="preserve">).</w:t>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 xml:space="preserve">Organizuodama šią atrankos procedūrą Europos Komisija sudarys pirminės atrankos komisiją, į kurią pagal Reglamentą (ES) 2021/2085 bus įtraukti kiekvienos kategorijos kitų nei Sąjunga bendrosios įmonės narių</w:t>
      </w:r>
      <w:r>
        <w:rPr>
          <w:rStyle w:val="FootnoteReference"/>
          <w:rFonts w:ascii="Times New Roman" w:hAnsi="Times New Roman" w:cs="Times New Roman"/>
          <w:sz w:val="20"/>
        </w:rPr>
        <w:footnoteReference w:id="8"/>
      </w:r>
      <w:r>
        <w:rPr>
          <w:rFonts w:ascii="Times New Roman" w:hAnsi="Times New Roman"/>
        </w:rPr>
        <w:t xml:space="preserve"> paskirti atstovai ir vienas valdybos paskirtas stebėtojas.</w:t>
      </w:r>
      <w:r>
        <w:rPr>
          <w:rFonts w:ascii="Times New Roman" w:hAnsi="Times New Roman"/>
        </w:rPr>
        <w:t xml:space="preserve">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Ši komisija išanalizuos visas paraiškas, atliks pirmąjį tinkamumo patikrinimą ir pagal pirmiau nurodytus kriterijus nustatys geriausią profilį turinčius kandidatus, kurie gali būti pakviesti pokalbio su pirminės atrankos komisija.</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Po šių pokalbių pirminės atrankos komisija parengs išvadas ir pateiks kandidatų, kurie galėtų būti pakviesti tolesnio pokalbio su Europos Komisijos paskyrimų patariamuoju komitetu (PPK), sąrašą.</w:t>
      </w:r>
      <w:r>
        <w:rPr>
          <w:rFonts w:ascii="Times New Roman" w:hAnsi="Times New Roman"/>
        </w:rPr>
        <w:t xml:space="preserve"> </w:t>
      </w:r>
      <w:r>
        <w:rPr>
          <w:rFonts w:ascii="Times New Roman" w:hAnsi="Times New Roman"/>
        </w:rPr>
        <w:t xml:space="preserve">PPK, atsižvelgdamas į pirminės atrankos komisijos išvadas, nuspręs, kuriuos kandidatus pakviesti pokalbio.</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Pokalbio su PPK pakviesti kandidatai dalyvaus visą dieną vyksiančiose vadovų vertinimo centro, kuriame dirba nepriklausomi įdarbinimo konsultantai, procedūrose.</w:t>
      </w:r>
      <w:r>
        <w:rPr>
          <w:rFonts w:ascii="Times New Roman" w:hAnsi="Times New Roman"/>
        </w:rPr>
        <w:t xml:space="preserve"> </w:t>
      </w:r>
      <w:r>
        <w:rPr>
          <w:rFonts w:ascii="Times New Roman" w:hAnsi="Times New Roman"/>
        </w:rPr>
        <w:t xml:space="preserve">Atsižvelgdamas į pokalbio ir vertinimo centro ataskaitos rezultatus, PPK sudarys galutinį kandidatų, laikomų tinkančiais eiti Europos geležinkelių bendrosios įmonės vykdomojo direktoriaus pareigas, sąrašą.</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PPK atrinkti kandidatai dalyvaus pokalbyje su Komisijos nariu (-iais), atsakingu (-ais) už generalinį direktoratą, kuris atsako už ryšius su bendrąja įmone.</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Po šių pokalbių Europos Komisija sudarys galutinį tinkamiausių kandidatų, pageidautina – ne mažiau nei trijų, sąrašą ir perduos jį Europos geležinkelių bendrosios įmonės valdybai.</w:t>
      </w:r>
      <w:r>
        <w:rPr>
          <w:rFonts w:ascii="Times New Roman" w:hAnsi="Times New Roman"/>
        </w:rPr>
        <w:t xml:space="preserve"> </w:t>
      </w:r>
      <w:r>
        <w:rPr>
          <w:rFonts w:ascii="Times New Roman" w:hAnsi="Times New Roman"/>
        </w:rPr>
        <w:t xml:space="preserve">Prieš paskirdama vykdomąjį direktorių iš Komisijos atrinktų kandidatų, valdyba gali nuspręsti su jais surengti pokalbius.</w:t>
      </w:r>
      <w:r>
        <w:rPr>
          <w:rFonts w:ascii="Times New Roman" w:hAnsi="Times New Roman"/>
        </w:rPr>
        <w:t xml:space="preserve"> </w:t>
      </w:r>
      <w:r>
        <w:rPr>
          <w:rFonts w:ascii="Times New Roman" w:hAnsi="Times New Roman"/>
        </w:rPr>
        <w:t xml:space="preserve">Tai, kad kandidatas yra įtrauktas į šį galutinį sąrašą, nereiškia, kad jis bus paskirtas eiti pareigas.</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Gali būti reikalaujama, kad kandidatai dalyvautų ne tik pirmiau nurodytuose, bet ir papildomuose pokalbiuose ir (arba) atliktų papildomus testus.</w:t>
      </w:r>
      <w:r>
        <w:rPr>
          <w:rFonts w:ascii="Times New Roman" w:hAnsi="Times New Roman"/>
        </w:rPr>
        <w:t xml:space="preserve"> </w:t>
      </w:r>
      <w:r>
        <w:rPr>
          <w:rFonts w:ascii="Times New Roman" w:hAnsi="Times New Roman"/>
        </w:rPr>
        <w:t xml:space="preserve">Jiems taip pat gali tekti padaryti pareiškimą atitinkamame (-uose) Europos Parlamento komitete (-uose).</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Atrinktas kandidatas turėtų turėti arba iš nacionalinės saugumo tarnybos galėti gauti galiojantį asmens patikimumo pažymėjimą.</w:t>
      </w:r>
      <w:r>
        <w:rPr>
          <w:rFonts w:ascii="Times New Roman" w:hAnsi="Times New Roman"/>
        </w:rPr>
        <w:t xml:space="preserve"> </w:t>
      </w:r>
      <w:r>
        <w:rPr>
          <w:rFonts w:ascii="Times New Roman" w:hAnsi="Times New Roman"/>
        </w:rPr>
        <w:t xml:space="preserve">Asmens patikimumo pažymėjimas yra administracinis sprendimas, kuris priimamas kompetentingai nacionalinei saugumo tarnybai užbaigus patikimumo patikrinimą pagal galiojančius nacionalinius saugumo įstatymus ir kitus teisės aktus ir kuriuo patvirtinama, kad asmeniui leidžiama susipažinti su nurodyto lygio įslaptinta informacija.</w:t>
      </w:r>
      <w:r>
        <w:rPr>
          <w:rFonts w:ascii="Times New Roman" w:hAnsi="Times New Roman"/>
        </w:rPr>
        <w:t xml:space="preserve"> </w:t>
      </w:r>
      <w:r>
        <w:rPr>
          <w:rFonts w:ascii="Times New Roman" w:hAnsi="Times New Roman"/>
        </w:rPr>
        <w:t xml:space="preserve">(Pažymėtina, kad asmens patikimumo pažymėjimo išdavimo procedūra gali būti pradėta tik darbdavio, o ne paties kandidato prašymu.)</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Kandidatas galės susipažinti su „CONFIDENTIEL UE / EU CONFIDENTIAL“ arba didesnio slaptumo žyma pažymėta ES įslaptinta informacija ir dalyvauti posėdžiuose, kuriuose tokia ES įslaptinta informacija aptariama, tik po to, kai atitinkama valstybė narė išduos asmens patikimumo pažymėjimą ir kai patikrinimo procedūra bus užbaigta Europos Komisijos Saugumo direktorato teisiškai privalomu informaciniu pranešimu.</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b/>
          <w:rFonts w:ascii="Times New Roman" w:hAnsi="Times New Roman" w:cs="Times New Roman"/>
        </w:rPr>
      </w:pPr>
      <w:r>
        <w:rPr>
          <w:b/>
          <w:rFonts w:ascii="Times New Roman" w:hAnsi="Times New Roman"/>
        </w:rPr>
        <w:t xml:space="preserve">Lygios galimybės</w:t>
      </w:r>
      <w:r>
        <w:rPr>
          <w:b/>
          <w:rFonts w:ascii="Times New Roman" w:hAnsi="Times New Roman"/>
        </w:rPr>
        <w:t xml:space="preserve">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 xml:space="preserve">Europos Komisija ir bendroji įmonė siekia strateginio tikslo – iki dabartinės Komisijos kadencijos pabaigos pasiekti lyčių lygybę visais valdymo lygmenimis ir taiko lygių galimybių ir nediskriminavimo politiką pagal Tarnybos nuostatų</w:t>
      </w:r>
      <w:r>
        <w:rPr>
          <w:rStyle w:val="FootnoteReference"/>
          <w:rFonts w:ascii="Times New Roman" w:hAnsi="Times New Roman" w:cs="Times New Roman"/>
        </w:rPr>
        <w:footnoteReference w:id="9"/>
      </w:r>
      <w:r>
        <w:rPr>
          <w:rFonts w:ascii="Times New Roman" w:hAnsi="Times New Roman"/>
        </w:rPr>
        <w:t xml:space="preserve"> 1d straipsnį, skatindamos teikti paraiškas, kurios galėtų padėti užtikrinti didesnę įvairovę, lyčių lygybę ir bendrą geografinę pusiausvyrą.</w:t>
      </w:r>
    </w:p>
    <w:p w14:paraId="09950794" w14:textId="0911026D" w:rsidR="006B1671" w:rsidRPr="00941457" w:rsidRDefault="005B116D" w:rsidP="003542EC">
      <w:pPr>
        <w:spacing w:after="240" w:line="240" w:lineRule="auto"/>
        <w:jc w:val="both"/>
        <w:rPr>
          <w:b/>
          <w:rFonts w:ascii="Times New Roman" w:hAnsi="Times New Roman" w:cs="Times New Roman"/>
        </w:rPr>
      </w:pPr>
      <w:r>
        <w:rPr>
          <w:b/>
          <w:rFonts w:ascii="Times New Roman" w:hAnsi="Times New Roman"/>
        </w:rPr>
        <w:t xml:space="preserve">Įvairovė ir įtrauktis</w:t>
      </w:r>
      <w:r>
        <w:rPr>
          <w:b/>
          <w:rFonts w:ascii="Times New Roman" w:hAnsi="Times New Roman"/>
        </w:rPr>
        <w:t xml:space="preserve"> </w:t>
      </w:r>
    </w:p>
    <w:p w14:paraId="44C17C93" w14:textId="2DFE0231" w:rsidR="005B116D" w:rsidRPr="00412F66" w:rsidRDefault="005B116D" w:rsidP="003542EC">
      <w:pPr>
        <w:spacing w:after="240" w:line="240" w:lineRule="auto"/>
        <w:jc w:val="both"/>
        <w:rPr>
          <w:b/>
          <w:rFonts w:ascii="Times New Roman" w:hAnsi="Times New Roman" w:cs="Times New Roman"/>
        </w:rPr>
      </w:pPr>
      <w:r>
        <w:rPr>
          <w:rFonts w:ascii="Times New Roman" w:hAnsi="Times New Roman"/>
        </w:rPr>
        <w:t xml:space="preserve">Bendroji įmonė pripažįsta, kad sveika profesinio ir asmeninio gyvenimo pusiausvyra daugeliui žmonių yra svarbus motyvacinis veiksnys ir kad vis dažniau tikimasi, jog šiuolaikinėje darbo aplinkoje bus suteikiama galimybė dirbti lanksčiai.</w:t>
      </w:r>
      <w:r>
        <w:rPr>
          <w:rFonts w:ascii="Times New Roman" w:hAnsi="Times New Roman"/>
        </w:rPr>
        <w:t xml:space="preserve">  </w:t>
      </w:r>
      <w:r>
        <w:rPr>
          <w:rFonts w:ascii="Times New Roman" w:hAnsi="Times New Roman"/>
        </w:rPr>
        <w:t xml:space="preserve">Kaip darbdavė, bendroji įmonė yra įsipareigojusi užtikrinti lyčių lygybę ir užkirsti kelią diskriminacijai dėl bet kokių priežasčių.</w:t>
      </w:r>
      <w:r>
        <w:rPr>
          <w:rFonts w:ascii="Times New Roman" w:hAnsi="Times New Roman"/>
        </w:rPr>
        <w:t xml:space="preserve"> </w:t>
      </w:r>
      <w:r>
        <w:rPr>
          <w:rFonts w:ascii="Times New Roman" w:hAnsi="Times New Roman"/>
        </w:rPr>
        <w:t xml:space="preserve">Ji laukia paraiškų iš visų tinkamos kvalifikacijos kandidatų, turinčių įvairios patirties ir visokių gebėjimų, iš kuo įvairesnių ES valstybių narių geografinių vietovių.</w:t>
      </w:r>
      <w:r>
        <w:rPr>
          <w:rFonts w:ascii="Times New Roman" w:hAnsi="Times New Roman"/>
        </w:rPr>
        <w:t xml:space="preserve"> </w:t>
      </w:r>
      <w:r>
        <w:rPr>
          <w:rFonts w:ascii="Times New Roman" w:hAnsi="Times New Roman"/>
        </w:rPr>
        <w:t xml:space="preserve">Siekdama lyčių lygybės, bendroji įmonė paraiškas teikti skatina ypač moteris.</w:t>
      </w:r>
      <w:r>
        <w:rPr>
          <w:rFonts w:ascii="Times New Roman" w:hAnsi="Times New Roman"/>
        </w:rPr>
        <w:t xml:space="preserve"> </w:t>
      </w:r>
      <w:r>
        <w:rPr>
          <w:rFonts w:ascii="Times New Roman" w:hAnsi="Times New Roman"/>
        </w:rPr>
        <w:t xml:space="preserve">Per įdarbinimo procedūrą gali būti teikiama pagalba neįgaliesiems.</w:t>
      </w:r>
      <w:r>
        <w:rPr>
          <w:rFonts w:ascii="Times New Roman" w:hAnsi="Times New Roman"/>
        </w:rPr>
        <w:t xml:space="preserve"> </w:t>
      </w:r>
    </w:p>
    <w:p w14:paraId="19F8019A" w14:textId="77777777" w:rsidR="006B1671" w:rsidRPr="00941457" w:rsidRDefault="006B1671" w:rsidP="003542EC">
      <w:pPr>
        <w:spacing w:after="240" w:line="240" w:lineRule="auto"/>
        <w:jc w:val="both"/>
        <w:rPr>
          <w:b/>
          <w:rFonts w:ascii="Times New Roman" w:hAnsi="Times New Roman" w:cs="Times New Roman"/>
        </w:rPr>
      </w:pPr>
      <w:r>
        <w:rPr>
          <w:b/>
          <w:rFonts w:ascii="Times New Roman" w:hAnsi="Times New Roman"/>
        </w:rPr>
        <w:t xml:space="preserve">Įdarbinimo sąlygos</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Darbo užmokestis ir įdarbinimo sąlygos yra nustatyti Kitų Europos Sąjungos tarnautojų įdarbinimo sąlygose.</w:t>
      </w:r>
      <w:r>
        <w:rPr>
          <w:rFonts w:ascii="Times New Roman" w:hAnsi="Times New Roman"/>
        </w:rPr>
        <w:t xml:space="preserve">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Konkurso laureatą Europos geležinkelių bendroji įmonė įdarbins kaip AD14 lygio laikinąjį darbuotoją.</w:t>
      </w:r>
      <w:r>
        <w:rPr>
          <w:rFonts w:ascii="Times New Roman" w:hAnsi="Times New Roman"/>
        </w:rPr>
        <w:t xml:space="preserve"> </w:t>
      </w:r>
      <w:r>
        <w:rPr>
          <w:rFonts w:ascii="Times New Roman" w:hAnsi="Times New Roman"/>
        </w:rPr>
        <w:t xml:space="preserve">Priklausomai nuo ankstesnės profesinės patirties, jam bus nustatyta 1-a arba 2-a to pareigų lygio pakopa.</w:t>
      </w:r>
      <w:r>
        <w:rPr>
          <w:rFonts w:ascii="Times New Roman" w:hAnsi="Times New Roman"/>
        </w:rPr>
        <w:t xml:space="preserve">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Remiantis bendrosios įmonės steigimo reglamentu, jis bus paskirtas pradinei ketverių metų kadencijai, kuri gali būti pratęsta ne ilgesniam kaip trejų metų laikotarpiui.</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Informuojame kandidatus, kad Kitų Europos Sąjungos tarnautojų įdarbinimo sąlygose visiems naujiems darbuotojams nustatytas devynių mėnesių bandomasis laikotarpis.</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 xml:space="preserve">Darbo vieta yra Briuselyje, Belgijoje.</w:t>
      </w:r>
    </w:p>
    <w:p w14:paraId="474DC449" w14:textId="0087A855" w:rsidR="00CB0E68" w:rsidRPr="008649AA" w:rsidRDefault="00CB0E68" w:rsidP="00CB0E68">
      <w:pPr>
        <w:spacing w:after="240" w:line="240" w:lineRule="auto"/>
        <w:jc w:val="both"/>
        <w:rPr>
          <w:b/>
          <w:rFonts w:ascii="Times New Roman" w:hAnsi="Times New Roman" w:cs="Times New Roman"/>
        </w:rPr>
      </w:pPr>
      <w:r>
        <w:rPr>
          <w:b/>
          <w:rFonts w:ascii="Times New Roman" w:hAnsi="Times New Roman"/>
        </w:rPr>
        <w:t xml:space="preserve">Svarbi informacija kandidatams</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Kandidatams primenama, kad atrankos komisijų darbas yra konfidencialus.</w:t>
      </w:r>
      <w:r>
        <w:rPr>
          <w:rFonts w:ascii="Times New Roman" w:hAnsi="Times New Roman"/>
        </w:rPr>
        <w:t xml:space="preserve"> </w:t>
      </w:r>
      <w:r>
        <w:rPr>
          <w:rFonts w:ascii="Times New Roman" w:hAnsi="Times New Roman"/>
        </w:rPr>
        <w:t xml:space="preserve">Kandidatams draudžiama tiesiogiai arba netiesiogiai susisiekti su atskirais šių komisijų nariais arba prašyti kitų asmenų tai daryti jų vardu.</w:t>
      </w:r>
      <w:r>
        <w:rPr>
          <w:rFonts w:ascii="Times New Roman" w:hAnsi="Times New Roman"/>
        </w:rPr>
        <w:t xml:space="preserve"> </w:t>
      </w:r>
      <w:r>
        <w:rPr>
          <w:rFonts w:ascii="Times New Roman" w:hAnsi="Times New Roman"/>
        </w:rPr>
        <w:t xml:space="preserve">Visos užklausos turi būti siunčiamos atitinkamos komisijos sekretoriatui.</w:t>
      </w:r>
    </w:p>
    <w:p w14:paraId="03023E47" w14:textId="03F12231" w:rsidR="00CB0E68" w:rsidRPr="008649AA" w:rsidRDefault="00CB0E68" w:rsidP="00CB0E68">
      <w:pPr>
        <w:spacing w:after="240" w:line="240" w:lineRule="auto"/>
        <w:jc w:val="both"/>
        <w:rPr>
          <w:b/>
          <w:rFonts w:ascii="Times New Roman" w:hAnsi="Times New Roman" w:cs="Times New Roman"/>
        </w:rPr>
      </w:pPr>
      <w:r>
        <w:rPr>
          <w:b/>
          <w:rFonts w:ascii="Times New Roman" w:hAnsi="Times New Roman"/>
        </w:rPr>
        <w:t xml:space="preserve">Asmens duomenų apsauga</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Komisija užtikrins, kad kandidatų asmens duomenys būtų tvarkomi laikantis Europos Parlamento ir Tarybos reglamento (ES) 2018/1725</w:t>
      </w:r>
      <w:r>
        <w:rPr>
          <w:rStyle w:val="FootnoteReference"/>
          <w:rFonts w:ascii="Times New Roman" w:hAnsi="Times New Roman" w:cs="Times New Roman"/>
        </w:rPr>
        <w:footnoteReference w:id="10"/>
      </w:r>
      <w:r>
        <w:rPr>
          <w:rFonts w:ascii="Times New Roman" w:hAnsi="Times New Roman"/>
        </w:rPr>
        <w:t xml:space="preserve">.</w:t>
      </w:r>
      <w:r>
        <w:rPr>
          <w:rFonts w:ascii="Times New Roman" w:hAnsi="Times New Roman"/>
        </w:rPr>
        <w:t xml:space="preserve"> </w:t>
      </w:r>
      <w:r>
        <w:rPr>
          <w:rFonts w:ascii="Times New Roman" w:hAnsi="Times New Roman"/>
        </w:rPr>
        <w:t xml:space="preserve">Tai visų pirma pasakytina apie tokių duomenų konfidencialumą ir saugumą.</w:t>
      </w:r>
    </w:p>
    <w:p w14:paraId="6B0D715B" w14:textId="38C42627" w:rsidR="00F75D74" w:rsidRPr="00941457" w:rsidRDefault="00F75D74" w:rsidP="00F75D74">
      <w:pPr>
        <w:spacing w:after="240" w:line="240" w:lineRule="auto"/>
        <w:jc w:val="both"/>
        <w:rPr>
          <w:b/>
          <w:rFonts w:ascii="Times New Roman" w:hAnsi="Times New Roman" w:cs="Times New Roman"/>
        </w:rPr>
      </w:pPr>
      <w:r>
        <w:rPr>
          <w:b/>
          <w:rFonts w:ascii="Times New Roman" w:hAnsi="Times New Roman"/>
        </w:rPr>
        <w:t xml:space="preserve">Nepriklausomumas ir interesų deklaravimas</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 xml:space="preserve">Prieš pradėdamas eiti savo pareigas vykdomasis direktorius turės patvirtinti, kad tarnaudamas viešajam interesui įsipareigoja veikti nepriklausomai, ir deklaruoti visus interesus, kurie galėtų kelti abejonių dėl jo nepriklausomumo.</w:t>
      </w:r>
    </w:p>
    <w:p w14:paraId="0944E905" w14:textId="355DDE69" w:rsidR="001F08A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Paraiškų teikimo tvarka</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Prieš teikdamas paraišką turėtumėte atidžiai pasitikrinti, ar atitinkate visus kandidatams taikomus tinkamumo reikalavimus (žr. skyrelį „Kandidatai privalo“), ypač diplomų ir profesinės patirties reikalavimus.</w:t>
      </w:r>
      <w:r>
        <w:rPr>
          <w:rFonts w:ascii="Times New Roman" w:hAnsi="Times New Roman"/>
        </w:rPr>
        <w:t xml:space="preserve"> </w:t>
      </w:r>
      <w:r>
        <w:rPr>
          <w:rFonts w:ascii="Times New Roman" w:hAnsi="Times New Roman"/>
        </w:rPr>
        <w:t xml:space="preserve">Jeigu netenkinamas bent vienas iš tinkamumo reikalavimų, kandidatas automatiškai pašalinamas iš atrankos procedūros.</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Jeigu norite dalyvauti konkurse, turite užsiregistruoti internetu toliau nurodytoje svetainėje ir kiekvienu registracijos etapu laikytis pateiktų nurodymų:</w:t>
      </w:r>
      <w:r>
        <w:rPr>
          <w:rFonts w:ascii="Times New Roman" w:hAnsi="Times New Roman"/>
        </w:rPr>
        <w:t xml:space="preserve"> </w:t>
      </w:r>
    </w:p>
    <w:p w14:paraId="3DBA8489" w14:textId="77777777" w:rsidR="001F08A9" w:rsidRPr="00941457" w:rsidRDefault="00703296" w:rsidP="003542EC">
      <w:pPr>
        <w:spacing w:after="240" w:line="240" w:lineRule="auto"/>
        <w:jc w:val="both"/>
        <w:rPr>
          <w:rFonts w:ascii="Times New Roman" w:hAnsi="Times New Roman" w:cs="Times New Roman"/>
        </w:rPr>
      </w:pPr>
      <w:hyperlink r:id="rId8" w:history="1">
        <w:r>
          <w:rPr>
            <w:rStyle w:val="Hyperlink"/>
            <w:rFonts w:ascii="Times New Roman" w:hAnsi="Times New Roman"/>
          </w:rPr>
          <w:t xml:space="preserve">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Turite turėti veikiantį e. pašto adresą.</w:t>
      </w:r>
      <w:r>
        <w:rPr>
          <w:rFonts w:ascii="Times New Roman" w:hAnsi="Times New Roman"/>
        </w:rPr>
        <w:t xml:space="preserve"> </w:t>
      </w:r>
      <w:r>
        <w:rPr>
          <w:rFonts w:ascii="Times New Roman" w:hAnsi="Times New Roman"/>
        </w:rPr>
        <w:t xml:space="preserve">Jis bus naudojamas jūsų registracijai patvirtinti, be to, juo bus su jumis susisiekiama įvairiais procedūros etapais.</w:t>
      </w:r>
      <w:r>
        <w:rPr>
          <w:rFonts w:ascii="Times New Roman" w:hAnsi="Times New Roman"/>
        </w:rPr>
        <w:t xml:space="preserve"> </w:t>
      </w:r>
      <w:r>
        <w:rPr>
          <w:rFonts w:ascii="Times New Roman" w:hAnsi="Times New Roman"/>
        </w:rPr>
        <w:t xml:space="preserve">Todėl jeigu jūsų e. pašto adresas pasikeis, prašom apie tai pranešti Europos Komisijai.</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 xml:space="preserve">Kad užbaigtumėte registraciją, į sistemą reikia įkelti PDF formato gyvenimo aprašymą, pageidautina – „Europass“ gyvenimo aprašymo formatu</w:t>
      </w:r>
      <w:r>
        <w:rPr>
          <w:rStyle w:val="FootnoteReference"/>
          <w:rFonts w:ascii="Times New Roman" w:hAnsi="Times New Roman" w:cs="Times New Roman"/>
        </w:rPr>
        <w:footnoteReference w:id="11"/>
      </w:r>
      <w:r>
        <w:rPr>
          <w:rFonts w:ascii="Times New Roman" w:hAnsi="Times New Roman"/>
        </w:rPr>
        <w:t xml:space="preserve">, ir internetu pateikti motyvacinį laišką (ne daugiau kaip 8 000 spaudos ženklų).</w:t>
      </w:r>
      <w:r>
        <w:rPr>
          <w:rFonts w:ascii="Times New Roman" w:hAnsi="Times New Roman"/>
        </w:rPr>
        <w:t xml:space="preserve"> </w:t>
      </w:r>
      <w:r>
        <w:rPr>
          <w:rFonts w:ascii="Times New Roman" w:hAnsi="Times New Roman"/>
        </w:rPr>
        <w:t xml:space="preserve">Gyvenimo aprašymas ir motyvacinis laiškas gali būti teikiami bet kuria iš oficialiųjų Europos Sąjungos kalbų.</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Turėtumėte užtikrinti, kad jūsų paraiška būtų tiksli, išsami ir teisinga.</w:t>
      </w:r>
    </w:p>
    <w:p w14:paraId="1E1FFB65" w14:textId="77777777" w:rsidR="00CB0E68" w:rsidRPr="008649AA" w:rsidRDefault="00CB0E68" w:rsidP="00CB0E68">
      <w:pPr>
        <w:spacing w:after="240" w:line="240" w:lineRule="auto"/>
        <w:jc w:val="both"/>
        <w:rPr>
          <w:b/>
          <w:rFonts w:ascii="Times New Roman" w:hAnsi="Times New Roman" w:cs="Times New Roman"/>
        </w:rPr>
      </w:pPr>
      <w:r>
        <w:rPr>
          <w:rFonts w:ascii="Times New Roman" w:hAnsi="Times New Roman"/>
        </w:rPr>
        <w:t xml:space="preserve">Baigęs registraciją internete, e. paštu gausite patvirtinimą, kad jūsų paraiška užregistruota.</w:t>
      </w:r>
      <w:r>
        <w:rPr>
          <w:rFonts w:ascii="Times New Roman" w:hAnsi="Times New Roman"/>
        </w:rPr>
        <w:t xml:space="preserve"> </w:t>
      </w:r>
      <w:r>
        <w:rPr>
          <w:b/>
          <w:rFonts w:ascii="Times New Roman" w:hAnsi="Times New Roman"/>
        </w:rPr>
        <w:t xml:space="preserve">Jei patvirtinimo e. paštu negavote, paraiška nebuvo užregistruota!</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Atkreipkite dėmesį, kad paraiškos nagrinėjimo eigos negalite stebėti internetu.</w:t>
      </w:r>
      <w:r>
        <w:rPr>
          <w:rFonts w:ascii="Times New Roman" w:hAnsi="Times New Roman"/>
        </w:rPr>
        <w:t xml:space="preserve"> </w:t>
      </w:r>
      <w:r>
        <w:rPr>
          <w:rFonts w:ascii="Times New Roman" w:hAnsi="Times New Roman"/>
        </w:rPr>
        <w:t xml:space="preserve">Apie jūsų paraiškos statusą jums tiesiogiai praneš Europos Komisija.</w:t>
      </w:r>
    </w:p>
    <w:p w14:paraId="1EA41131" w14:textId="77777777" w:rsidR="00CB0E68" w:rsidRPr="008649AA" w:rsidRDefault="00CB0E68" w:rsidP="00CB0E68">
      <w:pPr>
        <w:spacing w:after="240" w:line="240" w:lineRule="auto"/>
        <w:jc w:val="both"/>
        <w:rPr>
          <w:rFonts w:ascii="Times New Roman" w:hAnsi="Times New Roman" w:cs="Times New Roman"/>
        </w:rPr>
      </w:pPr>
      <w:r>
        <w:rPr>
          <w:b/>
          <w:rFonts w:ascii="Times New Roman" w:hAnsi="Times New Roman"/>
        </w:rPr>
        <w:t xml:space="preserve">E. paštu atsiųstos paraiškos nebus priimamos.</w:t>
      </w:r>
      <w:r>
        <w:rPr>
          <w:b/>
          <w:rFonts w:ascii="Times New Roman" w:hAnsi="Times New Roman"/>
        </w:rPr>
        <w:t xml:space="preserve"> </w:t>
      </w:r>
      <w:r>
        <w:rPr>
          <w:rFonts w:ascii="Times New Roman" w:hAnsi="Times New Roman"/>
        </w:rPr>
        <w:t xml:space="preserve">Jei norite daugiau informacijos ir (arba) jei kiltų techninių nesklandumų, siųskite e. laišką šiuo adresu:</w:t>
      </w:r>
      <w:r>
        <w:rPr>
          <w:rFonts w:ascii="Times New Roman" w:hAnsi="Times New Roman"/>
        </w:rPr>
        <w:t xml:space="preserve"> </w:t>
      </w:r>
      <w:r>
        <w:t xml:space="preserve"> </w:t>
      </w:r>
      <w:r>
        <w:br/>
      </w:r>
      <w:hyperlink r:id="rId9" w:history="1">
        <w:r>
          <w:rPr>
            <w:rStyle w:val="Hyperlink"/>
            <w:rFonts w:ascii="Times New Roman" w:hAnsi="Times New Roman"/>
          </w:rPr>
          <w:t xml:space="preserve">HR-MANAGEMENT-ONLINE@ec.europa.eu</w:t>
        </w:r>
      </w:hyperlink>
      <w:r>
        <w:t xml:space="preserve">.</w:t>
      </w:r>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Jūs pats atsakingas už tai, kad registracijos internetu forma būtų užpildyta laiku.</w:t>
      </w:r>
      <w:r>
        <w:rPr>
          <w:rFonts w:ascii="Times New Roman" w:hAnsi="Times New Roman"/>
        </w:rPr>
        <w:t xml:space="preserve"> </w:t>
      </w:r>
      <w:r>
        <w:rPr>
          <w:rFonts w:ascii="Times New Roman" w:hAnsi="Times New Roman"/>
        </w:rPr>
        <w:t xml:space="preserve">Primygtinai rekomenduojame nesiregistruoti paskutinėmis registracijai skirto laiko dienomis, nes dėl didelės interneto apkrovos arba dėl interneto ryšio sutrikimų registracija internetu gali nutrūkti neužbaigta, o tada reikia kartoti visą procedūrą.</w:t>
      </w:r>
      <w:r>
        <w:rPr>
          <w:rFonts w:ascii="Times New Roman" w:hAnsi="Times New Roman"/>
        </w:rPr>
        <w:t xml:space="preserve"> </w:t>
      </w:r>
      <w:r>
        <w:rPr>
          <w:rFonts w:ascii="Times New Roman" w:hAnsi="Times New Roman"/>
        </w:rPr>
        <w:t xml:space="preserve">Pasibaigus registracijai skirtam laikui, nebegalėsite įvesti jokių duomenų.</w:t>
      </w:r>
      <w:r>
        <w:rPr>
          <w:rFonts w:ascii="Times New Roman" w:hAnsi="Times New Roman"/>
        </w:rPr>
        <w:t xml:space="preserve"> </w:t>
      </w:r>
      <w:r>
        <w:rPr>
          <w:rFonts w:ascii="Times New Roman" w:hAnsi="Times New Roman"/>
        </w:rPr>
        <w:t xml:space="preserve">Registracijos formos, kurias vėluojama nusiųsti, nebus priimamos.</w:t>
      </w:r>
    </w:p>
    <w:p w14:paraId="6E0BFD8E" w14:textId="611C94DD" w:rsidR="0071777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Galutinis terminas</w:t>
      </w:r>
      <w:r>
        <w:rPr>
          <w:b/>
          <w:rFonts w:ascii="Times New Roman" w:hAnsi="Times New Roman"/>
        </w:rPr>
        <w:t xml:space="preserve">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Galutinis registracijos terminas – </w:t>
      </w:r>
      <w:r>
        <w:rPr>
          <w:b/>
          <w:rFonts w:ascii="Times New Roman" w:hAnsi="Times New Roman"/>
        </w:rPr>
        <w:t xml:space="preserve">2023 m. gegužės 15 d. 12 val. Briuselio laiku</w:t>
      </w:r>
      <w:r>
        <w:rPr>
          <w:rFonts w:ascii="Times New Roman" w:hAnsi="Times New Roman"/>
        </w:rPr>
        <w:t xml:space="preserve">; vėliau registracija negalima.</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3DE37CF8"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xml:space="preserve">2</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sz w:val="16"/>
          <w:szCs w:val="16"/>
          <w:rFonts w:ascii="Arial" w:hAnsi="Arial" w:cs="Arial"/>
        </w:rPr>
      </w:pPr>
      <w:r>
        <w:rPr>
          <w:rStyle w:val="FootnoteReference"/>
        </w:rPr>
        <w:footnoteRef/>
      </w:r>
      <w:r>
        <w:t xml:space="preserve"> </w:t>
      </w:r>
      <w:r>
        <w:rPr>
          <w:sz w:val="16"/>
          <w:rFonts w:ascii="Times New Roman" w:hAnsi="Times New Roman"/>
        </w:rPr>
        <w:t xml:space="preserve">2021 m. lapkričio 19 d. Tarybos reglamentas (ES) 2021/2085, kuriuo pagal programą „Europos horizontas“ steigiamos bendrosios įmonės ir panaikinami reglamentai (EB) Nr. 219/2007, (ES) Nr. 557/2014, (ES) Nr. 558/2014, (ES) Nr. 559/2014, (ES) Nr. 560/2014, (ES) Nr. 561/2014 bei (ES) Nr. 642/2014 (OL L 427, 2021 11 30, p. 17).</w:t>
      </w:r>
    </w:p>
  </w:footnote>
  <w:footnote w:id="2">
    <w:p w14:paraId="7668A20E" w14:textId="23E1328A" w:rsidR="00CE1852" w:rsidRPr="00526673" w:rsidRDefault="00CE1852">
      <w:pPr>
        <w:pStyle w:val="FootnoteText"/>
        <w:rPr>
          <w:sz w:val="16"/>
          <w:szCs w:val="16"/>
          <w:rFonts w:ascii="Times New Roman" w:hAnsi="Times New Roman" w:cs="Times New Roman"/>
        </w:rPr>
      </w:pPr>
      <w:r>
        <w:rPr>
          <w:rStyle w:val="FootnoteReference"/>
        </w:rPr>
        <w:footnoteRef/>
      </w:r>
      <w:r>
        <w:t xml:space="preserve"> </w:t>
      </w:r>
      <w:r>
        <w:rPr>
          <w:sz w:val="16"/>
          <w:rFonts w:ascii="Times New Roman" w:hAnsi="Times New Roman"/>
        </w:rPr>
        <w:t xml:space="preserve">2014 m. birželio 16 d. Tarybos reglamentas (ES) Nr. 642/2014, kuriuo įsteigiama bendroji įmonė „Shift2Rail“ (OL L 177, 2014 6 17, p. 9).</w:t>
      </w:r>
    </w:p>
  </w:footnote>
  <w:footnote w:id="3">
    <w:p w14:paraId="617D2DD6" w14:textId="77777777" w:rsidR="00776E22" w:rsidRPr="004B637B" w:rsidRDefault="00776E22" w:rsidP="00776E22">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Atsižvelgiama tik į faktiniais darbo santykiais pagrįstą profesinę patirtį, įgytą atliekant realų, tikrą darbą už užmokestį kaip darbuotojui (pagal bet kokios rūšies sutartį) arba kaip paslaugos teikėjui.</w:t>
      </w:r>
      <w:r>
        <w:rPr>
          <w:sz w:val="16"/>
          <w:rFonts w:ascii="Times New Roman" w:hAnsi="Times New Roman"/>
        </w:rPr>
        <w:t xml:space="preserve"> </w:t>
      </w:r>
      <w:r>
        <w:rPr>
          <w:sz w:val="16"/>
          <w:rFonts w:ascii="Times New Roman" w:hAnsi="Times New Roman"/>
        </w:rPr>
        <w:t xml:space="preserve">Ne visą darbo dieną vykdyta profesinė veikla apskaičiuojama proporcingai patvirtintai visą darbo dieną išdirbtų valandų procentinei daliai.</w:t>
      </w:r>
      <w:r>
        <w:rPr>
          <w:sz w:val="16"/>
          <w:rFonts w:ascii="Times New Roman" w:hAnsi="Times New Roman"/>
        </w:rPr>
        <w:t xml:space="preserve"> </w:t>
      </w:r>
      <w:r>
        <w:rPr>
          <w:sz w:val="16"/>
          <w:rFonts w:ascii="Times New Roman" w:hAnsi="Times New Roman"/>
        </w:rPr>
        <w:t xml:space="preserve">Į motinystės, vaiko priežiūros ir (arba) įvaikinimo atostogas atsižvelgiama, jeigu atostogauta dirbant pagal darbo sutartį.</w:t>
      </w:r>
      <w:r>
        <w:rPr>
          <w:sz w:val="16"/>
          <w:rFonts w:ascii="Times New Roman" w:hAnsi="Times New Roman"/>
        </w:rPr>
        <w:t xml:space="preserve">  </w:t>
      </w:r>
      <w:r>
        <w:rPr>
          <w:sz w:val="16"/>
          <w:rFonts w:ascii="Times New Roman" w:hAnsi="Times New Roman"/>
        </w:rPr>
        <w:t xml:space="preserve">Doktorantūros studijos prilyginamos profesinei patirčiai, net jeigu už jas negaunamas atlygis, tačiau tik iki trejų metų, su sąlyga, kad studijos buvo sėkmingai baigtos.</w:t>
      </w:r>
      <w:r>
        <w:rPr>
          <w:sz w:val="16"/>
          <w:rFonts w:ascii="Times New Roman" w:hAnsi="Times New Roman"/>
        </w:rPr>
        <w:t xml:space="preserve"> </w:t>
      </w:r>
      <w:r>
        <w:rPr>
          <w:sz w:val="16"/>
          <w:rFonts w:ascii="Times New Roman" w:hAnsi="Times New Roman"/>
        </w:rPr>
        <w:t xml:space="preserve">Atitinkamas laikotarpis gali būti įskaičiuotas tik vieną kartą.</w:t>
      </w:r>
    </w:p>
  </w:footnote>
  <w:footnote w:id="4">
    <w:p w14:paraId="1A544615" w14:textId="07711914"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Gyvenimo aprašyme aprašydami kiekvienų metų vadovavimo patirtį, kandidatai turėtų aiškiai nurodyti:</w:t>
      </w:r>
      <w:r>
        <w:rPr>
          <w:sz w:val="16"/>
          <w:rFonts w:ascii="Times New Roman" w:hAnsi="Times New Roman"/>
        </w:rPr>
        <w:t xml:space="preserve"> </w:t>
      </w:r>
      <w:r>
        <w:rPr>
          <w:sz w:val="16"/>
          <w:rFonts w:ascii="Times New Roman" w:hAnsi="Times New Roman"/>
        </w:rPr>
        <w:t xml:space="preserve">1) eitas vadovo pareigas ir vykdytas funkcijas;</w:t>
      </w:r>
      <w:r>
        <w:rPr>
          <w:sz w:val="16"/>
          <w:rFonts w:ascii="Times New Roman" w:hAnsi="Times New Roman"/>
        </w:rPr>
        <w:t xml:space="preserve"> </w:t>
      </w:r>
      <w:r>
        <w:rPr>
          <w:sz w:val="16"/>
          <w:rFonts w:ascii="Times New Roman" w:hAnsi="Times New Roman"/>
        </w:rPr>
        <w:t xml:space="preserve">2) darbuotojų, kuriems vadovavo eidami šias pareigas, skaičių;</w:t>
      </w:r>
      <w:r>
        <w:rPr>
          <w:sz w:val="16"/>
          <w:rFonts w:ascii="Times New Roman" w:hAnsi="Times New Roman"/>
        </w:rPr>
        <w:t xml:space="preserve"> </w:t>
      </w:r>
      <w:r>
        <w:rPr>
          <w:sz w:val="16"/>
          <w:rFonts w:ascii="Times New Roman" w:hAnsi="Times New Roman"/>
        </w:rPr>
        <w:t xml:space="preserve">3) valdyto biudžeto dydį;</w:t>
      </w:r>
      <w:r>
        <w:rPr>
          <w:sz w:val="16"/>
          <w:rFonts w:ascii="Times New Roman" w:hAnsi="Times New Roman"/>
        </w:rPr>
        <w:t xml:space="preserve"> </w:t>
      </w:r>
      <w:r>
        <w:rPr>
          <w:sz w:val="16"/>
          <w:rFonts w:ascii="Times New Roman" w:hAnsi="Times New Roman"/>
        </w:rPr>
        <w:t xml:space="preserve">4) aukštesnių ir žemesnių hierarchijos lygmenų skaičių;</w:t>
      </w:r>
      <w:r>
        <w:rPr>
          <w:sz w:val="16"/>
          <w:rFonts w:ascii="Times New Roman" w:hAnsi="Times New Roman"/>
        </w:rPr>
        <w:t xml:space="preserve"> </w:t>
      </w:r>
      <w:r>
        <w:rPr>
          <w:sz w:val="16"/>
          <w:rFonts w:ascii="Times New Roman" w:hAnsi="Times New Roman"/>
        </w:rPr>
        <w:t xml:space="preserve">5) to paties lygmens vadovų skaičių.</w:t>
      </w:r>
    </w:p>
  </w:footnote>
  <w:footnote w:id="5">
    <w:p w14:paraId="2E115737" w14:textId="32BD7AB8"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1" w:history="1">
        <w:r>
          <w:rPr>
            <w:rStyle w:val="Hyperlink"/>
            <w:sz w:val="16"/>
            <w:rFonts w:ascii="Times New Roman" w:hAnsi="Times New Roman"/>
          </w:rPr>
          <w:t xml:space="preserve">https://eur-lex.europa.eu/legal-content/LT/TXT/?uri=CELEX%3A01958R0001-20130701</w:t>
        </w:r>
      </w:hyperlink>
      <w:r>
        <w:rPr>
          <w:sz w:val="16"/>
          <w:rFonts w:ascii="Times New Roman" w:hAnsi="Times New Roman"/>
        </w:rPr>
        <w:t xml:space="preserve"> </w:t>
      </w:r>
    </w:p>
  </w:footnote>
  <w:footnote w:id="6">
    <w:p w14:paraId="6A4BACAC" w14:textId="42F3029B"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2" w:history="1">
        <w:r>
          <w:rPr>
            <w:rStyle w:val="Hyperlink"/>
            <w:sz w:val="16"/>
            <w:rFonts w:ascii="Times New Roman" w:hAnsi="Times New Roman"/>
          </w:rPr>
          <w:t xml:space="preserve">https://eur-lex.europa.eu/legal-content/LT/TXT/?uri=CELEX%3A01962R0031-20140701</w:t>
        </w:r>
      </w:hyperlink>
      <w:r>
        <w:rPr>
          <w:rStyle w:val="Hyperlink"/>
          <w:sz w:val="16"/>
          <w:rFonts w:ascii="Times New Roman" w:hAnsi="Times New Roman"/>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rPr>
          <w:sz w:val="16"/>
          <w:rStyle w:val="Hyperlink"/>
          <w:u w:val="none"/>
          <w:rFonts w:ascii="Times New Roman" w:hAnsi="Times New Roman"/>
        </w:rPr>
        <w:t xml:space="preserve"> </w:t>
      </w:r>
      <w:r>
        <w:tab/>
      </w:r>
      <w:hyperlink r:id="rId3" w:history="1">
        <w:r>
          <w:rPr>
            <w:rStyle w:val="Hyperlink"/>
            <w:sz w:val="16"/>
            <w:rFonts w:ascii="Times New Roman" w:hAnsi="Times New Roman"/>
          </w:rPr>
          <w:t xml:space="preserve">https://commission.europa.eu/jobs-european-commission/job-opportunities/managers-european-commission_en</w:t>
        </w:r>
      </w:hyperlink>
      <w:r>
        <w:rPr>
          <w:sz w:val="16"/>
          <w:rFonts w:ascii="Times New Roman" w:hAnsi="Times New Roman"/>
        </w:rPr>
        <w:t xml:space="preserve"> (tik anglų kalba)</w:t>
      </w:r>
      <w:r>
        <w:rPr>
          <w:sz w:val="16"/>
          <w:rFonts w:ascii="Times New Roman" w:hAnsi="Times New Roman"/>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sz w:val="16"/>
          <w:rFonts w:ascii="Times New Roman" w:hAnsi="Times New Roman"/>
        </w:rPr>
        <w:t xml:space="preserve">Kitas nei Sąjunga narys – bet kuri dalyvaujančioji valstybė, privatusis narys ar tarptautinė organizacija, kurie yra bendrosios įmonės nariai.</w:t>
      </w:r>
    </w:p>
  </w:footnote>
  <w:footnote w:id="9">
    <w:p w14:paraId="1291EF11" w14:textId="77777777" w:rsidR="00941457" w:rsidRPr="002F1B21" w:rsidRDefault="00941457" w:rsidP="00941457">
      <w:pPr>
        <w:pStyle w:val="FootnoteText"/>
        <w:ind w:left="284" w:hanging="284"/>
        <w:rPr>
          <w:sz w:val="16"/>
          <w:szCs w:val="16"/>
          <w:rFonts w:ascii="Arial" w:hAnsi="Arial" w:cs="Arial"/>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https://eur-lex.europa.eu/legal-content/LT/TXT/?uri=CELEX%3A01962R0031-20140701</w:t>
      </w:r>
    </w:p>
  </w:footnote>
  <w:footnote w:id="10">
    <w:p w14:paraId="30F5E6E1" w14:textId="77777777" w:rsidR="00CB0E68" w:rsidRPr="004B637B" w:rsidRDefault="00CB0E68" w:rsidP="00CB0E68">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2018 m. spalio 23 d. Europos Parlamento ir Tarybos reglamentas (ES) 2018/1725 dėl fizinių asmenų apsaugos Sąjungos institucijoms, organams, tarnyboms ir agentūroms tvarkant asmens duomenis ir dėl laisvo tokių duomenų judėjimo, kuriuo panaikinamas Reglamentas (EB) Nr. 45/2001 ir Sprendimas Nr. 1247/2002/EB (OL L 295, 2018 11 21, p. 39).</w:t>
      </w:r>
    </w:p>
  </w:footnote>
  <w:footnote w:id="11">
    <w:p w14:paraId="7EAF5BFC" w14:textId="2143A1B8" w:rsidR="00176C45" w:rsidRPr="004B637B" w:rsidRDefault="00176C45" w:rsidP="004B637B">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Informacijos, kaip susikurti „Europass“ gyvenimo aprašymą, galite rasti internete</w:t>
      </w:r>
      <w:r>
        <w:rPr>
          <w:sz w:val="16"/>
          <w:rFonts w:ascii="Times New Roman" w:hAnsi="Times New Roman"/>
        </w:rPr>
        <w:t xml:space="preserve"> </w:t>
      </w:r>
      <w:hyperlink r:id="rId4" w:history="1">
        <w:r>
          <w:rPr>
            <w:rStyle w:val="Hyperlink"/>
            <w:sz w:val="16"/>
            <w:rFonts w:ascii="Times New Roman" w:hAnsi="Times New Roman"/>
          </w:rPr>
          <w:t xml:space="preserve">https://europa.eu/europass/en/create-europass-cv</w:t>
        </w:r>
      </w:hyperlink>
      <w:r>
        <w:t xml:space="preserv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&#65279;<?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lt" TargetMode="External"/><Relationship Id="rId2" Type="http://schemas.openxmlformats.org/officeDocument/2006/relationships/hyperlink" Target="https://eur-lex.europa.eu/legal-content/LT/TXT/?uri=CELEX%3A01962R0031-20140701" TargetMode="External"/><Relationship Id="rId1" Type="http://schemas.openxmlformats.org/officeDocument/2006/relationships/hyperlink" Target="https://eur-lex.europa.eu/legal-content/LT/TXT/?uri=CELEX%3A01958R0001-20130701" TargetMode="External"/><Relationship Id="rId4" Type="http://schemas.openxmlformats.org/officeDocument/2006/relationships/hyperlink" Target="https://europa.eu/europass/en/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850F-680B-412B-8DDE-8A1EC084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2417</Words>
  <Characters>13828</Characters>
  <Application>Microsoft Office Word</Application>
  <DocSecurity>0</DocSecurity>
  <Lines>216</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SEMERARO Maria-Rosella (HR)</cp:lastModifiedBy>
  <cp:revision>3</cp:revision>
  <cp:lastPrinted>2023-02-01T14:53:00Z</cp:lastPrinted>
  <dcterms:created xsi:type="dcterms:W3CDTF">2023-03-21T10:42:00Z</dcterms:created>
  <dcterms:modified xsi:type="dcterms:W3CDTF">2023-03-21T10:51:00Z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