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81125" cy="685800"/>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81125" cy="685800"/>
                    </a:xfrm>
                    <a:prstGeom prst="rect">
                      <a:avLst/>
                    </a:prstGeom>
                  </pic:spPr>
                </pic:pic>
              </a:graphicData>
            </a:graphic>
          </wp:inline>
        </w:drawing>
      </w:r>
      <w:r>
        <w:rPr>
          <w:sz w:val="20"/>
        </w:rPr>
      </w:r>
    </w:p>
    <w:p>
      <w:pPr>
        <w:spacing w:before="68"/>
        <w:ind w:left="1369" w:right="1705" w:firstLine="0"/>
        <w:jc w:val="center"/>
        <w:rPr>
          <w:b/>
          <w:sz w:val="24"/>
        </w:rPr>
      </w:pPr>
      <w:r>
        <w:rPr>
          <w:b/>
          <w:sz w:val="24"/>
        </w:rPr>
        <w:t>AVIS</w:t>
      </w:r>
      <w:r>
        <w:rPr>
          <w:b/>
          <w:spacing w:val="-2"/>
          <w:sz w:val="24"/>
        </w:rPr>
        <w:t> </w:t>
      </w:r>
      <w:r>
        <w:rPr>
          <w:b/>
          <w:sz w:val="24"/>
        </w:rPr>
        <w:t>DE</w:t>
      </w:r>
      <w:r>
        <w:rPr>
          <w:b/>
          <w:spacing w:val="-2"/>
          <w:sz w:val="24"/>
        </w:rPr>
        <w:t> VACANCE</w:t>
      </w:r>
    </w:p>
    <w:p>
      <w:pPr>
        <w:pStyle w:val="BodyText"/>
        <w:spacing w:before="11"/>
        <w:rPr>
          <w:b/>
          <w:sz w:val="23"/>
        </w:rPr>
      </w:pPr>
    </w:p>
    <w:p>
      <w:pPr>
        <w:spacing w:before="0"/>
        <w:ind w:left="1369" w:right="1706" w:firstLine="0"/>
        <w:jc w:val="center"/>
        <w:rPr>
          <w:b/>
          <w:sz w:val="24"/>
        </w:rPr>
      </w:pPr>
      <w:r>
        <w:rPr>
          <w:b/>
          <w:sz w:val="24"/>
        </w:rPr>
        <w:t>EXPERT</w:t>
      </w:r>
      <w:r>
        <w:rPr>
          <w:b/>
          <w:spacing w:val="-5"/>
          <w:sz w:val="24"/>
        </w:rPr>
        <w:t> </w:t>
      </w:r>
      <w:r>
        <w:rPr>
          <w:b/>
          <w:sz w:val="24"/>
        </w:rPr>
        <w:t>NATIONAL</w:t>
      </w:r>
      <w:r>
        <w:rPr>
          <w:b/>
          <w:spacing w:val="-3"/>
          <w:sz w:val="24"/>
        </w:rPr>
        <w:t> </w:t>
      </w:r>
      <w:r>
        <w:rPr>
          <w:b/>
          <w:sz w:val="24"/>
        </w:rPr>
        <w:t>DÉTACHÉ</w:t>
      </w:r>
      <w:r>
        <w:rPr>
          <w:b/>
          <w:spacing w:val="-3"/>
          <w:sz w:val="24"/>
        </w:rPr>
        <w:t> </w:t>
      </w:r>
      <w:r>
        <w:rPr>
          <w:b/>
          <w:sz w:val="24"/>
        </w:rPr>
        <w:t>À</w:t>
      </w:r>
      <w:r>
        <w:rPr>
          <w:b/>
          <w:spacing w:val="-4"/>
          <w:sz w:val="24"/>
        </w:rPr>
        <w:t> </w:t>
      </w:r>
      <w:r>
        <w:rPr>
          <w:b/>
          <w:sz w:val="24"/>
        </w:rPr>
        <w:t>LA</w:t>
      </w:r>
      <w:r>
        <w:rPr>
          <w:b/>
          <w:spacing w:val="-3"/>
          <w:sz w:val="24"/>
        </w:rPr>
        <w:t> </w:t>
      </w:r>
      <w:r>
        <w:rPr>
          <w:b/>
          <w:sz w:val="24"/>
        </w:rPr>
        <w:t>COMMISSION</w:t>
      </w:r>
      <w:r>
        <w:rPr>
          <w:b/>
          <w:spacing w:val="-3"/>
          <w:sz w:val="24"/>
        </w:rPr>
        <w:t> </w:t>
      </w:r>
      <w:r>
        <w:rPr>
          <w:b/>
          <w:spacing w:val="-2"/>
          <w:sz w:val="24"/>
        </w:rPr>
        <w:t>EUROPÉENNE</w:t>
      </w:r>
    </w:p>
    <w:p>
      <w:pPr>
        <w:pStyle w:val="BodyText"/>
        <w:rPr>
          <w:b/>
          <w:sz w:val="24"/>
        </w:rPr>
      </w:pPr>
    </w:p>
    <w:tbl>
      <w:tblPr>
        <w:tblW w:w="0" w:type="auto"/>
        <w:jc w:val="left"/>
        <w:tblInd w:w="4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60"/>
        <w:gridCol w:w="5597"/>
      </w:tblGrid>
      <w:tr>
        <w:trPr>
          <w:trHeight w:val="610" w:hRule="atLeast"/>
        </w:trPr>
        <w:tc>
          <w:tcPr>
            <w:tcW w:w="4360" w:type="dxa"/>
          </w:tcPr>
          <w:p>
            <w:pPr>
              <w:pStyle w:val="TableParagraph"/>
              <w:spacing w:line="275" w:lineRule="exact"/>
              <w:rPr>
                <w:b/>
                <w:sz w:val="24"/>
              </w:rPr>
            </w:pPr>
            <w:r>
              <w:rPr>
                <w:b/>
                <w:sz w:val="24"/>
              </w:rPr>
              <w:t>Identification</w:t>
            </w:r>
            <w:r>
              <w:rPr>
                <w:b/>
                <w:spacing w:val="-4"/>
                <w:sz w:val="24"/>
              </w:rPr>
              <w:t> </w:t>
            </w:r>
            <w:r>
              <w:rPr>
                <w:b/>
                <w:sz w:val="24"/>
              </w:rPr>
              <w:t>après</w:t>
            </w:r>
            <w:r>
              <w:rPr>
                <w:b/>
                <w:spacing w:val="-3"/>
                <w:sz w:val="24"/>
              </w:rPr>
              <w:t> </w:t>
            </w:r>
            <w:r>
              <w:rPr>
                <w:b/>
                <w:spacing w:val="-2"/>
                <w:sz w:val="24"/>
              </w:rPr>
              <w:t>l’identification:</w:t>
            </w:r>
          </w:p>
          <w:p>
            <w:pPr>
              <w:pStyle w:val="TableParagraph"/>
              <w:spacing w:line="275" w:lineRule="exact"/>
              <w:rPr>
                <w:sz w:val="24"/>
              </w:rPr>
            </w:pPr>
            <w:r>
              <w:rPr>
                <w:spacing w:val="-2"/>
                <w:sz w:val="24"/>
              </w:rPr>
              <w:t>(DG-DIR-</w:t>
            </w:r>
            <w:r>
              <w:rPr>
                <w:spacing w:val="-4"/>
                <w:sz w:val="24"/>
              </w:rPr>
              <w:t>UNIT)</w:t>
            </w:r>
          </w:p>
        </w:tc>
        <w:tc>
          <w:tcPr>
            <w:tcW w:w="5597" w:type="dxa"/>
          </w:tcPr>
          <w:p>
            <w:pPr>
              <w:pStyle w:val="TableParagraph"/>
              <w:spacing w:before="168"/>
              <w:rPr>
                <w:b/>
                <w:sz w:val="24"/>
              </w:rPr>
            </w:pPr>
            <w:r>
              <w:rPr>
                <w:b/>
                <w:spacing w:val="-2"/>
                <w:sz w:val="24"/>
              </w:rPr>
              <w:t>ENER-A-</w:t>
            </w:r>
            <w:r>
              <w:rPr>
                <w:b/>
                <w:spacing w:val="-10"/>
                <w:sz w:val="24"/>
              </w:rPr>
              <w:t>1</w:t>
            </w:r>
          </w:p>
        </w:tc>
      </w:tr>
      <w:tr>
        <w:trPr>
          <w:trHeight w:val="1977" w:hRule="atLeast"/>
        </w:trPr>
        <w:tc>
          <w:tcPr>
            <w:tcW w:w="4360" w:type="dxa"/>
            <w:vMerge w:val="restart"/>
          </w:tcPr>
          <w:p>
            <w:pPr>
              <w:pStyle w:val="TableParagraph"/>
              <w:spacing w:line="252" w:lineRule="exact" w:before="1"/>
              <w:rPr>
                <w:b/>
                <w:sz w:val="22"/>
              </w:rPr>
            </w:pPr>
            <w:r>
              <w:rPr>
                <w:b/>
                <w:sz w:val="22"/>
              </w:rPr>
              <w:t>Chef</w:t>
            </w:r>
            <w:r>
              <w:rPr>
                <w:b/>
                <w:spacing w:val="-7"/>
                <w:sz w:val="22"/>
              </w:rPr>
              <w:t> </w:t>
            </w:r>
            <w:r>
              <w:rPr>
                <w:b/>
                <w:spacing w:val="-2"/>
                <w:sz w:val="22"/>
              </w:rPr>
              <w:t>d’unité:</w:t>
            </w:r>
          </w:p>
          <w:p>
            <w:pPr>
              <w:pStyle w:val="TableParagraph"/>
              <w:ind w:right="2202"/>
              <w:rPr>
                <w:b/>
                <w:sz w:val="22"/>
              </w:rPr>
            </w:pPr>
            <w:r>
              <w:rPr>
                <w:b/>
                <w:sz w:val="22"/>
              </w:rPr>
              <w:t>Adresse</w:t>
            </w:r>
            <w:r>
              <w:rPr>
                <w:b/>
                <w:spacing w:val="-14"/>
                <w:sz w:val="22"/>
              </w:rPr>
              <w:t> </w:t>
            </w:r>
            <w:r>
              <w:rPr>
                <w:b/>
                <w:sz w:val="22"/>
              </w:rPr>
              <w:t>électronique: </w:t>
            </w:r>
            <w:r>
              <w:rPr>
                <w:b/>
                <w:spacing w:val="-2"/>
                <w:sz w:val="22"/>
              </w:rPr>
              <w:t>Téléphone:</w:t>
            </w:r>
          </w:p>
          <w:p>
            <w:pPr>
              <w:pStyle w:val="TableParagraph"/>
              <w:rPr>
                <w:b/>
                <w:sz w:val="22"/>
              </w:rPr>
            </w:pPr>
            <w:r>
              <w:rPr>
                <w:b/>
                <w:sz w:val="22"/>
              </w:rPr>
              <w:t>Nombre</w:t>
            </w:r>
            <w:r>
              <w:rPr>
                <w:b/>
                <w:spacing w:val="-8"/>
                <w:sz w:val="22"/>
              </w:rPr>
              <w:t> </w:t>
            </w:r>
            <w:r>
              <w:rPr>
                <w:b/>
                <w:sz w:val="22"/>
              </w:rPr>
              <w:t>de</w:t>
            </w:r>
            <w:r>
              <w:rPr>
                <w:b/>
                <w:spacing w:val="-8"/>
                <w:sz w:val="22"/>
              </w:rPr>
              <w:t> </w:t>
            </w:r>
            <w:r>
              <w:rPr>
                <w:b/>
                <w:sz w:val="22"/>
              </w:rPr>
              <w:t>postes</w:t>
            </w:r>
            <w:r>
              <w:rPr>
                <w:b/>
                <w:spacing w:val="-7"/>
                <w:sz w:val="22"/>
              </w:rPr>
              <w:t> </w:t>
            </w:r>
            <w:r>
              <w:rPr>
                <w:b/>
                <w:spacing w:val="-2"/>
                <w:sz w:val="22"/>
              </w:rPr>
              <w:t>disponibles:</w:t>
            </w:r>
          </w:p>
          <w:p>
            <w:pPr>
              <w:pStyle w:val="TableParagraph"/>
              <w:ind w:right="380"/>
              <w:rPr>
                <w:b/>
                <w:sz w:val="22"/>
              </w:rPr>
            </w:pPr>
            <w:r>
              <w:rPr>
                <w:b/>
                <w:sz w:val="22"/>
              </w:rPr>
              <w:t>Date</w:t>
            </w:r>
            <w:r>
              <w:rPr>
                <w:b/>
                <w:spacing w:val="-10"/>
                <w:sz w:val="22"/>
              </w:rPr>
              <w:t> </w:t>
            </w:r>
            <w:r>
              <w:rPr>
                <w:b/>
                <w:sz w:val="22"/>
              </w:rPr>
              <w:t>d’entrée</w:t>
            </w:r>
            <w:r>
              <w:rPr>
                <w:b/>
                <w:spacing w:val="-10"/>
                <w:sz w:val="22"/>
              </w:rPr>
              <w:t> </w:t>
            </w:r>
            <w:r>
              <w:rPr>
                <w:b/>
                <w:sz w:val="22"/>
              </w:rPr>
              <w:t>en</w:t>
            </w:r>
            <w:r>
              <w:rPr>
                <w:b/>
                <w:spacing w:val="-10"/>
                <w:sz w:val="22"/>
              </w:rPr>
              <w:t> </w:t>
            </w:r>
            <w:r>
              <w:rPr>
                <w:b/>
                <w:sz w:val="22"/>
              </w:rPr>
              <w:t>fonction</w:t>
            </w:r>
            <w:r>
              <w:rPr>
                <w:b/>
                <w:spacing w:val="-10"/>
                <w:sz w:val="22"/>
              </w:rPr>
              <w:t> </w:t>
            </w:r>
            <w:r>
              <w:rPr>
                <w:b/>
                <w:sz w:val="22"/>
              </w:rPr>
              <w:t>proposée: Durée initiale suggérée:</w:t>
            </w:r>
          </w:p>
          <w:p>
            <w:pPr>
              <w:pStyle w:val="TableParagraph"/>
              <w:spacing w:line="252" w:lineRule="exact"/>
              <w:rPr>
                <w:b/>
                <w:sz w:val="22"/>
              </w:rPr>
            </w:pPr>
            <w:r>
              <w:rPr>
                <w:b/>
                <w:sz w:val="22"/>
              </w:rPr>
              <w:t>Lieu</w:t>
            </w:r>
            <w:r>
              <w:rPr>
                <w:b/>
                <w:spacing w:val="-5"/>
                <w:sz w:val="22"/>
              </w:rPr>
              <w:t> </w:t>
            </w:r>
            <w:r>
              <w:rPr>
                <w:b/>
                <w:sz w:val="22"/>
              </w:rPr>
              <w:t>de</w:t>
            </w:r>
            <w:r>
              <w:rPr>
                <w:b/>
                <w:spacing w:val="-5"/>
                <w:sz w:val="22"/>
              </w:rPr>
              <w:t> </w:t>
            </w:r>
            <w:r>
              <w:rPr>
                <w:b/>
                <w:spacing w:val="-2"/>
                <w:sz w:val="22"/>
              </w:rPr>
              <w:t>détachement:</w:t>
            </w:r>
          </w:p>
        </w:tc>
        <w:tc>
          <w:tcPr>
            <w:tcW w:w="5597" w:type="dxa"/>
          </w:tcPr>
          <w:p>
            <w:pPr>
              <w:pStyle w:val="TableParagraph"/>
              <w:spacing w:line="275" w:lineRule="exact"/>
              <w:rPr>
                <w:sz w:val="24"/>
              </w:rPr>
            </w:pPr>
            <w:r>
              <w:rPr>
                <w:sz w:val="24"/>
              </w:rPr>
              <w:t>Paula</w:t>
            </w:r>
            <w:r>
              <w:rPr>
                <w:spacing w:val="-4"/>
                <w:sz w:val="24"/>
              </w:rPr>
              <w:t> </w:t>
            </w:r>
            <w:r>
              <w:rPr>
                <w:sz w:val="24"/>
              </w:rPr>
              <w:t>Abreu</w:t>
            </w:r>
            <w:r>
              <w:rPr>
                <w:spacing w:val="-3"/>
                <w:sz w:val="24"/>
              </w:rPr>
              <w:t> </w:t>
            </w:r>
            <w:r>
              <w:rPr>
                <w:spacing w:val="-2"/>
                <w:sz w:val="24"/>
              </w:rPr>
              <w:t>Marques</w:t>
            </w:r>
          </w:p>
          <w:p>
            <w:pPr>
              <w:pStyle w:val="TableParagraph"/>
              <w:rPr>
                <w:sz w:val="24"/>
              </w:rPr>
            </w:pPr>
            <w:hyperlink r:id="rId7">
              <w:r>
                <w:rPr>
                  <w:spacing w:val="-2"/>
                  <w:sz w:val="24"/>
                </w:rPr>
                <w:t>Paula.Abreu-Marques@ec.europa.eu</w:t>
              </w:r>
            </w:hyperlink>
          </w:p>
          <w:p>
            <w:pPr>
              <w:pStyle w:val="TableParagraph"/>
              <w:rPr>
                <w:sz w:val="24"/>
              </w:rPr>
            </w:pPr>
            <w:r>
              <w:rPr>
                <w:sz w:val="24"/>
              </w:rPr>
              <w:t>+ 32 229-</w:t>
            </w:r>
            <w:r>
              <w:rPr>
                <w:spacing w:val="-2"/>
                <w:sz w:val="24"/>
              </w:rPr>
              <w:t>53805</w:t>
            </w:r>
          </w:p>
          <w:p>
            <w:pPr>
              <w:pStyle w:val="TableParagraph"/>
              <w:rPr>
                <w:sz w:val="24"/>
              </w:rPr>
            </w:pPr>
            <w:r>
              <w:rPr>
                <w:sz w:val="24"/>
              </w:rPr>
              <w:t>1</w:t>
            </w:r>
          </w:p>
          <w:p>
            <w:pPr>
              <w:pStyle w:val="TableParagraph"/>
              <w:rPr>
                <w:b/>
                <w:sz w:val="22"/>
              </w:rPr>
            </w:pPr>
            <w:r>
              <w:rPr>
                <w:b/>
                <w:sz w:val="22"/>
              </w:rPr>
              <w:t>3e</w:t>
            </w:r>
            <w:r>
              <w:rPr>
                <w:b/>
                <w:spacing w:val="-10"/>
                <w:sz w:val="22"/>
              </w:rPr>
              <w:t> </w:t>
            </w:r>
            <w:r>
              <w:rPr>
                <w:b/>
                <w:sz w:val="22"/>
              </w:rPr>
              <w:t>trimestre</w:t>
            </w:r>
            <w:r>
              <w:rPr>
                <w:b/>
                <w:spacing w:val="-8"/>
                <w:sz w:val="22"/>
              </w:rPr>
              <w:t> </w:t>
            </w:r>
            <w:r>
              <w:rPr>
                <w:b/>
                <w:sz w:val="22"/>
              </w:rPr>
              <w:t>2023</w:t>
            </w:r>
            <w:r>
              <w:rPr>
                <w:b/>
                <w:spacing w:val="-10"/>
                <w:sz w:val="22"/>
              </w:rPr>
              <w:t> </w:t>
            </w:r>
            <w:r>
              <w:rPr>
                <w:b/>
                <w:sz w:val="22"/>
              </w:rPr>
              <w:t>(xx/xx/2023)</w:t>
            </w:r>
            <w:r>
              <w:rPr>
                <w:b/>
                <w:spacing w:val="-9"/>
                <w:sz w:val="22"/>
              </w:rPr>
              <w:t> </w:t>
            </w:r>
            <w:r>
              <w:rPr>
                <w:b/>
                <w:spacing w:val="-10"/>
                <w:sz w:val="22"/>
              </w:rPr>
              <w:t>1</w:t>
            </w:r>
          </w:p>
          <w:p>
            <w:pPr>
              <w:pStyle w:val="TableParagraph"/>
              <w:spacing w:before="1"/>
              <w:rPr>
                <w:b/>
                <w:sz w:val="22"/>
              </w:rPr>
            </w:pPr>
            <w:r>
              <w:rPr>
                <w:b/>
                <w:sz w:val="22"/>
              </w:rPr>
              <w:t>1</w:t>
            </w:r>
            <w:r>
              <w:rPr>
                <w:b/>
                <w:spacing w:val="-2"/>
                <w:sz w:val="22"/>
              </w:rPr>
              <w:t> </w:t>
            </w:r>
            <w:r>
              <w:rPr>
                <w:b/>
                <w:sz w:val="22"/>
              </w:rPr>
              <w:t>an</w:t>
            </w:r>
            <w:r>
              <w:rPr>
                <w:b/>
                <w:spacing w:val="-2"/>
                <w:sz w:val="22"/>
              </w:rPr>
              <w:t> </w:t>
            </w:r>
            <w:r>
              <w:rPr>
                <w:b/>
                <w:spacing w:val="-4"/>
                <w:sz w:val="22"/>
              </w:rPr>
              <w:t>(s)</w:t>
            </w:r>
            <w:r>
              <w:rPr>
                <w:b/>
                <w:spacing w:val="-4"/>
                <w:sz w:val="22"/>
                <w:vertAlign w:val="superscript"/>
              </w:rPr>
              <w:t>1</w:t>
            </w:r>
          </w:p>
          <w:p>
            <w:pPr>
              <w:pStyle w:val="TableParagraph"/>
              <w:rPr>
                <w:b/>
                <w:sz w:val="22"/>
              </w:rPr>
            </w:pPr>
            <w:r>
              <w:rPr>
                <w:rFonts w:ascii="Wingdings 2" w:hAnsi="Wingdings 2"/>
                <w:sz w:val="22"/>
              </w:rPr>
              <w:t></w:t>
            </w:r>
            <w:r>
              <w:rPr>
                <w:b/>
                <w:sz w:val="22"/>
              </w:rPr>
              <w:t>Bruxelles</w:t>
            </w:r>
            <w:r>
              <w:rPr>
                <w:b/>
                <w:spacing w:val="-9"/>
                <w:sz w:val="22"/>
              </w:rPr>
              <w:t> </w:t>
            </w:r>
            <w:r>
              <w:rPr>
                <w:rFonts w:ascii="Wingdings 2" w:hAnsi="Wingdings 2"/>
                <w:sz w:val="22"/>
              </w:rPr>
              <w:t></w:t>
            </w:r>
            <w:r>
              <w:rPr>
                <w:spacing w:val="-8"/>
                <w:sz w:val="22"/>
              </w:rPr>
              <w:t> </w:t>
            </w:r>
            <w:r>
              <w:rPr>
                <w:b/>
                <w:sz w:val="22"/>
              </w:rPr>
              <w:t>Luxembourg</w:t>
            </w:r>
            <w:r>
              <w:rPr>
                <w:b/>
                <w:spacing w:val="-8"/>
                <w:sz w:val="22"/>
              </w:rPr>
              <w:t> </w:t>
            </w:r>
            <w:r>
              <w:rPr>
                <w:rFonts w:ascii="Wingdings 2" w:hAnsi="Wingdings 2"/>
                <w:sz w:val="22"/>
              </w:rPr>
              <w:t></w:t>
            </w:r>
            <w:r>
              <w:rPr>
                <w:spacing w:val="-8"/>
                <w:sz w:val="22"/>
              </w:rPr>
              <w:t> </w:t>
            </w:r>
            <w:r>
              <w:rPr>
                <w:b/>
                <w:sz w:val="22"/>
              </w:rPr>
              <w:t>Autre:</w:t>
            </w:r>
            <w:r>
              <w:rPr>
                <w:b/>
                <w:spacing w:val="-9"/>
                <w:sz w:val="22"/>
              </w:rPr>
              <w:t> </w:t>
            </w:r>
            <w:r>
              <w:rPr>
                <w:b/>
                <w:spacing w:val="-2"/>
                <w:sz w:val="22"/>
              </w:rPr>
              <w:t>.................</w:t>
            </w:r>
          </w:p>
        </w:tc>
      </w:tr>
      <w:tr>
        <w:trPr>
          <w:trHeight w:val="545" w:hRule="atLeast"/>
        </w:trPr>
        <w:tc>
          <w:tcPr>
            <w:tcW w:w="4360" w:type="dxa"/>
            <w:vMerge/>
            <w:tcBorders>
              <w:top w:val="nil"/>
            </w:tcBorders>
          </w:tcPr>
          <w:p>
            <w:pPr>
              <w:rPr>
                <w:sz w:val="2"/>
                <w:szCs w:val="2"/>
              </w:rPr>
            </w:pPr>
          </w:p>
        </w:tc>
        <w:tc>
          <w:tcPr>
            <w:tcW w:w="5597" w:type="dxa"/>
          </w:tcPr>
          <w:p>
            <w:pPr>
              <w:pStyle w:val="TableParagraph"/>
              <w:spacing w:before="146"/>
              <w:rPr>
                <w:b/>
                <w:sz w:val="22"/>
              </w:rPr>
            </w:pPr>
            <w:r>
              <w:rPr>
                <w:rFonts w:ascii="Wingdings 2" w:hAnsi="Wingdings 2"/>
                <w:sz w:val="22"/>
              </w:rPr>
              <w:t></w:t>
            </w:r>
            <w:r>
              <w:rPr>
                <w:b/>
                <w:sz w:val="22"/>
              </w:rPr>
              <w:t>Avec</w:t>
            </w:r>
            <w:r>
              <w:rPr>
                <w:b/>
                <w:spacing w:val="-5"/>
                <w:sz w:val="22"/>
              </w:rPr>
              <w:t> </w:t>
            </w:r>
            <w:r>
              <w:rPr>
                <w:b/>
                <w:sz w:val="22"/>
              </w:rPr>
              <w:t>quotas</w:t>
            </w:r>
            <w:r>
              <w:rPr>
                <w:b/>
                <w:spacing w:val="-4"/>
                <w:sz w:val="22"/>
              </w:rPr>
              <w:t> </w:t>
            </w:r>
            <w:r>
              <w:rPr>
                <w:rFonts w:ascii="Wingdings 2" w:hAnsi="Wingdings 2"/>
                <w:sz w:val="22"/>
              </w:rPr>
              <w:t></w:t>
            </w:r>
            <w:r>
              <w:rPr>
                <w:spacing w:val="72"/>
                <w:w w:val="150"/>
                <w:sz w:val="22"/>
              </w:rPr>
              <w:t> </w:t>
            </w:r>
            <w:r>
              <w:rPr>
                <w:b/>
                <w:spacing w:val="-2"/>
                <w:sz w:val="22"/>
              </w:rPr>
              <w:t>gratuits</w:t>
            </w:r>
          </w:p>
        </w:tc>
      </w:tr>
      <w:tr>
        <w:trPr>
          <w:trHeight w:val="2111" w:hRule="atLeast"/>
        </w:trPr>
        <w:tc>
          <w:tcPr>
            <w:tcW w:w="9957" w:type="dxa"/>
            <w:gridSpan w:val="2"/>
          </w:tcPr>
          <w:p>
            <w:pPr>
              <w:pStyle w:val="TableParagraph"/>
              <w:spacing w:before="112"/>
              <w:rPr>
                <w:b/>
                <w:sz w:val="22"/>
              </w:rPr>
            </w:pPr>
            <w:r>
              <w:rPr>
                <w:b/>
                <w:sz w:val="22"/>
              </w:rPr>
              <w:t>Cet</w:t>
            </w:r>
            <w:r>
              <w:rPr>
                <w:b/>
                <w:spacing w:val="-6"/>
                <w:sz w:val="22"/>
              </w:rPr>
              <w:t> </w:t>
            </w:r>
            <w:r>
              <w:rPr>
                <w:b/>
                <w:sz w:val="22"/>
              </w:rPr>
              <w:t>avis</w:t>
            </w:r>
            <w:r>
              <w:rPr>
                <w:b/>
                <w:spacing w:val="-6"/>
                <w:sz w:val="22"/>
              </w:rPr>
              <w:t> </w:t>
            </w:r>
            <w:r>
              <w:rPr>
                <w:b/>
                <w:sz w:val="22"/>
              </w:rPr>
              <w:t>de</w:t>
            </w:r>
            <w:r>
              <w:rPr>
                <w:b/>
                <w:spacing w:val="-6"/>
                <w:sz w:val="22"/>
              </w:rPr>
              <w:t> </w:t>
            </w:r>
            <w:r>
              <w:rPr>
                <w:b/>
                <w:sz w:val="22"/>
              </w:rPr>
              <w:t>vacance</w:t>
            </w:r>
            <w:r>
              <w:rPr>
                <w:b/>
                <w:spacing w:val="-7"/>
                <w:sz w:val="22"/>
              </w:rPr>
              <w:t> </w:t>
            </w:r>
            <w:r>
              <w:rPr>
                <w:b/>
                <w:sz w:val="22"/>
              </w:rPr>
              <w:t>est</w:t>
            </w:r>
            <w:r>
              <w:rPr>
                <w:b/>
                <w:spacing w:val="-5"/>
                <w:sz w:val="22"/>
              </w:rPr>
              <w:t> </w:t>
            </w:r>
            <w:r>
              <w:rPr>
                <w:b/>
                <w:sz w:val="22"/>
              </w:rPr>
              <w:t>aussi</w:t>
            </w:r>
            <w:r>
              <w:rPr>
                <w:b/>
                <w:spacing w:val="-5"/>
                <w:sz w:val="22"/>
              </w:rPr>
              <w:t> </w:t>
            </w:r>
            <w:r>
              <w:rPr>
                <w:b/>
                <w:spacing w:val="-2"/>
                <w:sz w:val="22"/>
              </w:rPr>
              <w:t>ouvert</w:t>
            </w:r>
          </w:p>
          <w:p>
            <w:pPr>
              <w:pStyle w:val="TableParagraph"/>
              <w:spacing w:before="1"/>
              <w:ind w:left="0"/>
              <w:rPr>
                <w:b/>
                <w:sz w:val="22"/>
              </w:rPr>
            </w:pPr>
          </w:p>
          <w:p>
            <w:pPr>
              <w:pStyle w:val="TableParagraph"/>
              <w:numPr>
                <w:ilvl w:val="0"/>
                <w:numId w:val="1"/>
              </w:numPr>
              <w:tabs>
                <w:tab w:pos="323" w:val="left" w:leader="none"/>
              </w:tabs>
              <w:spacing w:line="240" w:lineRule="auto" w:before="0" w:after="0"/>
              <w:ind w:left="322" w:right="0" w:hanging="216"/>
              <w:jc w:val="left"/>
              <w:rPr>
                <w:b/>
                <w:sz w:val="24"/>
              </w:rPr>
            </w:pPr>
            <w:r>
              <w:rPr>
                <w:b/>
                <w:sz w:val="24"/>
              </w:rPr>
              <w:t>aux</w:t>
            </w:r>
            <w:r>
              <w:rPr>
                <w:b/>
                <w:spacing w:val="-2"/>
                <w:sz w:val="24"/>
              </w:rPr>
              <w:t> </w:t>
            </w:r>
            <w:r>
              <w:rPr>
                <w:b/>
                <w:sz w:val="24"/>
              </w:rPr>
              <w:t>pays</w:t>
            </w:r>
            <w:r>
              <w:rPr>
                <w:b/>
                <w:spacing w:val="-1"/>
                <w:sz w:val="24"/>
              </w:rPr>
              <w:t> </w:t>
            </w:r>
            <w:r>
              <w:rPr>
                <w:b/>
                <w:sz w:val="24"/>
              </w:rPr>
              <w:t>AELE</w:t>
            </w:r>
            <w:r>
              <w:rPr>
                <w:b/>
                <w:spacing w:val="-2"/>
                <w:sz w:val="24"/>
              </w:rPr>
              <w:t> suivants:</w:t>
            </w:r>
          </w:p>
          <w:p>
            <w:pPr>
              <w:pStyle w:val="TableParagraph"/>
              <w:numPr>
                <w:ilvl w:val="1"/>
                <w:numId w:val="1"/>
              </w:numPr>
              <w:tabs>
                <w:tab w:pos="1091" w:val="left" w:leader="none"/>
              </w:tabs>
              <w:spacing w:line="240" w:lineRule="auto" w:before="0" w:after="0"/>
              <w:ind w:left="1090" w:right="0" w:hanging="276"/>
              <w:jc w:val="left"/>
              <w:rPr>
                <w:b/>
                <w:sz w:val="24"/>
              </w:rPr>
            </w:pPr>
            <w:r>
              <w:rPr>
                <w:b/>
                <w:sz w:val="24"/>
              </w:rPr>
              <w:t>Islande</w:t>
            </w:r>
            <w:r>
              <w:rPr>
                <w:b/>
                <w:spacing w:val="-4"/>
                <w:sz w:val="24"/>
              </w:rPr>
              <w:t> </w:t>
            </w:r>
            <w:r>
              <w:rPr>
                <w:rFonts w:ascii="Wingdings 2" w:hAnsi="Wingdings 2"/>
                <w:b/>
                <w:sz w:val="24"/>
              </w:rPr>
              <w:t></w:t>
            </w:r>
            <w:r>
              <w:rPr>
                <w:spacing w:val="-2"/>
                <w:sz w:val="24"/>
              </w:rPr>
              <w:t> </w:t>
            </w:r>
            <w:r>
              <w:rPr>
                <w:b/>
                <w:sz w:val="24"/>
              </w:rPr>
              <w:t>Liechtenstein</w:t>
            </w:r>
            <w:r>
              <w:rPr>
                <w:b/>
                <w:spacing w:val="-5"/>
                <w:sz w:val="24"/>
              </w:rPr>
              <w:t> </w:t>
            </w:r>
            <w:r>
              <w:rPr>
                <w:rFonts w:ascii="Wingdings 2" w:hAnsi="Wingdings 2"/>
                <w:b/>
                <w:sz w:val="24"/>
              </w:rPr>
              <w:t></w:t>
            </w:r>
            <w:r>
              <w:rPr>
                <w:spacing w:val="-2"/>
                <w:sz w:val="24"/>
              </w:rPr>
              <w:t> </w:t>
            </w:r>
            <w:r>
              <w:rPr>
                <w:b/>
                <w:sz w:val="24"/>
              </w:rPr>
              <w:t>Norvège</w:t>
            </w:r>
            <w:r>
              <w:rPr>
                <w:b/>
                <w:spacing w:val="-2"/>
                <w:sz w:val="24"/>
              </w:rPr>
              <w:t> </w:t>
            </w:r>
            <w:r>
              <w:rPr>
                <w:rFonts w:ascii="Wingdings 2" w:hAnsi="Wingdings 2"/>
                <w:b/>
                <w:sz w:val="24"/>
              </w:rPr>
              <w:t></w:t>
            </w:r>
            <w:r>
              <w:rPr>
                <w:spacing w:val="-3"/>
                <w:sz w:val="24"/>
              </w:rPr>
              <w:t> </w:t>
            </w:r>
            <w:r>
              <w:rPr>
                <w:b/>
                <w:spacing w:val="-2"/>
                <w:sz w:val="24"/>
              </w:rPr>
              <w:t>Suisse</w:t>
            </w:r>
          </w:p>
          <w:p>
            <w:pPr>
              <w:pStyle w:val="TableParagraph"/>
              <w:numPr>
                <w:ilvl w:val="1"/>
                <w:numId w:val="1"/>
              </w:numPr>
              <w:tabs>
                <w:tab w:pos="1091" w:val="left" w:leader="none"/>
              </w:tabs>
              <w:spacing w:line="240" w:lineRule="auto" w:before="0" w:after="0"/>
              <w:ind w:left="1090" w:right="0" w:hanging="276"/>
              <w:jc w:val="left"/>
              <w:rPr>
                <w:b/>
                <w:sz w:val="24"/>
              </w:rPr>
            </w:pPr>
            <w:r>
              <w:rPr>
                <w:b/>
                <w:sz w:val="24"/>
              </w:rPr>
              <w:t>Accord</w:t>
            </w:r>
            <w:r>
              <w:rPr>
                <w:b/>
                <w:spacing w:val="-6"/>
                <w:sz w:val="24"/>
              </w:rPr>
              <w:t> </w:t>
            </w:r>
            <w:r>
              <w:rPr>
                <w:b/>
                <w:sz w:val="24"/>
              </w:rPr>
              <w:t>en</w:t>
            </w:r>
            <w:r>
              <w:rPr>
                <w:b/>
                <w:spacing w:val="-4"/>
                <w:sz w:val="24"/>
              </w:rPr>
              <w:t> </w:t>
            </w:r>
            <w:r>
              <w:rPr>
                <w:b/>
                <w:sz w:val="24"/>
              </w:rPr>
              <w:t>nature</w:t>
            </w:r>
            <w:r>
              <w:rPr>
                <w:b/>
                <w:spacing w:val="-3"/>
                <w:sz w:val="24"/>
              </w:rPr>
              <w:t> </w:t>
            </w:r>
            <w:r>
              <w:rPr>
                <w:b/>
                <w:sz w:val="24"/>
              </w:rPr>
              <w:t>AELE-EEE</w:t>
            </w:r>
            <w:r>
              <w:rPr>
                <w:b/>
                <w:spacing w:val="-4"/>
                <w:sz w:val="24"/>
              </w:rPr>
              <w:t> </w:t>
            </w:r>
            <w:r>
              <w:rPr>
                <w:b/>
                <w:sz w:val="24"/>
              </w:rPr>
              <w:t>(Islande,</w:t>
            </w:r>
            <w:r>
              <w:rPr>
                <w:b/>
                <w:spacing w:val="-3"/>
                <w:sz w:val="24"/>
              </w:rPr>
              <w:t> </w:t>
            </w:r>
            <w:r>
              <w:rPr>
                <w:b/>
                <w:sz w:val="24"/>
              </w:rPr>
              <w:t>Liechtenstein,</w:t>
            </w:r>
            <w:r>
              <w:rPr>
                <w:b/>
                <w:spacing w:val="-2"/>
                <w:sz w:val="24"/>
              </w:rPr>
              <w:t> Norvège)</w:t>
            </w:r>
          </w:p>
          <w:p>
            <w:pPr>
              <w:pStyle w:val="TableParagraph"/>
              <w:numPr>
                <w:ilvl w:val="0"/>
                <w:numId w:val="1"/>
              </w:numPr>
              <w:tabs>
                <w:tab w:pos="622" w:val="left" w:leader="none"/>
                <w:tab w:pos="623" w:val="left" w:leader="none"/>
              </w:tabs>
              <w:spacing w:line="240" w:lineRule="auto" w:before="0" w:after="0"/>
              <w:ind w:left="622" w:right="0" w:hanging="456"/>
              <w:jc w:val="left"/>
              <w:rPr>
                <w:b/>
                <w:sz w:val="24"/>
              </w:rPr>
            </w:pPr>
            <w:r>
              <w:rPr>
                <w:b/>
                <w:sz w:val="24"/>
              </w:rPr>
              <w:t>des</w:t>
            </w:r>
            <w:r>
              <w:rPr>
                <w:b/>
                <w:spacing w:val="-2"/>
                <w:sz w:val="24"/>
              </w:rPr>
              <w:t> </w:t>
            </w:r>
            <w:r>
              <w:rPr>
                <w:b/>
                <w:sz w:val="24"/>
              </w:rPr>
              <w:t>pays</w:t>
            </w:r>
            <w:r>
              <w:rPr>
                <w:b/>
                <w:spacing w:val="-2"/>
                <w:sz w:val="24"/>
              </w:rPr>
              <w:t> </w:t>
            </w:r>
            <w:r>
              <w:rPr>
                <w:b/>
                <w:sz w:val="24"/>
              </w:rPr>
              <w:t>tiers</w:t>
            </w:r>
            <w:r>
              <w:rPr>
                <w:b/>
                <w:spacing w:val="-1"/>
                <w:sz w:val="24"/>
              </w:rPr>
              <w:t> </w:t>
            </w:r>
            <w:r>
              <w:rPr>
                <w:b/>
                <w:spacing w:val="-2"/>
                <w:sz w:val="24"/>
              </w:rPr>
              <w:t>suivants:</w:t>
            </w:r>
          </w:p>
          <w:p>
            <w:pPr>
              <w:pStyle w:val="TableParagraph"/>
              <w:numPr>
                <w:ilvl w:val="0"/>
                <w:numId w:val="1"/>
              </w:numPr>
              <w:tabs>
                <w:tab w:pos="562" w:val="left" w:leader="none"/>
                <w:tab w:pos="563" w:val="left" w:leader="none"/>
              </w:tabs>
              <w:spacing w:line="240" w:lineRule="auto" w:before="0" w:after="0"/>
              <w:ind w:left="562" w:right="0" w:hanging="456"/>
              <w:jc w:val="left"/>
              <w:rPr>
                <w:b/>
                <w:sz w:val="24"/>
              </w:rPr>
            </w:pPr>
            <w:r>
              <w:rPr>
                <w:b/>
                <w:sz w:val="24"/>
              </w:rPr>
              <w:t>des</w:t>
            </w:r>
            <w:r>
              <w:rPr>
                <w:b/>
                <w:spacing w:val="-5"/>
                <w:sz w:val="24"/>
              </w:rPr>
              <w:t> </w:t>
            </w:r>
            <w:r>
              <w:rPr>
                <w:b/>
                <w:sz w:val="24"/>
              </w:rPr>
              <w:t>organisations</w:t>
            </w:r>
            <w:r>
              <w:rPr>
                <w:b/>
                <w:spacing w:val="-6"/>
                <w:sz w:val="24"/>
              </w:rPr>
              <w:t> </w:t>
            </w:r>
            <w:r>
              <w:rPr>
                <w:b/>
                <w:sz w:val="24"/>
              </w:rPr>
              <w:t>intergouvernementales</w:t>
            </w:r>
            <w:r>
              <w:rPr>
                <w:b/>
                <w:spacing w:val="-6"/>
                <w:sz w:val="24"/>
              </w:rPr>
              <w:t> </w:t>
            </w:r>
            <w:r>
              <w:rPr>
                <w:b/>
                <w:spacing w:val="-2"/>
                <w:sz w:val="24"/>
              </w:rPr>
              <w:t>suivantes:</w:t>
            </w:r>
          </w:p>
        </w:tc>
      </w:tr>
    </w:tbl>
    <w:p>
      <w:pPr>
        <w:pStyle w:val="BodyText"/>
        <w:spacing w:before="1"/>
        <w:rPr>
          <w:b/>
          <w:sz w:val="24"/>
        </w:rPr>
      </w:pPr>
    </w:p>
    <w:p>
      <w:pPr>
        <w:pStyle w:val="ListParagraph"/>
        <w:numPr>
          <w:ilvl w:val="0"/>
          <w:numId w:val="2"/>
        </w:numPr>
        <w:tabs>
          <w:tab w:pos="796" w:val="left" w:leader="none"/>
          <w:tab w:pos="797" w:val="left" w:leader="none"/>
        </w:tabs>
        <w:spacing w:line="240" w:lineRule="auto" w:before="0" w:after="0"/>
        <w:ind w:left="796" w:right="0" w:hanging="427"/>
        <w:jc w:val="left"/>
        <w:rPr>
          <w:b/>
          <w:sz w:val="24"/>
        </w:rPr>
      </w:pPr>
      <w:r>
        <w:rPr>
          <w:b/>
          <w:sz w:val="24"/>
          <w:u w:val="single"/>
        </w:rPr>
        <w:t>Nature</w:t>
      </w:r>
      <w:r>
        <w:rPr>
          <w:b/>
          <w:spacing w:val="-2"/>
          <w:sz w:val="24"/>
          <w:u w:val="single"/>
        </w:rPr>
        <w:t> </w:t>
      </w:r>
      <w:r>
        <w:rPr>
          <w:b/>
          <w:sz w:val="24"/>
          <w:u w:val="single"/>
        </w:rPr>
        <w:t>des</w:t>
      </w:r>
      <w:r>
        <w:rPr>
          <w:b/>
          <w:spacing w:val="-1"/>
          <w:sz w:val="24"/>
          <w:u w:val="single"/>
        </w:rPr>
        <w:t> </w:t>
      </w:r>
      <w:r>
        <w:rPr>
          <w:b/>
          <w:spacing w:val="-2"/>
          <w:sz w:val="24"/>
          <w:u w:val="single"/>
        </w:rPr>
        <w:t>tâches</w:t>
      </w:r>
    </w:p>
    <w:p>
      <w:pPr>
        <w:pStyle w:val="BodyText"/>
        <w:rPr>
          <w:b/>
          <w:sz w:val="16"/>
        </w:rPr>
      </w:pPr>
    </w:p>
    <w:p>
      <w:pPr>
        <w:pStyle w:val="BodyText"/>
        <w:spacing w:before="91"/>
        <w:ind w:left="370" w:right="111"/>
        <w:jc w:val="both"/>
      </w:pPr>
      <w:r>
        <w:rPr/>
        <w:t>L’expert(e)</w:t>
      </w:r>
      <w:r>
        <w:rPr>
          <w:spacing w:val="-1"/>
        </w:rPr>
        <w:t> </w:t>
      </w:r>
      <w:r>
        <w:rPr/>
        <w:t>national(e)</w:t>
      </w:r>
      <w:r>
        <w:rPr>
          <w:spacing w:val="-1"/>
        </w:rPr>
        <w:t> </w:t>
      </w:r>
      <w:r>
        <w:rPr/>
        <w:t>détaché(e)</w:t>
      </w:r>
      <w:r>
        <w:rPr>
          <w:spacing w:val="-1"/>
        </w:rPr>
        <w:t> </w:t>
      </w:r>
      <w:r>
        <w:rPr/>
        <w:t>(END)</w:t>
      </w:r>
      <w:r>
        <w:rPr>
          <w:spacing w:val="-1"/>
        </w:rPr>
        <w:t> </w:t>
      </w:r>
      <w:r>
        <w:rPr/>
        <w:t>agira comme</w:t>
      </w:r>
      <w:r>
        <w:rPr>
          <w:spacing w:val="-2"/>
        </w:rPr>
        <w:t> </w:t>
      </w:r>
      <w:r>
        <w:rPr/>
        <w:t>responsable</w:t>
      </w:r>
      <w:r>
        <w:rPr>
          <w:spacing w:val="-1"/>
        </w:rPr>
        <w:t> </w:t>
      </w:r>
      <w:r>
        <w:rPr/>
        <w:t>de</w:t>
      </w:r>
      <w:r>
        <w:rPr>
          <w:spacing w:val="-1"/>
        </w:rPr>
        <w:t> </w:t>
      </w:r>
      <w:r>
        <w:rPr/>
        <w:t>projet</w:t>
      </w:r>
      <w:r>
        <w:rPr>
          <w:spacing w:val="-1"/>
        </w:rPr>
        <w:t> </w:t>
      </w:r>
      <w:r>
        <w:rPr/>
        <w:t>au sein de</w:t>
      </w:r>
      <w:r>
        <w:rPr>
          <w:spacing w:val="-1"/>
        </w:rPr>
        <w:t> </w:t>
      </w:r>
      <w:r>
        <w:rPr/>
        <w:t>l’unité</w:t>
      </w:r>
      <w:r>
        <w:rPr>
          <w:spacing w:val="-1"/>
        </w:rPr>
        <w:t> </w:t>
      </w:r>
      <w:r>
        <w:rPr/>
        <w:t>A1 de</w:t>
      </w:r>
      <w:r>
        <w:rPr>
          <w:spacing w:val="-1"/>
        </w:rPr>
        <w:t> </w:t>
      </w:r>
      <w:r>
        <w:rPr/>
        <w:t>la DG</w:t>
      </w:r>
      <w:r>
        <w:rPr>
          <w:spacing w:val="-1"/>
        </w:rPr>
        <w:t> </w:t>
      </w:r>
      <w:r>
        <w:rPr/>
        <w:t>ENER, chargée des relations interinstitutionnelles, de la coordination des politiques et de la planification.</w:t>
      </w:r>
    </w:p>
    <w:p>
      <w:pPr>
        <w:pStyle w:val="BodyText"/>
      </w:pPr>
    </w:p>
    <w:p>
      <w:pPr>
        <w:pStyle w:val="BodyText"/>
        <w:ind w:left="370" w:right="106"/>
        <w:jc w:val="both"/>
      </w:pPr>
      <w:r>
        <w:rPr/>
        <w:t>L’END sera chargé d’élaborer, de coordonner et de mettre en œuvre la politique énergétique et les activités connexes, conformément aux priorités de la Commission y compris REPowerEU et le Pacte vert pour l’Europe. La/le candidat(e) retenu(e) participera à la mise en œuvre du règlement sur la gouvernance dans le cadre de REPowerEU et du paquet législatif « Ajustement à l’objectif 55 », en particulier en ce qui concerne l'efficacité énergétique et la performance énergétique des bâtiments. L’END analysera les politiques énergétiques et assistera à la coordination et l'orientation des politiques énergétiques pour la DG ENER, potentiellement en ce qui concerne</w:t>
      </w:r>
      <w:r>
        <w:rPr>
          <w:spacing w:val="40"/>
        </w:rPr>
        <w:t> </w:t>
      </w:r>
      <w:r>
        <w:rPr/>
        <w:t>les biocarburants, le méthane, l'hydrogène et le paquet gaz. Les tâches de la/le candidat(e) retenu(e) comprendront des contributions à des notes d’information, des discours et des présentations à l’intention de la hiérarchie, ainsi qu’une participation aux activités de mise en œuvre et de suivi de REPowerEU, du Pacte vert pour l’Europe et de l’Union de l’énergie et sa Gouvernance, ainsi que toute autre question relevant du portefeuille convenu de l'END, y compris dans le cadre des préparatifs de la prochaine Commission.</w:t>
      </w:r>
    </w:p>
    <w:p>
      <w:pPr>
        <w:pStyle w:val="BodyText"/>
        <w:spacing w:before="2"/>
      </w:pPr>
    </w:p>
    <w:p>
      <w:pPr>
        <w:pStyle w:val="ListParagraph"/>
        <w:numPr>
          <w:ilvl w:val="0"/>
          <w:numId w:val="2"/>
        </w:numPr>
        <w:tabs>
          <w:tab w:pos="796" w:val="left" w:leader="none"/>
          <w:tab w:pos="797" w:val="left" w:leader="none"/>
        </w:tabs>
        <w:spacing w:line="240" w:lineRule="auto" w:before="0" w:after="0"/>
        <w:ind w:left="796" w:right="0" w:hanging="427"/>
        <w:jc w:val="left"/>
        <w:rPr>
          <w:b/>
          <w:sz w:val="24"/>
        </w:rPr>
      </w:pPr>
      <w:r>
        <w:rPr>
          <w:b/>
          <w:sz w:val="24"/>
          <w:u w:val="single"/>
        </w:rPr>
        <w:t>Principales</w:t>
      </w:r>
      <w:r>
        <w:rPr>
          <w:b/>
          <w:spacing w:val="-6"/>
          <w:sz w:val="24"/>
          <w:u w:val="single"/>
        </w:rPr>
        <w:t> </w:t>
      </w:r>
      <w:r>
        <w:rPr>
          <w:b/>
          <w:spacing w:val="-2"/>
          <w:sz w:val="24"/>
          <w:u w:val="single"/>
        </w:rPr>
        <w:t>certifications</w:t>
      </w:r>
    </w:p>
    <w:p>
      <w:pPr>
        <w:pStyle w:val="BodyText"/>
        <w:rPr>
          <w:b/>
          <w:sz w:val="16"/>
        </w:rPr>
      </w:pPr>
    </w:p>
    <w:p>
      <w:pPr>
        <w:pStyle w:val="Heading1"/>
        <w:numPr>
          <w:ilvl w:val="1"/>
          <w:numId w:val="2"/>
        </w:numPr>
        <w:tabs>
          <w:tab w:pos="1036" w:val="left" w:leader="none"/>
        </w:tabs>
        <w:spacing w:line="240" w:lineRule="auto" w:before="91" w:after="0"/>
        <w:ind w:left="1035" w:right="0" w:hanging="240"/>
        <w:jc w:val="left"/>
      </w:pPr>
      <w:r>
        <w:rPr/>
        <w:t>Critères</w:t>
      </w:r>
      <w:r>
        <w:rPr>
          <w:spacing w:val="-13"/>
        </w:rPr>
        <w:t> </w:t>
      </w:r>
      <w:r>
        <w:rPr>
          <w:spacing w:val="-2"/>
        </w:rPr>
        <w:t>d’éligibilité</w:t>
      </w:r>
    </w:p>
    <w:p>
      <w:pPr>
        <w:pStyle w:val="BodyText"/>
        <w:spacing w:before="10"/>
        <w:rPr>
          <w:b/>
          <w:sz w:val="21"/>
        </w:rPr>
      </w:pPr>
    </w:p>
    <w:p>
      <w:pPr>
        <w:pStyle w:val="BodyText"/>
        <w:spacing w:before="1"/>
        <w:ind w:left="796" w:right="107"/>
        <w:jc w:val="both"/>
      </w:pPr>
      <w:r>
        <w:rPr/>
        <w:t>Le candidat doit remplir les critères d’éligibilité ci-après pour pouvoir être détaché auprès de la Commission. Par conséquent, le candidat qui ne remplira pas tous ces critères sera automatiquement éliminé de la procédure de sélection.</w:t>
      </w:r>
    </w:p>
    <w:p>
      <w:pPr>
        <w:pStyle w:val="BodyText"/>
        <w:rPr>
          <w:sz w:val="20"/>
        </w:rPr>
      </w:pPr>
    </w:p>
    <w:p>
      <w:pPr>
        <w:pStyle w:val="BodyText"/>
        <w:rPr>
          <w:sz w:val="20"/>
        </w:rPr>
      </w:pPr>
    </w:p>
    <w:p>
      <w:pPr>
        <w:pStyle w:val="BodyText"/>
        <w:rPr>
          <w:sz w:val="20"/>
        </w:rPr>
      </w:pPr>
    </w:p>
    <w:p>
      <w:pPr>
        <w:pStyle w:val="BodyText"/>
        <w:spacing w:before="8"/>
        <w:rPr>
          <w:sz w:val="10"/>
        </w:rPr>
      </w:pPr>
      <w:r>
        <w:rPr/>
        <w:pict>
          <v:rect style="position:absolute;margin-left:42.540001pt;margin-top:7.355443pt;width:144pt;height:.72pt;mso-position-horizontal-relative:page;mso-position-vertical-relative:paragraph;z-index:-15728640;mso-wrap-distance-left:0;mso-wrap-distance-right:0" id="docshape2" filled="true" fillcolor="#000000" stroked="false">
            <v:fill type="solid"/>
            <w10:wrap type="topAndBottom"/>
          </v:rect>
        </w:pict>
      </w:r>
    </w:p>
    <w:p>
      <w:pPr>
        <w:spacing w:before="97"/>
        <w:ind w:left="370" w:right="0" w:firstLine="0"/>
        <w:jc w:val="left"/>
        <w:rPr>
          <w:sz w:val="20"/>
        </w:rPr>
      </w:pPr>
      <w:r>
        <w:rPr>
          <w:sz w:val="20"/>
          <w:vertAlign w:val="superscript"/>
        </w:rPr>
        <w:t>1</w:t>
      </w:r>
      <w:r>
        <w:rPr>
          <w:spacing w:val="-4"/>
          <w:sz w:val="20"/>
          <w:vertAlign w:val="baseline"/>
        </w:rPr>
        <w:t> </w:t>
      </w:r>
      <w:r>
        <w:rPr>
          <w:sz w:val="20"/>
          <w:vertAlign w:val="baseline"/>
        </w:rPr>
        <w:t>Ces</w:t>
      </w:r>
      <w:r>
        <w:rPr>
          <w:spacing w:val="-3"/>
          <w:sz w:val="20"/>
          <w:vertAlign w:val="baseline"/>
        </w:rPr>
        <w:t> </w:t>
      </w:r>
      <w:r>
        <w:rPr>
          <w:sz w:val="20"/>
          <w:vertAlign w:val="baseline"/>
        </w:rPr>
        <w:t>précisions</w:t>
      </w:r>
      <w:r>
        <w:rPr>
          <w:spacing w:val="-4"/>
          <w:sz w:val="20"/>
          <w:vertAlign w:val="baseline"/>
        </w:rPr>
        <w:t> </w:t>
      </w:r>
      <w:r>
        <w:rPr>
          <w:sz w:val="20"/>
          <w:vertAlign w:val="baseline"/>
        </w:rPr>
        <w:t>sont</w:t>
      </w:r>
      <w:r>
        <w:rPr>
          <w:spacing w:val="-5"/>
          <w:sz w:val="20"/>
          <w:vertAlign w:val="baseline"/>
        </w:rPr>
        <w:t> </w:t>
      </w:r>
      <w:r>
        <w:rPr>
          <w:sz w:val="20"/>
          <w:vertAlign w:val="baseline"/>
        </w:rPr>
        <w:t>données</w:t>
      </w:r>
      <w:r>
        <w:rPr>
          <w:spacing w:val="-3"/>
          <w:sz w:val="20"/>
          <w:vertAlign w:val="baseline"/>
        </w:rPr>
        <w:t> </w:t>
      </w:r>
      <w:r>
        <w:rPr>
          <w:sz w:val="20"/>
          <w:vertAlign w:val="baseline"/>
        </w:rPr>
        <w:t>à</w:t>
      </w:r>
      <w:r>
        <w:rPr>
          <w:spacing w:val="-4"/>
          <w:sz w:val="20"/>
          <w:vertAlign w:val="baseline"/>
        </w:rPr>
        <w:t> </w:t>
      </w:r>
      <w:r>
        <w:rPr>
          <w:sz w:val="20"/>
          <w:vertAlign w:val="baseline"/>
        </w:rPr>
        <w:t>titre</w:t>
      </w:r>
      <w:r>
        <w:rPr>
          <w:spacing w:val="-3"/>
          <w:sz w:val="20"/>
          <w:vertAlign w:val="baseline"/>
        </w:rPr>
        <w:t> </w:t>
      </w:r>
      <w:r>
        <w:rPr>
          <w:sz w:val="20"/>
          <w:vertAlign w:val="baseline"/>
        </w:rPr>
        <w:t>indicatif</w:t>
      </w:r>
      <w:r>
        <w:rPr>
          <w:spacing w:val="-4"/>
          <w:sz w:val="20"/>
          <w:vertAlign w:val="baseline"/>
        </w:rPr>
        <w:t> </w:t>
      </w:r>
      <w:r>
        <w:rPr>
          <w:sz w:val="20"/>
          <w:vertAlign w:val="baseline"/>
        </w:rPr>
        <w:t>uniquement</w:t>
      </w:r>
      <w:r>
        <w:rPr>
          <w:spacing w:val="-4"/>
          <w:sz w:val="20"/>
          <w:vertAlign w:val="baseline"/>
        </w:rPr>
        <w:t> </w:t>
      </w:r>
      <w:r>
        <w:rPr>
          <w:sz w:val="20"/>
          <w:vertAlign w:val="baseline"/>
        </w:rPr>
        <w:t>(article</w:t>
      </w:r>
      <w:r>
        <w:rPr>
          <w:spacing w:val="-3"/>
          <w:sz w:val="20"/>
          <w:vertAlign w:val="baseline"/>
        </w:rPr>
        <w:t> </w:t>
      </w:r>
      <w:r>
        <w:rPr>
          <w:sz w:val="20"/>
          <w:vertAlign w:val="baseline"/>
        </w:rPr>
        <w:t>4</w:t>
      </w:r>
      <w:r>
        <w:rPr>
          <w:spacing w:val="-2"/>
          <w:sz w:val="20"/>
          <w:vertAlign w:val="baseline"/>
        </w:rPr>
        <w:t> </w:t>
      </w:r>
      <w:r>
        <w:rPr>
          <w:sz w:val="20"/>
          <w:vertAlign w:val="baseline"/>
        </w:rPr>
        <w:t>de</w:t>
      </w:r>
      <w:r>
        <w:rPr>
          <w:spacing w:val="-4"/>
          <w:sz w:val="20"/>
          <w:vertAlign w:val="baseline"/>
        </w:rPr>
        <w:t> </w:t>
      </w:r>
      <w:r>
        <w:rPr>
          <w:sz w:val="20"/>
          <w:vertAlign w:val="baseline"/>
        </w:rPr>
        <w:t>la</w:t>
      </w:r>
      <w:r>
        <w:rPr>
          <w:spacing w:val="-3"/>
          <w:sz w:val="20"/>
          <w:vertAlign w:val="baseline"/>
        </w:rPr>
        <w:t> </w:t>
      </w:r>
      <w:r>
        <w:rPr>
          <w:sz w:val="20"/>
          <w:vertAlign w:val="baseline"/>
        </w:rPr>
        <w:t>décision</w:t>
      </w:r>
      <w:r>
        <w:rPr>
          <w:spacing w:val="-2"/>
          <w:sz w:val="20"/>
          <w:vertAlign w:val="baseline"/>
        </w:rPr>
        <w:t> END).</w:t>
      </w:r>
    </w:p>
    <w:p>
      <w:pPr>
        <w:spacing w:after="0"/>
        <w:jc w:val="left"/>
        <w:rPr>
          <w:sz w:val="20"/>
        </w:rPr>
        <w:sectPr>
          <w:footerReference w:type="default" r:id="rId5"/>
          <w:type w:val="continuous"/>
          <w:pgSz w:w="11910" w:h="16840"/>
          <w:pgMar w:footer="690" w:header="0" w:top="520" w:bottom="880" w:left="480" w:right="740"/>
          <w:pgNumType w:start="1"/>
        </w:sectPr>
      </w:pPr>
    </w:p>
    <w:p>
      <w:pPr>
        <w:pStyle w:val="BodyText"/>
        <w:spacing w:before="74"/>
        <w:ind w:left="1080" w:right="106" w:hanging="284"/>
        <w:jc w:val="both"/>
      </w:pPr>
      <w:r>
        <w:rPr/>
        <w:t>•• </w:t>
      </w:r>
      <w:r>
        <w:rPr>
          <w:u w:val="single"/>
        </w:rPr>
        <w:t>Expérience professionnelle</w:t>
      </w:r>
      <w:r>
        <w:rPr/>
        <w:t>: posséder une expérience professionnelle d’au moins trois ans dans des</w:t>
      </w:r>
      <w:r>
        <w:rPr>
          <w:spacing w:val="80"/>
        </w:rPr>
        <w:t> </w:t>
      </w:r>
      <w:r>
        <w:rPr/>
        <w:t>fonctions administratives, juridiques, scientifiques, techniques, de conseil ou de supervision, à un grade équivalant au groupe de fonctions administrateur AD;</w:t>
      </w:r>
    </w:p>
    <w:p>
      <w:pPr>
        <w:pStyle w:val="BodyText"/>
        <w:spacing w:before="11"/>
        <w:rPr>
          <w:sz w:val="21"/>
        </w:rPr>
      </w:pPr>
    </w:p>
    <w:p>
      <w:pPr>
        <w:pStyle w:val="BodyText"/>
        <w:ind w:left="1080" w:right="108" w:hanging="284"/>
        <w:jc w:val="both"/>
      </w:pPr>
      <w:r>
        <w:rPr/>
        <w:t>••</w:t>
      </w:r>
      <w:r>
        <w:rPr>
          <w:spacing w:val="40"/>
        </w:rPr>
        <w:t> </w:t>
      </w:r>
      <w:r>
        <w:rPr>
          <w:u w:val="single"/>
        </w:rPr>
        <w:t>Ancienneté</w:t>
      </w:r>
      <w:r>
        <w:rPr/>
        <w:t>: avoir une ancienneté d’au moins un an auprès de son employeur, c’est-à-dire être employé depuis au moins un an par un employeur éligible au sens de l’article 1er de la décision END, dans un cadre statutaire ou contractuel avant le détachement;</w:t>
      </w:r>
    </w:p>
    <w:p>
      <w:pPr>
        <w:pStyle w:val="BodyText"/>
      </w:pPr>
    </w:p>
    <w:p>
      <w:pPr>
        <w:pStyle w:val="BodyText"/>
        <w:ind w:left="1080" w:right="106" w:hanging="284"/>
        <w:jc w:val="both"/>
      </w:pPr>
      <w:r>
        <w:rPr/>
        <w:t>••</w:t>
      </w:r>
      <w:r>
        <w:rPr>
          <w:spacing w:val="40"/>
        </w:rPr>
        <w:t> </w:t>
      </w:r>
      <w:r>
        <w:rPr>
          <w:u w:val="single"/>
        </w:rPr>
        <w:t>Compétences linguistiques</w:t>
      </w:r>
      <w:r>
        <w:rPr/>
        <w:t>: avoir une connaissance approfondie d’une des langues de l’Union européenne</w:t>
      </w:r>
      <w:r>
        <w:rPr>
          <w:spacing w:val="40"/>
        </w:rPr>
        <w:t> </w:t>
      </w:r>
      <w:r>
        <w:rPr/>
        <w:t>et une connaissance satisfaisante d’une autre langue de l’Union, dans la mesure nécessaire à l’exercice de ses tâches. L’END d’un pays tiers doit justifier de la connaissance approfondie d’une langue de l’Union européenne nécessaire à l’accomplissement de ses tâches.</w:t>
      </w:r>
    </w:p>
    <w:p>
      <w:pPr>
        <w:pStyle w:val="BodyText"/>
        <w:spacing w:before="2"/>
        <w:rPr>
          <w:sz w:val="24"/>
        </w:rPr>
      </w:pPr>
    </w:p>
    <w:p>
      <w:pPr>
        <w:pStyle w:val="Heading1"/>
        <w:numPr>
          <w:ilvl w:val="1"/>
          <w:numId w:val="2"/>
        </w:numPr>
        <w:tabs>
          <w:tab w:pos="1079" w:val="left" w:leader="none"/>
        </w:tabs>
        <w:spacing w:line="240" w:lineRule="auto" w:before="0" w:after="0"/>
        <w:ind w:left="1078" w:right="0" w:hanging="283"/>
        <w:jc w:val="left"/>
      </w:pPr>
      <w:r>
        <w:rPr>
          <w:u w:val="single"/>
        </w:rPr>
        <w:t>Critères</w:t>
      </w:r>
      <w:r>
        <w:rPr>
          <w:spacing w:val="-8"/>
          <w:u w:val="single"/>
        </w:rPr>
        <w:t> </w:t>
      </w:r>
      <w:r>
        <w:rPr>
          <w:u w:val="single"/>
        </w:rPr>
        <w:t>de</w:t>
      </w:r>
      <w:r>
        <w:rPr>
          <w:spacing w:val="-6"/>
          <w:u w:val="single"/>
        </w:rPr>
        <w:t> </w:t>
      </w:r>
      <w:r>
        <w:rPr>
          <w:spacing w:val="-2"/>
          <w:u w:val="single"/>
        </w:rPr>
        <w:t>sélection</w:t>
      </w:r>
    </w:p>
    <w:p>
      <w:pPr>
        <w:pStyle w:val="BodyText"/>
        <w:spacing w:before="11"/>
        <w:rPr>
          <w:b/>
          <w:sz w:val="15"/>
        </w:rPr>
      </w:pPr>
    </w:p>
    <w:p>
      <w:pPr>
        <w:pStyle w:val="BodyText"/>
        <w:spacing w:before="90"/>
        <w:ind w:left="1080"/>
      </w:pPr>
      <w:r>
        <w:rPr>
          <w:spacing w:val="-2"/>
          <w:u w:val="single"/>
        </w:rPr>
        <w:t>Diplôme</w:t>
      </w:r>
    </w:p>
    <w:p>
      <w:pPr>
        <w:pStyle w:val="ListParagraph"/>
        <w:numPr>
          <w:ilvl w:val="2"/>
          <w:numId w:val="2"/>
        </w:numPr>
        <w:tabs>
          <w:tab w:pos="1355" w:val="left" w:leader="none"/>
        </w:tabs>
        <w:spacing w:line="240" w:lineRule="auto" w:before="0" w:after="0"/>
        <w:ind w:left="1354" w:right="0" w:hanging="275"/>
        <w:jc w:val="left"/>
        <w:rPr>
          <w:sz w:val="22"/>
        </w:rPr>
      </w:pPr>
      <w:r>
        <w:rPr>
          <w:sz w:val="22"/>
        </w:rPr>
        <w:t>diplôme</w:t>
      </w:r>
      <w:r>
        <w:rPr>
          <w:spacing w:val="-13"/>
          <w:sz w:val="22"/>
        </w:rPr>
        <w:t> </w:t>
      </w:r>
      <w:r>
        <w:rPr>
          <w:sz w:val="22"/>
        </w:rPr>
        <w:t>universitaire</w:t>
      </w:r>
      <w:r>
        <w:rPr>
          <w:spacing w:val="-13"/>
          <w:sz w:val="22"/>
        </w:rPr>
        <w:t> </w:t>
      </w:r>
      <w:r>
        <w:rPr>
          <w:spacing w:val="-5"/>
          <w:sz w:val="22"/>
        </w:rPr>
        <w:t>ou</w:t>
      </w:r>
    </w:p>
    <w:p>
      <w:pPr>
        <w:pStyle w:val="ListParagraph"/>
        <w:numPr>
          <w:ilvl w:val="2"/>
          <w:numId w:val="2"/>
        </w:numPr>
        <w:tabs>
          <w:tab w:pos="1355" w:val="left" w:leader="none"/>
        </w:tabs>
        <w:spacing w:line="240" w:lineRule="auto" w:before="1" w:after="0"/>
        <w:ind w:left="1354" w:right="0" w:hanging="276"/>
        <w:jc w:val="left"/>
        <w:rPr>
          <w:sz w:val="22"/>
        </w:rPr>
      </w:pPr>
      <w:r>
        <w:rPr>
          <w:sz w:val="22"/>
        </w:rPr>
        <w:t>formation</w:t>
      </w:r>
      <w:r>
        <w:rPr>
          <w:spacing w:val="-11"/>
          <w:sz w:val="22"/>
        </w:rPr>
        <w:t> </w:t>
      </w:r>
      <w:r>
        <w:rPr>
          <w:sz w:val="22"/>
        </w:rPr>
        <w:t>professionnelle</w:t>
      </w:r>
      <w:r>
        <w:rPr>
          <w:spacing w:val="-11"/>
          <w:sz w:val="22"/>
        </w:rPr>
        <w:t> </w:t>
      </w:r>
      <w:r>
        <w:rPr>
          <w:sz w:val="22"/>
        </w:rPr>
        <w:t>ou</w:t>
      </w:r>
      <w:r>
        <w:rPr>
          <w:spacing w:val="-11"/>
          <w:sz w:val="22"/>
        </w:rPr>
        <w:t> </w:t>
      </w:r>
      <w:r>
        <w:rPr>
          <w:sz w:val="22"/>
        </w:rPr>
        <w:t>expérience</w:t>
      </w:r>
      <w:r>
        <w:rPr>
          <w:spacing w:val="-11"/>
          <w:sz w:val="22"/>
        </w:rPr>
        <w:t> </w:t>
      </w:r>
      <w:r>
        <w:rPr>
          <w:sz w:val="22"/>
        </w:rPr>
        <w:t>professionnelle</w:t>
      </w:r>
      <w:r>
        <w:rPr>
          <w:spacing w:val="-11"/>
          <w:sz w:val="22"/>
        </w:rPr>
        <w:t> </w:t>
      </w:r>
      <w:r>
        <w:rPr>
          <w:sz w:val="22"/>
        </w:rPr>
        <w:t>de</w:t>
      </w:r>
      <w:r>
        <w:rPr>
          <w:spacing w:val="-11"/>
          <w:sz w:val="22"/>
        </w:rPr>
        <w:t> </w:t>
      </w:r>
      <w:r>
        <w:rPr>
          <w:sz w:val="22"/>
        </w:rPr>
        <w:t>niveau</w:t>
      </w:r>
      <w:r>
        <w:rPr>
          <w:spacing w:val="-11"/>
          <w:sz w:val="22"/>
        </w:rPr>
        <w:t> </w:t>
      </w:r>
      <w:r>
        <w:rPr>
          <w:spacing w:val="-2"/>
          <w:sz w:val="22"/>
        </w:rPr>
        <w:t>équivalent</w:t>
      </w:r>
    </w:p>
    <w:p>
      <w:pPr>
        <w:pStyle w:val="BodyText"/>
      </w:pPr>
    </w:p>
    <w:p>
      <w:pPr>
        <w:pStyle w:val="BodyText"/>
        <w:ind w:left="1079" w:firstLine="110"/>
      </w:pPr>
      <w:r>
        <w:rPr/>
        <w:t>dans</w:t>
      </w:r>
      <w:r>
        <w:rPr>
          <w:spacing w:val="40"/>
        </w:rPr>
        <w:t> </w:t>
      </w:r>
      <w:r>
        <w:rPr/>
        <w:t>le</w:t>
      </w:r>
      <w:r>
        <w:rPr>
          <w:spacing w:val="40"/>
        </w:rPr>
        <w:t> </w:t>
      </w:r>
      <w:r>
        <w:rPr/>
        <w:t>(s)</w:t>
      </w:r>
      <w:r>
        <w:rPr>
          <w:spacing w:val="40"/>
        </w:rPr>
        <w:t> </w:t>
      </w:r>
      <w:r>
        <w:rPr/>
        <w:t>domaine</w:t>
      </w:r>
      <w:r>
        <w:rPr>
          <w:spacing w:val="40"/>
        </w:rPr>
        <w:t> </w:t>
      </w:r>
      <w:r>
        <w:rPr/>
        <w:t>(s):</w:t>
      </w:r>
      <w:r>
        <w:rPr>
          <w:spacing w:val="40"/>
        </w:rPr>
        <w:t> </w:t>
      </w:r>
      <w:r>
        <w:rPr/>
        <w:t>sciences</w:t>
      </w:r>
      <w:r>
        <w:rPr>
          <w:spacing w:val="40"/>
        </w:rPr>
        <w:t> </w:t>
      </w:r>
      <w:r>
        <w:rPr/>
        <w:t>politiques,</w:t>
      </w:r>
      <w:r>
        <w:rPr>
          <w:spacing w:val="40"/>
        </w:rPr>
        <w:t> </w:t>
      </w:r>
      <w:r>
        <w:rPr/>
        <w:t>sciences</w:t>
      </w:r>
      <w:r>
        <w:rPr>
          <w:spacing w:val="40"/>
        </w:rPr>
        <w:t> </w:t>
      </w:r>
      <w:r>
        <w:rPr/>
        <w:t>sociales,</w:t>
      </w:r>
      <w:r>
        <w:rPr>
          <w:spacing w:val="40"/>
        </w:rPr>
        <w:t> </w:t>
      </w:r>
      <w:r>
        <w:rPr/>
        <w:t>gestion</w:t>
      </w:r>
      <w:r>
        <w:rPr>
          <w:spacing w:val="40"/>
        </w:rPr>
        <w:t> </w:t>
      </w:r>
      <w:r>
        <w:rPr/>
        <w:t>publique,</w:t>
      </w:r>
      <w:r>
        <w:rPr>
          <w:spacing w:val="40"/>
        </w:rPr>
        <w:t> </w:t>
      </w:r>
      <w:r>
        <w:rPr/>
        <w:t>économie,</w:t>
      </w:r>
      <w:r>
        <w:rPr>
          <w:spacing w:val="40"/>
        </w:rPr>
        <w:t> </w:t>
      </w:r>
      <w:r>
        <w:rPr/>
        <w:t>droit</w:t>
      </w:r>
      <w:r>
        <w:rPr>
          <w:spacing w:val="40"/>
        </w:rPr>
        <w:t> </w:t>
      </w:r>
      <w:r>
        <w:rPr/>
        <w:t>ou </w:t>
      </w:r>
      <w:r>
        <w:rPr>
          <w:spacing w:val="-2"/>
        </w:rPr>
        <w:t>ingénierie</w:t>
      </w:r>
    </w:p>
    <w:p>
      <w:pPr>
        <w:pStyle w:val="BodyText"/>
        <w:spacing w:before="11"/>
        <w:rPr>
          <w:sz w:val="21"/>
        </w:rPr>
      </w:pPr>
    </w:p>
    <w:p>
      <w:pPr>
        <w:pStyle w:val="BodyText"/>
        <w:ind w:left="1080"/>
      </w:pPr>
      <w:r>
        <w:rPr>
          <w:spacing w:val="-2"/>
          <w:u w:val="single"/>
        </w:rPr>
        <w:t>Expérience</w:t>
      </w:r>
      <w:r>
        <w:rPr>
          <w:spacing w:val="6"/>
          <w:u w:val="single"/>
        </w:rPr>
        <w:t> </w:t>
      </w:r>
      <w:r>
        <w:rPr>
          <w:spacing w:val="-2"/>
          <w:u w:val="single"/>
        </w:rPr>
        <w:t>professionnelle</w:t>
      </w:r>
    </w:p>
    <w:p>
      <w:pPr>
        <w:pStyle w:val="BodyText"/>
        <w:spacing w:before="2"/>
        <w:rPr>
          <w:sz w:val="14"/>
        </w:rPr>
      </w:pPr>
    </w:p>
    <w:p>
      <w:pPr>
        <w:pStyle w:val="BodyText"/>
        <w:spacing w:before="91"/>
        <w:ind w:left="1080" w:right="166" w:hanging="1"/>
        <w:jc w:val="both"/>
      </w:pPr>
      <w:r>
        <w:rPr/>
        <w:t>Connaissance de la politique énergétique de l’UE dans le contexte de REPowerEU, du Pacte vert pour l’Europe et des procédures décisionnelles de l’UE. Connaissance de l’élaboration, de la mise en œuvre et de l’analyse de politiques et des mesures portant sur l'efficacité énergétique et la performance énergétique des bâtiments et, éventuellement, sur les biocarburants, le méthane, l'hydrogène et les éléments liés à l'emballage du gaz serait un atout. Excellentes capacités d’analyse, de hiérarchisation des priorités, de coordination, d’organisation, de rédaction, de communication orale et écrite. Solides compétences relationnelles dans un environnement multiculturel, y compris la capacité de travailler avec différentes équipes et de coordonner efficacement tant au sein de la DG ENER qu’avec d’autres services de la Commission. Aptitude à travailler de manière proactive et autonome. L’expérience en gestion de projets</w:t>
      </w:r>
      <w:r>
        <w:rPr>
          <w:spacing w:val="40"/>
        </w:rPr>
        <w:t> </w:t>
      </w:r>
      <w:r>
        <w:rPr/>
        <w:t>est un atout.</w:t>
      </w:r>
    </w:p>
    <w:p>
      <w:pPr>
        <w:pStyle w:val="BodyText"/>
        <w:spacing w:before="11"/>
        <w:rPr>
          <w:sz w:val="21"/>
        </w:rPr>
      </w:pPr>
    </w:p>
    <w:p>
      <w:pPr>
        <w:pStyle w:val="BodyText"/>
        <w:ind w:left="1080"/>
        <w:jc w:val="both"/>
      </w:pPr>
      <w:r>
        <w:rPr>
          <w:u w:val="single"/>
        </w:rPr>
        <w:t>Langue</w:t>
      </w:r>
      <w:r>
        <w:rPr>
          <w:spacing w:val="-10"/>
          <w:u w:val="single"/>
        </w:rPr>
        <w:t> </w:t>
      </w:r>
      <w:r>
        <w:rPr>
          <w:u w:val="single"/>
        </w:rPr>
        <w:t>(s)</w:t>
      </w:r>
      <w:r>
        <w:rPr>
          <w:spacing w:val="-8"/>
          <w:u w:val="single"/>
        </w:rPr>
        <w:t> </w:t>
      </w:r>
      <w:r>
        <w:rPr>
          <w:u w:val="single"/>
        </w:rPr>
        <w:t>nécessaire</w:t>
      </w:r>
      <w:r>
        <w:rPr>
          <w:spacing w:val="-10"/>
          <w:u w:val="single"/>
        </w:rPr>
        <w:t> </w:t>
      </w:r>
      <w:r>
        <w:rPr>
          <w:u w:val="single"/>
        </w:rPr>
        <w:t>(s)</w:t>
      </w:r>
      <w:r>
        <w:rPr>
          <w:spacing w:val="-8"/>
          <w:u w:val="single"/>
        </w:rPr>
        <w:t> </w:t>
      </w:r>
      <w:r>
        <w:rPr>
          <w:u w:val="single"/>
        </w:rPr>
        <w:t>pour</w:t>
      </w:r>
      <w:r>
        <w:rPr>
          <w:spacing w:val="-9"/>
          <w:u w:val="single"/>
        </w:rPr>
        <w:t> </w:t>
      </w:r>
      <w:r>
        <w:rPr>
          <w:u w:val="single"/>
        </w:rPr>
        <w:t>l’accomplissement</w:t>
      </w:r>
      <w:r>
        <w:rPr>
          <w:spacing w:val="-9"/>
          <w:u w:val="single"/>
        </w:rPr>
        <w:t> </w:t>
      </w:r>
      <w:r>
        <w:rPr>
          <w:u w:val="single"/>
        </w:rPr>
        <w:t>des</w:t>
      </w:r>
      <w:r>
        <w:rPr>
          <w:spacing w:val="-7"/>
          <w:u w:val="single"/>
        </w:rPr>
        <w:t> </w:t>
      </w:r>
      <w:r>
        <w:rPr>
          <w:spacing w:val="-2"/>
          <w:u w:val="single"/>
        </w:rPr>
        <w:t>tâches</w:t>
      </w:r>
    </w:p>
    <w:p>
      <w:pPr>
        <w:pStyle w:val="BodyText"/>
        <w:spacing w:before="1"/>
        <w:rPr>
          <w:sz w:val="14"/>
        </w:rPr>
      </w:pPr>
    </w:p>
    <w:p>
      <w:pPr>
        <w:pStyle w:val="BodyText"/>
        <w:spacing w:before="90"/>
        <w:ind w:left="1080"/>
      </w:pPr>
      <w:r>
        <w:rPr/>
        <w:pict>
          <v:rect style="position:absolute;margin-left:152.880005pt;margin-top:28.629522pt;width:2.7pt;height:.54pt;mso-position-horizontal-relative:page;mso-position-vertical-relative:paragraph;z-index:15729152" id="docshape3" filled="true" fillcolor="#000000" stroked="false">
            <v:fill type="solid"/>
            <w10:wrap type="none"/>
          </v:rect>
        </w:pict>
      </w:r>
      <w:r>
        <w:rPr/>
        <w:t>Une excellente maîtrise (orale et écrite) de l’anglais est souhaitable. La connaissance d’autres langues de l’UE est un atout.</w:t>
      </w:r>
    </w:p>
    <w:p>
      <w:pPr>
        <w:pStyle w:val="BodyText"/>
        <w:spacing w:before="2"/>
      </w:pPr>
    </w:p>
    <w:p>
      <w:pPr>
        <w:pStyle w:val="ListParagraph"/>
        <w:numPr>
          <w:ilvl w:val="0"/>
          <w:numId w:val="2"/>
        </w:numPr>
        <w:tabs>
          <w:tab w:pos="796" w:val="left" w:leader="none"/>
          <w:tab w:pos="797" w:val="left" w:leader="none"/>
        </w:tabs>
        <w:spacing w:line="240" w:lineRule="auto" w:before="1" w:after="0"/>
        <w:ind w:left="796" w:right="0" w:hanging="427"/>
        <w:jc w:val="left"/>
        <w:rPr>
          <w:b/>
          <w:sz w:val="24"/>
        </w:rPr>
      </w:pPr>
      <w:r>
        <w:rPr>
          <w:b/>
          <w:sz w:val="24"/>
          <w:u w:val="single"/>
        </w:rPr>
        <w:t>Soumission</w:t>
      </w:r>
      <w:r>
        <w:rPr>
          <w:b/>
          <w:spacing w:val="-7"/>
          <w:sz w:val="24"/>
          <w:u w:val="single"/>
        </w:rPr>
        <w:t> </w:t>
      </w:r>
      <w:r>
        <w:rPr>
          <w:b/>
          <w:sz w:val="24"/>
          <w:u w:val="single"/>
        </w:rPr>
        <w:t>des</w:t>
      </w:r>
      <w:r>
        <w:rPr>
          <w:b/>
          <w:spacing w:val="-2"/>
          <w:sz w:val="24"/>
          <w:u w:val="single"/>
        </w:rPr>
        <w:t> </w:t>
      </w:r>
      <w:r>
        <w:rPr>
          <w:b/>
          <w:sz w:val="24"/>
          <w:u w:val="single"/>
        </w:rPr>
        <w:t>candidatures</w:t>
      </w:r>
      <w:r>
        <w:rPr>
          <w:b/>
          <w:spacing w:val="-2"/>
          <w:sz w:val="24"/>
          <w:u w:val="single"/>
        </w:rPr>
        <w:t> </w:t>
      </w:r>
      <w:r>
        <w:rPr>
          <w:b/>
          <w:sz w:val="24"/>
          <w:u w:val="single"/>
        </w:rPr>
        <w:t>et</w:t>
      </w:r>
      <w:r>
        <w:rPr>
          <w:b/>
          <w:spacing w:val="-2"/>
          <w:sz w:val="24"/>
          <w:u w:val="single"/>
        </w:rPr>
        <w:t> </w:t>
      </w:r>
      <w:r>
        <w:rPr>
          <w:b/>
          <w:sz w:val="24"/>
          <w:u w:val="single"/>
        </w:rPr>
        <w:t>procédure</w:t>
      </w:r>
      <w:r>
        <w:rPr>
          <w:b/>
          <w:spacing w:val="-2"/>
          <w:sz w:val="24"/>
          <w:u w:val="single"/>
        </w:rPr>
        <w:t> </w:t>
      </w:r>
      <w:r>
        <w:rPr>
          <w:b/>
          <w:sz w:val="24"/>
          <w:u w:val="single"/>
        </w:rPr>
        <w:t>de</w:t>
      </w:r>
      <w:r>
        <w:rPr>
          <w:b/>
          <w:spacing w:val="-2"/>
          <w:sz w:val="24"/>
          <w:u w:val="single"/>
        </w:rPr>
        <w:t> sélection</w:t>
      </w:r>
    </w:p>
    <w:p>
      <w:pPr>
        <w:pStyle w:val="BodyText"/>
        <w:spacing w:before="11"/>
        <w:rPr>
          <w:b/>
          <w:sz w:val="15"/>
        </w:rPr>
      </w:pPr>
    </w:p>
    <w:p>
      <w:pPr>
        <w:spacing w:before="90"/>
        <w:ind w:left="796" w:right="282" w:firstLine="0"/>
        <w:jc w:val="both"/>
        <w:rPr>
          <w:b/>
          <w:sz w:val="22"/>
        </w:rPr>
      </w:pPr>
      <w:r>
        <w:rPr>
          <w:sz w:val="22"/>
        </w:rPr>
        <w:t>Les candidats doivent envoyer leur candidature au </w:t>
      </w:r>
      <w:r>
        <w:rPr>
          <w:b/>
          <w:sz w:val="22"/>
        </w:rPr>
        <w:t>format de CV Europass </w:t>
      </w:r>
      <w:r>
        <w:rPr>
          <w:sz w:val="22"/>
        </w:rPr>
        <w:t>(</w:t>
      </w:r>
      <w:hyperlink r:id="rId8">
        <w:r>
          <w:rPr>
            <w:color w:val="0000FF"/>
            <w:sz w:val="22"/>
            <w:u w:val="single" w:color="0000FF"/>
          </w:rPr>
          <w:t>http://europass.cedefop.europa.eu/en/documents/curriculum-vitae</w:t>
        </w:r>
      </w:hyperlink>
      <w:r>
        <w:rPr>
          <w:sz w:val="22"/>
        </w:rPr>
        <w:t>) en anglais, français ou allemand </w:t>
      </w:r>
      <w:r>
        <w:rPr>
          <w:b/>
          <w:sz w:val="22"/>
          <w:u w:val="single"/>
        </w:rPr>
        <w:t>uniquement à la représentation permanente/mission diplomatique auprès de l’UE de leur pays</w:t>
      </w:r>
      <w:r>
        <w:rPr>
          <w:sz w:val="22"/>
        </w:rPr>
        <w:t>, qui la transmettra aux services compétents de</w:t>
      </w:r>
      <w:r>
        <w:rPr>
          <w:spacing w:val="-1"/>
          <w:sz w:val="22"/>
        </w:rPr>
        <w:t> </w:t>
      </w:r>
      <w:r>
        <w:rPr>
          <w:sz w:val="22"/>
        </w:rPr>
        <w:t>la Commission dans</w:t>
      </w:r>
      <w:r>
        <w:rPr>
          <w:spacing w:val="-1"/>
          <w:sz w:val="22"/>
        </w:rPr>
        <w:t> </w:t>
      </w:r>
      <w:r>
        <w:rPr>
          <w:sz w:val="22"/>
        </w:rPr>
        <w:t>le délai fixé</w:t>
      </w:r>
      <w:r>
        <w:rPr>
          <w:spacing w:val="-1"/>
          <w:sz w:val="22"/>
        </w:rPr>
        <w:t> </w:t>
      </w:r>
      <w:r>
        <w:rPr>
          <w:sz w:val="22"/>
        </w:rPr>
        <w:t>par celle-ci.</w:t>
      </w:r>
      <w:r>
        <w:rPr>
          <w:spacing w:val="-1"/>
          <w:sz w:val="22"/>
        </w:rPr>
        <w:t> </w:t>
      </w:r>
      <w:r>
        <w:rPr>
          <w:sz w:val="22"/>
        </w:rPr>
        <w:t>Le CV doit mentionner la date de naissance et la nationalité du candidat. </w:t>
      </w:r>
      <w:r>
        <w:rPr>
          <w:b/>
          <w:sz w:val="22"/>
        </w:rPr>
        <w:t>Le non-respect de cette procédure ou des délais invalidera automatiquement la candidature.</w:t>
      </w:r>
    </w:p>
    <w:p>
      <w:pPr>
        <w:pStyle w:val="BodyText"/>
        <w:spacing w:before="11"/>
        <w:rPr>
          <w:b/>
          <w:sz w:val="21"/>
        </w:rPr>
      </w:pPr>
    </w:p>
    <w:p>
      <w:pPr>
        <w:pStyle w:val="BodyText"/>
        <w:ind w:left="796" w:right="270"/>
        <w:jc w:val="both"/>
      </w:pPr>
      <w:r>
        <w:rPr/>
        <w:t>Les candidats sont priés de ne pas joindre à leur candidature d’autres documents (tels que copie de carte d’identité, copie des diplômes et attestations d’expérience professionnelle,...). Ces documents leur seront demandés, le cas échéant, à un stade ultérieur.</w:t>
      </w:r>
    </w:p>
    <w:p>
      <w:pPr>
        <w:pStyle w:val="BodyText"/>
        <w:spacing w:before="1"/>
        <w:ind w:left="796"/>
        <w:jc w:val="both"/>
      </w:pPr>
      <w:r>
        <w:rPr/>
        <w:t>Les</w:t>
      </w:r>
      <w:r>
        <w:rPr>
          <w:spacing w:val="-8"/>
        </w:rPr>
        <w:t> </w:t>
      </w:r>
      <w:r>
        <w:rPr/>
        <w:t>candidats</w:t>
      </w:r>
      <w:r>
        <w:rPr>
          <w:spacing w:val="-6"/>
        </w:rPr>
        <w:t> </w:t>
      </w:r>
      <w:r>
        <w:rPr/>
        <w:t>seront</w:t>
      </w:r>
      <w:r>
        <w:rPr>
          <w:spacing w:val="-6"/>
        </w:rPr>
        <w:t> </w:t>
      </w:r>
      <w:r>
        <w:rPr/>
        <w:t>informés</w:t>
      </w:r>
      <w:r>
        <w:rPr>
          <w:spacing w:val="-8"/>
        </w:rPr>
        <w:t> </w:t>
      </w:r>
      <w:r>
        <w:rPr/>
        <w:t>du</w:t>
      </w:r>
      <w:r>
        <w:rPr>
          <w:spacing w:val="-7"/>
        </w:rPr>
        <w:t> </w:t>
      </w:r>
      <w:r>
        <w:rPr/>
        <w:t>suivi</w:t>
      </w:r>
      <w:r>
        <w:rPr>
          <w:spacing w:val="-6"/>
        </w:rPr>
        <w:t> </w:t>
      </w:r>
      <w:r>
        <w:rPr/>
        <w:t>de</w:t>
      </w:r>
      <w:r>
        <w:rPr>
          <w:spacing w:val="-8"/>
        </w:rPr>
        <w:t> </w:t>
      </w:r>
      <w:r>
        <w:rPr/>
        <w:t>leur</w:t>
      </w:r>
      <w:r>
        <w:rPr>
          <w:spacing w:val="-6"/>
        </w:rPr>
        <w:t> </w:t>
      </w:r>
      <w:r>
        <w:rPr/>
        <w:t>candidature</w:t>
      </w:r>
      <w:r>
        <w:rPr>
          <w:spacing w:val="-8"/>
        </w:rPr>
        <w:t> </w:t>
      </w:r>
      <w:r>
        <w:rPr/>
        <w:t>par</w:t>
      </w:r>
      <w:r>
        <w:rPr>
          <w:spacing w:val="-6"/>
        </w:rPr>
        <w:t> </w:t>
      </w:r>
      <w:r>
        <w:rPr/>
        <w:t>l’unité</w:t>
      </w:r>
      <w:r>
        <w:rPr>
          <w:spacing w:val="-8"/>
        </w:rPr>
        <w:t> </w:t>
      </w:r>
      <w:r>
        <w:rPr>
          <w:spacing w:val="-2"/>
        </w:rPr>
        <w:t>concernée.</w:t>
      </w:r>
    </w:p>
    <w:p>
      <w:pPr>
        <w:pStyle w:val="ListParagraph"/>
        <w:numPr>
          <w:ilvl w:val="0"/>
          <w:numId w:val="2"/>
        </w:numPr>
        <w:tabs>
          <w:tab w:pos="797" w:val="left" w:leader="none"/>
        </w:tabs>
        <w:spacing w:line="240" w:lineRule="auto" w:before="2" w:after="0"/>
        <w:ind w:left="796" w:right="0" w:hanging="427"/>
        <w:jc w:val="both"/>
        <w:rPr>
          <w:b/>
          <w:sz w:val="24"/>
        </w:rPr>
      </w:pPr>
      <w:r>
        <w:rPr>
          <w:b/>
          <w:sz w:val="24"/>
          <w:u w:val="single"/>
        </w:rPr>
        <w:t>Conditions</w:t>
      </w:r>
      <w:r>
        <w:rPr>
          <w:b/>
          <w:spacing w:val="-3"/>
          <w:sz w:val="24"/>
          <w:u w:val="single"/>
        </w:rPr>
        <w:t> </w:t>
      </w:r>
      <w:r>
        <w:rPr>
          <w:b/>
          <w:sz w:val="24"/>
          <w:u w:val="single"/>
        </w:rPr>
        <w:t>du</w:t>
      </w:r>
      <w:r>
        <w:rPr>
          <w:b/>
          <w:spacing w:val="-3"/>
          <w:sz w:val="24"/>
          <w:u w:val="single"/>
        </w:rPr>
        <w:t> </w:t>
      </w:r>
      <w:r>
        <w:rPr>
          <w:b/>
          <w:spacing w:val="-2"/>
          <w:sz w:val="24"/>
          <w:u w:val="single"/>
        </w:rPr>
        <w:t>détachement</w:t>
      </w:r>
    </w:p>
    <w:p>
      <w:pPr>
        <w:spacing w:after="0" w:line="240" w:lineRule="auto"/>
        <w:jc w:val="both"/>
        <w:rPr>
          <w:sz w:val="24"/>
        </w:rPr>
        <w:sectPr>
          <w:pgSz w:w="11910" w:h="16840"/>
          <w:pgMar w:header="0" w:footer="690" w:top="1040" w:bottom="880" w:left="480" w:right="740"/>
        </w:sectPr>
      </w:pPr>
    </w:p>
    <w:p>
      <w:pPr>
        <w:spacing w:before="74"/>
        <w:ind w:left="796" w:right="282" w:firstLine="0"/>
        <w:jc w:val="both"/>
        <w:rPr>
          <w:sz w:val="22"/>
        </w:rPr>
      </w:pPr>
      <w:r>
        <w:rPr>
          <w:sz w:val="22"/>
        </w:rPr>
        <w:t>Les détachements sont régis par la </w:t>
      </w:r>
      <w:r>
        <w:rPr>
          <w:b/>
          <w:sz w:val="22"/>
        </w:rPr>
        <w:t>décision de la Commission C (2008) 6866 du 12/11/2008 relative au régime applicable </w:t>
      </w:r>
      <w:r>
        <w:rPr>
          <w:sz w:val="22"/>
        </w:rPr>
        <w:t>aux experts nationaux détachés et aux experts nationaux en formation professionnelle auprès des services de la Commission (décision END).</w:t>
      </w:r>
    </w:p>
    <w:p>
      <w:pPr>
        <w:pStyle w:val="BodyText"/>
        <w:ind w:left="796" w:right="282"/>
        <w:jc w:val="both"/>
      </w:pPr>
      <w:r>
        <w:rPr/>
        <w:t>L’END restera employé et rémunéré par son employeur pendant toute la durée du détachement. Il restera également couvert par le système de sécurité sociale national.</w:t>
      </w:r>
    </w:p>
    <w:p>
      <w:pPr>
        <w:pStyle w:val="BodyText"/>
        <w:ind w:left="796" w:right="284"/>
        <w:jc w:val="both"/>
      </w:pPr>
      <w:r>
        <w:rPr/>
        <w:t>Hormis pour les END sans frais, des indemnités peuvent être versées par la Commission à l’END qui</w:t>
      </w:r>
      <w:r>
        <w:rPr>
          <w:spacing w:val="80"/>
        </w:rPr>
        <w:t> </w:t>
      </w:r>
      <w:r>
        <w:rPr/>
        <w:t>remplit les conditions conformément à l’article 17 de la décision END.</w:t>
      </w:r>
    </w:p>
    <w:p>
      <w:pPr>
        <w:pStyle w:val="BodyText"/>
        <w:spacing w:before="11"/>
        <w:rPr>
          <w:sz w:val="21"/>
        </w:rPr>
      </w:pPr>
    </w:p>
    <w:p>
      <w:pPr>
        <w:pStyle w:val="BodyText"/>
        <w:ind w:left="796" w:right="282"/>
        <w:jc w:val="both"/>
      </w:pPr>
      <w:r>
        <w:rPr/>
        <w:t>Durant le détachement, l’END sera soumis aux obligations de confidentialité, de loyauté et d’absence de conflit d’intérêt prévues par les articles 6 et 7 de la décision END.</w:t>
      </w:r>
    </w:p>
    <w:p>
      <w:pPr>
        <w:pStyle w:val="BodyText"/>
        <w:ind w:left="796"/>
        <w:jc w:val="both"/>
      </w:pPr>
      <w:r>
        <w:rPr/>
        <w:t>Toute</w:t>
      </w:r>
      <w:r>
        <w:rPr>
          <w:spacing w:val="-8"/>
        </w:rPr>
        <w:t> </w:t>
      </w:r>
      <w:r>
        <w:rPr/>
        <w:t>déclaration</w:t>
      </w:r>
      <w:r>
        <w:rPr>
          <w:spacing w:val="-6"/>
        </w:rPr>
        <w:t> </w:t>
      </w:r>
      <w:r>
        <w:rPr/>
        <w:t>incomplète</w:t>
      </w:r>
      <w:r>
        <w:rPr>
          <w:spacing w:val="-7"/>
        </w:rPr>
        <w:t> </w:t>
      </w:r>
      <w:r>
        <w:rPr/>
        <w:t>ou</w:t>
      </w:r>
      <w:r>
        <w:rPr>
          <w:spacing w:val="-7"/>
        </w:rPr>
        <w:t> </w:t>
      </w:r>
      <w:r>
        <w:rPr/>
        <w:t>fausse</w:t>
      </w:r>
      <w:r>
        <w:rPr>
          <w:spacing w:val="-7"/>
        </w:rPr>
        <w:t> </w:t>
      </w:r>
      <w:r>
        <w:rPr/>
        <w:t>pourra</w:t>
      </w:r>
      <w:r>
        <w:rPr>
          <w:spacing w:val="-7"/>
        </w:rPr>
        <w:t> </w:t>
      </w:r>
      <w:r>
        <w:rPr/>
        <w:t>entraîner</w:t>
      </w:r>
      <w:r>
        <w:rPr>
          <w:spacing w:val="-7"/>
        </w:rPr>
        <w:t> </w:t>
      </w:r>
      <w:r>
        <w:rPr/>
        <w:t>le</w:t>
      </w:r>
      <w:r>
        <w:rPr>
          <w:spacing w:val="-7"/>
        </w:rPr>
        <w:t> </w:t>
      </w:r>
      <w:r>
        <w:rPr/>
        <w:t>refus</w:t>
      </w:r>
      <w:r>
        <w:rPr>
          <w:spacing w:val="-7"/>
        </w:rPr>
        <w:t> </w:t>
      </w:r>
      <w:r>
        <w:rPr/>
        <w:t>de</w:t>
      </w:r>
      <w:r>
        <w:rPr>
          <w:spacing w:val="-8"/>
        </w:rPr>
        <w:t> </w:t>
      </w:r>
      <w:r>
        <w:rPr/>
        <w:t>la</w:t>
      </w:r>
      <w:r>
        <w:rPr>
          <w:spacing w:val="-7"/>
        </w:rPr>
        <w:t> </w:t>
      </w:r>
      <w:r>
        <w:rPr>
          <w:spacing w:val="-2"/>
        </w:rPr>
        <w:t>candidature.</w:t>
      </w:r>
    </w:p>
    <w:p>
      <w:pPr>
        <w:pStyle w:val="BodyText"/>
        <w:spacing w:before="1"/>
      </w:pPr>
    </w:p>
    <w:p>
      <w:pPr>
        <w:pStyle w:val="BodyText"/>
        <w:ind w:left="796" w:right="284"/>
        <w:jc w:val="both"/>
      </w:pPr>
      <w:r>
        <w:rPr/>
        <w:t>Le personnel affecté dans une </w:t>
      </w:r>
      <w:r>
        <w:rPr>
          <w:b/>
        </w:rPr>
        <w:t>délégation de l’Union européenne </w:t>
      </w:r>
      <w:r>
        <w:rPr/>
        <w:t>devra disposer d’une habilitation de sécurité [jusqu’au niveau SECRET UE/EU SECRET, conformément à la décision (UE, Euratom) 2015/444 de la Commission du 13 mars 2015, JO L 72 du 17.03.2015, p. 53].</w:t>
      </w:r>
    </w:p>
    <w:p>
      <w:pPr>
        <w:pStyle w:val="BodyText"/>
        <w:ind w:left="796" w:right="108"/>
        <w:jc w:val="both"/>
      </w:pPr>
      <w:r>
        <w:rPr/>
        <w:t>Le candidat choisi aura l’obligation de lancer cette procédure d’habilitation de sécurité avant d’obtenir la confirmation de son détachement.</w:t>
      </w:r>
    </w:p>
    <w:p>
      <w:pPr>
        <w:pStyle w:val="BodyText"/>
        <w:spacing w:before="1"/>
        <w:rPr>
          <w:sz w:val="24"/>
        </w:rPr>
      </w:pPr>
    </w:p>
    <w:p>
      <w:pPr>
        <w:pStyle w:val="ListParagraph"/>
        <w:numPr>
          <w:ilvl w:val="0"/>
          <w:numId w:val="2"/>
        </w:numPr>
        <w:tabs>
          <w:tab w:pos="796" w:val="left" w:leader="none"/>
          <w:tab w:pos="797" w:val="left" w:leader="none"/>
        </w:tabs>
        <w:spacing w:line="240" w:lineRule="auto" w:before="0" w:after="0"/>
        <w:ind w:left="796" w:right="0" w:hanging="427"/>
        <w:jc w:val="left"/>
        <w:rPr>
          <w:b/>
          <w:sz w:val="24"/>
        </w:rPr>
      </w:pPr>
      <w:r>
        <w:rPr>
          <w:b/>
          <w:sz w:val="24"/>
          <w:u w:val="single"/>
        </w:rPr>
        <w:t>Traitement</w:t>
      </w:r>
      <w:r>
        <w:rPr>
          <w:b/>
          <w:spacing w:val="-3"/>
          <w:sz w:val="24"/>
          <w:u w:val="single"/>
        </w:rPr>
        <w:t> </w:t>
      </w:r>
      <w:r>
        <w:rPr>
          <w:b/>
          <w:sz w:val="24"/>
          <w:u w:val="single"/>
        </w:rPr>
        <w:t>des</w:t>
      </w:r>
      <w:r>
        <w:rPr>
          <w:b/>
          <w:spacing w:val="-2"/>
          <w:sz w:val="24"/>
          <w:u w:val="single"/>
        </w:rPr>
        <w:t> </w:t>
      </w:r>
      <w:r>
        <w:rPr>
          <w:b/>
          <w:sz w:val="24"/>
          <w:u w:val="single"/>
        </w:rPr>
        <w:t>données</w:t>
      </w:r>
      <w:r>
        <w:rPr>
          <w:b/>
          <w:spacing w:val="-1"/>
          <w:sz w:val="24"/>
          <w:u w:val="single"/>
        </w:rPr>
        <w:t> </w:t>
      </w:r>
      <w:r>
        <w:rPr>
          <w:b/>
          <w:sz w:val="24"/>
          <w:u w:val="single"/>
        </w:rPr>
        <w:t>à</w:t>
      </w:r>
      <w:r>
        <w:rPr>
          <w:b/>
          <w:spacing w:val="-3"/>
          <w:sz w:val="24"/>
          <w:u w:val="single"/>
        </w:rPr>
        <w:t> </w:t>
      </w:r>
      <w:r>
        <w:rPr>
          <w:b/>
          <w:sz w:val="24"/>
          <w:u w:val="single"/>
        </w:rPr>
        <w:t>caractère</w:t>
      </w:r>
      <w:r>
        <w:rPr>
          <w:b/>
          <w:spacing w:val="-2"/>
          <w:sz w:val="24"/>
          <w:u w:val="single"/>
        </w:rPr>
        <w:t> personnel</w:t>
      </w:r>
    </w:p>
    <w:p>
      <w:pPr>
        <w:pStyle w:val="BodyText"/>
        <w:rPr>
          <w:b/>
          <w:sz w:val="16"/>
        </w:rPr>
      </w:pPr>
    </w:p>
    <w:p>
      <w:pPr>
        <w:pStyle w:val="BodyText"/>
        <w:spacing w:before="91"/>
        <w:ind w:left="796" w:right="283"/>
        <w:jc w:val="both"/>
      </w:pPr>
      <w:r>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w:t>
      </w:r>
      <w:r>
        <w:rPr>
          <w:spacing w:val="-1"/>
        </w:rPr>
        <w:t> </w:t>
      </w:r>
      <w:r>
        <w:rPr/>
        <w:t>de</w:t>
      </w:r>
      <w:r>
        <w:rPr>
          <w:spacing w:val="-2"/>
        </w:rPr>
        <w:t> </w:t>
      </w:r>
      <w:r>
        <w:rPr/>
        <w:t>l’unité</w:t>
      </w:r>
      <w:r>
        <w:rPr>
          <w:spacing w:val="-2"/>
        </w:rPr>
        <w:t> </w:t>
      </w:r>
      <w:r>
        <w:rPr/>
        <w:t>HR.DDG.B4.</w:t>
      </w:r>
      <w:r>
        <w:rPr>
          <w:spacing w:val="-1"/>
        </w:rPr>
        <w:t> </w:t>
      </w:r>
      <w:r>
        <w:rPr/>
        <w:t>Ce</w:t>
      </w:r>
      <w:r>
        <w:rPr>
          <w:spacing w:val="-2"/>
        </w:rPr>
        <w:t> </w:t>
      </w:r>
      <w:r>
        <w:rPr/>
        <w:t>traitement</w:t>
      </w:r>
      <w:r>
        <w:rPr>
          <w:spacing w:val="-1"/>
        </w:rPr>
        <w:t> </w:t>
      </w:r>
      <w:r>
        <w:rPr/>
        <w:t>est</w:t>
      </w:r>
      <w:r>
        <w:rPr>
          <w:spacing w:val="-1"/>
        </w:rPr>
        <w:t> </w:t>
      </w:r>
      <w:r>
        <w:rPr/>
        <w:t>basé</w:t>
      </w:r>
      <w:r>
        <w:rPr>
          <w:spacing w:val="-2"/>
        </w:rPr>
        <w:t> </w:t>
      </w:r>
      <w:r>
        <w:rPr/>
        <w:t>sur</w:t>
      </w:r>
      <w:r>
        <w:rPr>
          <w:spacing w:val="-1"/>
        </w:rPr>
        <w:t> </w:t>
      </w:r>
      <w:r>
        <w:rPr/>
        <w:t>la</w:t>
      </w:r>
      <w:r>
        <w:rPr>
          <w:spacing w:val="-2"/>
        </w:rPr>
        <w:t> </w:t>
      </w:r>
      <w:r>
        <w:rPr/>
        <w:t>décision</w:t>
      </w:r>
      <w:r>
        <w:rPr>
          <w:spacing w:val="-1"/>
        </w:rPr>
        <w:t> </w:t>
      </w:r>
      <w:r>
        <w:rPr/>
        <w:t>END</w:t>
      </w:r>
      <w:r>
        <w:rPr>
          <w:spacing w:val="-2"/>
        </w:rPr>
        <w:t> </w:t>
      </w:r>
      <w:r>
        <w:rPr/>
        <w:t>et</w:t>
      </w:r>
      <w:r>
        <w:rPr>
          <w:spacing w:val="-1"/>
        </w:rPr>
        <w:t> </w:t>
      </w:r>
      <w:r>
        <w:rPr/>
        <w:t>sur</w:t>
      </w:r>
      <w:r>
        <w:rPr>
          <w:spacing w:val="-1"/>
        </w:rPr>
        <w:t> </w:t>
      </w:r>
      <w:r>
        <w:rPr/>
        <w:t>le</w:t>
      </w:r>
      <w:r>
        <w:rPr>
          <w:spacing w:val="-2"/>
        </w:rPr>
        <w:t> </w:t>
      </w:r>
      <w:r>
        <w:rPr/>
        <w:t>règlement</w:t>
      </w:r>
      <w:r>
        <w:rPr>
          <w:spacing w:val="-1"/>
        </w:rPr>
        <w:t> </w:t>
      </w:r>
      <w:r>
        <w:rPr/>
        <w:t>(UE)</w:t>
      </w:r>
      <w:r>
        <w:rPr>
          <w:spacing w:val="-1"/>
        </w:rPr>
        <w:t> </w:t>
      </w:r>
      <w:r>
        <w:rPr/>
        <w:t>2018/1725. Les données sont conservées par les services compétents pendant 10 ans à compter de la fin du détachement (2 ans pour les experts non sélectionnés ou non détachés).</w:t>
      </w:r>
    </w:p>
    <w:p>
      <w:pPr>
        <w:pStyle w:val="BodyText"/>
        <w:ind w:left="796" w:right="125"/>
      </w:pPr>
      <w:r>
        <w:rPr/>
        <w:t>Vous</w:t>
      </w:r>
      <w:r>
        <w:rPr>
          <w:spacing w:val="-1"/>
        </w:rPr>
        <w:t> </w:t>
      </w:r>
      <w:r>
        <w:rPr/>
        <w:t>avez</w:t>
      </w:r>
      <w:r>
        <w:rPr>
          <w:spacing w:val="-1"/>
        </w:rPr>
        <w:t> </w:t>
      </w:r>
      <w:r>
        <w:rPr/>
        <w:t>des</w:t>
      </w:r>
      <w:r>
        <w:rPr>
          <w:spacing w:val="-1"/>
        </w:rPr>
        <w:t> </w:t>
      </w:r>
      <w:r>
        <w:rPr/>
        <w:t>droits</w:t>
      </w:r>
      <w:r>
        <w:rPr>
          <w:spacing w:val="-1"/>
        </w:rPr>
        <w:t> </w:t>
      </w:r>
      <w:r>
        <w:rPr/>
        <w:t>spécifiques</w:t>
      </w:r>
      <w:r>
        <w:rPr>
          <w:spacing w:val="-1"/>
        </w:rPr>
        <w:t> </w:t>
      </w:r>
      <w:r>
        <w:rPr/>
        <w:t>en</w:t>
      </w:r>
      <w:r>
        <w:rPr>
          <w:spacing w:val="-2"/>
        </w:rPr>
        <w:t> </w:t>
      </w:r>
      <w:r>
        <w:rPr/>
        <w:t>qualité</w:t>
      </w:r>
      <w:r>
        <w:rPr>
          <w:spacing w:val="-1"/>
        </w:rPr>
        <w:t> </w:t>
      </w:r>
      <w:r>
        <w:rPr/>
        <w:t>de</w:t>
      </w:r>
      <w:r>
        <w:rPr>
          <w:spacing w:val="-1"/>
        </w:rPr>
        <w:t> </w:t>
      </w:r>
      <w:r>
        <w:rPr/>
        <w:t>«personne</w:t>
      </w:r>
      <w:r>
        <w:rPr>
          <w:spacing w:val="-1"/>
        </w:rPr>
        <w:t> </w:t>
      </w:r>
      <w:r>
        <w:rPr/>
        <w:t>concernée»</w:t>
      </w:r>
      <w:r>
        <w:rPr>
          <w:spacing w:val="-2"/>
        </w:rPr>
        <w:t> </w:t>
      </w:r>
      <w:r>
        <w:rPr/>
        <w:t>au titre</w:t>
      </w:r>
      <w:r>
        <w:rPr>
          <w:spacing w:val="-1"/>
        </w:rPr>
        <w:t> </w:t>
      </w:r>
      <w:r>
        <w:rPr/>
        <w:t>du chapitre</w:t>
      </w:r>
      <w:r>
        <w:rPr>
          <w:spacing w:val="-1"/>
        </w:rPr>
        <w:t> </w:t>
      </w:r>
      <w:r>
        <w:rPr/>
        <w:t>III</w:t>
      </w:r>
      <w:r>
        <w:rPr>
          <w:spacing w:val="-1"/>
        </w:rPr>
        <w:t> </w:t>
      </w:r>
      <w:r>
        <w:rPr/>
        <w:t>(articles</w:t>
      </w:r>
      <w:r>
        <w:rPr>
          <w:spacing w:val="-1"/>
        </w:rPr>
        <w:t> </w:t>
      </w:r>
      <w:r>
        <w:rPr/>
        <w:t>14 à</w:t>
      </w:r>
      <w:r>
        <w:rPr>
          <w:spacing w:val="-6"/>
        </w:rPr>
        <w:t> </w:t>
      </w:r>
      <w:r>
        <w:rPr/>
        <w:t>25) du règlement (UE)</w:t>
      </w:r>
      <w:r>
        <w:rPr>
          <w:spacing w:val="-1"/>
        </w:rPr>
        <w:t> </w:t>
      </w:r>
      <w:r>
        <w:rPr/>
        <w:t>2018/1725,</w:t>
      </w:r>
      <w:r>
        <w:rPr>
          <w:spacing w:val="-1"/>
        </w:rPr>
        <w:t> </w:t>
      </w:r>
      <w:r>
        <w:rPr/>
        <w:t>en particulier</w:t>
      </w:r>
      <w:r>
        <w:rPr>
          <w:spacing w:val="-1"/>
        </w:rPr>
        <w:t> </w:t>
      </w:r>
      <w:r>
        <w:rPr/>
        <w:t>le</w:t>
      </w:r>
      <w:r>
        <w:rPr>
          <w:spacing w:val="-1"/>
        </w:rPr>
        <w:t> </w:t>
      </w:r>
      <w:r>
        <w:rPr/>
        <w:t>droit</w:t>
      </w:r>
      <w:r>
        <w:rPr>
          <w:spacing w:val="-1"/>
        </w:rPr>
        <w:t> </w:t>
      </w:r>
      <w:r>
        <w:rPr/>
        <w:t>de</w:t>
      </w:r>
      <w:r>
        <w:rPr>
          <w:spacing w:val="-1"/>
        </w:rPr>
        <w:t> </w:t>
      </w:r>
      <w:r>
        <w:rPr/>
        <w:t>consulter,</w:t>
      </w:r>
      <w:r>
        <w:rPr>
          <w:spacing w:val="-1"/>
        </w:rPr>
        <w:t> </w:t>
      </w:r>
      <w:r>
        <w:rPr/>
        <w:t>de</w:t>
      </w:r>
      <w:r>
        <w:rPr>
          <w:spacing w:val="-1"/>
        </w:rPr>
        <w:t> </w:t>
      </w:r>
      <w:r>
        <w:rPr/>
        <w:t>rectifier</w:t>
      </w:r>
      <w:r>
        <w:rPr>
          <w:spacing w:val="-1"/>
        </w:rPr>
        <w:t> </w:t>
      </w:r>
      <w:r>
        <w:rPr/>
        <w:t>ou de</w:t>
      </w:r>
      <w:r>
        <w:rPr>
          <w:spacing w:val="-1"/>
        </w:rPr>
        <w:t> </w:t>
      </w:r>
      <w:r>
        <w:rPr/>
        <w:t>supprimer vos</w:t>
      </w:r>
      <w:r>
        <w:rPr>
          <w:spacing w:val="-1"/>
        </w:rPr>
        <w:t> </w:t>
      </w:r>
      <w:r>
        <w:rPr/>
        <w:t>données</w:t>
      </w:r>
      <w:r>
        <w:rPr>
          <w:spacing w:val="-1"/>
        </w:rPr>
        <w:t> </w:t>
      </w:r>
      <w:r>
        <w:rPr/>
        <w:t>à caractère</w:t>
      </w:r>
      <w:r>
        <w:rPr>
          <w:spacing w:val="35"/>
        </w:rPr>
        <w:t> </w:t>
      </w:r>
      <w:r>
        <w:rPr/>
        <w:t>personnel</w:t>
      </w:r>
      <w:r>
        <w:rPr>
          <w:spacing w:val="35"/>
        </w:rPr>
        <w:t> </w:t>
      </w:r>
      <w:r>
        <w:rPr/>
        <w:t>et</w:t>
      </w:r>
      <w:r>
        <w:rPr>
          <w:spacing w:val="35"/>
        </w:rPr>
        <w:t> </w:t>
      </w:r>
      <w:r>
        <w:rPr/>
        <w:t>le</w:t>
      </w:r>
      <w:r>
        <w:rPr>
          <w:spacing w:val="34"/>
        </w:rPr>
        <w:t> </w:t>
      </w:r>
      <w:r>
        <w:rPr/>
        <w:t>droit</w:t>
      </w:r>
      <w:r>
        <w:rPr>
          <w:spacing w:val="35"/>
        </w:rPr>
        <w:t> </w:t>
      </w:r>
      <w:r>
        <w:rPr/>
        <w:t>de</w:t>
      </w:r>
      <w:r>
        <w:rPr>
          <w:spacing w:val="35"/>
        </w:rPr>
        <w:t> </w:t>
      </w:r>
      <w:r>
        <w:rPr/>
        <w:t>restreindre</w:t>
      </w:r>
      <w:r>
        <w:rPr>
          <w:spacing w:val="35"/>
        </w:rPr>
        <w:t> </w:t>
      </w:r>
      <w:r>
        <w:rPr/>
        <w:t>le</w:t>
      </w:r>
      <w:r>
        <w:rPr>
          <w:spacing w:val="35"/>
        </w:rPr>
        <w:t> </w:t>
      </w:r>
      <w:r>
        <w:rPr/>
        <w:t>traitement</w:t>
      </w:r>
      <w:r>
        <w:rPr>
          <w:spacing w:val="35"/>
        </w:rPr>
        <w:t> </w:t>
      </w:r>
      <w:r>
        <w:rPr/>
        <w:t>de</w:t>
      </w:r>
      <w:r>
        <w:rPr>
          <w:spacing w:val="35"/>
        </w:rPr>
        <w:t> </w:t>
      </w:r>
      <w:r>
        <w:rPr/>
        <w:t>vos</w:t>
      </w:r>
      <w:r>
        <w:rPr>
          <w:spacing w:val="35"/>
        </w:rPr>
        <w:t> </w:t>
      </w:r>
      <w:r>
        <w:rPr/>
        <w:t>données</w:t>
      </w:r>
      <w:r>
        <w:rPr>
          <w:spacing w:val="35"/>
        </w:rPr>
        <w:t> </w:t>
      </w:r>
      <w:r>
        <w:rPr/>
        <w:t>à</w:t>
      </w:r>
      <w:r>
        <w:rPr>
          <w:spacing w:val="35"/>
        </w:rPr>
        <w:t> </w:t>
      </w:r>
      <w:r>
        <w:rPr/>
        <w:t>caractère</w:t>
      </w:r>
      <w:r>
        <w:rPr>
          <w:spacing w:val="35"/>
        </w:rPr>
        <w:t> </w:t>
      </w:r>
      <w:r>
        <w:rPr/>
        <w:t>personnel.</w:t>
      </w:r>
      <w:r>
        <w:rPr>
          <w:spacing w:val="35"/>
        </w:rPr>
        <w:t> </w:t>
      </w:r>
      <w:r>
        <w:rPr/>
        <w:t>Le</w:t>
      </w:r>
      <w:r>
        <w:rPr>
          <w:spacing w:val="35"/>
        </w:rPr>
        <w:t> </w:t>
      </w:r>
      <w:r>
        <w:rPr/>
        <w:t>cas échéant, vous avez également le droit de vous opposer au traitement ou au droit à la portabilité des données. Vous</w:t>
      </w:r>
      <w:r>
        <w:rPr>
          <w:spacing w:val="60"/>
        </w:rPr>
        <w:t> </w:t>
      </w:r>
      <w:r>
        <w:rPr/>
        <w:t>pouvez</w:t>
      </w:r>
      <w:r>
        <w:rPr>
          <w:spacing w:val="60"/>
        </w:rPr>
        <w:t> </w:t>
      </w:r>
      <w:r>
        <w:rPr/>
        <w:t>exercer</w:t>
      </w:r>
      <w:r>
        <w:rPr>
          <w:spacing w:val="60"/>
        </w:rPr>
        <w:t> </w:t>
      </w:r>
      <w:r>
        <w:rPr/>
        <w:t>vos</w:t>
      </w:r>
      <w:r>
        <w:rPr>
          <w:spacing w:val="60"/>
        </w:rPr>
        <w:t> </w:t>
      </w:r>
      <w:r>
        <w:rPr/>
        <w:t>droits</w:t>
      </w:r>
      <w:r>
        <w:rPr>
          <w:spacing w:val="40"/>
        </w:rPr>
        <w:t> </w:t>
      </w:r>
      <w:r>
        <w:rPr/>
        <w:t>en</w:t>
      </w:r>
      <w:r>
        <w:rPr>
          <w:spacing w:val="61"/>
        </w:rPr>
        <w:t> </w:t>
      </w:r>
      <w:r>
        <w:rPr/>
        <w:t>contactant</w:t>
      </w:r>
      <w:r>
        <w:rPr>
          <w:spacing w:val="60"/>
        </w:rPr>
        <w:t> </w:t>
      </w:r>
      <w:r>
        <w:rPr/>
        <w:t>le</w:t>
      </w:r>
      <w:r>
        <w:rPr>
          <w:spacing w:val="40"/>
        </w:rPr>
        <w:t> </w:t>
      </w:r>
      <w:r>
        <w:rPr/>
        <w:t>responsable</w:t>
      </w:r>
      <w:r>
        <w:rPr>
          <w:spacing w:val="60"/>
        </w:rPr>
        <w:t> </w:t>
      </w:r>
      <w:r>
        <w:rPr/>
        <w:t>du</w:t>
      </w:r>
      <w:r>
        <w:rPr>
          <w:spacing w:val="61"/>
        </w:rPr>
        <w:t> </w:t>
      </w:r>
      <w:r>
        <w:rPr/>
        <w:t>traitement</w:t>
      </w:r>
      <w:r>
        <w:rPr>
          <w:spacing w:val="60"/>
        </w:rPr>
        <w:t> </w:t>
      </w:r>
      <w:r>
        <w:rPr/>
        <w:t>ou,</w:t>
      </w:r>
      <w:r>
        <w:rPr>
          <w:spacing w:val="60"/>
        </w:rPr>
        <w:t> </w:t>
      </w:r>
      <w:r>
        <w:rPr/>
        <w:t>en</w:t>
      </w:r>
      <w:r>
        <w:rPr>
          <w:spacing w:val="60"/>
        </w:rPr>
        <w:t> </w:t>
      </w:r>
      <w:r>
        <w:rPr/>
        <w:t>cas</w:t>
      </w:r>
      <w:r>
        <w:rPr>
          <w:spacing w:val="60"/>
        </w:rPr>
        <w:t> </w:t>
      </w:r>
      <w:r>
        <w:rPr/>
        <w:t>de</w:t>
      </w:r>
      <w:r>
        <w:rPr>
          <w:spacing w:val="60"/>
        </w:rPr>
        <w:t> </w:t>
      </w:r>
      <w:r>
        <w:rPr/>
        <w:t>conflit,</w:t>
      </w:r>
      <w:r>
        <w:rPr>
          <w:spacing w:val="40"/>
        </w:rPr>
        <w:t> </w:t>
      </w:r>
      <w:r>
        <w:rPr/>
        <w:t>le responsable</w:t>
      </w:r>
      <w:r>
        <w:rPr>
          <w:spacing w:val="40"/>
        </w:rPr>
        <w:t> </w:t>
      </w:r>
      <w:r>
        <w:rPr/>
        <w:t>de</w:t>
      </w:r>
      <w:r>
        <w:rPr>
          <w:spacing w:val="40"/>
        </w:rPr>
        <w:t> </w:t>
      </w:r>
      <w:r>
        <w:rPr/>
        <w:t>la</w:t>
      </w:r>
      <w:r>
        <w:rPr>
          <w:spacing w:val="40"/>
        </w:rPr>
        <w:t> </w:t>
      </w:r>
      <w:r>
        <w:rPr/>
        <w:t>protection</w:t>
      </w:r>
      <w:r>
        <w:rPr>
          <w:spacing w:val="40"/>
        </w:rPr>
        <w:t> </w:t>
      </w:r>
      <w:r>
        <w:rPr/>
        <w:t>des</w:t>
      </w:r>
      <w:r>
        <w:rPr>
          <w:spacing w:val="40"/>
        </w:rPr>
        <w:t> </w:t>
      </w:r>
      <w:r>
        <w:rPr/>
        <w:t>données.</w:t>
      </w:r>
      <w:r>
        <w:rPr>
          <w:spacing w:val="40"/>
        </w:rPr>
        <w:t> </w:t>
      </w:r>
      <w:r>
        <w:rPr/>
        <w:t>Si</w:t>
      </w:r>
      <w:r>
        <w:rPr>
          <w:spacing w:val="40"/>
        </w:rPr>
        <w:t> </w:t>
      </w:r>
      <w:r>
        <w:rPr/>
        <w:t>nécessaire,</w:t>
      </w:r>
      <w:r>
        <w:rPr>
          <w:spacing w:val="40"/>
        </w:rPr>
        <w:t> </w:t>
      </w:r>
      <w:r>
        <w:rPr/>
        <w:t>vous</w:t>
      </w:r>
      <w:r>
        <w:rPr>
          <w:spacing w:val="40"/>
        </w:rPr>
        <w:t> </w:t>
      </w:r>
      <w:r>
        <w:rPr/>
        <w:t>pouvez</w:t>
      </w:r>
      <w:r>
        <w:rPr>
          <w:spacing w:val="40"/>
        </w:rPr>
        <w:t> </w:t>
      </w:r>
      <w:r>
        <w:rPr/>
        <w:t>également</w:t>
      </w:r>
      <w:r>
        <w:rPr>
          <w:spacing w:val="40"/>
        </w:rPr>
        <w:t> </w:t>
      </w:r>
      <w:r>
        <w:rPr/>
        <w:t>saisir</w:t>
      </w:r>
      <w:r>
        <w:rPr>
          <w:spacing w:val="40"/>
        </w:rPr>
        <w:t> </w:t>
      </w:r>
      <w:r>
        <w:rPr/>
        <w:t>le</w:t>
      </w:r>
      <w:r>
        <w:rPr>
          <w:spacing w:val="40"/>
        </w:rPr>
        <w:t> </w:t>
      </w:r>
      <w:r>
        <w:rPr/>
        <w:t>Contrôleur</w:t>
      </w:r>
      <w:r>
        <w:rPr>
          <w:spacing w:val="80"/>
        </w:rPr>
        <w:t> </w:t>
      </w:r>
      <w:r>
        <w:rPr/>
        <w:t>européen de la protection des données. Leurs coordonnées figurent ci-dessous.</w:t>
      </w:r>
    </w:p>
    <w:p>
      <w:pPr>
        <w:pStyle w:val="BodyText"/>
      </w:pPr>
    </w:p>
    <w:p>
      <w:pPr>
        <w:pStyle w:val="Heading1"/>
        <w:ind w:left="796" w:firstLine="0"/>
      </w:pPr>
      <w:r>
        <w:rPr>
          <w:spacing w:val="-2"/>
          <w:u w:val="single"/>
        </w:rPr>
        <w:t>Coordonnées</w:t>
      </w:r>
    </w:p>
    <w:p>
      <w:pPr>
        <w:pStyle w:val="BodyText"/>
        <w:spacing w:before="1"/>
        <w:rPr>
          <w:b/>
        </w:rPr>
      </w:pPr>
    </w:p>
    <w:p>
      <w:pPr>
        <w:pStyle w:val="ListParagraph"/>
        <w:numPr>
          <w:ilvl w:val="0"/>
          <w:numId w:val="3"/>
        </w:numPr>
        <w:tabs>
          <w:tab w:pos="1079" w:val="left" w:leader="none"/>
        </w:tabs>
        <w:spacing w:line="268" w:lineRule="exact" w:before="0" w:after="0"/>
        <w:ind w:left="1078" w:right="0" w:hanging="283"/>
        <w:jc w:val="both"/>
        <w:rPr>
          <w:b/>
          <w:sz w:val="22"/>
        </w:rPr>
      </w:pPr>
      <w:r>
        <w:rPr>
          <w:b/>
          <w:sz w:val="22"/>
        </w:rPr>
        <w:t>Le</w:t>
      </w:r>
      <w:r>
        <w:rPr>
          <w:b/>
          <w:spacing w:val="-9"/>
          <w:sz w:val="22"/>
        </w:rPr>
        <w:t> </w:t>
      </w:r>
      <w:r>
        <w:rPr>
          <w:b/>
          <w:sz w:val="22"/>
        </w:rPr>
        <w:t>responsable</w:t>
      </w:r>
      <w:r>
        <w:rPr>
          <w:b/>
          <w:spacing w:val="-8"/>
          <w:sz w:val="22"/>
        </w:rPr>
        <w:t> </w:t>
      </w:r>
      <w:r>
        <w:rPr>
          <w:b/>
          <w:sz w:val="22"/>
        </w:rPr>
        <w:t>du</w:t>
      </w:r>
      <w:r>
        <w:rPr>
          <w:b/>
          <w:spacing w:val="-8"/>
          <w:sz w:val="22"/>
        </w:rPr>
        <w:t> </w:t>
      </w:r>
      <w:r>
        <w:rPr>
          <w:b/>
          <w:sz w:val="22"/>
        </w:rPr>
        <w:t>traitement</w:t>
      </w:r>
      <w:r>
        <w:rPr>
          <w:b/>
          <w:spacing w:val="-7"/>
          <w:sz w:val="22"/>
        </w:rPr>
        <w:t> </w:t>
      </w:r>
      <w:r>
        <w:rPr>
          <w:b/>
          <w:sz w:val="22"/>
        </w:rPr>
        <w:t>des</w:t>
      </w:r>
      <w:r>
        <w:rPr>
          <w:b/>
          <w:spacing w:val="-8"/>
          <w:sz w:val="22"/>
        </w:rPr>
        <w:t> </w:t>
      </w:r>
      <w:r>
        <w:rPr>
          <w:b/>
          <w:spacing w:val="-2"/>
          <w:sz w:val="22"/>
        </w:rPr>
        <w:t>données</w:t>
      </w:r>
    </w:p>
    <w:p>
      <w:pPr>
        <w:pStyle w:val="BodyText"/>
        <w:ind w:left="1080" w:right="281"/>
        <w:jc w:val="both"/>
      </w:pPr>
      <w:r>
        <w:rPr/>
        <w:t>Si vous souhaitez exercer vos droits en vertu du règlement (UE) 2018/1725, si vous avez des commentaires, des questions ou des préoccupations, ou si vous souhaitez porter plainte concernant la collecte et l’utilisation de vos données à caractère personnel, n’hésitez pas à contacter le responsable du traitement des données, HR.DDG.B.4, </w:t>
      </w:r>
      <w:hyperlink r:id="rId9">
        <w:r>
          <w:rPr>
            <w:color w:val="0000FF"/>
            <w:u w:val="single" w:color="0000FF"/>
          </w:rPr>
          <w:t>HR-MAIL-B4@ec.europa.eu</w:t>
        </w:r>
      </w:hyperlink>
    </w:p>
    <w:p>
      <w:pPr>
        <w:pStyle w:val="BodyText"/>
      </w:pPr>
    </w:p>
    <w:p>
      <w:pPr>
        <w:pStyle w:val="Heading1"/>
        <w:numPr>
          <w:ilvl w:val="0"/>
          <w:numId w:val="3"/>
        </w:numPr>
        <w:tabs>
          <w:tab w:pos="1079" w:val="left" w:leader="none"/>
        </w:tabs>
        <w:spacing w:line="268" w:lineRule="exact" w:before="0" w:after="0"/>
        <w:ind w:left="1078" w:right="0" w:hanging="283"/>
        <w:jc w:val="both"/>
      </w:pPr>
      <w:r>
        <w:rPr/>
        <w:t>Délégué</w:t>
      </w:r>
      <w:r>
        <w:rPr>
          <w:spacing w:val="-7"/>
        </w:rPr>
        <w:t> </w:t>
      </w:r>
      <w:r>
        <w:rPr/>
        <w:t>à</w:t>
      </w:r>
      <w:r>
        <w:rPr>
          <w:spacing w:val="-6"/>
        </w:rPr>
        <w:t> </w:t>
      </w:r>
      <w:r>
        <w:rPr/>
        <w:t>la</w:t>
      </w:r>
      <w:r>
        <w:rPr>
          <w:spacing w:val="-5"/>
        </w:rPr>
        <w:t> </w:t>
      </w:r>
      <w:r>
        <w:rPr/>
        <w:t>protection</w:t>
      </w:r>
      <w:r>
        <w:rPr>
          <w:spacing w:val="-6"/>
        </w:rPr>
        <w:t> </w:t>
      </w:r>
      <w:r>
        <w:rPr/>
        <w:t>des</w:t>
      </w:r>
      <w:r>
        <w:rPr>
          <w:spacing w:val="-7"/>
        </w:rPr>
        <w:t> </w:t>
      </w:r>
      <w:r>
        <w:rPr/>
        <w:t>données</w:t>
      </w:r>
      <w:r>
        <w:rPr>
          <w:spacing w:val="-6"/>
        </w:rPr>
        <w:t> </w:t>
      </w:r>
      <w:r>
        <w:rPr/>
        <w:t>(DPD)</w:t>
      </w:r>
      <w:r>
        <w:rPr>
          <w:spacing w:val="-6"/>
        </w:rPr>
        <w:t> </w:t>
      </w:r>
      <w:r>
        <w:rPr/>
        <w:t>de</w:t>
      </w:r>
      <w:r>
        <w:rPr>
          <w:spacing w:val="-6"/>
        </w:rPr>
        <w:t> </w:t>
      </w:r>
      <w:r>
        <w:rPr/>
        <w:t>la</w:t>
      </w:r>
      <w:r>
        <w:rPr>
          <w:spacing w:val="-6"/>
        </w:rPr>
        <w:t> </w:t>
      </w:r>
      <w:r>
        <w:rPr>
          <w:spacing w:val="-2"/>
        </w:rPr>
        <w:t>Commission</w:t>
      </w:r>
    </w:p>
    <w:p>
      <w:pPr>
        <w:pStyle w:val="BodyText"/>
        <w:ind w:left="1080" w:right="284"/>
        <w:jc w:val="both"/>
      </w:pPr>
      <w:r>
        <w:rPr/>
        <w:t>Vous pouvez prendre contact avec le délégué à la protection des données (</w:t>
      </w:r>
      <w:hyperlink r:id="rId10">
        <w:r>
          <w:rPr>
            <w:color w:val="0000FF"/>
            <w:u w:val="single" w:color="0000FF"/>
          </w:rPr>
          <w:t>DATA-PROTECTION-</w:t>
        </w:r>
      </w:hyperlink>
      <w:r>
        <w:rPr>
          <w:color w:val="0000FF"/>
        </w:rPr>
        <w:t> </w:t>
      </w:r>
      <w:hyperlink r:id="rId10">
        <w:r>
          <w:rPr>
            <w:color w:val="0000FF"/>
            <w:u w:val="single" w:color="0000FF"/>
          </w:rPr>
          <w:t>OFFICER@ec.europa.eu</w:t>
        </w:r>
      </w:hyperlink>
      <w:r>
        <w:rPr>
          <w:u w:val="single" w:color="0000FF"/>
        </w:rPr>
        <w:t>) </w:t>
      </w:r>
      <w:r>
        <w:rPr/>
        <w:t>au sujet des questions relatives au traitement de vos données à caractère personnel en vertu du règlement (UE) 2018/1725.</w:t>
      </w:r>
    </w:p>
    <w:p>
      <w:pPr>
        <w:pStyle w:val="BodyText"/>
      </w:pPr>
    </w:p>
    <w:p>
      <w:pPr>
        <w:pStyle w:val="Heading1"/>
        <w:numPr>
          <w:ilvl w:val="0"/>
          <w:numId w:val="3"/>
        </w:numPr>
        <w:tabs>
          <w:tab w:pos="1079" w:val="left" w:leader="none"/>
        </w:tabs>
        <w:spacing w:line="268" w:lineRule="exact" w:before="0" w:after="0"/>
        <w:ind w:left="1078" w:right="0" w:hanging="283"/>
        <w:jc w:val="both"/>
      </w:pPr>
      <w:r>
        <w:rPr/>
        <w:t>Contrôleur</w:t>
      </w:r>
      <w:r>
        <w:rPr>
          <w:spacing w:val="-9"/>
        </w:rPr>
        <w:t> </w:t>
      </w:r>
      <w:r>
        <w:rPr/>
        <w:t>européen</w:t>
      </w:r>
      <w:r>
        <w:rPr>
          <w:spacing w:val="-8"/>
        </w:rPr>
        <w:t> </w:t>
      </w:r>
      <w:r>
        <w:rPr/>
        <w:t>de</w:t>
      </w:r>
      <w:r>
        <w:rPr>
          <w:spacing w:val="-9"/>
        </w:rPr>
        <w:t> </w:t>
      </w:r>
      <w:r>
        <w:rPr/>
        <w:t>la</w:t>
      </w:r>
      <w:r>
        <w:rPr>
          <w:spacing w:val="-7"/>
        </w:rPr>
        <w:t> </w:t>
      </w:r>
      <w:r>
        <w:rPr/>
        <w:t>protection</w:t>
      </w:r>
      <w:r>
        <w:rPr>
          <w:spacing w:val="-8"/>
        </w:rPr>
        <w:t> </w:t>
      </w:r>
      <w:r>
        <w:rPr/>
        <w:t>des</w:t>
      </w:r>
      <w:r>
        <w:rPr>
          <w:spacing w:val="-9"/>
        </w:rPr>
        <w:t> </w:t>
      </w:r>
      <w:r>
        <w:rPr/>
        <w:t>données</w:t>
      </w:r>
      <w:r>
        <w:rPr>
          <w:spacing w:val="-7"/>
        </w:rPr>
        <w:t> </w:t>
      </w:r>
      <w:r>
        <w:rPr>
          <w:spacing w:val="-2"/>
        </w:rPr>
        <w:t>(CEPD)</w:t>
      </w:r>
    </w:p>
    <w:p>
      <w:pPr>
        <w:pStyle w:val="BodyText"/>
        <w:ind w:left="1080" w:right="283"/>
        <w:jc w:val="both"/>
      </w:pPr>
      <w:r>
        <w:rPr/>
        <w:pict>
          <v:rect style="position:absolute;margin-left:540.23999pt;margin-top:11.459092pt;width:3.72pt;height:.54pt;mso-position-horizontal-relative:page;mso-position-vertical-relative:paragraph;z-index:15729664" id="docshape4" filled="true" fillcolor="#000000" stroked="false">
            <v:fill type="solid"/>
            <w10:wrap type="none"/>
          </v:rect>
        </w:pict>
      </w:r>
      <w:r>
        <w:rPr/>
        <w:t>Vous avez le droit de saisir le Contrôleur européen de la protection des données</w:t>
      </w:r>
      <w:r>
        <w:rPr>
          <w:u w:val="single"/>
        </w:rPr>
        <w:t> (</w:t>
      </w:r>
      <w:hyperlink r:id="rId11">
        <w:r>
          <w:rPr>
            <w:color w:val="0000FF"/>
            <w:u w:val="single" w:color="000000"/>
          </w:rPr>
          <w:t>edps@edps.europa.eu</w:t>
        </w:r>
      </w:hyperlink>
      <w:r>
        <w:rPr/>
        <w:t>) pour déposer une plainte si vous estimez que les droits dont vous jouissez en vertu du règlement (UE) 2018/1725 ont été enfreints à la suite du traitement de vos données à caractère personnel effectué par le responsable de ce traitement.</w:t>
      </w:r>
    </w:p>
    <w:p>
      <w:pPr>
        <w:pStyle w:val="BodyText"/>
        <w:ind w:left="1080" w:right="108"/>
        <w:jc w:val="both"/>
      </w:pPr>
      <w:r>
        <w:rPr/>
        <w:t>À l’attention des candidats de pays tiers: vos données personnelles peuvent être utilisées aux fins des vérifications nécessaires.</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Verdana">
    <w:altName w:val="Verdana"/>
    <w:charset w:val="0"/>
    <w:family w:val="swiss"/>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720001pt;margin-top:796.428894pt;width:56.1pt;height:10.85pt;mso-position-horizontal-relative:page;mso-position-vertical-relative:page;z-index:-15814144" type="#_x0000_t202" id="docshape1" filled="false" stroked="false">
          <v:textbox inset="0,0,0,0">
            <w:txbxContent>
              <w:p>
                <w:pPr>
                  <w:spacing w:before="13"/>
                  <w:ind w:left="20" w:right="0" w:firstLine="0"/>
                  <w:jc w:val="left"/>
                  <w:rPr>
                    <w:sz w:val="16"/>
                  </w:rPr>
                </w:pPr>
                <w:r>
                  <w:rPr>
                    <w:spacing w:val="-2"/>
                    <w:sz w:val="16"/>
                  </w:rPr>
                  <w:t>Version</w:t>
                </w:r>
                <w:r>
                  <w:rPr>
                    <w:spacing w:val="8"/>
                    <w:sz w:val="16"/>
                  </w:rPr>
                  <w:t> </w:t>
                </w:r>
                <w:r>
                  <w:rPr>
                    <w:spacing w:val="-2"/>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0"/>
      <w:numFmt w:val="bullet"/>
      <w:lvlText w:val="-"/>
      <w:lvlJc w:val="left"/>
      <w:pPr>
        <w:ind w:left="1078" w:hanging="283"/>
      </w:pPr>
      <w:rPr>
        <w:rFonts w:hint="default" w:ascii="Verdana" w:hAnsi="Verdana" w:eastAsia="Verdana" w:cs="Verdana"/>
        <w:b w:val="0"/>
        <w:bCs w:val="0"/>
        <w:i w:val="0"/>
        <w:iCs w:val="0"/>
        <w:w w:val="99"/>
        <w:sz w:val="22"/>
        <w:szCs w:val="22"/>
        <w:lang w:val="fr-FR" w:eastAsia="en-US" w:bidi="ar-SA"/>
      </w:rPr>
    </w:lvl>
    <w:lvl w:ilvl="1">
      <w:start w:val="0"/>
      <w:numFmt w:val="bullet"/>
      <w:lvlText w:val="•"/>
      <w:lvlJc w:val="left"/>
      <w:pPr>
        <w:ind w:left="2040" w:hanging="283"/>
      </w:pPr>
      <w:rPr>
        <w:rFonts w:hint="default"/>
        <w:lang w:val="fr-FR" w:eastAsia="en-US" w:bidi="ar-SA"/>
      </w:rPr>
    </w:lvl>
    <w:lvl w:ilvl="2">
      <w:start w:val="0"/>
      <w:numFmt w:val="bullet"/>
      <w:lvlText w:val="•"/>
      <w:lvlJc w:val="left"/>
      <w:pPr>
        <w:ind w:left="3001" w:hanging="283"/>
      </w:pPr>
      <w:rPr>
        <w:rFonts w:hint="default"/>
        <w:lang w:val="fr-FR" w:eastAsia="en-US" w:bidi="ar-SA"/>
      </w:rPr>
    </w:lvl>
    <w:lvl w:ilvl="3">
      <w:start w:val="0"/>
      <w:numFmt w:val="bullet"/>
      <w:lvlText w:val="•"/>
      <w:lvlJc w:val="left"/>
      <w:pPr>
        <w:ind w:left="3961" w:hanging="283"/>
      </w:pPr>
      <w:rPr>
        <w:rFonts w:hint="default"/>
        <w:lang w:val="fr-FR" w:eastAsia="en-US" w:bidi="ar-SA"/>
      </w:rPr>
    </w:lvl>
    <w:lvl w:ilvl="4">
      <w:start w:val="0"/>
      <w:numFmt w:val="bullet"/>
      <w:lvlText w:val="•"/>
      <w:lvlJc w:val="left"/>
      <w:pPr>
        <w:ind w:left="4922" w:hanging="283"/>
      </w:pPr>
      <w:rPr>
        <w:rFonts w:hint="default"/>
        <w:lang w:val="fr-FR" w:eastAsia="en-US" w:bidi="ar-SA"/>
      </w:rPr>
    </w:lvl>
    <w:lvl w:ilvl="5">
      <w:start w:val="0"/>
      <w:numFmt w:val="bullet"/>
      <w:lvlText w:val="•"/>
      <w:lvlJc w:val="left"/>
      <w:pPr>
        <w:ind w:left="5883" w:hanging="283"/>
      </w:pPr>
      <w:rPr>
        <w:rFonts w:hint="default"/>
        <w:lang w:val="fr-FR" w:eastAsia="en-US" w:bidi="ar-SA"/>
      </w:rPr>
    </w:lvl>
    <w:lvl w:ilvl="6">
      <w:start w:val="0"/>
      <w:numFmt w:val="bullet"/>
      <w:lvlText w:val="•"/>
      <w:lvlJc w:val="left"/>
      <w:pPr>
        <w:ind w:left="6843" w:hanging="283"/>
      </w:pPr>
      <w:rPr>
        <w:rFonts w:hint="default"/>
        <w:lang w:val="fr-FR" w:eastAsia="en-US" w:bidi="ar-SA"/>
      </w:rPr>
    </w:lvl>
    <w:lvl w:ilvl="7">
      <w:start w:val="0"/>
      <w:numFmt w:val="bullet"/>
      <w:lvlText w:val="•"/>
      <w:lvlJc w:val="left"/>
      <w:pPr>
        <w:ind w:left="7804" w:hanging="283"/>
      </w:pPr>
      <w:rPr>
        <w:rFonts w:hint="default"/>
        <w:lang w:val="fr-FR" w:eastAsia="en-US" w:bidi="ar-SA"/>
      </w:rPr>
    </w:lvl>
    <w:lvl w:ilvl="8">
      <w:start w:val="0"/>
      <w:numFmt w:val="bullet"/>
      <w:lvlText w:val="•"/>
      <w:lvlJc w:val="left"/>
      <w:pPr>
        <w:ind w:left="8765" w:hanging="283"/>
      </w:pPr>
      <w:rPr>
        <w:rFonts w:hint="default"/>
        <w:lang w:val="fr-FR" w:eastAsia="en-US" w:bidi="ar-SA"/>
      </w:rPr>
    </w:lvl>
  </w:abstractNum>
  <w:abstractNum w:abstractNumId="0">
    <w:multiLevelType w:val="hybridMultilevel"/>
    <w:lvl w:ilvl="0">
      <w:start w:val="0"/>
      <w:numFmt w:val="bullet"/>
      <w:lvlText w:val=""/>
      <w:lvlJc w:val="left"/>
      <w:pPr>
        <w:ind w:left="322" w:hanging="215"/>
      </w:pPr>
      <w:rPr>
        <w:rFonts w:hint="default" w:ascii="Wingdings 2" w:hAnsi="Wingdings 2" w:eastAsia="Wingdings 2" w:cs="Wingdings 2"/>
        <w:b/>
        <w:bCs/>
        <w:i w:val="0"/>
        <w:iCs w:val="0"/>
        <w:w w:val="99"/>
        <w:sz w:val="22"/>
        <w:szCs w:val="22"/>
        <w:lang w:val="fr-FR" w:eastAsia="en-US" w:bidi="ar-SA"/>
      </w:rPr>
    </w:lvl>
    <w:lvl w:ilvl="1">
      <w:start w:val="0"/>
      <w:numFmt w:val="bullet"/>
      <w:lvlText w:val=""/>
      <w:lvlJc w:val="left"/>
      <w:pPr>
        <w:ind w:left="1090" w:hanging="275"/>
      </w:pPr>
      <w:rPr>
        <w:rFonts w:hint="default" w:ascii="Wingdings 2" w:hAnsi="Wingdings 2" w:eastAsia="Wingdings 2" w:cs="Wingdings 2"/>
        <w:b/>
        <w:bCs/>
        <w:i w:val="0"/>
        <w:iCs w:val="0"/>
        <w:w w:val="99"/>
        <w:sz w:val="24"/>
        <w:szCs w:val="24"/>
        <w:lang w:val="fr-FR" w:eastAsia="en-US" w:bidi="ar-SA"/>
      </w:rPr>
    </w:lvl>
    <w:lvl w:ilvl="2">
      <w:start w:val="0"/>
      <w:numFmt w:val="bullet"/>
      <w:lvlText w:val="•"/>
      <w:lvlJc w:val="left"/>
      <w:pPr>
        <w:ind w:left="2083" w:hanging="275"/>
      </w:pPr>
      <w:rPr>
        <w:rFonts w:hint="default"/>
        <w:lang w:val="fr-FR" w:eastAsia="en-US" w:bidi="ar-SA"/>
      </w:rPr>
    </w:lvl>
    <w:lvl w:ilvl="3">
      <w:start w:val="0"/>
      <w:numFmt w:val="bullet"/>
      <w:lvlText w:val="•"/>
      <w:lvlJc w:val="left"/>
      <w:pPr>
        <w:ind w:left="3066" w:hanging="275"/>
      </w:pPr>
      <w:rPr>
        <w:rFonts w:hint="default"/>
        <w:lang w:val="fr-FR" w:eastAsia="en-US" w:bidi="ar-SA"/>
      </w:rPr>
    </w:lvl>
    <w:lvl w:ilvl="4">
      <w:start w:val="0"/>
      <w:numFmt w:val="bullet"/>
      <w:lvlText w:val="•"/>
      <w:lvlJc w:val="left"/>
      <w:pPr>
        <w:ind w:left="4049" w:hanging="275"/>
      </w:pPr>
      <w:rPr>
        <w:rFonts w:hint="default"/>
        <w:lang w:val="fr-FR" w:eastAsia="en-US" w:bidi="ar-SA"/>
      </w:rPr>
    </w:lvl>
    <w:lvl w:ilvl="5">
      <w:start w:val="0"/>
      <w:numFmt w:val="bullet"/>
      <w:lvlText w:val="•"/>
      <w:lvlJc w:val="left"/>
      <w:pPr>
        <w:ind w:left="5032" w:hanging="275"/>
      </w:pPr>
      <w:rPr>
        <w:rFonts w:hint="default"/>
        <w:lang w:val="fr-FR" w:eastAsia="en-US" w:bidi="ar-SA"/>
      </w:rPr>
    </w:lvl>
    <w:lvl w:ilvl="6">
      <w:start w:val="0"/>
      <w:numFmt w:val="bullet"/>
      <w:lvlText w:val="•"/>
      <w:lvlJc w:val="left"/>
      <w:pPr>
        <w:ind w:left="6015" w:hanging="275"/>
      </w:pPr>
      <w:rPr>
        <w:rFonts w:hint="default"/>
        <w:lang w:val="fr-FR" w:eastAsia="en-US" w:bidi="ar-SA"/>
      </w:rPr>
    </w:lvl>
    <w:lvl w:ilvl="7">
      <w:start w:val="0"/>
      <w:numFmt w:val="bullet"/>
      <w:lvlText w:val="•"/>
      <w:lvlJc w:val="left"/>
      <w:pPr>
        <w:ind w:left="6998" w:hanging="275"/>
      </w:pPr>
      <w:rPr>
        <w:rFonts w:hint="default"/>
        <w:lang w:val="fr-FR" w:eastAsia="en-US" w:bidi="ar-SA"/>
      </w:rPr>
    </w:lvl>
    <w:lvl w:ilvl="8">
      <w:start w:val="0"/>
      <w:numFmt w:val="bullet"/>
      <w:lvlText w:val="•"/>
      <w:lvlJc w:val="left"/>
      <w:pPr>
        <w:ind w:left="7981" w:hanging="275"/>
      </w:pPr>
      <w:rPr>
        <w:rFonts w:hint="default"/>
        <w:lang w:val="fr-FR" w:eastAsia="en-US" w:bidi="ar-SA"/>
      </w:rPr>
    </w:lvl>
  </w:abstractNum>
  <w:abstractNum w:abstractNumId="1">
    <w:multiLevelType w:val="hybridMultilevel"/>
    <w:lvl w:ilvl="0">
      <w:start w:val="1"/>
      <w:numFmt w:val="decimal"/>
      <w:lvlText w:val="%1."/>
      <w:lvlJc w:val="left"/>
      <w:pPr>
        <w:ind w:left="796" w:hanging="426"/>
        <w:jc w:val="left"/>
      </w:pPr>
      <w:rPr>
        <w:rFonts w:hint="default" w:ascii="Times New Roman" w:hAnsi="Times New Roman" w:eastAsia="Times New Roman" w:cs="Times New Roman"/>
        <w:b/>
        <w:bCs/>
        <w:i w:val="0"/>
        <w:iCs w:val="0"/>
        <w:w w:val="100"/>
        <w:sz w:val="24"/>
        <w:szCs w:val="24"/>
        <w:lang w:val="fr-FR" w:eastAsia="en-US" w:bidi="ar-SA"/>
      </w:rPr>
    </w:lvl>
    <w:lvl w:ilvl="1">
      <w:start w:val="1"/>
      <w:numFmt w:val="lowerLetter"/>
      <w:lvlText w:val="%2)"/>
      <w:lvlJc w:val="left"/>
      <w:pPr>
        <w:ind w:left="1035" w:hanging="239"/>
        <w:jc w:val="left"/>
      </w:pPr>
      <w:rPr>
        <w:rFonts w:hint="default" w:ascii="Times New Roman" w:hAnsi="Times New Roman" w:eastAsia="Times New Roman" w:cs="Times New Roman"/>
        <w:b/>
        <w:bCs/>
        <w:i w:val="0"/>
        <w:iCs w:val="0"/>
        <w:w w:val="99"/>
        <w:sz w:val="22"/>
        <w:szCs w:val="22"/>
        <w:lang w:val="fr-FR" w:eastAsia="en-US" w:bidi="ar-SA"/>
      </w:rPr>
    </w:lvl>
    <w:lvl w:ilvl="2">
      <w:start w:val="0"/>
      <w:numFmt w:val="bullet"/>
      <w:lvlText w:val="—"/>
      <w:lvlJc w:val="left"/>
      <w:pPr>
        <w:ind w:left="1354" w:hanging="275"/>
      </w:pPr>
      <w:rPr>
        <w:rFonts w:hint="default" w:ascii="Times New Roman" w:hAnsi="Times New Roman" w:eastAsia="Times New Roman" w:cs="Times New Roman"/>
        <w:b w:val="0"/>
        <w:bCs w:val="0"/>
        <w:i w:val="0"/>
        <w:iCs w:val="0"/>
        <w:w w:val="99"/>
        <w:sz w:val="22"/>
        <w:szCs w:val="22"/>
        <w:lang w:val="fr-FR" w:eastAsia="en-US" w:bidi="ar-SA"/>
      </w:rPr>
    </w:lvl>
    <w:lvl w:ilvl="3">
      <w:start w:val="0"/>
      <w:numFmt w:val="bullet"/>
      <w:lvlText w:val="•"/>
      <w:lvlJc w:val="left"/>
      <w:pPr>
        <w:ind w:left="2525" w:hanging="275"/>
      </w:pPr>
      <w:rPr>
        <w:rFonts w:hint="default"/>
        <w:lang w:val="fr-FR" w:eastAsia="en-US" w:bidi="ar-SA"/>
      </w:rPr>
    </w:lvl>
    <w:lvl w:ilvl="4">
      <w:start w:val="0"/>
      <w:numFmt w:val="bullet"/>
      <w:lvlText w:val="•"/>
      <w:lvlJc w:val="left"/>
      <w:pPr>
        <w:ind w:left="3691" w:hanging="275"/>
      </w:pPr>
      <w:rPr>
        <w:rFonts w:hint="default"/>
        <w:lang w:val="fr-FR" w:eastAsia="en-US" w:bidi="ar-SA"/>
      </w:rPr>
    </w:lvl>
    <w:lvl w:ilvl="5">
      <w:start w:val="0"/>
      <w:numFmt w:val="bullet"/>
      <w:lvlText w:val="•"/>
      <w:lvlJc w:val="left"/>
      <w:pPr>
        <w:ind w:left="4857" w:hanging="275"/>
      </w:pPr>
      <w:rPr>
        <w:rFonts w:hint="default"/>
        <w:lang w:val="fr-FR" w:eastAsia="en-US" w:bidi="ar-SA"/>
      </w:rPr>
    </w:lvl>
    <w:lvl w:ilvl="6">
      <w:start w:val="0"/>
      <w:numFmt w:val="bullet"/>
      <w:lvlText w:val="•"/>
      <w:lvlJc w:val="left"/>
      <w:pPr>
        <w:ind w:left="6023" w:hanging="275"/>
      </w:pPr>
      <w:rPr>
        <w:rFonts w:hint="default"/>
        <w:lang w:val="fr-FR" w:eastAsia="en-US" w:bidi="ar-SA"/>
      </w:rPr>
    </w:lvl>
    <w:lvl w:ilvl="7">
      <w:start w:val="0"/>
      <w:numFmt w:val="bullet"/>
      <w:lvlText w:val="•"/>
      <w:lvlJc w:val="left"/>
      <w:pPr>
        <w:ind w:left="7189" w:hanging="275"/>
      </w:pPr>
      <w:rPr>
        <w:rFonts w:hint="default"/>
        <w:lang w:val="fr-FR" w:eastAsia="en-US" w:bidi="ar-SA"/>
      </w:rPr>
    </w:lvl>
    <w:lvl w:ilvl="8">
      <w:start w:val="0"/>
      <w:numFmt w:val="bullet"/>
      <w:lvlText w:val="•"/>
      <w:lvlJc w:val="left"/>
      <w:pPr>
        <w:ind w:left="8354" w:hanging="275"/>
      </w:pPr>
      <w:rPr>
        <w:rFonts w:hint="default"/>
        <w:lang w:val="fr-FR" w:eastAsia="en-US" w:bidi="ar-SA"/>
      </w:rPr>
    </w:lvl>
  </w:abstractNum>
  <w:num w:numId="3">
    <w:abstractNumId w:val="2"/>
  </w: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fr-FR"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fr-FR" w:eastAsia="en-US" w:bidi="ar-SA"/>
    </w:rPr>
  </w:style>
  <w:style w:styleId="Heading1" w:type="paragraph">
    <w:name w:val="Heading 1"/>
    <w:basedOn w:val="Normal"/>
    <w:uiPriority w:val="1"/>
    <w:qFormat/>
    <w:pPr>
      <w:ind w:left="1078" w:hanging="283"/>
      <w:outlineLvl w:val="1"/>
    </w:pPr>
    <w:rPr>
      <w:rFonts w:ascii="Times New Roman" w:hAnsi="Times New Roman" w:eastAsia="Times New Roman" w:cs="Times New Roman"/>
      <w:b/>
      <w:bCs/>
      <w:sz w:val="22"/>
      <w:szCs w:val="22"/>
      <w:lang w:val="fr-FR" w:eastAsia="en-US" w:bidi="ar-SA"/>
    </w:rPr>
  </w:style>
  <w:style w:styleId="ListParagraph" w:type="paragraph">
    <w:name w:val="List Paragraph"/>
    <w:basedOn w:val="Normal"/>
    <w:uiPriority w:val="1"/>
    <w:qFormat/>
    <w:pPr>
      <w:ind w:left="796" w:hanging="427"/>
    </w:pPr>
    <w:rPr>
      <w:rFonts w:ascii="Times New Roman" w:hAnsi="Times New Roman" w:eastAsia="Times New Roman" w:cs="Times New Roman"/>
      <w:lang w:val="fr-FR" w:eastAsia="en-US" w:bidi="ar-SA"/>
    </w:rPr>
  </w:style>
  <w:style w:styleId="TableParagraph" w:type="paragraph">
    <w:name w:val="Table Paragraph"/>
    <w:basedOn w:val="Normal"/>
    <w:uiPriority w:val="1"/>
    <w:qFormat/>
    <w:pPr>
      <w:ind w:left="107"/>
    </w:pPr>
    <w:rPr>
      <w:rFonts w:ascii="Times New Roman" w:hAnsi="Times New Roman" w:eastAsia="Times New Roman" w:cs="Times New Roman"/>
      <w:lang w:val="fr-F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Paula.Abreu-Marques@ec.europa.eu" TargetMode="External"/><Relationship Id="rId8" Type="http://schemas.openxmlformats.org/officeDocument/2006/relationships/hyperlink" Target="http://europass.cedefop.europa.eu/en/documents/curriculum-vitae" TargetMode="External"/><Relationship Id="rId9" Type="http://schemas.openxmlformats.org/officeDocument/2006/relationships/hyperlink" Target="mailto:HR-MAIL-B4@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European Commission</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dcterms:created xsi:type="dcterms:W3CDTF">2023-04-02T21:12:00Z</dcterms:created>
  <dcterms:modified xsi:type="dcterms:W3CDTF">2023-04-02T21:12:00Z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2023-04-02T00:00:00Z</vt:filetime>
  </property>
  <property fmtid="{D5CDD505-2E9C-101B-9397-08002B2CF9AE}" pid="3" name="Creator">
    <vt:lpwstr>Acrobat PDFMaker 22 for Word</vt:lpwstr>
  </property>
  <property fmtid="{D5CDD505-2E9C-101B-9397-08002B2CF9AE}" pid="4" name="LastSaved">
    <vt:filetime>2023-04-02T00:00:00Z</vt:filetime>
  </property>
  <property fmtid="{D5CDD505-2E9C-101B-9397-08002B2CF9AE}" pid="5" name="MSIP_Label_6bd9ddd1-4d20-43f6-abfa-fc3c07406f94_ActionId">
    <vt:lpwstr>48075d31-3575-4b14-94b4-4256bc47e162</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2022-07-05T17:16:06Z</vt:lpwstr>
  </property>
  <property fmtid="{D5CDD505-2E9C-101B-9397-08002B2CF9AE}" pid="11" name="MSIP_Label_6bd9ddd1-4d20-43f6-abfa-fc3c07406f94_SiteId">
    <vt:lpwstr>b24c8b06-522c-46fe-9080-70926f8dddb1</vt:lpwstr>
  </property>
  <property fmtid="{D5CDD505-2E9C-101B-9397-08002B2CF9AE}" pid="12" name="Producer">
    <vt:lpwstr>Adobe PDF Library 22.3.90</vt:lpwstr>
  </property>
  <property fmtid="{D5CDD505-2E9C-101B-9397-08002B2CF9AE}" pid="13" name="SourceModified">
    <vt:lpwstr>D:20230323180100</vt:lpwstr>
  </property>
</Properties>
</file>