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950BC"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368DD31" wp14:editId="58FA6EE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0B2B1D"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6A81EA2C"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150196E5"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9067ACC"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08A1D96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3CED6057" w14:textId="77777777" w:rsidTr="00EC6FF0">
        <w:trPr>
          <w:trHeight w:val="611"/>
          <w:jc w:val="center"/>
        </w:trPr>
        <w:tc>
          <w:tcPr>
            <w:tcW w:w="4359" w:type="dxa"/>
          </w:tcPr>
          <w:p w14:paraId="441CF5B1"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 xml:space="preserve">Intitulé du </w:t>
            </w:r>
            <w:proofErr w:type="gramStart"/>
            <w:r w:rsidRPr="00745B97">
              <w:rPr>
                <w:rFonts w:ascii="Times New Roman" w:eastAsia="Times New Roman" w:hAnsi="Times New Roman" w:cs="Times New Roman"/>
                <w:b/>
                <w:sz w:val="24"/>
                <w:szCs w:val="24"/>
                <w:lang w:eastAsia="en-GB"/>
              </w:rPr>
              <w:t>poste:</w:t>
            </w:r>
            <w:proofErr w:type="gramEnd"/>
          </w:p>
          <w:p w14:paraId="260A5B86"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7665DD72" w14:textId="77777777" w:rsidR="00745B97" w:rsidRPr="00381739" w:rsidRDefault="00F410A4" w:rsidP="002204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745B97" w:rsidRPr="00745B97" w14:paraId="657FFBB6" w14:textId="77777777" w:rsidTr="00EC6FF0">
        <w:trPr>
          <w:trHeight w:val="1977"/>
          <w:jc w:val="center"/>
        </w:trPr>
        <w:tc>
          <w:tcPr>
            <w:tcW w:w="4359" w:type="dxa"/>
            <w:tcBorders>
              <w:bottom w:val="nil"/>
            </w:tcBorders>
          </w:tcPr>
          <w:p w14:paraId="7995C23E" w14:textId="77777777"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14:paraId="0149C029"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Adresse </w:t>
            </w:r>
            <w:proofErr w:type="gramStart"/>
            <w:r w:rsidRPr="00745B97">
              <w:rPr>
                <w:rFonts w:ascii="Times New Roman" w:eastAsia="Times New Roman" w:hAnsi="Times New Roman" w:cs="Times New Roman"/>
                <w:b/>
                <w:lang w:eastAsia="en-GB"/>
              </w:rPr>
              <w:t>e-mail</w:t>
            </w:r>
            <w:proofErr w:type="gramEnd"/>
            <w:r w:rsidRPr="00745B97">
              <w:rPr>
                <w:rFonts w:ascii="Times New Roman" w:eastAsia="Times New Roman" w:hAnsi="Times New Roman" w:cs="Times New Roman"/>
                <w:b/>
                <w:lang w:eastAsia="en-GB"/>
              </w:rPr>
              <w:t xml:space="preserve"> :</w:t>
            </w:r>
          </w:p>
          <w:p w14:paraId="055D8D49"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7101D953"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Nombre de postes </w:t>
            </w:r>
            <w:proofErr w:type="gramStart"/>
            <w:r w:rsidRPr="00745B97">
              <w:rPr>
                <w:rFonts w:ascii="Times New Roman" w:eastAsia="Times New Roman" w:hAnsi="Times New Roman" w:cs="Times New Roman"/>
                <w:b/>
                <w:lang w:eastAsia="en-GB"/>
              </w:rPr>
              <w:t>disponibles:</w:t>
            </w:r>
            <w:proofErr w:type="gramEnd"/>
          </w:p>
          <w:p w14:paraId="6EFB2624"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33F31DB4"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10C74827"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4827B7C4" w14:textId="77777777" w:rsidR="00F410A4" w:rsidRPr="0099699E" w:rsidRDefault="00F410A4" w:rsidP="00F410A4">
            <w:pPr>
              <w:rPr>
                <w:rFonts w:ascii="Times New Roman" w:hAnsi="Times New Roman" w:cs="Times New Roman"/>
                <w:b/>
                <w:lang w:val="de-DE"/>
              </w:rPr>
            </w:pPr>
            <w:r w:rsidRPr="0099699E">
              <w:rPr>
                <w:rFonts w:ascii="Times New Roman" w:hAnsi="Times New Roman" w:cs="Times New Roman"/>
                <w:b/>
                <w:lang w:val="de-DE"/>
              </w:rPr>
              <w:t xml:space="preserve">Christoph SCHWIERZ </w:t>
            </w:r>
          </w:p>
          <w:p w14:paraId="36C1AB80" w14:textId="77777777" w:rsidR="00F410A4" w:rsidRPr="0099699E" w:rsidRDefault="00B75E82" w:rsidP="00F410A4">
            <w:pPr>
              <w:rPr>
                <w:rFonts w:ascii="Times New Roman" w:hAnsi="Times New Roman" w:cs="Times New Roman"/>
                <w:b/>
                <w:lang w:val="de-DE"/>
              </w:rPr>
            </w:pPr>
            <w:hyperlink r:id="rId9" w:history="1">
              <w:r w:rsidR="00F410A4" w:rsidRPr="0099699E">
                <w:rPr>
                  <w:rStyle w:val="Hyperlink"/>
                  <w:rFonts w:ascii="Times New Roman" w:hAnsi="Times New Roman" w:cs="Times New Roman"/>
                  <w:b/>
                  <w:lang w:val="de-DE"/>
                </w:rPr>
                <w:t>Christoph.SCHWIERZ@ec.europa.eu</w:t>
              </w:r>
            </w:hyperlink>
            <w:r w:rsidR="00F410A4" w:rsidRPr="0099699E">
              <w:rPr>
                <w:rFonts w:ascii="Times New Roman" w:hAnsi="Times New Roman" w:cs="Times New Roman"/>
                <w:b/>
                <w:lang w:val="de-DE"/>
              </w:rPr>
              <w:t xml:space="preserve"> </w:t>
            </w:r>
          </w:p>
          <w:p w14:paraId="3EDD2A69" w14:textId="77777777" w:rsidR="00381739" w:rsidRPr="00AB1553" w:rsidRDefault="00F410A4" w:rsidP="00F410A4">
            <w:pPr>
              <w:rPr>
                <w:rFonts w:ascii="Times New Roman" w:hAnsi="Times New Roman" w:cs="Times New Roman"/>
                <w:b/>
              </w:rPr>
            </w:pPr>
            <w:r w:rsidRPr="00AB1553">
              <w:rPr>
                <w:rFonts w:ascii="Times New Roman" w:hAnsi="Times New Roman" w:cs="Times New Roman"/>
                <w:b/>
              </w:rPr>
              <w:t>+32 2 29607521</w:t>
            </w:r>
          </w:p>
          <w:p w14:paraId="45B0E0FA" w14:textId="77777777" w:rsidR="00804B2F" w:rsidRPr="00381739" w:rsidRDefault="00220471" w:rsidP="00804B2F">
            <w:pPr>
              <w:rPr>
                <w:rFonts w:ascii="Times New Roman" w:hAnsi="Times New Roman" w:cs="Times New Roman"/>
                <w:b/>
              </w:rPr>
            </w:pPr>
            <w:r>
              <w:rPr>
                <w:rFonts w:ascii="Times New Roman" w:hAnsi="Times New Roman" w:cs="Times New Roman"/>
                <w:b/>
              </w:rPr>
              <w:t>1</w:t>
            </w:r>
          </w:p>
          <w:p w14:paraId="2DB3A0B3" w14:textId="48FC55A5" w:rsidR="00381739" w:rsidRPr="00381739" w:rsidRDefault="0092533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925335">
              <w:rPr>
                <w:rFonts w:ascii="Times New Roman" w:hAnsi="Times New Roman" w:cs="Times New Roman"/>
                <w:b/>
                <w:vertAlign w:val="superscript"/>
              </w:rPr>
              <w:t>er</w:t>
            </w:r>
            <w:r>
              <w:rPr>
                <w:rFonts w:ascii="Times New Roman" w:hAnsi="Times New Roman" w:cs="Times New Roman"/>
                <w:b/>
              </w:rPr>
              <w:t xml:space="preserve"> </w:t>
            </w:r>
            <w:proofErr w:type="gramStart"/>
            <w:r w:rsidR="008B07A1" w:rsidRPr="008B07A1">
              <w:rPr>
                <w:rFonts w:ascii="Times New Roman" w:hAnsi="Times New Roman" w:cs="Times New Roman"/>
                <w:b/>
              </w:rPr>
              <w:t>Janvier</w:t>
            </w:r>
            <w:proofErr w:type="gramEnd"/>
            <w:r w:rsidR="008B07A1">
              <w:rPr>
                <w:rFonts w:ascii="Times New Roman" w:hAnsi="Times New Roman" w:cs="Times New Roman"/>
                <w:b/>
              </w:rPr>
              <w:t xml:space="preserve"> </w:t>
            </w:r>
            <w:r w:rsidR="00381739" w:rsidRPr="00381739">
              <w:rPr>
                <w:rFonts w:ascii="Times New Roman" w:hAnsi="Times New Roman" w:cs="Times New Roman"/>
                <w:b/>
              </w:rPr>
              <w:t>202</w:t>
            </w:r>
            <w:r>
              <w:rPr>
                <w:rFonts w:ascii="Times New Roman" w:hAnsi="Times New Roman" w:cs="Times New Roman"/>
                <w:b/>
              </w:rPr>
              <w:t>4</w:t>
            </w:r>
            <w:r w:rsidR="00381739" w:rsidRPr="00381739">
              <w:rPr>
                <w:rFonts w:ascii="Times New Roman" w:hAnsi="Times New Roman" w:cs="Times New Roman"/>
                <w:b/>
                <w:vertAlign w:val="superscript"/>
              </w:rPr>
              <w:footnoteReference w:id="1"/>
            </w:r>
          </w:p>
          <w:p w14:paraId="5F28D09C" w14:textId="77777777" w:rsidR="00381739" w:rsidRPr="00381739" w:rsidRDefault="00D770A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14:paraId="3BD7EBDB" w14:textId="77777777" w:rsidR="00745B97" w:rsidRPr="00745B97" w:rsidRDefault="00F410A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proofErr w:type="gramStart"/>
            <w:r w:rsidR="00745B97" w:rsidRPr="00745B97">
              <w:rPr>
                <w:rFonts w:ascii="Times New Roman" w:eastAsia="MS Minngs" w:hAnsi="Times New Roman" w:cs="Times New Roman"/>
                <w:bCs/>
                <w:lang w:val="fr-FR" w:eastAsia="en-GB"/>
              </w:rPr>
              <w:t>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 xml:space="preserve"> ……………..</w:t>
            </w:r>
          </w:p>
        </w:tc>
      </w:tr>
      <w:tr w:rsidR="00745B97" w:rsidRPr="00745B97" w14:paraId="2D71B7ED"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79E85612"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613AF263" w14:textId="77777777"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6CF6BFC2"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7EA9D184"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53D7ADA9" w14:textId="77777777" w:rsidR="00745B97" w:rsidRPr="00745B97" w:rsidRDefault="00745B97" w:rsidP="00745B97">
            <w:pPr>
              <w:rPr>
                <w:rFonts w:ascii="Times New Roman" w:eastAsia="Times New Roman" w:hAnsi="Times New Roman" w:cs="Times New Roman"/>
                <w:b/>
                <w:lang w:eastAsia="en-GB"/>
              </w:rPr>
            </w:pPr>
          </w:p>
          <w:p w14:paraId="142E1E37" w14:textId="77777777"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14:paraId="4849D416"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535A1AFF"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w:t>
            </w:r>
            <w:proofErr w:type="gramStart"/>
            <w:r w:rsidRPr="00745B97">
              <w:rPr>
                <w:rFonts w:ascii="Times New Roman" w:eastAsia="Times New Roman" w:hAnsi="Times New Roman" w:cs="Times New Roman"/>
                <w:b/>
                <w:lang w:eastAsia="en-GB"/>
              </w:rPr>
              <w:t xml:space="preserve">Norvège)   </w:t>
            </w:r>
            <w:proofErr w:type="gramEnd"/>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42CA7BA8" w14:textId="77777777" w:rsidR="00745B97" w:rsidRPr="00745B97" w:rsidRDefault="00F410A4"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organisations intergouvernementales suivantes: </w:t>
            </w:r>
            <w:r>
              <w:rPr>
                <w:rFonts w:ascii="Times New Roman" w:eastAsia="Times New Roman" w:hAnsi="Times New Roman" w:cs="Times New Roman"/>
                <w:b/>
                <w:bCs/>
                <w:lang w:eastAsia="en-GB"/>
              </w:rPr>
              <w:t>OCDE, Banque mondiale, FMI</w:t>
            </w:r>
          </w:p>
        </w:tc>
      </w:tr>
    </w:tbl>
    <w:p w14:paraId="51276C9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07E95AE"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43411B76" w14:textId="77777777" w:rsidR="0036190C" w:rsidRDefault="0036190C" w:rsidP="0036190C">
      <w:pPr>
        <w:spacing w:after="0" w:line="240" w:lineRule="auto"/>
        <w:rPr>
          <w:rFonts w:ascii="Times New Roman" w:eastAsia="Times New Roman" w:hAnsi="Times New Roman" w:cs="Times New Roman"/>
          <w:sz w:val="24"/>
          <w:szCs w:val="20"/>
          <w:lang w:eastAsia="en-GB"/>
        </w:rPr>
      </w:pPr>
    </w:p>
    <w:p w14:paraId="33C76365" w14:textId="77777777"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La direction générale d'Appui aux Réformes Structurelles (DG REFORM) est placée sous la coordination de la commissaire Ferreira. La mission de la DG REFORM est d'apporter et de coordonner un soutien technique aux États Membres pour le développement et la mise en œuvre de réformes structurelles - en particulier dans le contexte du processus de gouvernance économique - et la bonne utilisation des fonds de l'Union Européenne. Le soutien est mis à disposition de tous les États membres et il est octroyé suivant leur demande.</w:t>
      </w:r>
    </w:p>
    <w:p w14:paraId="033CF841"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550C91EE" w14:textId="77777777" w:rsid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La DG REFORM travaille actuellement avec les 27 États membres de l'Union européenne. Elle compte environ 200 collaborateurs basés à Bruxelles, Athènes, Nicosie, Zagreb et Bucarest. Elle est composée d'une équipe de direction, d'une équipe chargée des priorités horizontales et deux directorats.  Le Directorat A est composé de trois unités responsables pour budget et finances ; planification, évaluation et coordination de l'appui et appui au règlement de la question chypriote. Le Directorat B est composé de cinq unités sectorielles spécialisées dans les politiques publiques (gestion des finances publiques ; gouvernance et administration publique ; croissance économique et </w:t>
      </w:r>
      <w:proofErr w:type="gramStart"/>
      <w:r w:rsidRPr="00F410A4">
        <w:rPr>
          <w:rFonts w:ascii="Times New Roman" w:eastAsia="Times New Roman" w:hAnsi="Times New Roman" w:cs="Times New Roman"/>
          <w:lang w:eastAsia="en-GB"/>
        </w:rPr>
        <w:t>entreprenariat;</w:t>
      </w:r>
      <w:proofErr w:type="gramEnd"/>
      <w:r w:rsidRPr="00F410A4">
        <w:rPr>
          <w:rFonts w:ascii="Times New Roman" w:eastAsia="Times New Roman" w:hAnsi="Times New Roman" w:cs="Times New Roman"/>
          <w:lang w:eastAsia="en-GB"/>
        </w:rPr>
        <w:t xml:space="preserve"> marché du travail, éducation, santé et services sociaux ; secteur financier et accès au financement).</w:t>
      </w:r>
    </w:p>
    <w:p w14:paraId="5E4739C5"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61CE9962" w14:textId="77777777" w:rsidR="0099699E" w:rsidRDefault="00F410A4" w:rsidP="0099699E">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La DG REFORM </w:t>
      </w:r>
      <w:proofErr w:type="gramStart"/>
      <w:r w:rsidRPr="00F410A4">
        <w:rPr>
          <w:rFonts w:ascii="Times New Roman" w:eastAsia="Times New Roman" w:hAnsi="Times New Roman" w:cs="Times New Roman"/>
          <w:lang w:eastAsia="en-GB"/>
        </w:rPr>
        <w:t>a</w:t>
      </w:r>
      <w:proofErr w:type="gramEnd"/>
      <w:r w:rsidRPr="00F410A4">
        <w:rPr>
          <w:rFonts w:ascii="Times New Roman" w:eastAsia="Times New Roman" w:hAnsi="Times New Roman" w:cs="Times New Roman"/>
          <w:lang w:eastAsia="en-GB"/>
        </w:rPr>
        <w:t xml:space="preserve"> un rôle de coordination important au sein de la Commission européenne, ainsi que des contacts fréquents avec les États membres et diverses parties prenantes.</w:t>
      </w:r>
    </w:p>
    <w:p w14:paraId="0385C7E4" w14:textId="77777777" w:rsidR="0099699E" w:rsidRDefault="0099699E" w:rsidP="0099699E">
      <w:pPr>
        <w:spacing w:after="0" w:line="240" w:lineRule="auto"/>
        <w:ind w:left="426"/>
        <w:jc w:val="both"/>
        <w:rPr>
          <w:rFonts w:ascii="Times New Roman" w:eastAsia="Times New Roman" w:hAnsi="Times New Roman" w:cs="Times New Roman"/>
          <w:lang w:eastAsia="en-GB"/>
        </w:rPr>
      </w:pPr>
    </w:p>
    <w:p w14:paraId="351E925B" w14:textId="4DDF1DC4" w:rsidR="0099699E" w:rsidRPr="0099699E" w:rsidRDefault="0099699E" w:rsidP="0099699E">
      <w:pPr>
        <w:spacing w:after="0" w:line="240" w:lineRule="auto"/>
        <w:ind w:left="426"/>
        <w:jc w:val="both"/>
        <w:rPr>
          <w:rFonts w:ascii="Times New Roman" w:eastAsia="Times New Roman" w:hAnsi="Times New Roman" w:cs="Times New Roman"/>
          <w:lang w:eastAsia="en-GB"/>
        </w:rPr>
      </w:pPr>
      <w:r w:rsidRPr="0099699E">
        <w:rPr>
          <w:rFonts w:ascii="Times New Roman" w:eastAsia="Times New Roman" w:hAnsi="Times New Roman" w:cs="Times New Roman"/>
          <w:lang w:eastAsia="en-GB"/>
        </w:rPr>
        <w:t xml:space="preserve">La DG REFORM gère le Programme d'Appui à la Réforme Structurelle (SRSP) et son successeur, l'Instrument d'Appui Technique (TSI). La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SRSP et TSI disposent tous deux d'un budget dédié et d'un cadre juridique pour la fourniture </w:t>
      </w:r>
      <w:r w:rsidRPr="0099699E">
        <w:rPr>
          <w:rFonts w:ascii="Times New Roman" w:eastAsia="Times New Roman" w:hAnsi="Times New Roman" w:cs="Times New Roman"/>
          <w:lang w:eastAsia="en-GB"/>
        </w:rPr>
        <w:lastRenderedPageBreak/>
        <w:t>d'un soutien technique aux États Membres. La DG REFORM gère également le programme d'aide à la communauté Chypriote Turque.</w:t>
      </w:r>
    </w:p>
    <w:p w14:paraId="26EFA861"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531B5DE4"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Le poste vacant se trouve dans l'unité Administration fiscale et gestion des finances publiques (REFORM.B1) dont le rôle est de coordonner l'appui technique aux États membres (conception, planification, mise en œuvre et contrôle des programmes et projets d'appui technique) dans les principaux domaines </w:t>
      </w:r>
      <w:proofErr w:type="gramStart"/>
      <w:r w:rsidRPr="00F410A4">
        <w:rPr>
          <w:rFonts w:ascii="Times New Roman" w:eastAsia="Times New Roman" w:hAnsi="Times New Roman" w:cs="Times New Roman"/>
          <w:lang w:eastAsia="en-GB"/>
        </w:rPr>
        <w:t>suivants:</w:t>
      </w:r>
      <w:proofErr w:type="gramEnd"/>
      <w:r w:rsidRPr="00F410A4">
        <w:rPr>
          <w:rFonts w:ascii="Times New Roman" w:eastAsia="Times New Roman" w:hAnsi="Times New Roman" w:cs="Times New Roman"/>
          <w:lang w:eastAsia="en-GB"/>
        </w:rPr>
        <w:t xml:space="preserve"> gestion des finances publiques et politique des dépenses, administration et politique fiscales. L'unité comprend 16 collaborateurs basés à Bruxelles (15) et à Athènes (1).</w:t>
      </w:r>
    </w:p>
    <w:p w14:paraId="5BEDC6B3"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4BEC96D2"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L'expert détaché apportera son appui dans le domaine de la gestion des finances publiques.  </w:t>
      </w:r>
    </w:p>
    <w:p w14:paraId="4E62CF4E"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3FB7B515"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Dans ce domaine d'activité, l'expert détaché sera responsable des tâches </w:t>
      </w:r>
      <w:proofErr w:type="gramStart"/>
      <w:r w:rsidRPr="00F410A4">
        <w:rPr>
          <w:rFonts w:ascii="Times New Roman" w:eastAsia="Times New Roman" w:hAnsi="Times New Roman" w:cs="Times New Roman"/>
          <w:lang w:eastAsia="en-GB"/>
        </w:rPr>
        <w:t>suivantes:</w:t>
      </w:r>
      <w:proofErr w:type="gramEnd"/>
    </w:p>
    <w:p w14:paraId="05AAC6FE"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3AB7FF96" w14:textId="0F4238DC" w:rsidR="00F410A4" w:rsidRPr="00F410A4" w:rsidRDefault="00B75E82"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bookmarkStart w:id="0" w:name="_Hlk129245934"/>
      <w:r>
        <w:rPr>
          <w:rFonts w:ascii="Times New Roman" w:eastAsia="Times New Roman" w:hAnsi="Times New Roman" w:cs="Times New Roman"/>
          <w:lang w:eastAsia="en-GB"/>
        </w:rPr>
        <w:t>Planifier</w:t>
      </w:r>
      <w:r w:rsidRPr="00B75E82">
        <w:rPr>
          <w:rFonts w:ascii="Times New Roman" w:eastAsia="Times New Roman" w:hAnsi="Times New Roman" w:cs="Times New Roman"/>
          <w:lang w:eastAsia="en-GB"/>
        </w:rPr>
        <w:t>, mettre en œuvre et suivre l'appui technique et les projets dans les États membres de l'UE avant tout dans le domaine de la gestion des finances publiques. Cela comprend en particulier les examens des dépenses, les cadres budgétaires, la budgétisation, la comptabilité publique et les statistiques budgétaires. En outre, les tâches d'assistance technique dans le domaine de l'administration fiscale peuvent relever des tâches pertinentes en fonction du portefeuille de projets de l'</w:t>
      </w:r>
      <w:proofErr w:type="spellStart"/>
      <w:r w:rsidRPr="00B75E82">
        <w:rPr>
          <w:rFonts w:ascii="Times New Roman" w:eastAsia="Times New Roman" w:hAnsi="Times New Roman" w:cs="Times New Roman"/>
          <w:lang w:eastAsia="en-GB"/>
        </w:rPr>
        <w:t>unité</w:t>
      </w:r>
      <w:bookmarkStart w:id="1" w:name="_Hlk129245948"/>
      <w:r w:rsidRPr="00B75E82">
        <w:rPr>
          <w:rFonts w:ascii="Times New Roman" w:eastAsia="Times New Roman" w:hAnsi="Times New Roman" w:cs="Times New Roman"/>
          <w:lang w:eastAsia="en-GB"/>
        </w:rPr>
        <w:t>.</w:t>
      </w:r>
      <w:bookmarkEnd w:id="1"/>
      <w:bookmarkEnd w:id="0"/>
      <w:r w:rsidR="00F410A4" w:rsidRPr="00F410A4">
        <w:rPr>
          <w:rFonts w:ascii="Times New Roman" w:eastAsia="Times New Roman" w:hAnsi="Times New Roman" w:cs="Times New Roman"/>
          <w:lang w:eastAsia="en-GB"/>
        </w:rPr>
        <w:t>Suivre</w:t>
      </w:r>
      <w:proofErr w:type="spellEnd"/>
      <w:r w:rsidR="00F410A4" w:rsidRPr="00F410A4">
        <w:rPr>
          <w:rFonts w:ascii="Times New Roman" w:eastAsia="Times New Roman" w:hAnsi="Times New Roman" w:cs="Times New Roman"/>
          <w:lang w:eastAsia="en-GB"/>
        </w:rPr>
        <w:t xml:space="preserve"> et résoudre les questions liées à la mise en œuvre de l'appui </w:t>
      </w:r>
      <w:r w:rsidRPr="00F410A4">
        <w:rPr>
          <w:rFonts w:ascii="Times New Roman" w:eastAsia="Times New Roman" w:hAnsi="Times New Roman" w:cs="Times New Roman"/>
          <w:lang w:eastAsia="en-GB"/>
        </w:rPr>
        <w:t>technique ;</w:t>
      </w:r>
      <w:r w:rsidR="00F410A4" w:rsidRPr="00F410A4">
        <w:rPr>
          <w:rFonts w:ascii="Times New Roman" w:eastAsia="Times New Roman" w:hAnsi="Times New Roman" w:cs="Times New Roman"/>
          <w:lang w:eastAsia="en-GB"/>
        </w:rPr>
        <w:t xml:space="preserve"> ceci comprend l'identification des obstacles aux réformes et la suggestion de moyens pour les surmonter à travers la fourniture d'appui technique de façon coordonnée avec les services concernés de la Commission et les différents États membres demandeurs d'appui technique dans le domaine de la gestion des finances </w:t>
      </w:r>
      <w:proofErr w:type="spellStart"/>
      <w:r w:rsidR="00F410A4" w:rsidRPr="00F410A4">
        <w:rPr>
          <w:rFonts w:ascii="Times New Roman" w:eastAsia="Times New Roman" w:hAnsi="Times New Roman" w:cs="Times New Roman"/>
          <w:lang w:eastAsia="en-GB"/>
        </w:rPr>
        <w:t>publiques;Contribuer</w:t>
      </w:r>
      <w:proofErr w:type="spellEnd"/>
      <w:r w:rsidR="00F410A4" w:rsidRPr="00F410A4">
        <w:rPr>
          <w:rFonts w:ascii="Times New Roman" w:eastAsia="Times New Roman" w:hAnsi="Times New Roman" w:cs="Times New Roman"/>
          <w:lang w:eastAsia="en-GB"/>
        </w:rPr>
        <w:t xml:space="preserve"> à l'évaluation des projets d'appui technique en association avec l'unité horizontale en charge au sein de la DG REFORM </w:t>
      </w:r>
    </w:p>
    <w:p w14:paraId="3FD4E9C5" w14:textId="7A8C17B3"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Participer à des missions en relation avec l'appui technique dans le domaine de</w:t>
      </w:r>
      <w:r w:rsidR="00AB1553">
        <w:rPr>
          <w:rFonts w:ascii="Times New Roman" w:eastAsia="Times New Roman" w:hAnsi="Times New Roman" w:cs="Times New Roman"/>
          <w:lang w:eastAsia="en-GB"/>
        </w:rPr>
        <w:t>s</w:t>
      </w:r>
      <w:r w:rsidRPr="00F410A4">
        <w:rPr>
          <w:rFonts w:ascii="Times New Roman" w:eastAsia="Times New Roman" w:hAnsi="Times New Roman" w:cs="Times New Roman"/>
          <w:lang w:eastAsia="en-GB"/>
        </w:rPr>
        <w:t xml:space="preserve"> </w:t>
      </w:r>
      <w:r w:rsidR="00B75E82" w:rsidRPr="00F410A4">
        <w:rPr>
          <w:rFonts w:ascii="Times New Roman" w:eastAsia="Times New Roman" w:hAnsi="Times New Roman" w:cs="Times New Roman"/>
          <w:lang w:eastAsia="en-GB"/>
        </w:rPr>
        <w:t xml:space="preserve">finances publiques.  </w:t>
      </w:r>
    </w:p>
    <w:p w14:paraId="661900F5" w14:textId="77777777"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Diffuser les meilleures pratiques pour la mise en œuvre des réformes structurelles en mettant en relation et en partageant les </w:t>
      </w:r>
      <w:proofErr w:type="gramStart"/>
      <w:r w:rsidRPr="00F410A4">
        <w:rPr>
          <w:rFonts w:ascii="Times New Roman" w:eastAsia="Times New Roman" w:hAnsi="Times New Roman" w:cs="Times New Roman"/>
          <w:lang w:eastAsia="en-GB"/>
        </w:rPr>
        <w:t>expériences;</w:t>
      </w:r>
      <w:proofErr w:type="gramEnd"/>
      <w:r w:rsidRPr="00F410A4">
        <w:rPr>
          <w:rFonts w:ascii="Times New Roman" w:eastAsia="Times New Roman" w:hAnsi="Times New Roman" w:cs="Times New Roman"/>
          <w:lang w:eastAsia="en-GB"/>
        </w:rPr>
        <w:t xml:space="preserve"> et</w:t>
      </w:r>
    </w:p>
    <w:p w14:paraId="6846A166" w14:textId="6B762EAD" w:rsidR="00F410A4" w:rsidRPr="00F410A4" w:rsidRDefault="00F410A4" w:rsidP="00F410A4">
      <w:pPr>
        <w:pStyle w:val="ListParagraph"/>
        <w:numPr>
          <w:ilvl w:val="0"/>
          <w:numId w:val="39"/>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Aider à identifier les besoins de reformes et à suggérer des moyens de les accomplir au travers de la fourniture d'appui technique, en coordination avec les services de la Commission concernés et l'État membre demandeur de l'appui technique. Ceci implique de travailler avec les États membres demandeurs à l'identification des questions/entraves/problèmes au sein de leur système actuel de</w:t>
      </w:r>
      <w:r w:rsidR="00AB1553">
        <w:rPr>
          <w:rFonts w:ascii="Times New Roman" w:eastAsia="Times New Roman" w:hAnsi="Times New Roman" w:cs="Times New Roman"/>
          <w:lang w:eastAsia="en-GB"/>
        </w:rPr>
        <w:t>s</w:t>
      </w:r>
      <w:r w:rsidRPr="00F410A4">
        <w:rPr>
          <w:rFonts w:ascii="Times New Roman" w:eastAsia="Times New Roman" w:hAnsi="Times New Roman" w:cs="Times New Roman"/>
          <w:lang w:eastAsia="en-GB"/>
        </w:rPr>
        <w:t xml:space="preserve"> </w:t>
      </w:r>
      <w:r w:rsidR="00B75E82" w:rsidRPr="00F410A4">
        <w:rPr>
          <w:rFonts w:ascii="Times New Roman" w:eastAsia="Times New Roman" w:hAnsi="Times New Roman" w:cs="Times New Roman"/>
          <w:lang w:eastAsia="en-GB"/>
        </w:rPr>
        <w:t xml:space="preserve">finances publiques.  </w:t>
      </w:r>
      <w:proofErr w:type="gramStart"/>
      <w:r w:rsidRPr="00F410A4">
        <w:rPr>
          <w:rFonts w:ascii="Times New Roman" w:eastAsia="Times New Roman" w:hAnsi="Times New Roman" w:cs="Times New Roman"/>
          <w:lang w:eastAsia="en-GB"/>
        </w:rPr>
        <w:t>et</w:t>
      </w:r>
      <w:proofErr w:type="gramEnd"/>
      <w:r w:rsidRPr="00F410A4">
        <w:rPr>
          <w:rFonts w:ascii="Times New Roman" w:eastAsia="Times New Roman" w:hAnsi="Times New Roman" w:cs="Times New Roman"/>
          <w:lang w:eastAsia="en-GB"/>
        </w:rPr>
        <w:t xml:space="preserve"> au développement de recommandations de politiques publiques afin d'améliorer ce système au vu des meilleures pratiques européennes et internationales.</w:t>
      </w:r>
    </w:p>
    <w:p w14:paraId="78AAC38E" w14:textId="77777777" w:rsidR="00F410A4" w:rsidRPr="00F410A4" w:rsidRDefault="00F410A4" w:rsidP="00F410A4">
      <w:pPr>
        <w:spacing w:after="0" w:line="240" w:lineRule="auto"/>
        <w:ind w:left="426"/>
        <w:jc w:val="both"/>
        <w:rPr>
          <w:rFonts w:ascii="Times New Roman" w:eastAsia="Times New Roman" w:hAnsi="Times New Roman" w:cs="Times New Roman"/>
          <w:lang w:eastAsia="en-GB"/>
        </w:rPr>
      </w:pPr>
    </w:p>
    <w:p w14:paraId="4A1D284E" w14:textId="77777777" w:rsidR="00D770A7" w:rsidRPr="00D770A7" w:rsidRDefault="00F410A4" w:rsidP="00F410A4">
      <w:pPr>
        <w:spacing w:after="0" w:line="240" w:lineRule="auto"/>
        <w:ind w:left="426"/>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 xml:space="preserve">Compte tenu de ces tâches, le poste requiert des visites régulières dans les États membres, à la fois pour la coordination/la fourniture/le contrôle de l'appui technique dans les pays bénéficiaires et pour renforcer les liens avec des prestataires potentiels d'appui technique dans les États membres. Il peut aussi impliquer la participation à des missions organisées avec le FMI, l'OCDE ou la Banque mondiale. </w:t>
      </w:r>
      <w:r w:rsidR="00D770A7" w:rsidRPr="00D770A7">
        <w:rPr>
          <w:rFonts w:ascii="Times New Roman" w:eastAsia="Times New Roman" w:hAnsi="Times New Roman" w:cs="Times New Roman"/>
          <w:lang w:eastAsia="en-GB"/>
        </w:rPr>
        <w:t xml:space="preserve"> </w:t>
      </w:r>
    </w:p>
    <w:p w14:paraId="5BA00CC7" w14:textId="77777777" w:rsidR="008A02AF" w:rsidRPr="002F53FB" w:rsidRDefault="008A02AF" w:rsidP="008A02AF">
      <w:pPr>
        <w:spacing w:after="0" w:line="240" w:lineRule="auto"/>
        <w:ind w:left="426"/>
        <w:jc w:val="both"/>
        <w:rPr>
          <w:rFonts w:ascii="Times New Roman" w:eastAsia="Times New Roman" w:hAnsi="Times New Roman" w:cs="Times New Roman"/>
          <w:lang w:eastAsia="en-GB"/>
        </w:rPr>
      </w:pPr>
    </w:p>
    <w:p w14:paraId="26172355"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60B34314"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8212FE1"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0C36ADDF"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28B90367"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CC45385"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2C4EBA2"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proofErr w:type="gramStart"/>
      <w:r w:rsidRPr="00745B97">
        <w:rPr>
          <w:rFonts w:ascii="Times New Roman" w:eastAsia="Times New Roman" w:hAnsi="Times New Roman" w:cs="Times New Roman"/>
          <w:lang w:eastAsia="en-GB"/>
        </w:rPr>
        <w:t>AD;</w:t>
      </w:r>
      <w:proofErr w:type="gramEnd"/>
    </w:p>
    <w:p w14:paraId="07908949"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4EEF6A7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w:t>
      </w:r>
      <w:proofErr w:type="gramStart"/>
      <w:r w:rsidRPr="00745B97">
        <w:rPr>
          <w:rFonts w:ascii="Times New Roman" w:eastAsia="Times New Roman" w:hAnsi="Times New Roman" w:cs="Times New Roman"/>
          <w:lang w:eastAsia="en-GB"/>
        </w:rPr>
        <w:t>détachement;</w:t>
      </w:r>
      <w:proofErr w:type="gramEnd"/>
      <w:r w:rsidRPr="00745B97">
        <w:rPr>
          <w:rFonts w:ascii="Times New Roman" w:eastAsia="Times New Roman" w:hAnsi="Times New Roman" w:cs="Times New Roman"/>
          <w:lang w:eastAsia="en-GB"/>
        </w:rPr>
        <w:t xml:space="preserve"> </w:t>
      </w:r>
    </w:p>
    <w:p w14:paraId="51D54DB9"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F1385E6"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w:t>
      </w:r>
      <w:r w:rsidRPr="00745B97">
        <w:rPr>
          <w:rFonts w:ascii="Times New Roman" w:eastAsia="Times New Roman" w:hAnsi="Times New Roman" w:cs="Times New Roman"/>
          <w:lang w:eastAsia="en-GB"/>
        </w:rPr>
        <w:lastRenderedPageBreak/>
        <w:t>approfondie d'une langue de l'Union européenne nécessaire à l'accomplissement des tâches qui lui seront confiées.</w:t>
      </w:r>
    </w:p>
    <w:p w14:paraId="2B04C4A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0F87342"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066AA73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49D7C63"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68B9BD86"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38A8BC89"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3C559B1A"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3B2C0B4A" w14:textId="77777777" w:rsidR="00745B97" w:rsidRPr="004D1C94" w:rsidRDefault="00745B97" w:rsidP="00E12EF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7F276B">
        <w:rPr>
          <w:rFonts w:ascii="Times New Roman" w:eastAsia="Times New Roman" w:hAnsi="Times New Roman" w:cs="Times New Roman"/>
          <w:lang w:eastAsia="en-GB"/>
        </w:rPr>
        <w:t> </w:t>
      </w:r>
      <w:r w:rsidR="007F276B" w:rsidRPr="00E12EF4">
        <w:rPr>
          <w:rFonts w:ascii="Times New Roman" w:eastAsia="Times New Roman" w:hAnsi="Times New Roman" w:cs="Times New Roman"/>
          <w:lang w:eastAsia="en-GB"/>
        </w:rPr>
        <w:t>:</w:t>
      </w:r>
      <w:r w:rsidR="00E12EF4" w:rsidRPr="00E12EF4">
        <w:rPr>
          <w:rFonts w:ascii="Times New Roman" w:hAnsi="Times New Roman" w:cs="Times New Roman"/>
        </w:rPr>
        <w:t xml:space="preserve"> </w:t>
      </w:r>
      <w:r w:rsidR="00F410A4" w:rsidRPr="00F410A4">
        <w:rPr>
          <w:rFonts w:ascii="Times New Roman" w:hAnsi="Times New Roman" w:cs="Times New Roman"/>
        </w:rPr>
        <w:t>économie, comptabilité, administration publique/droit public, audit, science</w:t>
      </w:r>
      <w:r w:rsidR="00F410A4">
        <w:rPr>
          <w:rFonts w:ascii="Times New Roman" w:hAnsi="Times New Roman" w:cs="Times New Roman"/>
        </w:rPr>
        <w:t>s</w:t>
      </w:r>
      <w:r w:rsidR="00F410A4" w:rsidRPr="00F410A4">
        <w:rPr>
          <w:rFonts w:ascii="Times New Roman" w:hAnsi="Times New Roman" w:cs="Times New Roman"/>
        </w:rPr>
        <w:t xml:space="preserve"> politique</w:t>
      </w:r>
      <w:r w:rsidR="00F410A4">
        <w:rPr>
          <w:rFonts w:ascii="Times New Roman" w:hAnsi="Times New Roman" w:cs="Times New Roman"/>
        </w:rPr>
        <w:t>s</w:t>
      </w:r>
      <w:r w:rsidR="00E12EF4">
        <w:rPr>
          <w:rFonts w:ascii="Times New Roman" w:eastAsia="Times New Roman" w:hAnsi="Times New Roman" w:cs="Times New Roman"/>
          <w:lang w:eastAsia="en-GB"/>
        </w:rPr>
        <w:t>.</w:t>
      </w:r>
    </w:p>
    <w:p w14:paraId="23B9DD5E" w14:textId="77777777" w:rsidR="001F34B4" w:rsidRPr="00745B97" w:rsidRDefault="001F34B4" w:rsidP="00745B97">
      <w:pPr>
        <w:tabs>
          <w:tab w:val="left" w:pos="709"/>
        </w:tabs>
        <w:spacing w:after="0" w:line="240" w:lineRule="auto"/>
        <w:ind w:left="709" w:right="60"/>
        <w:jc w:val="both"/>
        <w:rPr>
          <w:rFonts w:ascii="Times New Roman" w:eastAsia="Times New Roman" w:hAnsi="Times New Roman" w:cs="Times New Roman"/>
          <w:lang w:eastAsia="en-GB"/>
        </w:rPr>
      </w:pPr>
    </w:p>
    <w:p w14:paraId="2C6E1D91"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177102EB"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6589B089" w14:textId="77777777" w:rsidR="001F34B4" w:rsidRPr="008A02AF" w:rsidRDefault="00F410A4" w:rsidP="00D770A7">
      <w:pPr>
        <w:tabs>
          <w:tab w:val="left" w:pos="709"/>
        </w:tabs>
        <w:spacing w:after="0" w:line="240" w:lineRule="auto"/>
        <w:ind w:left="709" w:right="60"/>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L'expert devra démontrer une capacité à assumer un haut niveau de responsabilité et posséder une connaissance approfondie d'un éventail de sujets dans le domaine de l’administration fiscale. Au moins 6 ans d'expérience dans le domaine de la gestion des finances publiques, couvrant des domaines tels que la conformité fiscale et la planification fiscale agressive, la fraude et l’évasion fiscales.  Une expérience antérieure de prestataire d'appui technique, en particulier en travaillant en collaboration avec des organisations internationales, serait un atout important pour le candidat. L'expert devra démontrer aussi des capacités analytiques importantes et une aptitude à apprendre et à devenir rapidement opérationnel sur de nouveaux sujets, y compris les aspects procéduraux du déploiement du soutien technique financé par l’UE au profit des États membres. D'excellentes capacités écrites et orales en anglais sont requises. L'aptitude à travailler rapidement avec un jugement sûr et à interagir efficacement avec ses collègues - à la fois internes et externes- est essentielle. Une expérience antérieure en tant que gestionnaire de projets d'appui technique serait un avantage.</w:t>
      </w:r>
    </w:p>
    <w:p w14:paraId="6E465654" w14:textId="77777777" w:rsidR="001F34B4" w:rsidRPr="001F34B4" w:rsidRDefault="001F34B4" w:rsidP="001F34B4">
      <w:pPr>
        <w:tabs>
          <w:tab w:val="left" w:pos="709"/>
        </w:tabs>
        <w:spacing w:after="0" w:line="240" w:lineRule="auto"/>
        <w:ind w:left="709" w:right="60"/>
        <w:jc w:val="both"/>
        <w:rPr>
          <w:rFonts w:ascii="Times New Roman" w:eastAsia="Times New Roman" w:hAnsi="Times New Roman" w:cs="Times New Roman"/>
          <w:lang w:eastAsia="en-GB"/>
        </w:rPr>
      </w:pPr>
    </w:p>
    <w:p w14:paraId="1B6AB733"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6802DB8B"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50AD504B" w14:textId="77777777" w:rsidR="001F18BF" w:rsidRDefault="00F410A4" w:rsidP="008A02AF">
      <w:pPr>
        <w:spacing w:after="0" w:line="240" w:lineRule="auto"/>
        <w:ind w:left="709"/>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L'expert national détaché travaillera essentiellement en anglais. D'excellentes capacités écrites et orales en anglais sont essentielles.</w:t>
      </w:r>
    </w:p>
    <w:p w14:paraId="23EE1D32" w14:textId="77777777" w:rsidR="008A02AF" w:rsidRPr="00745B97" w:rsidRDefault="008A02AF" w:rsidP="008A02AF">
      <w:pPr>
        <w:spacing w:after="0" w:line="240" w:lineRule="auto"/>
        <w:ind w:left="709"/>
        <w:jc w:val="both"/>
        <w:rPr>
          <w:rFonts w:ascii="Times New Roman" w:eastAsia="Times New Roman" w:hAnsi="Times New Roman" w:cs="Times New Roman"/>
          <w:lang w:eastAsia="en-GB"/>
        </w:rPr>
      </w:pPr>
    </w:p>
    <w:p w14:paraId="00E2D9BD"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19C7E19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425D44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14:paraId="5A4D1074" w14:textId="77777777"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597D08DE" w14:textId="77777777" w:rsidR="002D5733" w:rsidRDefault="002D5733" w:rsidP="00745B97">
      <w:pPr>
        <w:spacing w:after="0" w:line="240" w:lineRule="auto"/>
        <w:ind w:left="426"/>
        <w:rPr>
          <w:rFonts w:ascii="Times New Roman" w:eastAsia="Times New Roman" w:hAnsi="Times New Roman" w:cs="Times New Roman"/>
          <w:lang w:eastAsia="en-GB"/>
        </w:rPr>
      </w:pPr>
    </w:p>
    <w:p w14:paraId="2CCA2330"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61B4A98C"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AD95A2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2F6401B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2AA21C2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281EBBC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3E161F8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71C34E69"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14:paraId="6CA3F4F9"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68F9E4C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5CA648F"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5080999D"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09209C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2D8F01A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623F00A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26095EE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508AF2B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7D8E9A7D"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62C9B434"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6F132666"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4CB50C64"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proofErr w:type="gramStart"/>
      <w:r w:rsidRPr="00745B97">
        <w:rPr>
          <w:rFonts w:ascii="Times New Roman" w:eastAsia="Times New Roman" w:hAnsi="Times New Roman" w:cs="Times New Roman"/>
          <w:lang w:eastAsia="en-GB"/>
        </w:rPr>
        <w:t>HR.DDG.B.</w:t>
      </w:r>
      <w:proofErr w:type="gramEnd"/>
      <w:r w:rsidRPr="00745B97">
        <w:rPr>
          <w:rFonts w:ascii="Times New Roman" w:eastAsia="Times New Roman" w:hAnsi="Times New Roman" w:cs="Times New Roman"/>
          <w:lang w:eastAsia="en-GB"/>
        </w:rPr>
        <w:t xml:space="preserve">4, </w:t>
      </w:r>
      <w:hyperlink r:id="rId11"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14:paraId="58A9438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70914F49"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119BA646" w14:textId="77777777"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1B467D8F" w14:textId="77777777"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14:paraId="7A4B9E47"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42040700"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2F8D528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5BA4FD5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6397875C"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w:t>
      </w:r>
      <w:proofErr w:type="gramStart"/>
      <w:r w:rsidRPr="00745B97">
        <w:rPr>
          <w:rFonts w:ascii="Times New Roman" w:eastAsia="Times New Roman" w:hAnsi="Times New Roman" w:cs="Times New Roman"/>
          <w:lang w:eastAsia="en-GB"/>
        </w:rPr>
        <w:t>tiers:</w:t>
      </w:r>
      <w:proofErr w:type="gramEnd"/>
      <w:r w:rsidRPr="00745B97">
        <w:rPr>
          <w:rFonts w:ascii="Times New Roman" w:eastAsia="Times New Roman" w:hAnsi="Times New Roman" w:cs="Times New Roman"/>
          <w:lang w:eastAsia="en-GB"/>
        </w:rPr>
        <w:t xml:space="preserve"> vos données personnelles peuvent être utilisées aux fins des vérifications nécessaires.</w:t>
      </w:r>
    </w:p>
    <w:p w14:paraId="4730BA53" w14:textId="77777777" w:rsidR="00AC55BD" w:rsidRDefault="002D55E5"/>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8102" w14:textId="77777777" w:rsidR="00745B97" w:rsidRDefault="00745B97" w:rsidP="00745B97">
      <w:pPr>
        <w:spacing w:after="0" w:line="240" w:lineRule="auto"/>
      </w:pPr>
      <w:r>
        <w:separator/>
      </w:r>
    </w:p>
  </w:endnote>
  <w:endnote w:type="continuationSeparator" w:id="0">
    <w:p w14:paraId="00A36326"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AEEB" w14:textId="77777777"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6FACE" w14:textId="77777777" w:rsidR="00745B97" w:rsidRDefault="00745B97" w:rsidP="00745B97">
      <w:pPr>
        <w:spacing w:after="0" w:line="240" w:lineRule="auto"/>
      </w:pPr>
      <w:r>
        <w:separator/>
      </w:r>
    </w:p>
  </w:footnote>
  <w:footnote w:type="continuationSeparator" w:id="0">
    <w:p w14:paraId="020655A9" w14:textId="77777777" w:rsidR="00745B97" w:rsidRDefault="00745B97" w:rsidP="00745B97">
      <w:pPr>
        <w:spacing w:after="0" w:line="240" w:lineRule="auto"/>
      </w:pPr>
      <w:r>
        <w:continuationSeparator/>
      </w:r>
    </w:p>
  </w:footnote>
  <w:footnote w:id="1">
    <w:p w14:paraId="2F532179" w14:textId="77777777"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2E95702"/>
    <w:multiLevelType w:val="hybridMultilevel"/>
    <w:tmpl w:val="4D7E711C"/>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AF14C1"/>
    <w:multiLevelType w:val="hybridMultilevel"/>
    <w:tmpl w:val="AEFC9F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A2070DE"/>
    <w:multiLevelType w:val="hybridMultilevel"/>
    <w:tmpl w:val="A032344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D0C0BAC"/>
    <w:multiLevelType w:val="hybridMultilevel"/>
    <w:tmpl w:val="DA8CB85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07263C2"/>
    <w:multiLevelType w:val="hybridMultilevel"/>
    <w:tmpl w:val="B13CED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EC3D86"/>
    <w:multiLevelType w:val="hybridMultilevel"/>
    <w:tmpl w:val="280241CC"/>
    <w:lvl w:ilvl="0" w:tplc="91225E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EE03C2"/>
    <w:multiLevelType w:val="hybridMultilevel"/>
    <w:tmpl w:val="D12C1042"/>
    <w:lvl w:ilvl="0" w:tplc="21785350">
      <w:start w:val="1"/>
      <w:numFmt w:val="bullet"/>
      <w:lvlText w:val="-"/>
      <w:lvlJc w:val="left"/>
      <w:pPr>
        <w:ind w:left="1146" w:hanging="360"/>
      </w:pPr>
      <w:rPr>
        <w:rFonts w:ascii="Times New Roman" w:hAnsi="Times New Roman" w:cs="Times New Roman" w:hint="default"/>
      </w:rPr>
    </w:lvl>
    <w:lvl w:ilvl="1" w:tplc="022A59AA">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F72A31"/>
    <w:multiLevelType w:val="hybridMultilevel"/>
    <w:tmpl w:val="0422EB98"/>
    <w:lvl w:ilvl="0" w:tplc="BB646AA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F867EE"/>
    <w:multiLevelType w:val="hybridMultilevel"/>
    <w:tmpl w:val="A64411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0202C4B"/>
    <w:multiLevelType w:val="hybridMultilevel"/>
    <w:tmpl w:val="FB36D27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953F28"/>
    <w:multiLevelType w:val="hybridMultilevel"/>
    <w:tmpl w:val="E77619EA"/>
    <w:lvl w:ilvl="0" w:tplc="BE5C765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8C6648E"/>
    <w:multiLevelType w:val="hybridMultilevel"/>
    <w:tmpl w:val="F0407F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6B71A9"/>
    <w:multiLevelType w:val="hybridMultilevel"/>
    <w:tmpl w:val="763201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70C7507"/>
    <w:multiLevelType w:val="hybridMultilevel"/>
    <w:tmpl w:val="6FACBA5A"/>
    <w:lvl w:ilvl="0" w:tplc="BB8EE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6B54288"/>
    <w:multiLevelType w:val="hybridMultilevel"/>
    <w:tmpl w:val="4DB2F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CF21C4D"/>
    <w:multiLevelType w:val="hybridMultilevel"/>
    <w:tmpl w:val="D9C28A08"/>
    <w:lvl w:ilvl="0" w:tplc="21785350">
      <w:start w:val="1"/>
      <w:numFmt w:val="bullet"/>
      <w:lvlText w:val="-"/>
      <w:lvlJc w:val="left"/>
      <w:pPr>
        <w:ind w:left="1200" w:hanging="360"/>
      </w:pPr>
      <w:rPr>
        <w:rFonts w:ascii="Times New Roman" w:hAnsi="Times New Roman" w:cs="Times New Roman"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num w:numId="1" w16cid:durableId="1985889825">
    <w:abstractNumId w:val="18"/>
  </w:num>
  <w:num w:numId="2" w16cid:durableId="476190609">
    <w:abstractNumId w:val="15"/>
  </w:num>
  <w:num w:numId="3" w16cid:durableId="1845851524">
    <w:abstractNumId w:val="33"/>
  </w:num>
  <w:num w:numId="4" w16cid:durableId="321549738">
    <w:abstractNumId w:val="20"/>
  </w:num>
  <w:num w:numId="5" w16cid:durableId="1437209676">
    <w:abstractNumId w:val="16"/>
  </w:num>
  <w:num w:numId="6" w16cid:durableId="1955012458">
    <w:abstractNumId w:val="4"/>
  </w:num>
  <w:num w:numId="7" w16cid:durableId="829294560">
    <w:abstractNumId w:val="24"/>
  </w:num>
  <w:num w:numId="8" w16cid:durableId="1841777790">
    <w:abstractNumId w:val="17"/>
  </w:num>
  <w:num w:numId="9" w16cid:durableId="1440835801">
    <w:abstractNumId w:val="25"/>
  </w:num>
  <w:num w:numId="10" w16cid:durableId="760679398">
    <w:abstractNumId w:val="13"/>
  </w:num>
  <w:num w:numId="11" w16cid:durableId="1798178386">
    <w:abstractNumId w:val="1"/>
  </w:num>
  <w:num w:numId="12" w16cid:durableId="840582788">
    <w:abstractNumId w:val="8"/>
  </w:num>
  <w:num w:numId="13" w16cid:durableId="289287396">
    <w:abstractNumId w:val="27"/>
  </w:num>
  <w:num w:numId="14" w16cid:durableId="2135826053">
    <w:abstractNumId w:val="32"/>
  </w:num>
  <w:num w:numId="15" w16cid:durableId="1250970515">
    <w:abstractNumId w:val="9"/>
  </w:num>
  <w:num w:numId="16" w16cid:durableId="2147239326">
    <w:abstractNumId w:val="0"/>
  </w:num>
  <w:num w:numId="17" w16cid:durableId="552422637">
    <w:abstractNumId w:val="36"/>
  </w:num>
  <w:num w:numId="18" w16cid:durableId="1448083831">
    <w:abstractNumId w:val="34"/>
  </w:num>
  <w:num w:numId="19" w16cid:durableId="2097703037">
    <w:abstractNumId w:val="23"/>
  </w:num>
  <w:num w:numId="20" w16cid:durableId="1566136779">
    <w:abstractNumId w:val="19"/>
  </w:num>
  <w:num w:numId="21" w16cid:durableId="838733801">
    <w:abstractNumId w:val="37"/>
  </w:num>
  <w:num w:numId="22" w16cid:durableId="1397977141">
    <w:abstractNumId w:val="31"/>
  </w:num>
  <w:num w:numId="23" w16cid:durableId="14115929">
    <w:abstractNumId w:val="35"/>
  </w:num>
  <w:num w:numId="24" w16cid:durableId="1738743030">
    <w:abstractNumId w:val="12"/>
  </w:num>
  <w:num w:numId="25" w16cid:durableId="2059626586">
    <w:abstractNumId w:val="5"/>
  </w:num>
  <w:num w:numId="26" w16cid:durableId="1993174235">
    <w:abstractNumId w:val="2"/>
  </w:num>
  <w:num w:numId="27" w16cid:durableId="578295921">
    <w:abstractNumId w:val="28"/>
  </w:num>
  <w:num w:numId="28" w16cid:durableId="1370229523">
    <w:abstractNumId w:val="30"/>
  </w:num>
  <w:num w:numId="29" w16cid:durableId="206915469">
    <w:abstractNumId w:val="6"/>
  </w:num>
  <w:num w:numId="30" w16cid:durableId="450592430">
    <w:abstractNumId w:val="14"/>
  </w:num>
  <w:num w:numId="31" w16cid:durableId="1502308572">
    <w:abstractNumId w:val="38"/>
  </w:num>
  <w:num w:numId="32" w16cid:durableId="1637103083">
    <w:abstractNumId w:val="22"/>
  </w:num>
  <w:num w:numId="33" w16cid:durableId="1506631692">
    <w:abstractNumId w:val="29"/>
  </w:num>
  <w:num w:numId="34" w16cid:durableId="446198352">
    <w:abstractNumId w:val="3"/>
  </w:num>
  <w:num w:numId="35" w16cid:durableId="1775393542">
    <w:abstractNumId w:val="21"/>
  </w:num>
  <w:num w:numId="36" w16cid:durableId="1436173634">
    <w:abstractNumId w:val="26"/>
  </w:num>
  <w:num w:numId="37" w16cid:durableId="1667782433">
    <w:abstractNumId w:val="7"/>
  </w:num>
  <w:num w:numId="38" w16cid:durableId="1344209048">
    <w:abstractNumId w:val="10"/>
  </w:num>
  <w:num w:numId="39" w16cid:durableId="15498734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45B97"/>
    <w:rsid w:val="00010C4F"/>
    <w:rsid w:val="000D40F0"/>
    <w:rsid w:val="000D7956"/>
    <w:rsid w:val="000E6DA3"/>
    <w:rsid w:val="0019598C"/>
    <w:rsid w:val="001D1CEB"/>
    <w:rsid w:val="001F18BF"/>
    <w:rsid w:val="001F34B4"/>
    <w:rsid w:val="001F6A8B"/>
    <w:rsid w:val="00220471"/>
    <w:rsid w:val="00294A59"/>
    <w:rsid w:val="002A3536"/>
    <w:rsid w:val="002D3AB2"/>
    <w:rsid w:val="002D55E5"/>
    <w:rsid w:val="002D5733"/>
    <w:rsid w:val="002F53FB"/>
    <w:rsid w:val="003445AE"/>
    <w:rsid w:val="0036190C"/>
    <w:rsid w:val="00381739"/>
    <w:rsid w:val="003F6A25"/>
    <w:rsid w:val="0041391F"/>
    <w:rsid w:val="00443EC9"/>
    <w:rsid w:val="004947DA"/>
    <w:rsid w:val="004D1C94"/>
    <w:rsid w:val="00504F19"/>
    <w:rsid w:val="00534042"/>
    <w:rsid w:val="00563A0A"/>
    <w:rsid w:val="00581C3B"/>
    <w:rsid w:val="006321C7"/>
    <w:rsid w:val="006851C8"/>
    <w:rsid w:val="006F273B"/>
    <w:rsid w:val="00745B97"/>
    <w:rsid w:val="00762B34"/>
    <w:rsid w:val="00793AF8"/>
    <w:rsid w:val="007F276B"/>
    <w:rsid w:val="007F46B6"/>
    <w:rsid w:val="007F771A"/>
    <w:rsid w:val="00803AF5"/>
    <w:rsid w:val="00804B2F"/>
    <w:rsid w:val="008A02AF"/>
    <w:rsid w:val="008B07A1"/>
    <w:rsid w:val="00902804"/>
    <w:rsid w:val="00906967"/>
    <w:rsid w:val="00925335"/>
    <w:rsid w:val="0099699E"/>
    <w:rsid w:val="009A421C"/>
    <w:rsid w:val="009C39A3"/>
    <w:rsid w:val="00A140DB"/>
    <w:rsid w:val="00A23D3E"/>
    <w:rsid w:val="00A516E1"/>
    <w:rsid w:val="00AB1553"/>
    <w:rsid w:val="00B05153"/>
    <w:rsid w:val="00B36D07"/>
    <w:rsid w:val="00B75E82"/>
    <w:rsid w:val="00BA34CF"/>
    <w:rsid w:val="00BC14A5"/>
    <w:rsid w:val="00BC7BB6"/>
    <w:rsid w:val="00C20621"/>
    <w:rsid w:val="00CF677F"/>
    <w:rsid w:val="00D770A7"/>
    <w:rsid w:val="00D805C9"/>
    <w:rsid w:val="00D869ED"/>
    <w:rsid w:val="00D9400C"/>
    <w:rsid w:val="00DF5355"/>
    <w:rsid w:val="00E109FB"/>
    <w:rsid w:val="00E12EF4"/>
    <w:rsid w:val="00E441A0"/>
    <w:rsid w:val="00F410A4"/>
    <w:rsid w:val="00F562B9"/>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93AC2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Revision">
    <w:name w:val="Revision"/>
    <w:hidden/>
    <w:uiPriority w:val="99"/>
    <w:semiHidden/>
    <w:rsid w:val="00B75E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4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hristoph.SCHWIER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B9FD8-536B-4D99-B8FB-E17F18D8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2066</Words>
  <Characters>11821</Characters>
  <Application>Microsoft Office Word</Application>
  <DocSecurity>0</DocSecurity>
  <Lines>223</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SCHWIERZ Christoph (REFORM)</cp:lastModifiedBy>
  <cp:revision>10</cp:revision>
  <dcterms:created xsi:type="dcterms:W3CDTF">2022-12-16T09:49:00Z</dcterms:created>
  <dcterms:modified xsi:type="dcterms:W3CDTF">2023-03-10T16:18:00Z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2022-12-16T09:46:42Z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ffab385b-0628-4efb-869c-6c86347923ab</vt:lpwstr>
  </property>
  <property fmtid="{D5CDD505-2E9C-101B-9397-08002B2CF9AE}" pid="8" name="MSIP_Label_f4cdc456-5864-460f-beda-883d23b78bbb_ContentBits">
    <vt:lpwstr>0</vt:lpwstr>
  </property>
</Properties>
</file>