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950BC"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368DD31" wp14:editId="58FA6EE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B2B1D"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6A81EA2C"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150196E5"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79067ACC"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08A1D960"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3CED6057" w14:textId="77777777" w:rsidTr="00EC6FF0">
        <w:trPr>
          <w:trHeight w:val="611"/>
          <w:jc w:val="center"/>
        </w:trPr>
        <w:tc>
          <w:tcPr>
            <w:tcW w:w="4359" w:type="dxa"/>
          </w:tcPr>
          <w:p w14:paraId="441CF5B1"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14:paraId="260A5B86"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7665DD72" w14:textId="77777777" w:rsidR="00745B97" w:rsidRPr="00381739" w:rsidRDefault="00F410A4"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REFORM-B-1</w:t>
            </w:r>
          </w:p>
        </w:tc>
      </w:tr>
      <w:tr w:rsidR="00745B97" w:rsidRPr="00745B97" w14:paraId="657FFBB6" w14:textId="77777777" w:rsidTr="00EC6FF0">
        <w:trPr>
          <w:trHeight w:val="1977"/>
          <w:jc w:val="center"/>
        </w:trPr>
        <w:tc>
          <w:tcPr>
            <w:tcW w:w="4359" w:type="dxa"/>
            <w:tcBorders>
              <w:bottom w:val="nil"/>
            </w:tcBorders>
          </w:tcPr>
          <w:p w14:paraId="7995C23E" w14:textId="77777777"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14:paraId="0149C029"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14:paraId="055D8D49"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7101D953"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14:paraId="6EFB2624"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33F31DB4"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10C74827"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4827B7C4" w14:textId="77777777" w:rsidR="00F410A4" w:rsidRPr="0099699E" w:rsidRDefault="00F410A4" w:rsidP="00F410A4">
            <w:pPr>
              <w:rPr>
                <w:rFonts w:ascii="Times New Roman" w:hAnsi="Times New Roman" w:cs="Times New Roman"/>
                <w:b/>
                <w:lang w:val="de-DE"/>
              </w:rPr>
            </w:pPr>
            <w:r w:rsidRPr="0099699E">
              <w:rPr>
                <w:rFonts w:ascii="Times New Roman" w:hAnsi="Times New Roman" w:cs="Times New Roman"/>
                <w:b/>
                <w:lang w:val="de-DE"/>
              </w:rPr>
              <w:t xml:space="preserve">Christoph SCHWIERZ </w:t>
            </w:r>
          </w:p>
          <w:p w14:paraId="36C1AB80" w14:textId="77777777" w:rsidR="00F410A4" w:rsidRPr="0099699E" w:rsidRDefault="00BC7BB6" w:rsidP="00F410A4">
            <w:pPr>
              <w:rPr>
                <w:rFonts w:ascii="Times New Roman" w:hAnsi="Times New Roman" w:cs="Times New Roman"/>
                <w:b/>
                <w:lang w:val="de-DE"/>
              </w:rPr>
            </w:pPr>
            <w:hyperlink r:id="rId8" w:history="1">
              <w:r w:rsidR="00F410A4" w:rsidRPr="0099699E">
                <w:rPr>
                  <w:rStyle w:val="Hyperlink"/>
                  <w:rFonts w:ascii="Times New Roman" w:hAnsi="Times New Roman" w:cs="Times New Roman"/>
                  <w:b/>
                  <w:lang w:val="de-DE"/>
                </w:rPr>
                <w:t>Christoph.SCHWIERZ@ec.europa.eu</w:t>
              </w:r>
            </w:hyperlink>
            <w:r w:rsidR="00F410A4" w:rsidRPr="0099699E">
              <w:rPr>
                <w:rFonts w:ascii="Times New Roman" w:hAnsi="Times New Roman" w:cs="Times New Roman"/>
                <w:b/>
                <w:lang w:val="de-DE"/>
              </w:rPr>
              <w:t xml:space="preserve"> </w:t>
            </w:r>
          </w:p>
          <w:p w14:paraId="3EDD2A69" w14:textId="77777777" w:rsidR="00381739" w:rsidRPr="00F410A4" w:rsidRDefault="00F410A4" w:rsidP="00F410A4">
            <w:pPr>
              <w:rPr>
                <w:rFonts w:ascii="Times New Roman" w:hAnsi="Times New Roman" w:cs="Times New Roman"/>
                <w:b/>
                <w:lang w:val="en-GB"/>
              </w:rPr>
            </w:pPr>
            <w:r w:rsidRPr="00F410A4">
              <w:rPr>
                <w:rFonts w:ascii="Times New Roman" w:hAnsi="Times New Roman" w:cs="Times New Roman"/>
                <w:b/>
                <w:lang w:val="en-GB"/>
              </w:rPr>
              <w:t>+32 2 29607521</w:t>
            </w:r>
          </w:p>
          <w:p w14:paraId="45B0E0FA" w14:textId="77777777" w:rsidR="00804B2F" w:rsidRPr="00381739" w:rsidRDefault="00220471" w:rsidP="00804B2F">
            <w:pPr>
              <w:rPr>
                <w:rFonts w:ascii="Times New Roman" w:hAnsi="Times New Roman" w:cs="Times New Roman"/>
                <w:b/>
              </w:rPr>
            </w:pPr>
            <w:r>
              <w:rPr>
                <w:rFonts w:ascii="Times New Roman" w:hAnsi="Times New Roman" w:cs="Times New Roman"/>
                <w:b/>
              </w:rPr>
              <w:t>1</w:t>
            </w:r>
          </w:p>
          <w:p w14:paraId="2DB3A0B3" w14:textId="4314E899" w:rsidR="00381739" w:rsidRPr="00381739" w:rsidRDefault="00F410A4"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36190C" w:rsidRPr="0036190C">
              <w:rPr>
                <w:rFonts w:ascii="Times New Roman" w:hAnsi="Times New Roman" w:cs="Times New Roman"/>
                <w:b/>
                <w:vertAlign w:val="superscript"/>
              </w:rPr>
              <w:t>ème</w:t>
            </w:r>
            <w:r w:rsidR="0036190C">
              <w:rPr>
                <w:rFonts w:ascii="Times New Roman" w:hAnsi="Times New Roman" w:cs="Times New Roman"/>
                <w:b/>
              </w:rPr>
              <w:t xml:space="preserve"> </w:t>
            </w:r>
            <w:r w:rsidR="00381739" w:rsidRPr="00381739">
              <w:rPr>
                <w:rFonts w:ascii="Times New Roman" w:hAnsi="Times New Roman" w:cs="Times New Roman"/>
                <w:b/>
              </w:rPr>
              <w:t>trimestre 202</w:t>
            </w:r>
            <w:r w:rsidR="00BC7BB6">
              <w:rPr>
                <w:rFonts w:ascii="Times New Roman" w:hAnsi="Times New Roman" w:cs="Times New Roman"/>
                <w:b/>
              </w:rPr>
              <w:t>3</w:t>
            </w:r>
            <w:r w:rsidR="00381739" w:rsidRPr="00381739">
              <w:rPr>
                <w:rFonts w:ascii="Times New Roman" w:hAnsi="Times New Roman" w:cs="Times New Roman"/>
                <w:b/>
                <w:vertAlign w:val="superscript"/>
              </w:rPr>
              <w:footnoteReference w:id="1"/>
            </w:r>
          </w:p>
          <w:p w14:paraId="5F28D09C" w14:textId="77777777" w:rsidR="00381739" w:rsidRPr="00381739" w:rsidRDefault="00D770A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14:paraId="3BD7EBDB" w14:textId="77777777" w:rsidR="00745B97" w:rsidRPr="00745B97" w:rsidRDefault="00F410A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14:paraId="2D71B7ED"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79E85612"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613AF263" w14:textId="77777777"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6CF6BFC2"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7EA9D184" w14:textId="77777777"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53D7ADA9" w14:textId="77777777" w:rsidR="00745B97" w:rsidRPr="00745B97" w:rsidRDefault="00745B97" w:rsidP="00745B97">
            <w:pPr>
              <w:rPr>
                <w:rFonts w:ascii="Times New Roman" w:eastAsia="Times New Roman" w:hAnsi="Times New Roman" w:cs="Times New Roman"/>
                <w:b/>
                <w:lang w:eastAsia="en-GB"/>
              </w:rPr>
            </w:pPr>
          </w:p>
          <w:p w14:paraId="142E1E37" w14:textId="77777777"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14:paraId="4849D416" w14:textId="7777777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535A1AFF"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42CA7BA8" w14:textId="77777777" w:rsidR="00745B97" w:rsidRPr="00745B97" w:rsidRDefault="00F410A4"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OCDE, Banque mondiale, FMI</w:t>
            </w:r>
          </w:p>
        </w:tc>
      </w:tr>
    </w:tbl>
    <w:p w14:paraId="51276C9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07E95AE"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43411B76" w14:textId="77777777" w:rsidR="0036190C" w:rsidRDefault="0036190C" w:rsidP="0036190C">
      <w:pPr>
        <w:spacing w:after="0" w:line="240" w:lineRule="auto"/>
        <w:rPr>
          <w:rFonts w:ascii="Times New Roman" w:eastAsia="Times New Roman" w:hAnsi="Times New Roman" w:cs="Times New Roman"/>
          <w:sz w:val="24"/>
          <w:szCs w:val="20"/>
          <w:lang w:eastAsia="en-GB"/>
        </w:rPr>
      </w:pPr>
    </w:p>
    <w:p w14:paraId="33C76365" w14:textId="77777777" w:rsid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La direction générale d'Appui aux Réformes Structurelles (DG REFORM) est placée sous la coordination de la commissaire Ferreira. La mission de la DG REFORM est d'apporter et de coordonner un soutien technique aux États Membres pour le développement et la mise en œuvre de réformes structurelles - en particulier dans le contexte du processus de gouvernance économique - et la bonne utilisation des fonds de l'Union Européenne. Le soutien est mis à disposition de tous les États membres et il est octroyé suivant leur demande.</w:t>
      </w:r>
    </w:p>
    <w:p w14:paraId="033CF841"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550C91EE" w14:textId="77777777" w:rsid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La DG REFORM travaille actuellement avec les 27 États membres de l'Union européenne. Elle compte environ 200 collaborateurs basés à Bruxelles, Athènes, Nicosie, Zagreb et Bucarest. Elle est composée d'une équipe de direction, d'une équipe chargée des priorités horizontales et deux directorats.  Le Directorat A est composé de trois unités responsables pour budget et finances ; planification, évaluation et coordination de l'appui et appui au règlement de la question chypriote. Le Directorat B est composé de cinq unités sectorielles spécialisées dans les politiques publiques (gestion des finances publiques ; gouvernance et administration publique ; croissance économique et entreprenariat; marché du travail, éducation, santé et services sociaux ; secteur financier et accès au financement).</w:t>
      </w:r>
    </w:p>
    <w:p w14:paraId="5E4739C5"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61CE9962" w14:textId="77777777" w:rsidR="0099699E" w:rsidRDefault="00F410A4" w:rsidP="0099699E">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La DG REFORM </w:t>
      </w:r>
      <w:proofErr w:type="gramStart"/>
      <w:r w:rsidRPr="00F410A4">
        <w:rPr>
          <w:rFonts w:ascii="Times New Roman" w:eastAsia="Times New Roman" w:hAnsi="Times New Roman" w:cs="Times New Roman"/>
          <w:lang w:eastAsia="en-GB"/>
        </w:rPr>
        <w:t>a</w:t>
      </w:r>
      <w:proofErr w:type="gramEnd"/>
      <w:r w:rsidRPr="00F410A4">
        <w:rPr>
          <w:rFonts w:ascii="Times New Roman" w:eastAsia="Times New Roman" w:hAnsi="Times New Roman" w:cs="Times New Roman"/>
          <w:lang w:eastAsia="en-GB"/>
        </w:rPr>
        <w:t xml:space="preserve"> un rôle de coordination important au sein de la Commission européenne, ainsi que des contacts fréquents avec les États membres et diverses parties prenantes.</w:t>
      </w:r>
    </w:p>
    <w:p w14:paraId="0385C7E4" w14:textId="77777777" w:rsidR="0099699E" w:rsidRDefault="0099699E" w:rsidP="0099699E">
      <w:pPr>
        <w:spacing w:after="0" w:line="240" w:lineRule="auto"/>
        <w:ind w:left="426"/>
        <w:jc w:val="both"/>
        <w:rPr>
          <w:rFonts w:ascii="Times New Roman" w:eastAsia="Times New Roman" w:hAnsi="Times New Roman" w:cs="Times New Roman"/>
          <w:lang w:eastAsia="en-GB"/>
        </w:rPr>
      </w:pPr>
    </w:p>
    <w:p w14:paraId="351E925B" w14:textId="4DDF1DC4" w:rsidR="0099699E" w:rsidRPr="0099699E" w:rsidRDefault="0099699E" w:rsidP="0099699E">
      <w:pPr>
        <w:spacing w:after="0" w:line="240" w:lineRule="auto"/>
        <w:ind w:left="426"/>
        <w:jc w:val="both"/>
        <w:rPr>
          <w:rFonts w:ascii="Times New Roman" w:eastAsia="Times New Roman" w:hAnsi="Times New Roman" w:cs="Times New Roman"/>
          <w:lang w:eastAsia="en-GB"/>
        </w:rPr>
      </w:pPr>
      <w:r w:rsidRPr="0099699E">
        <w:rPr>
          <w:rFonts w:ascii="Times New Roman" w:eastAsia="Times New Roman" w:hAnsi="Times New Roman" w:cs="Times New Roman"/>
          <w:lang w:eastAsia="en-GB"/>
        </w:rPr>
        <w:t xml:space="preserve">La DG REFORM gère le Programme d'Appui à la Réforme Structurelle (SRSP) et son successeur, l'Instrument d'Appui Technique (TSI). La TSI est l'outil clé de la Commission Européenne pour aider les États Membres à concevoir et à mettre en œuvre des réformes inclusives et favorables à la croissance, qui peut également offrir un soutien aux États Membres pour la préparation et la mise en œuvre de leur Plan de Relance et de Résilience. Le SRSP et TSI disposent tous deux d'un budget dédié et d'un cadre juridique pour la fourniture </w:t>
      </w:r>
      <w:r w:rsidRPr="0099699E">
        <w:rPr>
          <w:rFonts w:ascii="Times New Roman" w:eastAsia="Times New Roman" w:hAnsi="Times New Roman" w:cs="Times New Roman"/>
          <w:lang w:eastAsia="en-GB"/>
        </w:rPr>
        <w:lastRenderedPageBreak/>
        <w:t>d'un soutien technique aux États Membres. La DG REFORM gère également le programme d'aide à la communauté Chypriote Turque.</w:t>
      </w:r>
    </w:p>
    <w:p w14:paraId="26EFA861"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531B5DE4"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Le poste vacant se trouve dans l'unité Administration fiscale et gestion des finances publiques (REFORM.B1) dont le rôle est de coordonner l'appui technique aux États membres (conception, planification, mise en œuvre et contrôle des programmes et projets d'appui technique) dans les principaux domaines </w:t>
      </w:r>
      <w:proofErr w:type="gramStart"/>
      <w:r w:rsidRPr="00F410A4">
        <w:rPr>
          <w:rFonts w:ascii="Times New Roman" w:eastAsia="Times New Roman" w:hAnsi="Times New Roman" w:cs="Times New Roman"/>
          <w:lang w:eastAsia="en-GB"/>
        </w:rPr>
        <w:t>suivants:</w:t>
      </w:r>
      <w:proofErr w:type="gramEnd"/>
      <w:r w:rsidRPr="00F410A4">
        <w:rPr>
          <w:rFonts w:ascii="Times New Roman" w:eastAsia="Times New Roman" w:hAnsi="Times New Roman" w:cs="Times New Roman"/>
          <w:lang w:eastAsia="en-GB"/>
        </w:rPr>
        <w:t xml:space="preserve"> gestion des finances publiques et politique des dépenses, administration et politique fiscales. L'unité comprend 16 collaborateurs basés à Bruxelles (15) et à Athènes (1).</w:t>
      </w:r>
    </w:p>
    <w:p w14:paraId="5BEDC6B3"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4BEC96D2"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L'expert détaché apportera son appui dans le domaine de la gestion des finances publiques.  </w:t>
      </w:r>
    </w:p>
    <w:p w14:paraId="4E62CF4E"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3FB7B515"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Dans ce domaine d'activité, l'expert détaché sera responsable des tâches suivantes:</w:t>
      </w:r>
    </w:p>
    <w:p w14:paraId="05AAC6FE"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03A0A205" w14:textId="2F6548A0"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Planifier, mettre en œuvre et contrôler des projets d'appui technique dans le champ de l’administration fiscale et autorités douanières, comprenant l’administration des recettes, la conformité fiscale, la planification fiscale agressive, la fraude et l’évasion fiscales, la numérisation des autorités fiscales et les politiques fiscales</w:t>
      </w:r>
      <w:r w:rsidR="00BC7BB6">
        <w:rPr>
          <w:rFonts w:ascii="Times New Roman" w:eastAsia="Times New Roman" w:hAnsi="Times New Roman" w:cs="Times New Roman"/>
          <w:lang w:eastAsia="en-GB"/>
        </w:rPr>
        <w:t xml:space="preserve"> (</w:t>
      </w:r>
      <w:r w:rsidR="00BC7BB6" w:rsidRPr="00BC7BB6">
        <w:rPr>
          <w:rFonts w:ascii="Times New Roman" w:eastAsia="Times New Roman" w:hAnsi="Times New Roman" w:cs="Times New Roman"/>
          <w:lang w:eastAsia="en-GB"/>
        </w:rPr>
        <w:t>Cela inclut également la modélisation économique de la politique fiscale</w:t>
      </w:r>
      <w:r w:rsidR="00BC7BB6">
        <w:rPr>
          <w:rFonts w:ascii="Times New Roman" w:eastAsia="Times New Roman" w:hAnsi="Times New Roman" w:cs="Times New Roman"/>
          <w:lang w:eastAsia="en-GB"/>
        </w:rPr>
        <w:t>)</w:t>
      </w:r>
      <w:r w:rsidRPr="00F410A4">
        <w:rPr>
          <w:rFonts w:ascii="Times New Roman" w:eastAsia="Times New Roman" w:hAnsi="Times New Roman" w:cs="Times New Roman"/>
          <w:lang w:eastAsia="en-GB"/>
        </w:rPr>
        <w:t>. En outre, ceci comprend également la supervision de leur mise en œuvre afin d'assurer la qualité et renforcer la soutenabilité de réformes structurelles-clés. Ceci implique une coopération étroite avec les États membres, les autres services de la Commission et les prestataires de l'appui technique (États membres, organisations internationales, établissements publics et experts privés);</w:t>
      </w:r>
    </w:p>
    <w:p w14:paraId="44743F95" w14:textId="77777777"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Suivre et résoudre les questions liées à la mise en œuvre de l'appui technique; ceci comprend l'identification des obstacles aux réformes et la suggestion de moyens pour les surmonter à travers la fourniture d'appui technique de façon coordonnée avec les services concernés de la Commission et les différents États membres demandeurs d'appui technique dans le domaine de la gestion des finances publiques;</w:t>
      </w:r>
    </w:p>
    <w:p w14:paraId="3AB7FF96" w14:textId="77777777"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Contribuer à l'évaluation des projets d'appui technique en association avec l'unité horizontale en charge au sein de la DG REFORM </w:t>
      </w:r>
    </w:p>
    <w:p w14:paraId="3FD4E9C5" w14:textId="77777777"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Participer à des missions en relation avec l'appui technique dans le domaine de l’administration fiscale.</w:t>
      </w:r>
    </w:p>
    <w:p w14:paraId="661900F5" w14:textId="77777777"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Diffuser les meilleures pratiques pour la mise en œuvre des réformes structurelles en mettant en relation et en partageant les expériences; et</w:t>
      </w:r>
    </w:p>
    <w:p w14:paraId="6846A166" w14:textId="77777777"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Aider à identifier les besoins de reformes et à suggérer des moyens de les accomplir au travers de la fourniture d'appui technique, en coordination avec les services de la Commission concernés et l'État membre demandeur de l'appui technique. Ceci implique de travailler avec les États membres demandeurs à l'identification des questions/entraves/problèmes au sein de leur système actuel de l’administration fiscale et au développement de recommandations de politiques publiques afin d'améliorer ce système au vu des meilleures pratiques européennes et internationales.</w:t>
      </w:r>
    </w:p>
    <w:p w14:paraId="78AAC38E"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4A1D284E" w14:textId="77777777" w:rsidR="00D770A7" w:rsidRPr="00D770A7"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Compte tenu de ces tâches, le poste requiert des visites régulières dans les États membres, à la fois pour la coordination/la fourniture/le contrôle de l'appui technique dans les pays bénéficiaires et pour renforcer les liens avec des prestataires potentiels d'appui technique dans les États membres. Il peut aussi impliquer la participation à des missions organisées avec le FMI, l'OCDE ou la Banque mondiale. </w:t>
      </w:r>
      <w:r w:rsidR="00D770A7" w:rsidRPr="00D770A7">
        <w:rPr>
          <w:rFonts w:ascii="Times New Roman" w:eastAsia="Times New Roman" w:hAnsi="Times New Roman" w:cs="Times New Roman"/>
          <w:lang w:eastAsia="en-GB"/>
        </w:rPr>
        <w:t xml:space="preserve"> </w:t>
      </w:r>
    </w:p>
    <w:p w14:paraId="5BA00CC7" w14:textId="77777777"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14:paraId="26172355"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60B34314"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8212FE1"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0C36ADDF"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28B90367"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5CC45385"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2C4EBA2"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07908949"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4EEF6A7E"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51D54DB9"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F1385E6"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2B04C4A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0F87342"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066AA736"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49D7C63"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68B9BD86"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14:paraId="38A8BC89"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3C559B1A"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3B2C0B4A" w14:textId="77777777"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F410A4" w:rsidRPr="00F410A4">
        <w:rPr>
          <w:rFonts w:ascii="Times New Roman" w:hAnsi="Times New Roman" w:cs="Times New Roman"/>
        </w:rPr>
        <w:t>économie, comptabilité, administration publique/droit public, audit, science</w:t>
      </w:r>
      <w:r w:rsidR="00F410A4">
        <w:rPr>
          <w:rFonts w:ascii="Times New Roman" w:hAnsi="Times New Roman" w:cs="Times New Roman"/>
        </w:rPr>
        <w:t>s</w:t>
      </w:r>
      <w:r w:rsidR="00F410A4" w:rsidRPr="00F410A4">
        <w:rPr>
          <w:rFonts w:ascii="Times New Roman" w:hAnsi="Times New Roman" w:cs="Times New Roman"/>
        </w:rPr>
        <w:t xml:space="preserve"> politique</w:t>
      </w:r>
      <w:r w:rsidR="00F410A4">
        <w:rPr>
          <w:rFonts w:ascii="Times New Roman" w:hAnsi="Times New Roman" w:cs="Times New Roman"/>
        </w:rPr>
        <w:t>s</w:t>
      </w:r>
      <w:r w:rsidR="00E12EF4">
        <w:rPr>
          <w:rFonts w:ascii="Times New Roman" w:eastAsia="Times New Roman" w:hAnsi="Times New Roman" w:cs="Times New Roman"/>
          <w:lang w:eastAsia="en-GB"/>
        </w:rPr>
        <w:t>.</w:t>
      </w:r>
    </w:p>
    <w:p w14:paraId="23B9DD5E" w14:textId="77777777"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14:paraId="2C6E1D91"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177102EB"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6589B089" w14:textId="77777777" w:rsidR="001F34B4" w:rsidRPr="008A02AF" w:rsidRDefault="00F410A4" w:rsidP="00D770A7">
      <w:pPr>
        <w:tabs>
          <w:tab w:val="left" w:pos="709"/>
        </w:tabs>
        <w:spacing w:after="0" w:line="240" w:lineRule="auto"/>
        <w:ind w:left="709" w:right="60"/>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L'expert devra démontrer une capacité à assumer un haut niveau de responsabilité et posséder une connaissance approfondie d'un éventail de sujets dans le domaine de l’administration fiscale. Au moins 6 ans d'expérience dans le domaine de la gestion des finances publiques, couvrant des domaines tels que la conformité fiscale et la planification fiscale agressive, la fraude et l’évasion fiscales.  Une expérience antérieure de prestataire d'appui technique, en particulier en travaillant en collaboration avec des organisations internationales, serait un atout important pour le candidat. L'expert devra démontrer aussi des capacités analytiques importantes et une aptitude à apprendre et à devenir rapidement opérationnel sur de nouveaux sujets, y compris les aspects procéduraux du déploiement du soutien technique financé par l’UE au profit des États membres. D'excellentes capacités écrites et orales en anglais sont requises. L'aptitude à travailler rapidement avec un jugement sûr et à interagir efficacement avec ses collègues - à la fois internes et externes- est essentielle. Une expérience antérieure en tant que gestionnaire de projets d'appui technique serait un avantage.</w:t>
      </w:r>
    </w:p>
    <w:p w14:paraId="6E465654" w14:textId="77777777"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14:paraId="1B6AB733"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6802DB8B"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50AD504B" w14:textId="77777777" w:rsidR="001F18BF" w:rsidRDefault="00F410A4" w:rsidP="008A02AF">
      <w:pPr>
        <w:spacing w:after="0" w:line="240" w:lineRule="auto"/>
        <w:ind w:left="709"/>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L'expert national détaché travaillera essentiellement en anglais. D'excellentes capacités écrites et orales en anglais sont essentielles.</w:t>
      </w:r>
    </w:p>
    <w:p w14:paraId="23EE1D32" w14:textId="77777777"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14:paraId="00E2D9BD"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19C7E19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2425D44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14:paraId="5A4D1074" w14:textId="77777777"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597D08DE" w14:textId="77777777" w:rsidR="002D5733" w:rsidRDefault="002D5733" w:rsidP="00745B97">
      <w:pPr>
        <w:spacing w:after="0" w:line="240" w:lineRule="auto"/>
        <w:ind w:left="426"/>
        <w:rPr>
          <w:rFonts w:ascii="Times New Roman" w:eastAsia="Times New Roman" w:hAnsi="Times New Roman" w:cs="Times New Roman"/>
          <w:lang w:eastAsia="en-GB"/>
        </w:rPr>
      </w:pPr>
    </w:p>
    <w:p w14:paraId="2CCA2330"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61B4A98C"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AD95A2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2F6401B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2AA21C27"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281EBBC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3E161F8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71C34E69"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6CA3F4F9"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68F9E4C6"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5CA648F"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5080999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09209C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2D8F01A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623F00A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26095EE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508AF2B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7D8E9A7D"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62C9B434"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6F132666"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4CB50C6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14:paraId="58A9438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70914F49"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119BA646" w14:textId="77777777"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14:paraId="1B467D8F" w14:textId="77777777"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14:paraId="7A4B9E47"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42040700"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2F8D528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5BA4FD5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6397875C"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14:paraId="4730BA53" w14:textId="77777777" w:rsidR="00AC55BD" w:rsidRDefault="0099699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8102" w14:textId="77777777" w:rsidR="00745B97" w:rsidRDefault="00745B97" w:rsidP="00745B97">
      <w:pPr>
        <w:spacing w:after="0" w:line="240" w:lineRule="auto"/>
      </w:pPr>
      <w:r>
        <w:separator/>
      </w:r>
    </w:p>
  </w:endnote>
  <w:endnote w:type="continuationSeparator" w:id="0">
    <w:p w14:paraId="00A36326"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5AEEB" w14:textId="77777777"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6FACE" w14:textId="77777777" w:rsidR="00745B97" w:rsidRDefault="00745B97" w:rsidP="00745B97">
      <w:pPr>
        <w:spacing w:after="0" w:line="240" w:lineRule="auto"/>
      </w:pPr>
      <w:r>
        <w:separator/>
      </w:r>
    </w:p>
  </w:footnote>
  <w:footnote w:type="continuationSeparator" w:id="0">
    <w:p w14:paraId="020655A9" w14:textId="77777777" w:rsidR="00745B97" w:rsidRDefault="00745B97" w:rsidP="00745B97">
      <w:pPr>
        <w:spacing w:after="0" w:line="240" w:lineRule="auto"/>
      </w:pPr>
      <w:r>
        <w:continuationSeparator/>
      </w:r>
    </w:p>
  </w:footnote>
  <w:footnote w:id="1">
    <w:p w14:paraId="2F532179" w14:textId="77777777"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07263C2"/>
    <w:multiLevelType w:val="hybridMultilevel"/>
    <w:tmpl w:val="B13CED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EC3D86"/>
    <w:multiLevelType w:val="hybridMultilevel"/>
    <w:tmpl w:val="280241CC"/>
    <w:lvl w:ilvl="0" w:tplc="91225E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abstractNumId w:val="18"/>
  </w:num>
  <w:num w:numId="2">
    <w:abstractNumId w:val="15"/>
  </w:num>
  <w:num w:numId="3">
    <w:abstractNumId w:val="33"/>
  </w:num>
  <w:num w:numId="4">
    <w:abstractNumId w:val="20"/>
  </w:num>
  <w:num w:numId="5">
    <w:abstractNumId w:val="16"/>
  </w:num>
  <w:num w:numId="6">
    <w:abstractNumId w:val="4"/>
  </w:num>
  <w:num w:numId="7">
    <w:abstractNumId w:val="24"/>
  </w:num>
  <w:num w:numId="8">
    <w:abstractNumId w:val="17"/>
  </w:num>
  <w:num w:numId="9">
    <w:abstractNumId w:val="25"/>
  </w:num>
  <w:num w:numId="10">
    <w:abstractNumId w:val="13"/>
  </w:num>
  <w:num w:numId="11">
    <w:abstractNumId w:val="1"/>
  </w:num>
  <w:num w:numId="12">
    <w:abstractNumId w:val="8"/>
  </w:num>
  <w:num w:numId="13">
    <w:abstractNumId w:val="27"/>
  </w:num>
  <w:num w:numId="14">
    <w:abstractNumId w:val="32"/>
  </w:num>
  <w:num w:numId="15">
    <w:abstractNumId w:val="9"/>
  </w:num>
  <w:num w:numId="16">
    <w:abstractNumId w:val="0"/>
  </w:num>
  <w:num w:numId="17">
    <w:abstractNumId w:val="36"/>
  </w:num>
  <w:num w:numId="18">
    <w:abstractNumId w:val="34"/>
  </w:num>
  <w:num w:numId="19">
    <w:abstractNumId w:val="23"/>
  </w:num>
  <w:num w:numId="20">
    <w:abstractNumId w:val="19"/>
  </w:num>
  <w:num w:numId="21">
    <w:abstractNumId w:val="37"/>
  </w:num>
  <w:num w:numId="22">
    <w:abstractNumId w:val="31"/>
  </w:num>
  <w:num w:numId="23">
    <w:abstractNumId w:val="35"/>
  </w:num>
  <w:num w:numId="24">
    <w:abstractNumId w:val="12"/>
  </w:num>
  <w:num w:numId="25">
    <w:abstractNumId w:val="5"/>
  </w:num>
  <w:num w:numId="26">
    <w:abstractNumId w:val="2"/>
  </w:num>
  <w:num w:numId="27">
    <w:abstractNumId w:val="28"/>
  </w:num>
  <w:num w:numId="28">
    <w:abstractNumId w:val="30"/>
  </w:num>
  <w:num w:numId="29">
    <w:abstractNumId w:val="6"/>
  </w:num>
  <w:num w:numId="30">
    <w:abstractNumId w:val="14"/>
  </w:num>
  <w:num w:numId="31">
    <w:abstractNumId w:val="38"/>
  </w:num>
  <w:num w:numId="32">
    <w:abstractNumId w:val="22"/>
  </w:num>
  <w:num w:numId="33">
    <w:abstractNumId w:val="29"/>
  </w:num>
  <w:num w:numId="34">
    <w:abstractNumId w:val="3"/>
  </w:num>
  <w:num w:numId="35">
    <w:abstractNumId w:val="21"/>
  </w:num>
  <w:num w:numId="36">
    <w:abstractNumId w:val="26"/>
  </w:num>
  <w:num w:numId="37">
    <w:abstractNumId w:val="7"/>
  </w:num>
  <w:num w:numId="38">
    <w:abstractNumId w:val="1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45B97"/>
    <w:rsid w:val="00010C4F"/>
    <w:rsid w:val="000D7956"/>
    <w:rsid w:val="000E6DA3"/>
    <w:rsid w:val="0019598C"/>
    <w:rsid w:val="001D1CEB"/>
    <w:rsid w:val="001F18BF"/>
    <w:rsid w:val="001F34B4"/>
    <w:rsid w:val="001F6A8B"/>
    <w:rsid w:val="00220471"/>
    <w:rsid w:val="00294A59"/>
    <w:rsid w:val="002A3536"/>
    <w:rsid w:val="002D3AB2"/>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902804"/>
    <w:rsid w:val="00906967"/>
    <w:rsid w:val="0099699E"/>
    <w:rsid w:val="009A421C"/>
    <w:rsid w:val="009C39A3"/>
    <w:rsid w:val="00A140DB"/>
    <w:rsid w:val="00A23D3E"/>
    <w:rsid w:val="00A516E1"/>
    <w:rsid w:val="00B05153"/>
    <w:rsid w:val="00B36D07"/>
    <w:rsid w:val="00BA34CF"/>
    <w:rsid w:val="00BC14A5"/>
    <w:rsid w:val="00BC7BB6"/>
    <w:rsid w:val="00C20621"/>
    <w:rsid w:val="00CF677F"/>
    <w:rsid w:val="00D770A7"/>
    <w:rsid w:val="00D805C9"/>
    <w:rsid w:val="00D869ED"/>
    <w:rsid w:val="00D9400C"/>
    <w:rsid w:val="00DF5355"/>
    <w:rsid w:val="00E109FB"/>
    <w:rsid w:val="00E12EF4"/>
    <w:rsid w:val="00E441A0"/>
    <w:rsid w:val="00F410A4"/>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3AC2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4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SCHWIER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2094</Words>
  <Characters>12106</Characters>
  <Application>Microsoft Office Word</Application>
  <DocSecurity>0</DocSecurity>
  <Lines>232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DANILOV Stefania (REFORM)</cp:lastModifiedBy>
  <cp:revision>3</cp:revision>
  <dcterms:created xsi:type="dcterms:W3CDTF">2022-12-16T09:49:00Z</dcterms:created>
  <dcterms:modified xsi:type="dcterms:W3CDTF">2022-12-20T14:46:00Z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2022-12-16T09:46:42Z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ffab385b-0628-4efb-869c-6c86347923ab</vt:lpwstr>
  </property>
  <property fmtid="{D5CDD505-2E9C-101B-9397-08002B2CF9AE}" pid="8" name="MSIP_Label_f4cdc456-5864-460f-beda-883d23b78bbb_ContentBits">
    <vt:lpwstr>0</vt:lpwstr>
  </property>
</Properties>
</file>