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9" w:right="3598"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-435823</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8" w:right="0" w:firstLine="0"/>
        <w:jc w:val="left"/>
        <w:rPr>
          <w:b/>
          <w:sz w:val="24"/>
        </w:rPr>
      </w:pPr>
      <w:r>
        <w:rPr>
          <w:b/>
          <w:sz w:val="24"/>
        </w:rPr>
        <w:t>EXPERT</w:t>
      </w:r>
      <w:r>
        <w:rPr>
          <w:b/>
          <w:spacing w:val="-8"/>
          <w:sz w:val="24"/>
        </w:rPr>
        <w:t> </w:t>
      </w:r>
      <w:r>
        <w:rPr>
          <w:b/>
          <w:sz w:val="24"/>
        </w:rPr>
        <w:t>NATIONAL</w:t>
      </w:r>
      <w:r>
        <w:rPr>
          <w:b/>
          <w:spacing w:val="-8"/>
          <w:sz w:val="24"/>
        </w:rPr>
        <w:t> </w:t>
      </w:r>
      <w:r>
        <w:rPr>
          <w:b/>
          <w:sz w:val="24"/>
        </w:rPr>
        <w:t>DETACHE</w:t>
      </w:r>
      <w:r>
        <w:rPr>
          <w:b/>
          <w:spacing w:val="-8"/>
          <w:sz w:val="24"/>
        </w:rPr>
        <w:t> </w:t>
      </w:r>
      <w:r>
        <w:rPr>
          <w:b/>
          <w:sz w:val="24"/>
        </w:rPr>
        <w:t>A</w:t>
      </w:r>
      <w:r>
        <w:rPr>
          <w:b/>
          <w:spacing w:val="-8"/>
          <w:sz w:val="24"/>
        </w:rPr>
        <w:t> </w:t>
      </w:r>
      <w:r>
        <w:rPr>
          <w:b/>
          <w:sz w:val="24"/>
        </w:rPr>
        <w:t>LA</w:t>
      </w:r>
      <w:r>
        <w:rPr>
          <w:b/>
          <w:spacing w:val="-8"/>
          <w:sz w:val="24"/>
        </w:rPr>
        <w:t> </w:t>
      </w:r>
      <w:r>
        <w:rPr>
          <w:b/>
          <w:sz w:val="24"/>
        </w:rPr>
        <w:t>COMMISSION</w:t>
      </w:r>
      <w:r>
        <w:rPr>
          <w:b/>
          <w:spacing w:val="-9"/>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6"/>
                <w:sz w:val="24"/>
              </w:rPr>
              <w:t> </w:t>
            </w:r>
            <w:r>
              <w:rPr>
                <w:b/>
                <w:sz w:val="24"/>
              </w:rPr>
              <w:t>du</w:t>
            </w:r>
            <w:r>
              <w:rPr>
                <w:b/>
                <w:spacing w:val="-6"/>
                <w:sz w:val="24"/>
              </w:rPr>
              <w:t> </w:t>
            </w:r>
            <w:r>
              <w:rPr>
                <w:b/>
                <w:spacing w:val="-2"/>
                <w:sz w:val="24"/>
              </w:rPr>
              <w:t>poste:</w:t>
            </w:r>
          </w:p>
          <w:p>
            <w:pPr>
              <w:pStyle w:val="TableParagraph"/>
              <w:spacing w:line="275" w:lineRule="exact"/>
              <w:rPr>
                <w:sz w:val="24"/>
              </w:rPr>
            </w:pPr>
            <w:r>
              <w:rPr>
                <w:spacing w:val="-2"/>
                <w:sz w:val="24"/>
              </w:rPr>
              <w:t>(DG-DIR-UNITE)</w:t>
            </w:r>
          </w:p>
        </w:tc>
        <w:tc>
          <w:tcPr>
            <w:tcW w:w="5597" w:type="dxa"/>
          </w:tcPr>
          <w:p>
            <w:pPr>
              <w:pStyle w:val="TableParagraph"/>
              <w:spacing w:before="172"/>
              <w:ind w:left="108"/>
              <w:rPr>
                <w:rFonts w:ascii="Calibri"/>
                <w:sz w:val="22"/>
              </w:rPr>
            </w:pPr>
            <w:r>
              <w:rPr>
                <w:rFonts w:ascii="Calibri"/>
                <w:spacing w:val="-2"/>
                <w:sz w:val="22"/>
              </w:rPr>
              <w:t>HERA.01</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11"/>
                <w:sz w:val="22"/>
              </w:rPr>
              <w:t> </w:t>
            </w:r>
            <w:r>
              <w:rPr>
                <w:b/>
                <w:sz w:val="22"/>
              </w:rPr>
              <w:t>d’unité</w:t>
            </w:r>
            <w:r>
              <w:rPr>
                <w:b/>
                <w:spacing w:val="-8"/>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4"/>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9"/>
                <w:sz w:val="22"/>
              </w:rPr>
              <w:t> </w:t>
            </w:r>
            <w:r>
              <w:rPr>
                <w:b/>
                <w:sz w:val="22"/>
              </w:rPr>
              <w:t>d’affectation</w:t>
            </w:r>
            <w:r>
              <w:rPr>
                <w:b/>
                <w:spacing w:val="-7"/>
                <w:sz w:val="22"/>
              </w:rPr>
              <w:t> </w:t>
            </w:r>
            <w:r>
              <w:rPr>
                <w:b/>
                <w:spacing w:val="-10"/>
                <w:sz w:val="22"/>
              </w:rPr>
              <w:t>:</w:t>
            </w:r>
          </w:p>
        </w:tc>
        <w:tc>
          <w:tcPr>
            <w:tcW w:w="5597" w:type="dxa"/>
          </w:tcPr>
          <w:p>
            <w:pPr>
              <w:pStyle w:val="TableParagraph"/>
              <w:spacing w:line="268" w:lineRule="exact" w:before="1"/>
              <w:ind w:left="108"/>
              <w:rPr>
                <w:rFonts w:ascii="Calibri"/>
                <w:sz w:val="22"/>
              </w:rPr>
            </w:pPr>
            <w:r>
              <w:rPr>
                <w:rFonts w:ascii="Calibri"/>
                <w:sz w:val="22"/>
              </w:rPr>
              <w:t>Bartlomiej</w:t>
            </w:r>
            <w:r>
              <w:rPr>
                <w:rFonts w:ascii="Calibri"/>
                <w:spacing w:val="-10"/>
                <w:sz w:val="22"/>
              </w:rPr>
              <w:t> </w:t>
            </w:r>
            <w:r>
              <w:rPr>
                <w:rFonts w:ascii="Calibri"/>
                <w:spacing w:val="-2"/>
                <w:sz w:val="22"/>
              </w:rPr>
              <w:t>Kurcz</w:t>
            </w:r>
          </w:p>
          <w:p>
            <w:pPr>
              <w:pStyle w:val="TableParagraph"/>
              <w:spacing w:line="268" w:lineRule="exact"/>
              <w:ind w:left="108"/>
              <w:rPr>
                <w:rFonts w:ascii="Calibri"/>
                <w:sz w:val="22"/>
              </w:rPr>
            </w:pPr>
            <w:r>
              <w:rPr>
                <w:rFonts w:ascii="Calibri"/>
                <w:sz w:val="22"/>
              </w:rPr>
              <w:t>Bartlomiej.</w:t>
            </w:r>
            <w:r>
              <w:rPr>
                <w:rFonts w:ascii="Calibri"/>
                <w:spacing w:val="-10"/>
                <w:sz w:val="22"/>
              </w:rPr>
              <w:t> </w:t>
            </w:r>
            <w:hyperlink r:id="rId7">
              <w:r>
                <w:rPr>
                  <w:rFonts w:ascii="Calibri"/>
                  <w:spacing w:val="-2"/>
                  <w:sz w:val="22"/>
                </w:rPr>
                <w:t>Kurcz@ec.europa.eu</w:t>
              </w:r>
            </w:hyperlink>
          </w:p>
          <w:p>
            <w:pPr>
              <w:pStyle w:val="TableParagraph"/>
              <w:ind w:left="108" w:right="5357"/>
              <w:rPr>
                <w:rFonts w:ascii="Calibri"/>
                <w:sz w:val="22"/>
              </w:rPr>
            </w:pPr>
            <w:r>
              <w:rPr>
                <w:rFonts w:ascii="Calibri"/>
                <w:spacing w:val="-10"/>
                <w:sz w:val="22"/>
              </w:rPr>
              <w:t>+</w:t>
            </w:r>
            <w:r>
              <w:rPr>
                <w:rFonts w:ascii="Calibri"/>
                <w:sz w:val="22"/>
              </w:rPr>
              <w:t> </w:t>
            </w:r>
            <w:r>
              <w:rPr>
                <w:rFonts w:ascii="Calibri"/>
                <w:spacing w:val="-10"/>
                <w:sz w:val="22"/>
              </w:rPr>
              <w:t>2</w:t>
            </w:r>
          </w:p>
          <w:p>
            <w:pPr>
              <w:pStyle w:val="TableParagraph"/>
              <w:spacing w:before="1"/>
              <w:ind w:left="108" w:right="3157"/>
              <w:rPr>
                <w:rFonts w:ascii="Calibri" w:hAnsi="Calibri"/>
                <w:sz w:val="22"/>
              </w:rPr>
            </w:pPr>
            <w:r>
              <w:rPr>
                <w:rFonts w:ascii="Calibri" w:hAnsi="Calibri"/>
                <w:sz w:val="22"/>
              </w:rPr>
              <w:t>2ème</w:t>
            </w:r>
            <w:r>
              <w:rPr>
                <w:rFonts w:ascii="Calibri" w:hAnsi="Calibri"/>
                <w:spacing w:val="-13"/>
                <w:sz w:val="22"/>
              </w:rPr>
              <w:t> </w:t>
            </w:r>
            <w:r>
              <w:rPr>
                <w:rFonts w:ascii="Calibri" w:hAnsi="Calibri"/>
                <w:sz w:val="22"/>
              </w:rPr>
              <w:t>Semestre</w:t>
            </w:r>
            <w:r>
              <w:rPr>
                <w:rFonts w:ascii="Calibri" w:hAnsi="Calibri"/>
                <w:spacing w:val="-12"/>
                <w:sz w:val="22"/>
              </w:rPr>
              <w:t> </w:t>
            </w:r>
            <w:r>
              <w:rPr>
                <w:rFonts w:ascii="Calibri" w:hAnsi="Calibri"/>
                <w:sz w:val="22"/>
              </w:rPr>
              <w:t>2023</w:t>
            </w:r>
            <w:r>
              <w:rPr>
                <w:rFonts w:ascii="Calibri" w:hAnsi="Calibri"/>
                <w:sz w:val="22"/>
                <w:vertAlign w:val="superscript"/>
              </w:rPr>
              <w:t>1</w:t>
            </w:r>
            <w:r>
              <w:rPr>
                <w:rFonts w:ascii="Calibri" w:hAnsi="Calibri"/>
                <w:sz w:val="22"/>
                <w:vertAlign w:val="baseline"/>
              </w:rPr>
              <w:t> </w:t>
            </w:r>
            <w:r>
              <w:rPr>
                <w:rFonts w:ascii="Calibri" w:hAnsi="Calibri"/>
                <w:spacing w:val="-4"/>
                <w:sz w:val="22"/>
                <w:vertAlign w:val="baseline"/>
              </w:rPr>
              <w:t>2ans</w:t>
            </w:r>
          </w:p>
          <w:p>
            <w:pPr>
              <w:pStyle w:val="TableParagraph"/>
              <w:spacing w:line="268" w:lineRule="exact"/>
              <w:ind w:left="108"/>
              <w:rPr>
                <w:b/>
                <w:sz w:val="22"/>
              </w:rPr>
            </w:pPr>
            <w:r>
              <w:rPr>
                <w:rFonts w:ascii="Calibri" w:hAnsi="Calibri"/>
                <w:sz w:val="22"/>
              </w:rPr>
              <w:t>X </w:t>
            </w:r>
            <w:r>
              <w:rPr>
                <w:b/>
                <w:sz w:val="22"/>
              </w:rPr>
              <w:t>Bruxelles</w:t>
            </w:r>
            <w:r>
              <w:rPr>
                <w:b/>
                <w:spacing w:val="48"/>
                <w:sz w:val="22"/>
              </w:rPr>
              <w:t> </w:t>
            </w:r>
            <w:r>
              <w:rPr>
                <w:rFonts w:ascii="Wingdings 2" w:hAnsi="Wingdings 2"/>
                <w:sz w:val="22"/>
              </w:rPr>
              <w:t></w:t>
            </w:r>
            <w:r>
              <w:rPr>
                <w:spacing w:val="-5"/>
                <w:sz w:val="22"/>
              </w:rPr>
              <w:t> </w:t>
            </w:r>
            <w:r>
              <w:rPr>
                <w:b/>
                <w:sz w:val="22"/>
              </w:rPr>
              <w:t>Luxembourg</w:t>
            </w:r>
            <w:r>
              <w:rPr>
                <w:b/>
                <w:spacing w:val="48"/>
                <w:sz w:val="22"/>
              </w:rPr>
              <w:t> </w:t>
            </w:r>
            <w:r>
              <w:rPr>
                <w:rFonts w:ascii="Wingdings 2" w:hAnsi="Wingdings 2"/>
                <w:sz w:val="22"/>
              </w:rPr>
              <w:t></w:t>
            </w:r>
            <w:r>
              <w:rPr>
                <w:spacing w:val="-5"/>
                <w:sz w:val="22"/>
              </w:rPr>
              <w:t> </w:t>
            </w:r>
            <w:r>
              <w:rPr>
                <w:sz w:val="22"/>
              </w:rPr>
              <w:t>A</w:t>
            </w:r>
            <w:r>
              <w:rPr>
                <w:b/>
                <w:sz w:val="22"/>
              </w:rPr>
              <w:t>utre:</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442" w:val="left" w:leader="none"/>
                <w:tab w:pos="2869" w:val="left" w:leader="none"/>
                <w:tab w:pos="3340" w:val="left" w:leader="none"/>
              </w:tabs>
              <w:spacing w:before="139"/>
              <w:ind w:left="108"/>
              <w:rPr>
                <w:b/>
                <w:sz w:val="22"/>
              </w:rPr>
            </w:pPr>
            <w:r>
              <w:rPr>
                <w:rFonts w:ascii="Calibri" w:hAnsi="Calibri"/>
                <w:spacing w:val="-10"/>
                <w:sz w:val="22"/>
              </w:rPr>
              <w:t>X</w:t>
            </w:r>
            <w:r>
              <w:rPr>
                <w:rFonts w:ascii="Calibri" w:hAnsi="Calibri"/>
                <w:sz w:val="22"/>
              </w:rPr>
              <w:tab/>
            </w: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6"/>
                <w:sz w:val="22"/>
              </w:rPr>
              <w:t> </w:t>
            </w:r>
            <w:r>
              <w:rPr>
                <w:b/>
                <w:sz w:val="22"/>
              </w:rPr>
              <w:t>est</w:t>
            </w:r>
            <w:r>
              <w:rPr>
                <w:b/>
                <w:spacing w:val="-6"/>
                <w:sz w:val="22"/>
              </w:rPr>
              <w:t> </w:t>
            </w:r>
            <w:r>
              <w:rPr>
                <w:b/>
                <w:sz w:val="22"/>
              </w:rPr>
              <w:t>également</w:t>
            </w:r>
            <w:r>
              <w:rPr>
                <w:b/>
                <w:spacing w:val="-6"/>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 w:pos="525" w:val="left" w:leader="none"/>
              </w:tabs>
              <w:spacing w:line="252" w:lineRule="exact" w:before="0" w:after="0"/>
              <w:ind w:left="524" w:right="0" w:hanging="418"/>
              <w:jc w:val="left"/>
              <w:rPr>
                <w:b/>
                <w:sz w:val="22"/>
              </w:rPr>
            </w:pPr>
            <w:r>
              <w:rPr>
                <w:b/>
                <w:sz w:val="22"/>
              </w:rPr>
              <w:t>aux</w:t>
            </w:r>
            <w:r>
              <w:rPr>
                <w:b/>
                <w:spacing w:val="-6"/>
                <w:sz w:val="22"/>
              </w:rPr>
              <w:t> </w:t>
            </w:r>
            <w:r>
              <w:rPr>
                <w:b/>
                <w:sz w:val="22"/>
              </w:rPr>
              <w:t>pays</w:t>
            </w:r>
            <w:r>
              <w:rPr>
                <w:b/>
                <w:spacing w:val="-7"/>
                <w:sz w:val="22"/>
              </w:rPr>
              <w:t> </w:t>
            </w:r>
            <w:r>
              <w:rPr>
                <w:b/>
                <w:sz w:val="22"/>
              </w:rPr>
              <w:t>AELE</w:t>
            </w:r>
            <w:r>
              <w:rPr>
                <w:b/>
                <w:spacing w:val="-5"/>
                <w:sz w:val="22"/>
              </w:rPr>
              <w:t> </w:t>
            </w:r>
            <w:r>
              <w:rPr>
                <w:b/>
                <w:sz w:val="22"/>
              </w:rPr>
              <w:t>suivants</w:t>
            </w:r>
            <w:r>
              <w:rPr>
                <w:b/>
                <w:spacing w:val="-7"/>
                <w:sz w:val="22"/>
              </w:rPr>
              <w:t> </w:t>
            </w:r>
            <w:r>
              <w:rPr>
                <w:b/>
                <w:spacing w:val="-10"/>
                <w:sz w:val="22"/>
              </w:rPr>
              <w:t>:</w:t>
            </w:r>
          </w:p>
          <w:p>
            <w:pPr>
              <w:pStyle w:val="TableParagraph"/>
              <w:numPr>
                <w:ilvl w:val="1"/>
                <w:numId w:val="1"/>
              </w:numPr>
              <w:tabs>
                <w:tab w:pos="1102" w:val="left" w:leader="none"/>
              </w:tabs>
              <w:spacing w:line="252" w:lineRule="exact" w:before="0" w:after="0"/>
              <w:ind w:left="1101" w:right="0" w:hanging="251"/>
              <w:jc w:val="left"/>
              <w:rPr>
                <w:b/>
                <w:sz w:val="22"/>
              </w:rPr>
            </w:pPr>
            <w:r>
              <w:rPr>
                <w:b/>
                <w:sz w:val="22"/>
              </w:rPr>
              <w:t>Islande</w:t>
            </w:r>
            <w:r>
              <w:rPr>
                <w:b/>
                <w:spacing w:val="-6"/>
                <w:sz w:val="22"/>
              </w:rPr>
              <w:t> </w:t>
            </w:r>
            <w:r>
              <w:rPr>
                <w:rFonts w:ascii="Wingdings 2" w:hAnsi="Wingdings 2"/>
                <w:sz w:val="22"/>
              </w:rPr>
              <w:t></w:t>
            </w:r>
            <w:r>
              <w:rPr>
                <w:spacing w:val="-10"/>
                <w:sz w:val="22"/>
              </w:rPr>
              <w:t> </w:t>
            </w:r>
            <w:r>
              <w:rPr>
                <w:b/>
                <w:sz w:val="22"/>
              </w:rPr>
              <w:t>Liechtenstein</w:t>
            </w:r>
            <w:r>
              <w:rPr>
                <w:b/>
                <w:spacing w:val="-11"/>
                <w:sz w:val="22"/>
              </w:rPr>
              <w:t> </w:t>
            </w:r>
            <w:r>
              <w:rPr>
                <w:rFonts w:ascii="Wingdings 2" w:hAnsi="Wingdings 2"/>
                <w:sz w:val="22"/>
              </w:rPr>
              <w:t></w:t>
            </w:r>
            <w:r>
              <w:rPr>
                <w:spacing w:val="-10"/>
                <w:sz w:val="22"/>
              </w:rPr>
              <w:t> </w:t>
            </w:r>
            <w:r>
              <w:rPr>
                <w:b/>
                <w:sz w:val="22"/>
              </w:rPr>
              <w:t>Norvège</w:t>
            </w:r>
            <w:r>
              <w:rPr>
                <w:b/>
                <w:spacing w:val="-4"/>
                <w:sz w:val="22"/>
              </w:rPr>
              <w:t> </w:t>
            </w:r>
            <w:r>
              <w:rPr>
                <w:rFonts w:ascii="Wingdings 2" w:hAnsi="Wingdings 2"/>
                <w:sz w:val="22"/>
              </w:rPr>
              <w:t></w:t>
            </w:r>
            <w:r>
              <w:rPr>
                <w:spacing w:val="-6"/>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1"/>
              <w:jc w:val="left"/>
              <w:rPr>
                <w:b/>
                <w:sz w:val="22"/>
              </w:rPr>
            </w:pPr>
            <w:r>
              <w:rPr>
                <w:b/>
                <w:sz w:val="22"/>
              </w:rPr>
              <w:t>Accord</w:t>
            </w:r>
            <w:r>
              <w:rPr>
                <w:b/>
                <w:spacing w:val="-9"/>
                <w:sz w:val="22"/>
              </w:rPr>
              <w:t> </w:t>
            </w:r>
            <w:r>
              <w:rPr>
                <w:b/>
                <w:sz w:val="22"/>
              </w:rPr>
              <w:t>AELE-EEE</w:t>
            </w:r>
            <w:r>
              <w:rPr>
                <w:b/>
                <w:spacing w:val="-10"/>
                <w:sz w:val="22"/>
              </w:rPr>
              <w:t> </w:t>
            </w:r>
            <w:r>
              <w:rPr>
                <w:b/>
                <w:sz w:val="22"/>
              </w:rPr>
              <w:t>in-Kind</w:t>
            </w:r>
            <w:r>
              <w:rPr>
                <w:b/>
                <w:spacing w:val="-11"/>
                <w:sz w:val="22"/>
              </w:rPr>
              <w:t> </w:t>
            </w:r>
            <w:r>
              <w:rPr>
                <w:b/>
                <w:sz w:val="22"/>
              </w:rPr>
              <w:t>(Islande,</w:t>
            </w:r>
            <w:r>
              <w:rPr>
                <w:b/>
                <w:spacing w:val="-10"/>
                <w:sz w:val="22"/>
              </w:rPr>
              <w:t> </w:t>
            </w:r>
            <w:r>
              <w:rPr>
                <w:b/>
                <w:sz w:val="22"/>
              </w:rPr>
              <w:t>Liechtenstein,</w:t>
            </w:r>
            <w:r>
              <w:rPr>
                <w:b/>
                <w:spacing w:val="-10"/>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5"/>
                <w:sz w:val="22"/>
              </w:rPr>
              <w:t> </w:t>
            </w:r>
            <w:r>
              <w:rPr>
                <w:b/>
                <w:sz w:val="22"/>
              </w:rPr>
              <w:t>pays</w:t>
            </w:r>
            <w:r>
              <w:rPr>
                <w:b/>
                <w:spacing w:val="-5"/>
                <w:sz w:val="22"/>
              </w:rPr>
              <w:t> </w:t>
            </w:r>
            <w:r>
              <w:rPr>
                <w:b/>
                <w:sz w:val="22"/>
              </w:rPr>
              <w:t>tiers</w:t>
            </w:r>
            <w:r>
              <w:rPr>
                <w:b/>
                <w:spacing w:val="-5"/>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z w:val="22"/>
              </w:rPr>
              <w:t>aux</w:t>
            </w:r>
            <w:r>
              <w:rPr>
                <w:b/>
                <w:spacing w:val="-14"/>
                <w:sz w:val="22"/>
              </w:rPr>
              <w:t> </w:t>
            </w:r>
            <w:r>
              <w:rPr>
                <w:b/>
                <w:sz w:val="22"/>
              </w:rPr>
              <w:t>organisations</w:t>
            </w:r>
            <w:r>
              <w:rPr>
                <w:b/>
                <w:spacing w:val="-14"/>
                <w:sz w:val="22"/>
              </w:rPr>
              <w:t> </w:t>
            </w:r>
            <w:r>
              <w:rPr>
                <w:b/>
                <w:sz w:val="22"/>
              </w:rPr>
              <w:t>intergouvernementales</w:t>
            </w:r>
            <w:r>
              <w:rPr>
                <w:b/>
                <w:spacing w:val="-13"/>
                <w:sz w:val="22"/>
              </w:rPr>
              <w:t> </w:t>
            </w:r>
            <w:r>
              <w:rPr>
                <w:b/>
                <w:spacing w:val="-2"/>
                <w:sz w:val="22"/>
              </w:rPr>
              <w:t>suivantes:</w:t>
            </w:r>
          </w:p>
        </w:tc>
      </w:tr>
    </w:tbl>
    <w:p>
      <w:pPr>
        <w:pStyle w:val="BodyText"/>
        <w:spacing w:before="2"/>
        <w:rPr>
          <w:b/>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5"/>
          <w:sz w:val="24"/>
          <w:u w:val="single"/>
        </w:rPr>
        <w:t> </w:t>
      </w:r>
      <w:r>
        <w:rPr>
          <w:b/>
          <w:sz w:val="24"/>
          <w:u w:val="single"/>
        </w:rPr>
        <w:t>des</w:t>
      </w:r>
      <w:r>
        <w:rPr>
          <w:b/>
          <w:spacing w:val="-5"/>
          <w:sz w:val="24"/>
          <w:u w:val="single"/>
        </w:rPr>
        <w:t> </w:t>
      </w:r>
      <w:r>
        <w:rPr>
          <w:b/>
          <w:spacing w:val="-2"/>
          <w:sz w:val="24"/>
          <w:u w:val="single"/>
        </w:rPr>
        <w:t>fonctions</w:t>
      </w:r>
    </w:p>
    <w:p>
      <w:pPr>
        <w:pStyle w:val="BodyText"/>
        <w:spacing w:before="1"/>
        <w:rPr>
          <w:b/>
          <w:sz w:val="19"/>
        </w:rPr>
      </w:pPr>
    </w:p>
    <w:p>
      <w:pPr>
        <w:pStyle w:val="BodyText"/>
        <w:spacing w:line="276" w:lineRule="auto" w:before="56"/>
        <w:ind w:left="130" w:right="229"/>
        <w:rPr>
          <w:rFonts w:ascii="Calibri" w:hAnsi="Calibri"/>
        </w:rPr>
      </w:pPr>
      <w:r>
        <w:rPr>
          <w:rFonts w:ascii="Calibri" w:hAnsi="Calibri"/>
        </w:rPr>
        <w:t>L’Autorité européenne de préparation et de réaction en cas d’urgence sanitaire est un service de la Commission qui</w:t>
      </w:r>
      <w:r>
        <w:rPr>
          <w:rFonts w:ascii="Calibri" w:hAnsi="Calibri"/>
          <w:spacing w:val="-4"/>
        </w:rPr>
        <w:t> </w:t>
      </w:r>
      <w:r>
        <w:rPr>
          <w:rFonts w:ascii="Calibri" w:hAnsi="Calibri"/>
        </w:rPr>
        <w:t>s’emploie</w:t>
      </w:r>
      <w:r>
        <w:rPr>
          <w:rFonts w:ascii="Calibri" w:hAnsi="Calibri"/>
          <w:spacing w:val="-3"/>
        </w:rPr>
        <w:t> </w:t>
      </w:r>
      <w:r>
        <w:rPr>
          <w:rFonts w:ascii="Calibri" w:hAnsi="Calibri"/>
        </w:rPr>
        <w:t>à</w:t>
      </w:r>
      <w:r>
        <w:rPr>
          <w:rFonts w:ascii="Calibri" w:hAnsi="Calibri"/>
          <w:spacing w:val="-4"/>
        </w:rPr>
        <w:t> </w:t>
      </w:r>
      <w:r>
        <w:rPr>
          <w:rFonts w:ascii="Calibri" w:hAnsi="Calibri"/>
        </w:rPr>
        <w:t>améliorer</w:t>
      </w:r>
      <w:r>
        <w:rPr>
          <w:rFonts w:ascii="Calibri" w:hAnsi="Calibri"/>
          <w:spacing w:val="-3"/>
        </w:rPr>
        <w:t> </w:t>
      </w:r>
      <w:r>
        <w:rPr>
          <w:rFonts w:ascii="Calibri" w:hAnsi="Calibri"/>
        </w:rPr>
        <w:t>la</w:t>
      </w:r>
      <w:r>
        <w:rPr>
          <w:rFonts w:ascii="Calibri" w:hAnsi="Calibri"/>
          <w:spacing w:val="-4"/>
        </w:rPr>
        <w:t> </w:t>
      </w:r>
      <w:r>
        <w:rPr>
          <w:rFonts w:ascii="Calibri" w:hAnsi="Calibri"/>
        </w:rPr>
        <w:t>préparation</w:t>
      </w:r>
      <w:r>
        <w:rPr>
          <w:rFonts w:ascii="Calibri" w:hAnsi="Calibri"/>
          <w:spacing w:val="-2"/>
        </w:rPr>
        <w:t> </w:t>
      </w:r>
      <w:r>
        <w:rPr>
          <w:rFonts w:ascii="Calibri" w:hAnsi="Calibri"/>
        </w:rPr>
        <w:t>et</w:t>
      </w:r>
      <w:r>
        <w:rPr>
          <w:rFonts w:ascii="Calibri" w:hAnsi="Calibri"/>
          <w:spacing w:val="-3"/>
        </w:rPr>
        <w:t> </w:t>
      </w:r>
      <w:r>
        <w:rPr>
          <w:rFonts w:ascii="Calibri" w:hAnsi="Calibri"/>
        </w:rPr>
        <w:t>la</w:t>
      </w:r>
      <w:r>
        <w:rPr>
          <w:rFonts w:ascii="Calibri" w:hAnsi="Calibri"/>
          <w:spacing w:val="-3"/>
        </w:rPr>
        <w:t> </w:t>
      </w:r>
      <w:r>
        <w:rPr>
          <w:rFonts w:ascii="Calibri" w:hAnsi="Calibri"/>
        </w:rPr>
        <w:t>réaction</w:t>
      </w:r>
      <w:r>
        <w:rPr>
          <w:rFonts w:ascii="Calibri" w:hAnsi="Calibri"/>
          <w:spacing w:val="-4"/>
        </w:rPr>
        <w:t> </w:t>
      </w:r>
      <w:r>
        <w:rPr>
          <w:rFonts w:ascii="Calibri" w:hAnsi="Calibri"/>
        </w:rPr>
        <w:t>aux menaces</w:t>
      </w:r>
      <w:r>
        <w:rPr>
          <w:rFonts w:ascii="Calibri" w:hAnsi="Calibri"/>
          <w:spacing w:val="-3"/>
        </w:rPr>
        <w:t> </w:t>
      </w:r>
      <w:r>
        <w:rPr>
          <w:rFonts w:ascii="Calibri" w:hAnsi="Calibri"/>
        </w:rPr>
        <w:t>transfrontalières</w:t>
      </w:r>
      <w:r>
        <w:rPr>
          <w:rFonts w:ascii="Calibri" w:hAnsi="Calibri"/>
          <w:spacing w:val="-3"/>
        </w:rPr>
        <w:t> </w:t>
      </w:r>
      <w:r>
        <w:rPr>
          <w:rFonts w:ascii="Calibri" w:hAnsi="Calibri"/>
        </w:rPr>
        <w:t>graves</w:t>
      </w:r>
      <w:r>
        <w:rPr>
          <w:rFonts w:ascii="Calibri" w:hAnsi="Calibri"/>
          <w:spacing w:val="-3"/>
        </w:rPr>
        <w:t> </w:t>
      </w:r>
      <w:r>
        <w:rPr>
          <w:rFonts w:ascii="Calibri" w:hAnsi="Calibri"/>
        </w:rPr>
        <w:t>dans</w:t>
      </w:r>
      <w:r>
        <w:rPr>
          <w:rFonts w:ascii="Calibri" w:hAnsi="Calibri"/>
          <w:spacing w:val="-3"/>
        </w:rPr>
        <w:t> </w:t>
      </w:r>
      <w:r>
        <w:rPr>
          <w:rFonts w:ascii="Calibri" w:hAnsi="Calibri"/>
        </w:rPr>
        <w:t>le</w:t>
      </w:r>
      <w:r>
        <w:rPr>
          <w:rFonts w:ascii="Calibri" w:hAnsi="Calibri"/>
          <w:spacing w:val="-3"/>
        </w:rPr>
        <w:t> </w:t>
      </w:r>
      <w:r>
        <w:rPr>
          <w:rFonts w:ascii="Calibri" w:hAnsi="Calibri"/>
        </w:rPr>
        <w:t>domaine</w:t>
      </w:r>
      <w:r>
        <w:rPr>
          <w:rFonts w:ascii="Calibri" w:hAnsi="Calibri"/>
          <w:spacing w:val="-4"/>
        </w:rPr>
        <w:t> </w:t>
      </w:r>
      <w:r>
        <w:rPr>
          <w:rFonts w:ascii="Calibri" w:hAnsi="Calibri"/>
        </w:rPr>
        <w:t>des contre-mesures médicales, notamment :</w:t>
      </w:r>
    </w:p>
    <w:p>
      <w:pPr>
        <w:pStyle w:val="BodyText"/>
        <w:spacing w:before="5"/>
        <w:rPr>
          <w:rFonts w:ascii="Calibri"/>
          <w:sz w:val="16"/>
        </w:rPr>
      </w:pPr>
    </w:p>
    <w:p>
      <w:pPr>
        <w:pStyle w:val="ListParagraph"/>
        <w:numPr>
          <w:ilvl w:val="1"/>
          <w:numId w:val="2"/>
        </w:numPr>
        <w:tabs>
          <w:tab w:pos="248" w:val="left" w:leader="none"/>
        </w:tabs>
        <w:spacing w:line="276" w:lineRule="auto" w:before="0" w:after="0"/>
        <w:ind w:left="130" w:right="865" w:firstLine="0"/>
        <w:jc w:val="left"/>
        <w:rPr>
          <w:rFonts w:ascii="Calibri" w:hAnsi="Calibri"/>
          <w:sz w:val="22"/>
        </w:rPr>
      </w:pPr>
      <w:r>
        <w:rPr>
          <w:rFonts w:ascii="Calibri" w:hAnsi="Calibri"/>
          <w:sz w:val="22"/>
        </w:rPr>
        <w:t>renforcer la coordination en matière de sécurité sanitaire au sein de l’Union pendant les périodes de préparation</w:t>
      </w:r>
      <w:r>
        <w:rPr>
          <w:rFonts w:ascii="Calibri" w:hAnsi="Calibri"/>
          <w:spacing w:val="-4"/>
          <w:sz w:val="22"/>
        </w:rPr>
        <w:t> </w:t>
      </w:r>
      <w:r>
        <w:rPr>
          <w:rFonts w:ascii="Calibri" w:hAnsi="Calibri"/>
          <w:sz w:val="22"/>
        </w:rPr>
        <w:t>et</w:t>
      </w:r>
      <w:r>
        <w:rPr>
          <w:rFonts w:ascii="Calibri" w:hAnsi="Calibri"/>
          <w:spacing w:val="-4"/>
          <w:sz w:val="22"/>
        </w:rPr>
        <w:t> </w:t>
      </w:r>
      <w:r>
        <w:rPr>
          <w:rFonts w:ascii="Calibri" w:hAnsi="Calibri"/>
          <w:sz w:val="22"/>
        </w:rPr>
        <w:t>de</w:t>
      </w:r>
      <w:r>
        <w:rPr>
          <w:rFonts w:ascii="Calibri" w:hAnsi="Calibri"/>
          <w:spacing w:val="-3"/>
          <w:sz w:val="22"/>
        </w:rPr>
        <w:t> </w:t>
      </w:r>
      <w:r>
        <w:rPr>
          <w:rFonts w:ascii="Calibri" w:hAnsi="Calibri"/>
          <w:sz w:val="22"/>
        </w:rPr>
        <w:t>réaction</w:t>
      </w:r>
      <w:r>
        <w:rPr>
          <w:rFonts w:ascii="Calibri" w:hAnsi="Calibri"/>
          <w:spacing w:val="-3"/>
          <w:sz w:val="22"/>
        </w:rPr>
        <w:t> </w:t>
      </w:r>
      <w:r>
        <w:rPr>
          <w:rFonts w:ascii="Calibri" w:hAnsi="Calibri"/>
          <w:sz w:val="22"/>
        </w:rPr>
        <w:t>aux</w:t>
      </w:r>
      <w:r>
        <w:rPr>
          <w:rFonts w:ascii="Calibri" w:hAnsi="Calibri"/>
          <w:spacing w:val="-4"/>
          <w:sz w:val="22"/>
        </w:rPr>
        <w:t> </w:t>
      </w:r>
      <w:r>
        <w:rPr>
          <w:rFonts w:ascii="Calibri" w:hAnsi="Calibri"/>
          <w:sz w:val="22"/>
        </w:rPr>
        <w:t>crises,</w:t>
      </w:r>
      <w:r>
        <w:rPr>
          <w:rFonts w:ascii="Calibri" w:hAnsi="Calibri"/>
          <w:spacing w:val="-3"/>
          <w:sz w:val="22"/>
        </w:rPr>
        <w:t> </w:t>
      </w:r>
      <w:r>
        <w:rPr>
          <w:rFonts w:ascii="Calibri" w:hAnsi="Calibri"/>
          <w:sz w:val="22"/>
        </w:rPr>
        <w:t>et</w:t>
      </w:r>
      <w:r>
        <w:rPr>
          <w:rFonts w:ascii="Calibri" w:hAnsi="Calibri"/>
          <w:spacing w:val="-3"/>
          <w:sz w:val="22"/>
        </w:rPr>
        <w:t> </w:t>
      </w:r>
      <w:r>
        <w:rPr>
          <w:rFonts w:ascii="Calibri" w:hAnsi="Calibri"/>
          <w:sz w:val="22"/>
        </w:rPr>
        <w:t>rassembler</w:t>
      </w:r>
      <w:r>
        <w:rPr>
          <w:rFonts w:ascii="Calibri" w:hAnsi="Calibri"/>
          <w:spacing w:val="-3"/>
          <w:sz w:val="22"/>
        </w:rPr>
        <w:t> </w:t>
      </w:r>
      <w:r>
        <w:rPr>
          <w:rFonts w:ascii="Calibri" w:hAnsi="Calibri"/>
          <w:sz w:val="22"/>
        </w:rPr>
        <w:t>les</w:t>
      </w:r>
      <w:r>
        <w:rPr>
          <w:rFonts w:ascii="Calibri" w:hAnsi="Calibri"/>
          <w:spacing w:val="-4"/>
          <w:sz w:val="22"/>
        </w:rPr>
        <w:t> </w:t>
      </w:r>
      <w:r>
        <w:rPr>
          <w:rFonts w:ascii="Calibri" w:hAnsi="Calibri"/>
          <w:sz w:val="22"/>
        </w:rPr>
        <w:t>États</w:t>
      </w:r>
      <w:r>
        <w:rPr>
          <w:rFonts w:ascii="Calibri" w:hAnsi="Calibri"/>
          <w:spacing w:val="-3"/>
          <w:sz w:val="22"/>
        </w:rPr>
        <w:t> </w:t>
      </w:r>
      <w:r>
        <w:rPr>
          <w:rFonts w:ascii="Calibri" w:hAnsi="Calibri"/>
          <w:sz w:val="22"/>
        </w:rPr>
        <w:t>membres,</w:t>
      </w:r>
      <w:r>
        <w:rPr>
          <w:rFonts w:ascii="Calibri" w:hAnsi="Calibri"/>
          <w:spacing w:val="-3"/>
          <w:sz w:val="22"/>
        </w:rPr>
        <w:t> </w:t>
      </w:r>
      <w:r>
        <w:rPr>
          <w:rFonts w:ascii="Calibri" w:hAnsi="Calibri"/>
          <w:sz w:val="22"/>
        </w:rPr>
        <w:t>l’industrie</w:t>
      </w:r>
      <w:r>
        <w:rPr>
          <w:rFonts w:ascii="Calibri" w:hAnsi="Calibri"/>
          <w:spacing w:val="-3"/>
          <w:sz w:val="22"/>
        </w:rPr>
        <w:t> </w:t>
      </w:r>
      <w:r>
        <w:rPr>
          <w:rFonts w:ascii="Calibri" w:hAnsi="Calibri"/>
          <w:sz w:val="22"/>
        </w:rPr>
        <w:t>et</w:t>
      </w:r>
      <w:r>
        <w:rPr>
          <w:rFonts w:ascii="Calibri" w:hAnsi="Calibri"/>
          <w:spacing w:val="-3"/>
          <w:sz w:val="22"/>
        </w:rPr>
        <w:t> </w:t>
      </w:r>
      <w:r>
        <w:rPr>
          <w:rFonts w:ascii="Calibri" w:hAnsi="Calibri"/>
          <w:sz w:val="22"/>
        </w:rPr>
        <w:t>les</w:t>
      </w:r>
      <w:r>
        <w:rPr>
          <w:rFonts w:ascii="Calibri" w:hAnsi="Calibri"/>
          <w:spacing w:val="-4"/>
          <w:sz w:val="22"/>
        </w:rPr>
        <w:t> </w:t>
      </w:r>
      <w:r>
        <w:rPr>
          <w:rFonts w:ascii="Calibri" w:hAnsi="Calibri"/>
          <w:sz w:val="22"/>
        </w:rPr>
        <w:t>parties</w:t>
      </w:r>
      <w:r>
        <w:rPr>
          <w:rFonts w:ascii="Calibri" w:hAnsi="Calibri"/>
          <w:spacing w:val="-3"/>
          <w:sz w:val="22"/>
        </w:rPr>
        <w:t> </w:t>
      </w:r>
      <w:r>
        <w:rPr>
          <w:rFonts w:ascii="Calibri" w:hAnsi="Calibri"/>
          <w:sz w:val="22"/>
        </w:rPr>
        <w:t>prenantes concernées dans le cadre d’un effort commun;</w:t>
      </w:r>
    </w:p>
    <w:p>
      <w:pPr>
        <w:pStyle w:val="BodyText"/>
        <w:spacing w:before="5"/>
        <w:rPr>
          <w:rFonts w:ascii="Calibri"/>
          <w:sz w:val="16"/>
        </w:rPr>
      </w:pPr>
    </w:p>
    <w:p>
      <w:pPr>
        <w:pStyle w:val="ListParagraph"/>
        <w:numPr>
          <w:ilvl w:val="1"/>
          <w:numId w:val="2"/>
        </w:numPr>
        <w:tabs>
          <w:tab w:pos="248" w:val="left" w:leader="none"/>
        </w:tabs>
        <w:spacing w:line="276" w:lineRule="auto" w:before="0" w:after="0"/>
        <w:ind w:left="130" w:right="500" w:firstLine="0"/>
        <w:jc w:val="left"/>
        <w:rPr>
          <w:rFonts w:ascii="Calibri" w:hAnsi="Calibri"/>
          <w:sz w:val="22"/>
        </w:rPr>
      </w:pPr>
      <w:r>
        <w:rPr>
          <w:rFonts w:ascii="Calibri" w:hAnsi="Calibri"/>
          <w:sz w:val="22"/>
        </w:rPr>
        <w:t>remédier</w:t>
      </w:r>
      <w:r>
        <w:rPr>
          <w:rFonts w:ascii="Calibri" w:hAnsi="Calibri"/>
          <w:spacing w:val="-3"/>
          <w:sz w:val="22"/>
        </w:rPr>
        <w:t> </w:t>
      </w:r>
      <w:r>
        <w:rPr>
          <w:rFonts w:ascii="Calibri" w:hAnsi="Calibri"/>
          <w:sz w:val="22"/>
        </w:rPr>
        <w:t>aux</w:t>
      </w:r>
      <w:r>
        <w:rPr>
          <w:rFonts w:ascii="Calibri" w:hAnsi="Calibri"/>
          <w:spacing w:val="-3"/>
          <w:sz w:val="22"/>
        </w:rPr>
        <w:t> </w:t>
      </w:r>
      <w:r>
        <w:rPr>
          <w:rFonts w:ascii="Calibri" w:hAnsi="Calibri"/>
          <w:sz w:val="22"/>
        </w:rPr>
        <w:t>vulnérabilités</w:t>
      </w:r>
      <w:r>
        <w:rPr>
          <w:rFonts w:ascii="Calibri" w:hAnsi="Calibri"/>
          <w:spacing w:val="-3"/>
          <w:sz w:val="22"/>
        </w:rPr>
        <w:t> </w:t>
      </w:r>
      <w:r>
        <w:rPr>
          <w:rFonts w:ascii="Calibri" w:hAnsi="Calibri"/>
          <w:sz w:val="22"/>
        </w:rPr>
        <w:t>et</w:t>
      </w:r>
      <w:r>
        <w:rPr>
          <w:rFonts w:ascii="Calibri" w:hAnsi="Calibri"/>
          <w:spacing w:val="-4"/>
          <w:sz w:val="22"/>
        </w:rPr>
        <w:t> </w:t>
      </w:r>
      <w:r>
        <w:rPr>
          <w:rFonts w:ascii="Calibri" w:hAnsi="Calibri"/>
          <w:sz w:val="22"/>
        </w:rPr>
        <w:t>aux</w:t>
      </w:r>
      <w:r>
        <w:rPr>
          <w:rFonts w:ascii="Calibri" w:hAnsi="Calibri"/>
          <w:spacing w:val="-3"/>
          <w:sz w:val="22"/>
        </w:rPr>
        <w:t> </w:t>
      </w:r>
      <w:r>
        <w:rPr>
          <w:rFonts w:ascii="Calibri" w:hAnsi="Calibri"/>
          <w:sz w:val="22"/>
        </w:rPr>
        <w:t>dépendances</w:t>
      </w:r>
      <w:r>
        <w:rPr>
          <w:rFonts w:ascii="Calibri" w:hAnsi="Calibri"/>
          <w:spacing w:val="-3"/>
          <w:sz w:val="22"/>
        </w:rPr>
        <w:t> </w:t>
      </w:r>
      <w:r>
        <w:rPr>
          <w:rFonts w:ascii="Calibri" w:hAnsi="Calibri"/>
          <w:sz w:val="22"/>
        </w:rPr>
        <w:t>stratégiques</w:t>
      </w:r>
      <w:r>
        <w:rPr>
          <w:rFonts w:ascii="Calibri" w:hAnsi="Calibri"/>
          <w:spacing w:val="-3"/>
          <w:sz w:val="22"/>
        </w:rPr>
        <w:t> </w:t>
      </w:r>
      <w:r>
        <w:rPr>
          <w:rFonts w:ascii="Calibri" w:hAnsi="Calibri"/>
          <w:sz w:val="22"/>
        </w:rPr>
        <w:t>au</w:t>
      </w:r>
      <w:r>
        <w:rPr>
          <w:rFonts w:ascii="Calibri" w:hAnsi="Calibri"/>
          <w:spacing w:val="-3"/>
          <w:sz w:val="22"/>
        </w:rPr>
        <w:t> </w:t>
      </w:r>
      <w:r>
        <w:rPr>
          <w:rFonts w:ascii="Calibri" w:hAnsi="Calibri"/>
          <w:sz w:val="22"/>
        </w:rPr>
        <w:t>sein</w:t>
      </w:r>
      <w:r>
        <w:rPr>
          <w:rFonts w:ascii="Calibri" w:hAnsi="Calibri"/>
          <w:spacing w:val="-3"/>
          <w:sz w:val="22"/>
        </w:rPr>
        <w:t> </w:t>
      </w:r>
      <w:r>
        <w:rPr>
          <w:rFonts w:ascii="Calibri" w:hAnsi="Calibri"/>
          <w:sz w:val="22"/>
        </w:rPr>
        <w:t>de</w:t>
      </w:r>
      <w:r>
        <w:rPr>
          <w:rFonts w:ascii="Calibri" w:hAnsi="Calibri"/>
          <w:spacing w:val="-3"/>
          <w:sz w:val="22"/>
        </w:rPr>
        <w:t> </w:t>
      </w:r>
      <w:r>
        <w:rPr>
          <w:rFonts w:ascii="Calibri" w:hAnsi="Calibri"/>
          <w:sz w:val="22"/>
        </w:rPr>
        <w:t>l’Union</w:t>
      </w:r>
      <w:r>
        <w:rPr>
          <w:rFonts w:ascii="Calibri" w:hAnsi="Calibri"/>
          <w:spacing w:val="-3"/>
          <w:sz w:val="22"/>
        </w:rPr>
        <w:t> </w:t>
      </w:r>
      <w:r>
        <w:rPr>
          <w:rFonts w:ascii="Calibri" w:hAnsi="Calibri"/>
          <w:sz w:val="22"/>
        </w:rPr>
        <w:t>liées</w:t>
      </w:r>
      <w:r>
        <w:rPr>
          <w:rFonts w:ascii="Calibri" w:hAnsi="Calibri"/>
          <w:spacing w:val="-3"/>
          <w:sz w:val="22"/>
        </w:rPr>
        <w:t> </w:t>
      </w:r>
      <w:r>
        <w:rPr>
          <w:rFonts w:ascii="Calibri" w:hAnsi="Calibri"/>
          <w:sz w:val="22"/>
        </w:rPr>
        <w:t>au</w:t>
      </w:r>
      <w:r>
        <w:rPr>
          <w:rFonts w:ascii="Calibri" w:hAnsi="Calibri"/>
          <w:spacing w:val="-3"/>
          <w:sz w:val="22"/>
        </w:rPr>
        <w:t> </w:t>
      </w:r>
      <w:r>
        <w:rPr>
          <w:rFonts w:ascii="Calibri" w:hAnsi="Calibri"/>
          <w:sz w:val="22"/>
        </w:rPr>
        <w:t>développement,</w:t>
      </w:r>
      <w:r>
        <w:rPr>
          <w:rFonts w:ascii="Calibri" w:hAnsi="Calibri"/>
          <w:spacing w:val="-3"/>
          <w:sz w:val="22"/>
        </w:rPr>
        <w:t> </w:t>
      </w:r>
      <w:r>
        <w:rPr>
          <w:rFonts w:ascii="Calibri" w:hAnsi="Calibri"/>
          <w:sz w:val="22"/>
        </w:rPr>
        <w:t>à</w:t>
      </w:r>
      <w:r>
        <w:rPr>
          <w:rFonts w:ascii="Calibri" w:hAnsi="Calibri"/>
          <w:spacing w:val="-3"/>
          <w:sz w:val="22"/>
        </w:rPr>
        <w:t> </w:t>
      </w:r>
      <w:r>
        <w:rPr>
          <w:rFonts w:ascii="Calibri" w:hAnsi="Calibri"/>
          <w:sz w:val="22"/>
        </w:rPr>
        <w:t>la production, à la passation de marchés, à la constitution de stocks et à la distribution de contre-mesures </w:t>
      </w:r>
      <w:r>
        <w:rPr>
          <w:rFonts w:ascii="Calibri" w:hAnsi="Calibri"/>
          <w:spacing w:val="-2"/>
          <w:sz w:val="22"/>
        </w:rPr>
        <w:t>médicales;</w:t>
      </w:r>
    </w:p>
    <w:p>
      <w:pPr>
        <w:pStyle w:val="BodyText"/>
        <w:spacing w:before="5"/>
        <w:rPr>
          <w:rFonts w:ascii="Calibri"/>
          <w:sz w:val="16"/>
        </w:rPr>
      </w:pPr>
    </w:p>
    <w:p>
      <w:pPr>
        <w:pStyle w:val="ListParagraph"/>
        <w:numPr>
          <w:ilvl w:val="1"/>
          <w:numId w:val="2"/>
        </w:numPr>
        <w:tabs>
          <w:tab w:pos="248" w:val="left" w:leader="none"/>
        </w:tabs>
        <w:spacing w:line="276" w:lineRule="auto" w:before="0" w:after="0"/>
        <w:ind w:left="130" w:right="377" w:firstLine="0"/>
        <w:jc w:val="left"/>
        <w:rPr>
          <w:rFonts w:ascii="Calibri" w:hAnsi="Calibri"/>
          <w:sz w:val="22"/>
        </w:rPr>
      </w:pPr>
      <w:r>
        <w:rPr>
          <w:rFonts w:ascii="Calibri" w:hAnsi="Calibri"/>
          <w:sz w:val="22"/>
        </w:rPr>
        <w:t>contribuer</w:t>
      </w:r>
      <w:r>
        <w:rPr>
          <w:rFonts w:ascii="Calibri" w:hAnsi="Calibri"/>
          <w:spacing w:val="-3"/>
          <w:sz w:val="22"/>
        </w:rPr>
        <w:t> </w:t>
      </w:r>
      <w:r>
        <w:rPr>
          <w:rFonts w:ascii="Calibri" w:hAnsi="Calibri"/>
          <w:sz w:val="22"/>
        </w:rPr>
        <w:t>au</w:t>
      </w:r>
      <w:r>
        <w:rPr>
          <w:rFonts w:ascii="Calibri" w:hAnsi="Calibri"/>
          <w:spacing w:val="-4"/>
          <w:sz w:val="22"/>
        </w:rPr>
        <w:t> </w:t>
      </w:r>
      <w:r>
        <w:rPr>
          <w:rFonts w:ascii="Calibri" w:hAnsi="Calibri"/>
          <w:sz w:val="22"/>
        </w:rPr>
        <w:t>renforcement</w:t>
      </w:r>
      <w:r>
        <w:rPr>
          <w:rFonts w:ascii="Calibri" w:hAnsi="Calibri"/>
          <w:spacing w:val="-5"/>
          <w:sz w:val="22"/>
        </w:rPr>
        <w:t> </w:t>
      </w:r>
      <w:r>
        <w:rPr>
          <w:rFonts w:ascii="Calibri" w:hAnsi="Calibri"/>
          <w:sz w:val="22"/>
        </w:rPr>
        <w:t>de</w:t>
      </w:r>
      <w:r>
        <w:rPr>
          <w:rFonts w:ascii="Calibri" w:hAnsi="Calibri"/>
          <w:spacing w:val="-3"/>
          <w:sz w:val="22"/>
        </w:rPr>
        <w:t> </w:t>
      </w:r>
      <w:r>
        <w:rPr>
          <w:rFonts w:ascii="Calibri" w:hAnsi="Calibri"/>
          <w:sz w:val="22"/>
        </w:rPr>
        <w:t>l’architecture</w:t>
      </w:r>
      <w:r>
        <w:rPr>
          <w:rFonts w:ascii="Calibri" w:hAnsi="Calibri"/>
          <w:spacing w:val="-3"/>
          <w:sz w:val="22"/>
        </w:rPr>
        <w:t> </w:t>
      </w:r>
      <w:r>
        <w:rPr>
          <w:rFonts w:ascii="Calibri" w:hAnsi="Calibri"/>
          <w:sz w:val="22"/>
        </w:rPr>
        <w:t>mondiale</w:t>
      </w:r>
      <w:r>
        <w:rPr>
          <w:rFonts w:ascii="Calibri" w:hAnsi="Calibri"/>
          <w:spacing w:val="-4"/>
          <w:sz w:val="22"/>
        </w:rPr>
        <w:t> </w:t>
      </w:r>
      <w:r>
        <w:rPr>
          <w:rFonts w:ascii="Calibri" w:hAnsi="Calibri"/>
          <w:sz w:val="22"/>
        </w:rPr>
        <w:t>de</w:t>
      </w:r>
      <w:r>
        <w:rPr>
          <w:rFonts w:ascii="Calibri" w:hAnsi="Calibri"/>
          <w:spacing w:val="-3"/>
          <w:sz w:val="22"/>
        </w:rPr>
        <w:t> </w:t>
      </w:r>
      <w:r>
        <w:rPr>
          <w:rFonts w:ascii="Calibri" w:hAnsi="Calibri"/>
          <w:sz w:val="22"/>
        </w:rPr>
        <w:t>préparation</w:t>
      </w:r>
      <w:r>
        <w:rPr>
          <w:rFonts w:ascii="Calibri" w:hAnsi="Calibri"/>
          <w:spacing w:val="-4"/>
          <w:sz w:val="22"/>
        </w:rPr>
        <w:t> </w:t>
      </w:r>
      <w:r>
        <w:rPr>
          <w:rFonts w:ascii="Calibri" w:hAnsi="Calibri"/>
          <w:sz w:val="22"/>
        </w:rPr>
        <w:t>et</w:t>
      </w:r>
      <w:r>
        <w:rPr>
          <w:rFonts w:ascii="Calibri" w:hAnsi="Calibri"/>
          <w:spacing w:val="-3"/>
          <w:sz w:val="22"/>
        </w:rPr>
        <w:t> </w:t>
      </w:r>
      <w:r>
        <w:rPr>
          <w:rFonts w:ascii="Calibri" w:hAnsi="Calibri"/>
          <w:sz w:val="22"/>
        </w:rPr>
        <w:t>de</w:t>
      </w:r>
      <w:r>
        <w:rPr>
          <w:rFonts w:ascii="Calibri" w:hAnsi="Calibri"/>
          <w:spacing w:val="-4"/>
          <w:sz w:val="22"/>
        </w:rPr>
        <w:t> </w:t>
      </w:r>
      <w:r>
        <w:rPr>
          <w:rFonts w:ascii="Calibri" w:hAnsi="Calibri"/>
          <w:sz w:val="22"/>
        </w:rPr>
        <w:t>réaction</w:t>
      </w:r>
      <w:r>
        <w:rPr>
          <w:rFonts w:ascii="Calibri" w:hAnsi="Calibri"/>
          <w:spacing w:val="-4"/>
          <w:sz w:val="22"/>
        </w:rPr>
        <w:t> </w:t>
      </w:r>
      <w:r>
        <w:rPr>
          <w:rFonts w:ascii="Calibri" w:hAnsi="Calibri"/>
          <w:sz w:val="22"/>
        </w:rPr>
        <w:t>aux</w:t>
      </w:r>
      <w:r>
        <w:rPr>
          <w:rFonts w:ascii="Calibri" w:hAnsi="Calibri"/>
          <w:spacing w:val="-4"/>
          <w:sz w:val="22"/>
        </w:rPr>
        <w:t> </w:t>
      </w:r>
      <w:r>
        <w:rPr>
          <w:rFonts w:ascii="Calibri" w:hAnsi="Calibri"/>
          <w:sz w:val="22"/>
        </w:rPr>
        <w:t>situations</w:t>
      </w:r>
      <w:r>
        <w:rPr>
          <w:rFonts w:ascii="Calibri" w:hAnsi="Calibri"/>
          <w:spacing w:val="-3"/>
          <w:sz w:val="22"/>
        </w:rPr>
        <w:t> </w:t>
      </w:r>
      <w:r>
        <w:rPr>
          <w:rFonts w:ascii="Calibri" w:hAnsi="Calibri"/>
          <w:sz w:val="22"/>
        </w:rPr>
        <w:t>d’urgence </w:t>
      </w:r>
      <w:r>
        <w:rPr>
          <w:rFonts w:ascii="Calibri" w:hAnsi="Calibri"/>
          <w:spacing w:val="-2"/>
          <w:sz w:val="22"/>
        </w:rPr>
        <w:t>sanitaire.</w:t>
      </w:r>
    </w:p>
    <w:p>
      <w:pPr>
        <w:pStyle w:val="BodyText"/>
        <w:spacing w:before="4"/>
        <w:rPr>
          <w:rFonts w:ascii="Calibri"/>
          <w:sz w:val="16"/>
        </w:rPr>
      </w:pPr>
    </w:p>
    <w:p>
      <w:pPr>
        <w:pStyle w:val="BodyText"/>
        <w:ind w:left="130"/>
        <w:rPr>
          <w:rFonts w:ascii="Calibri" w:hAnsi="Calibri"/>
        </w:rPr>
      </w:pPr>
      <w:r>
        <w:rPr>
          <w:rFonts w:ascii="Calibri" w:hAnsi="Calibri"/>
        </w:rPr>
        <w:t>L'expert</w:t>
      </w:r>
      <w:r>
        <w:rPr>
          <w:rFonts w:ascii="Calibri" w:hAnsi="Calibri"/>
          <w:spacing w:val="-11"/>
        </w:rPr>
        <w:t> </w:t>
      </w:r>
      <w:r>
        <w:rPr>
          <w:rFonts w:ascii="Calibri" w:hAnsi="Calibri"/>
        </w:rPr>
        <w:t>national</w:t>
      </w:r>
      <w:r>
        <w:rPr>
          <w:rFonts w:ascii="Calibri" w:hAnsi="Calibri"/>
          <w:spacing w:val="-12"/>
        </w:rPr>
        <w:t> </w:t>
      </w:r>
      <w:r>
        <w:rPr>
          <w:rFonts w:ascii="Calibri" w:hAnsi="Calibri"/>
        </w:rPr>
        <w:t>participera</w:t>
      </w:r>
      <w:r>
        <w:rPr>
          <w:rFonts w:ascii="Calibri" w:hAnsi="Calibri"/>
          <w:spacing w:val="-10"/>
        </w:rPr>
        <w:t> </w:t>
      </w:r>
      <w:r>
        <w:rPr>
          <w:rFonts w:ascii="Calibri" w:hAnsi="Calibri"/>
        </w:rPr>
        <w:t>aux</w:t>
      </w:r>
      <w:r>
        <w:rPr>
          <w:rFonts w:ascii="Calibri" w:hAnsi="Calibri"/>
          <w:spacing w:val="-11"/>
        </w:rPr>
        <w:t> </w:t>
      </w:r>
      <w:r>
        <w:rPr>
          <w:rFonts w:ascii="Calibri" w:hAnsi="Calibri"/>
        </w:rPr>
        <w:t>tâches</w:t>
      </w:r>
      <w:r>
        <w:rPr>
          <w:rFonts w:ascii="Calibri" w:hAnsi="Calibri"/>
          <w:spacing w:val="-10"/>
        </w:rPr>
        <w:t> </w:t>
      </w:r>
      <w:r>
        <w:rPr>
          <w:rFonts w:ascii="Calibri" w:hAnsi="Calibri"/>
        </w:rPr>
        <w:t>suivantes</w:t>
      </w:r>
      <w:r>
        <w:rPr>
          <w:rFonts w:ascii="Calibri" w:hAnsi="Calibri"/>
          <w:spacing w:val="-11"/>
        </w:rPr>
        <w:t> </w:t>
      </w:r>
      <w:r>
        <w:rPr>
          <w:rFonts w:ascii="Calibri" w:hAnsi="Calibri"/>
          <w:spacing w:val="-10"/>
        </w:rPr>
        <w:t>:</w:t>
      </w:r>
    </w:p>
    <w:p>
      <w:pPr>
        <w:pStyle w:val="BodyText"/>
        <w:spacing w:before="8"/>
        <w:rPr>
          <w:rFonts w:ascii="Calibri"/>
          <w:sz w:val="19"/>
        </w:rPr>
      </w:pPr>
    </w:p>
    <w:p>
      <w:pPr>
        <w:pStyle w:val="ListParagraph"/>
        <w:numPr>
          <w:ilvl w:val="0"/>
          <w:numId w:val="3"/>
        </w:numPr>
        <w:tabs>
          <w:tab w:pos="290" w:val="left" w:leader="none"/>
        </w:tabs>
        <w:spacing w:line="276" w:lineRule="auto" w:before="0" w:after="0"/>
        <w:ind w:left="130" w:right="310" w:firstLine="0"/>
        <w:jc w:val="left"/>
        <w:rPr>
          <w:rFonts w:ascii="Calibri" w:hAnsi="Calibri"/>
          <w:sz w:val="22"/>
        </w:rPr>
      </w:pPr>
      <w:r>
        <w:rPr>
          <w:rFonts w:ascii="Calibri" w:hAnsi="Calibri"/>
          <w:sz w:val="22"/>
        </w:rPr>
        <w:t>la</w:t>
      </w:r>
      <w:r>
        <w:rPr>
          <w:rFonts w:ascii="Calibri" w:hAnsi="Calibri"/>
          <w:spacing w:val="-2"/>
          <w:sz w:val="22"/>
        </w:rPr>
        <w:t> </w:t>
      </w:r>
      <w:r>
        <w:rPr>
          <w:rFonts w:ascii="Calibri" w:hAnsi="Calibri"/>
          <w:sz w:val="22"/>
        </w:rPr>
        <w:t>coordination</w:t>
      </w:r>
      <w:r>
        <w:rPr>
          <w:rFonts w:ascii="Calibri" w:hAnsi="Calibri"/>
          <w:spacing w:val="-3"/>
          <w:sz w:val="22"/>
        </w:rPr>
        <w:t> </w:t>
      </w:r>
      <w:r>
        <w:rPr>
          <w:rFonts w:ascii="Calibri" w:hAnsi="Calibri"/>
          <w:sz w:val="22"/>
        </w:rPr>
        <w:t>des</w:t>
      </w:r>
      <w:r>
        <w:rPr>
          <w:rFonts w:ascii="Calibri" w:hAnsi="Calibri"/>
          <w:spacing w:val="-2"/>
          <w:sz w:val="22"/>
        </w:rPr>
        <w:t> </w:t>
      </w:r>
      <w:r>
        <w:rPr>
          <w:rFonts w:ascii="Calibri" w:hAnsi="Calibri"/>
          <w:sz w:val="22"/>
        </w:rPr>
        <w:t>travaux</w:t>
      </w:r>
      <w:r>
        <w:rPr>
          <w:rFonts w:ascii="Calibri" w:hAnsi="Calibri"/>
          <w:spacing w:val="-4"/>
          <w:sz w:val="22"/>
        </w:rPr>
        <w:t> </w:t>
      </w:r>
      <w:r>
        <w:rPr>
          <w:rFonts w:ascii="Calibri" w:hAnsi="Calibri"/>
          <w:sz w:val="22"/>
        </w:rPr>
        <w:t>internationaux</w:t>
      </w:r>
      <w:r>
        <w:rPr>
          <w:rFonts w:ascii="Calibri" w:hAnsi="Calibri"/>
          <w:spacing w:val="-2"/>
          <w:sz w:val="22"/>
        </w:rPr>
        <w:t> </w:t>
      </w:r>
      <w:r>
        <w:rPr>
          <w:rFonts w:ascii="Calibri" w:hAnsi="Calibri"/>
          <w:sz w:val="22"/>
        </w:rPr>
        <w:t>de</w:t>
      </w:r>
      <w:r>
        <w:rPr>
          <w:rFonts w:ascii="Calibri" w:hAnsi="Calibri"/>
          <w:spacing w:val="-3"/>
          <w:sz w:val="22"/>
        </w:rPr>
        <w:t> </w:t>
      </w:r>
      <w:r>
        <w:rPr>
          <w:rFonts w:ascii="Calibri" w:hAnsi="Calibri"/>
          <w:sz w:val="22"/>
        </w:rPr>
        <w:t>l'HERA,</w:t>
      </w:r>
      <w:r>
        <w:rPr>
          <w:rFonts w:ascii="Calibri" w:hAnsi="Calibri"/>
          <w:spacing w:val="-2"/>
          <w:sz w:val="22"/>
        </w:rPr>
        <w:t> </w:t>
      </w:r>
      <w:r>
        <w:rPr>
          <w:rFonts w:ascii="Calibri" w:hAnsi="Calibri"/>
          <w:sz w:val="22"/>
        </w:rPr>
        <w:t>y</w:t>
      </w:r>
      <w:r>
        <w:rPr>
          <w:rFonts w:ascii="Calibri" w:hAnsi="Calibri"/>
          <w:spacing w:val="-2"/>
          <w:sz w:val="22"/>
        </w:rPr>
        <w:t> </w:t>
      </w:r>
      <w:r>
        <w:rPr>
          <w:rFonts w:ascii="Calibri" w:hAnsi="Calibri"/>
          <w:sz w:val="22"/>
        </w:rPr>
        <w:t>compris</w:t>
      </w:r>
      <w:r>
        <w:rPr>
          <w:rFonts w:ascii="Calibri" w:hAnsi="Calibri"/>
          <w:spacing w:val="-3"/>
          <w:sz w:val="22"/>
        </w:rPr>
        <w:t> </w:t>
      </w:r>
      <w:r>
        <w:rPr>
          <w:rFonts w:ascii="Calibri" w:hAnsi="Calibri"/>
          <w:sz w:val="22"/>
        </w:rPr>
        <w:t>le</w:t>
      </w:r>
      <w:r>
        <w:rPr>
          <w:rFonts w:ascii="Calibri" w:hAnsi="Calibri"/>
          <w:spacing w:val="-2"/>
          <w:sz w:val="22"/>
        </w:rPr>
        <w:t> </w:t>
      </w:r>
      <w:r>
        <w:rPr>
          <w:rFonts w:ascii="Calibri" w:hAnsi="Calibri"/>
          <w:sz w:val="22"/>
        </w:rPr>
        <w:t>travail</w:t>
      </w:r>
      <w:r>
        <w:rPr>
          <w:rFonts w:ascii="Calibri" w:hAnsi="Calibri"/>
          <w:spacing w:val="-3"/>
          <w:sz w:val="22"/>
        </w:rPr>
        <w:t> </w:t>
      </w:r>
      <w:r>
        <w:rPr>
          <w:rFonts w:ascii="Calibri" w:hAnsi="Calibri"/>
          <w:sz w:val="22"/>
        </w:rPr>
        <w:t>sur</w:t>
      </w:r>
      <w:r>
        <w:rPr>
          <w:rFonts w:ascii="Calibri" w:hAnsi="Calibri"/>
          <w:spacing w:val="-3"/>
          <w:sz w:val="22"/>
        </w:rPr>
        <w:t> </w:t>
      </w:r>
      <w:r>
        <w:rPr>
          <w:rFonts w:ascii="Calibri" w:hAnsi="Calibri"/>
          <w:sz w:val="22"/>
        </w:rPr>
        <w:t>les</w:t>
      </w:r>
      <w:r>
        <w:rPr>
          <w:rFonts w:ascii="Calibri" w:hAnsi="Calibri"/>
          <w:spacing w:val="-2"/>
          <w:sz w:val="22"/>
        </w:rPr>
        <w:t> </w:t>
      </w:r>
      <w:r>
        <w:rPr>
          <w:rFonts w:ascii="Calibri" w:hAnsi="Calibri"/>
          <w:sz w:val="22"/>
        </w:rPr>
        <w:t>relations</w:t>
      </w:r>
      <w:r>
        <w:rPr>
          <w:rFonts w:ascii="Calibri" w:hAnsi="Calibri"/>
          <w:spacing w:val="-2"/>
          <w:sz w:val="22"/>
        </w:rPr>
        <w:t> </w:t>
      </w:r>
      <w:r>
        <w:rPr>
          <w:rFonts w:ascii="Calibri" w:hAnsi="Calibri"/>
          <w:sz w:val="22"/>
        </w:rPr>
        <w:t>avec</w:t>
      </w:r>
      <w:r>
        <w:rPr>
          <w:rFonts w:ascii="Calibri" w:hAnsi="Calibri"/>
          <w:spacing w:val="-3"/>
          <w:sz w:val="22"/>
        </w:rPr>
        <w:t> </w:t>
      </w:r>
      <w:r>
        <w:rPr>
          <w:rFonts w:ascii="Calibri" w:hAnsi="Calibri"/>
          <w:sz w:val="22"/>
        </w:rPr>
        <w:t>les</w:t>
      </w:r>
      <w:r>
        <w:rPr>
          <w:rFonts w:ascii="Calibri" w:hAnsi="Calibri"/>
          <w:spacing w:val="-1"/>
          <w:sz w:val="22"/>
        </w:rPr>
        <w:t> </w:t>
      </w:r>
      <w:r>
        <w:rPr>
          <w:rFonts w:ascii="Calibri" w:hAnsi="Calibri"/>
          <w:sz w:val="22"/>
        </w:rPr>
        <w:t>pays</w:t>
      </w:r>
      <w:r>
        <w:rPr>
          <w:rFonts w:ascii="Calibri" w:hAnsi="Calibri"/>
          <w:spacing w:val="-2"/>
          <w:sz w:val="22"/>
        </w:rPr>
        <w:t> </w:t>
      </w:r>
      <w:r>
        <w:rPr>
          <w:rFonts w:ascii="Calibri" w:hAnsi="Calibri"/>
          <w:sz w:val="22"/>
        </w:rPr>
        <w:t>tiers</w:t>
      </w:r>
      <w:r>
        <w:rPr>
          <w:rFonts w:ascii="Calibri" w:hAnsi="Calibri"/>
          <w:spacing w:val="-2"/>
          <w:sz w:val="22"/>
        </w:rPr>
        <w:t> </w:t>
      </w:r>
      <w:r>
        <w:rPr>
          <w:rFonts w:ascii="Calibri" w:hAnsi="Calibri"/>
          <w:sz w:val="22"/>
        </w:rPr>
        <w:t>et les organisations internationales ;</w:t>
      </w:r>
    </w:p>
    <w:p>
      <w:pPr>
        <w:pStyle w:val="BodyText"/>
        <w:rPr>
          <w:rFonts w:ascii="Calibri"/>
          <w:sz w:val="20"/>
        </w:rPr>
      </w:pPr>
    </w:p>
    <w:p>
      <w:pPr>
        <w:pStyle w:val="BodyText"/>
        <w:rPr>
          <w:rFonts w:ascii="Calibri"/>
          <w:sz w:val="20"/>
        </w:rPr>
      </w:pPr>
    </w:p>
    <w:p>
      <w:pPr>
        <w:pStyle w:val="BodyText"/>
        <w:rPr>
          <w:rFonts w:ascii="Calibri"/>
          <w:sz w:val="20"/>
        </w:rPr>
      </w:pPr>
    </w:p>
    <w:p>
      <w:pPr>
        <w:pStyle w:val="BodyText"/>
        <w:spacing w:before="4"/>
        <w:rPr>
          <w:rFonts w:ascii="Calibri"/>
          <w:sz w:val="11"/>
        </w:rPr>
      </w:pPr>
      <w:r>
        <w:rPr/>
        <w:pict>
          <v:rect style="position:absolute;margin-left:42.540001pt;margin-top:8.1156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229" w:firstLine="0"/>
        <w:jc w:val="left"/>
        <w:rPr>
          <w:sz w:val="20"/>
        </w:rPr>
      </w:pPr>
      <w:r>
        <w:rPr>
          <w:sz w:val="20"/>
          <w:vertAlign w:val="superscript"/>
        </w:rPr>
        <w:t>1</w:t>
      </w:r>
      <w:r>
        <w:rPr>
          <w:spacing w:val="-2"/>
          <w:sz w:val="20"/>
          <w:vertAlign w:val="baseline"/>
        </w:rPr>
        <w:t> </w:t>
      </w:r>
      <w:r>
        <w:rPr>
          <w:sz w:val="20"/>
          <w:vertAlign w:val="baseline"/>
        </w:rPr>
        <w:t>Les</w:t>
      </w:r>
      <w:r>
        <w:rPr>
          <w:spacing w:val="-3"/>
          <w:sz w:val="20"/>
          <w:vertAlign w:val="baseline"/>
        </w:rPr>
        <w:t> </w:t>
      </w:r>
      <w:r>
        <w:rPr>
          <w:sz w:val="20"/>
          <w:vertAlign w:val="baseline"/>
        </w:rPr>
        <w:t>précisions</w:t>
      </w:r>
      <w:r>
        <w:rPr>
          <w:spacing w:val="-2"/>
          <w:sz w:val="20"/>
          <w:vertAlign w:val="baseline"/>
        </w:rPr>
        <w:t> </w:t>
      </w:r>
      <w:r>
        <w:rPr>
          <w:sz w:val="20"/>
          <w:vertAlign w:val="baseline"/>
        </w:rPr>
        <w:t>liées</w:t>
      </w:r>
      <w:r>
        <w:rPr>
          <w:spacing w:val="-2"/>
          <w:sz w:val="20"/>
          <w:vertAlign w:val="baseline"/>
        </w:rPr>
        <w:t> </w:t>
      </w:r>
      <w:r>
        <w:rPr>
          <w:sz w:val="20"/>
          <w:vertAlign w:val="baseline"/>
        </w:rPr>
        <w:t>à</w:t>
      </w:r>
      <w:r>
        <w:rPr>
          <w:spacing w:val="-2"/>
          <w:sz w:val="20"/>
          <w:vertAlign w:val="baseline"/>
        </w:rPr>
        <w:t> </w:t>
      </w:r>
      <w:r>
        <w:rPr>
          <w:sz w:val="20"/>
          <w:vertAlign w:val="baseline"/>
        </w:rPr>
        <w:t>la</w:t>
      </w:r>
      <w:r>
        <w:rPr>
          <w:spacing w:val="-2"/>
          <w:sz w:val="20"/>
          <w:vertAlign w:val="baseline"/>
        </w:rPr>
        <w:t> </w:t>
      </w:r>
      <w:r>
        <w:rPr>
          <w:sz w:val="20"/>
          <w:vertAlign w:val="baseline"/>
        </w:rPr>
        <w:t>date</w:t>
      </w:r>
      <w:r>
        <w:rPr>
          <w:spacing w:val="-3"/>
          <w:sz w:val="20"/>
          <w:vertAlign w:val="baseline"/>
        </w:rPr>
        <w:t> </w:t>
      </w:r>
      <w:r>
        <w:rPr>
          <w:sz w:val="20"/>
          <w:vertAlign w:val="baseline"/>
        </w:rPr>
        <w:t>de</w:t>
      </w:r>
      <w:r>
        <w:rPr>
          <w:spacing w:val="-2"/>
          <w:sz w:val="20"/>
          <w:vertAlign w:val="baseline"/>
        </w:rPr>
        <w:t> </w:t>
      </w:r>
      <w:r>
        <w:rPr>
          <w:sz w:val="20"/>
          <w:vertAlign w:val="baseline"/>
        </w:rPr>
        <w:t>prise</w:t>
      </w:r>
      <w:r>
        <w:rPr>
          <w:spacing w:val="-3"/>
          <w:sz w:val="20"/>
          <w:vertAlign w:val="baseline"/>
        </w:rPr>
        <w:t> </w:t>
      </w:r>
      <w:r>
        <w:rPr>
          <w:sz w:val="20"/>
          <w:vertAlign w:val="baseline"/>
        </w:rPr>
        <w:t>de</w:t>
      </w:r>
      <w:r>
        <w:rPr>
          <w:spacing w:val="-2"/>
          <w:sz w:val="20"/>
          <w:vertAlign w:val="baseline"/>
        </w:rPr>
        <w:t> </w:t>
      </w:r>
      <w:r>
        <w:rPr>
          <w:sz w:val="20"/>
          <w:vertAlign w:val="baseline"/>
        </w:rPr>
        <w:t>fonctions</w:t>
      </w:r>
      <w:r>
        <w:rPr>
          <w:spacing w:val="-2"/>
          <w:sz w:val="20"/>
          <w:vertAlign w:val="baseline"/>
        </w:rPr>
        <w:t> </w:t>
      </w:r>
      <w:r>
        <w:rPr>
          <w:sz w:val="20"/>
          <w:vertAlign w:val="baseline"/>
        </w:rPr>
        <w:t>et</w:t>
      </w:r>
      <w:r>
        <w:rPr>
          <w:spacing w:val="-2"/>
          <w:sz w:val="20"/>
          <w:vertAlign w:val="baseline"/>
        </w:rPr>
        <w:t> </w:t>
      </w:r>
      <w:r>
        <w:rPr>
          <w:sz w:val="20"/>
          <w:vertAlign w:val="baseline"/>
        </w:rPr>
        <w:t>à</w:t>
      </w:r>
      <w:r>
        <w:rPr>
          <w:spacing w:val="-3"/>
          <w:sz w:val="20"/>
          <w:vertAlign w:val="baseline"/>
        </w:rPr>
        <w:t> </w:t>
      </w:r>
      <w:r>
        <w:rPr>
          <w:sz w:val="20"/>
          <w:vertAlign w:val="baseline"/>
        </w:rPr>
        <w:t>la</w:t>
      </w:r>
      <w:r>
        <w:rPr>
          <w:spacing w:val="-2"/>
          <w:sz w:val="20"/>
          <w:vertAlign w:val="baseline"/>
        </w:rPr>
        <w:t> </w:t>
      </w:r>
      <w:r>
        <w:rPr>
          <w:sz w:val="20"/>
          <w:vertAlign w:val="baseline"/>
        </w:rPr>
        <w:t>durée</w:t>
      </w:r>
      <w:r>
        <w:rPr>
          <w:spacing w:val="-3"/>
          <w:sz w:val="20"/>
          <w:vertAlign w:val="baseline"/>
        </w:rPr>
        <w:t> </w:t>
      </w:r>
      <w:r>
        <w:rPr>
          <w:sz w:val="20"/>
          <w:vertAlign w:val="baseline"/>
        </w:rPr>
        <w:t>du</w:t>
      </w:r>
      <w:r>
        <w:rPr>
          <w:spacing w:val="-2"/>
          <w:sz w:val="20"/>
          <w:vertAlign w:val="baseline"/>
        </w:rPr>
        <w:t> </w:t>
      </w:r>
      <w:r>
        <w:rPr>
          <w:sz w:val="20"/>
          <w:vertAlign w:val="baseline"/>
        </w:rPr>
        <w:t>détachement</w:t>
      </w:r>
      <w:r>
        <w:rPr>
          <w:spacing w:val="-2"/>
          <w:sz w:val="20"/>
          <w:vertAlign w:val="baseline"/>
        </w:rPr>
        <w:t> </w:t>
      </w:r>
      <w:r>
        <w:rPr>
          <w:sz w:val="20"/>
          <w:vertAlign w:val="baseline"/>
        </w:rPr>
        <w:t>sont</w:t>
      </w:r>
      <w:r>
        <w:rPr>
          <w:spacing w:val="-2"/>
          <w:sz w:val="20"/>
          <w:vertAlign w:val="baseline"/>
        </w:rPr>
        <w:t> </w:t>
      </w:r>
      <w:r>
        <w:rPr>
          <w:sz w:val="20"/>
          <w:vertAlign w:val="baseline"/>
        </w:rPr>
        <w:t>données</w:t>
      </w:r>
      <w:r>
        <w:rPr>
          <w:spacing w:val="-2"/>
          <w:sz w:val="20"/>
          <w:vertAlign w:val="baseline"/>
        </w:rPr>
        <w:t> </w:t>
      </w:r>
      <w:r>
        <w:rPr>
          <w:sz w:val="20"/>
          <w:vertAlign w:val="baseline"/>
        </w:rPr>
        <w:t>à</w:t>
      </w:r>
      <w:r>
        <w:rPr>
          <w:spacing w:val="-3"/>
          <w:sz w:val="20"/>
          <w:vertAlign w:val="baseline"/>
        </w:rPr>
        <w:t> </w:t>
      </w:r>
      <w:r>
        <w:rPr>
          <w:sz w:val="20"/>
          <w:vertAlign w:val="baseline"/>
        </w:rPr>
        <w:t>titre</w:t>
      </w:r>
      <w:r>
        <w:rPr>
          <w:spacing w:val="-2"/>
          <w:sz w:val="20"/>
          <w:vertAlign w:val="baseline"/>
        </w:rPr>
        <w:t> </w:t>
      </w:r>
      <w:r>
        <w:rPr>
          <w:sz w:val="20"/>
          <w:vertAlign w:val="baseline"/>
        </w:rPr>
        <w:t>indicatif</w:t>
      </w:r>
      <w:r>
        <w:rPr>
          <w:spacing w:val="-2"/>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9" w:header="0" w:top="760" w:bottom="880" w:left="720" w:right="740"/>
          <w:pgNumType w:start="1"/>
        </w:sectPr>
      </w:pPr>
    </w:p>
    <w:p>
      <w:pPr>
        <w:pStyle w:val="BodyText"/>
        <w:spacing w:line="276" w:lineRule="auto" w:before="35"/>
        <w:ind w:left="130"/>
        <w:rPr>
          <w:rFonts w:ascii="Calibri" w:hAnsi="Calibri"/>
        </w:rPr>
      </w:pPr>
      <w:r>
        <w:rPr>
          <w:rFonts w:ascii="Calibri" w:hAnsi="Calibri"/>
        </w:rPr>
        <w:t>Le</w:t>
      </w:r>
      <w:r>
        <w:rPr>
          <w:rFonts w:ascii="Calibri" w:hAnsi="Calibri"/>
          <w:spacing w:val="-4"/>
        </w:rPr>
        <w:t> </w:t>
      </w:r>
      <w:r>
        <w:rPr>
          <w:rFonts w:ascii="Calibri" w:hAnsi="Calibri"/>
        </w:rPr>
        <w:t>travail</w:t>
      </w:r>
      <w:r>
        <w:rPr>
          <w:rFonts w:ascii="Calibri" w:hAnsi="Calibri"/>
          <w:spacing w:val="-3"/>
        </w:rPr>
        <w:t> </w:t>
      </w:r>
      <w:r>
        <w:rPr>
          <w:rFonts w:ascii="Calibri" w:hAnsi="Calibri"/>
        </w:rPr>
        <w:t>comprendra</w:t>
      </w:r>
      <w:r>
        <w:rPr>
          <w:rFonts w:ascii="Calibri" w:hAnsi="Calibri"/>
          <w:spacing w:val="-4"/>
        </w:rPr>
        <w:t> </w:t>
      </w:r>
      <w:r>
        <w:rPr>
          <w:rFonts w:ascii="Calibri" w:hAnsi="Calibri"/>
        </w:rPr>
        <w:t>des</w:t>
      </w:r>
      <w:r>
        <w:rPr>
          <w:rFonts w:ascii="Calibri" w:hAnsi="Calibri"/>
          <w:spacing w:val="-4"/>
        </w:rPr>
        <w:t> </w:t>
      </w:r>
      <w:r>
        <w:rPr>
          <w:rFonts w:ascii="Calibri" w:hAnsi="Calibri"/>
        </w:rPr>
        <w:t>contacts</w:t>
      </w:r>
      <w:r>
        <w:rPr>
          <w:rFonts w:ascii="Calibri" w:hAnsi="Calibri"/>
          <w:spacing w:val="-4"/>
        </w:rPr>
        <w:t> </w:t>
      </w:r>
      <w:r>
        <w:rPr>
          <w:rFonts w:ascii="Calibri" w:hAnsi="Calibri"/>
        </w:rPr>
        <w:t>internationaux</w:t>
      </w:r>
      <w:r>
        <w:rPr>
          <w:rFonts w:ascii="Calibri" w:hAnsi="Calibri"/>
          <w:spacing w:val="-2"/>
        </w:rPr>
        <w:t> </w:t>
      </w:r>
      <w:r>
        <w:rPr>
          <w:rFonts w:ascii="Calibri" w:hAnsi="Calibri"/>
        </w:rPr>
        <w:t>et</w:t>
      </w:r>
      <w:r>
        <w:rPr>
          <w:rFonts w:ascii="Calibri" w:hAnsi="Calibri"/>
          <w:spacing w:val="-3"/>
        </w:rPr>
        <w:t> </w:t>
      </w:r>
      <w:r>
        <w:rPr>
          <w:rFonts w:ascii="Calibri" w:hAnsi="Calibri"/>
        </w:rPr>
        <w:t>ceux</w:t>
      </w:r>
      <w:r>
        <w:rPr>
          <w:rFonts w:ascii="Calibri" w:hAnsi="Calibri"/>
          <w:spacing w:val="-4"/>
        </w:rPr>
        <w:t> </w:t>
      </w:r>
      <w:r>
        <w:rPr>
          <w:rFonts w:ascii="Calibri" w:hAnsi="Calibri"/>
        </w:rPr>
        <w:t>avec</w:t>
      </w:r>
      <w:r>
        <w:rPr>
          <w:rFonts w:ascii="Calibri" w:hAnsi="Calibri"/>
          <w:spacing w:val="-3"/>
        </w:rPr>
        <w:t> </w:t>
      </w:r>
      <w:r>
        <w:rPr>
          <w:rFonts w:ascii="Calibri" w:hAnsi="Calibri"/>
        </w:rPr>
        <w:t>les</w:t>
      </w:r>
      <w:r>
        <w:rPr>
          <w:rFonts w:ascii="Calibri" w:hAnsi="Calibri"/>
          <w:spacing w:val="-3"/>
        </w:rPr>
        <w:t> </w:t>
      </w:r>
      <w:r>
        <w:rPr>
          <w:rFonts w:ascii="Calibri" w:hAnsi="Calibri"/>
        </w:rPr>
        <w:t>États</w:t>
      </w:r>
      <w:r>
        <w:rPr>
          <w:rFonts w:ascii="Calibri" w:hAnsi="Calibri"/>
          <w:spacing w:val="-4"/>
        </w:rPr>
        <w:t> </w:t>
      </w:r>
      <w:r>
        <w:rPr>
          <w:rFonts w:ascii="Calibri" w:hAnsi="Calibri"/>
        </w:rPr>
        <w:t>membres,</w:t>
      </w:r>
      <w:r>
        <w:rPr>
          <w:rFonts w:ascii="Calibri" w:hAnsi="Calibri"/>
          <w:spacing w:val="-3"/>
        </w:rPr>
        <w:t> </w:t>
      </w:r>
      <w:r>
        <w:rPr>
          <w:rFonts w:ascii="Calibri" w:hAnsi="Calibri"/>
        </w:rPr>
        <w:t>ainsi</w:t>
      </w:r>
      <w:r>
        <w:rPr>
          <w:rFonts w:ascii="Calibri" w:hAnsi="Calibri"/>
          <w:spacing w:val="-4"/>
        </w:rPr>
        <w:t> </w:t>
      </w:r>
      <w:r>
        <w:rPr>
          <w:rFonts w:ascii="Calibri" w:hAnsi="Calibri"/>
        </w:rPr>
        <w:t>qu'avec</w:t>
      </w:r>
      <w:r>
        <w:rPr>
          <w:rFonts w:ascii="Calibri" w:hAnsi="Calibri"/>
          <w:spacing w:val="-3"/>
        </w:rPr>
        <w:t> </w:t>
      </w:r>
      <w:r>
        <w:rPr>
          <w:rFonts w:ascii="Calibri" w:hAnsi="Calibri"/>
        </w:rPr>
        <w:t>d'autres organisations et services et directions générales de la Commission.</w:t>
      </w:r>
    </w:p>
    <w:p>
      <w:pPr>
        <w:pStyle w:val="BodyText"/>
        <w:spacing w:before="5"/>
        <w:rPr>
          <w:rFonts w:ascii="Calibri"/>
          <w:sz w:val="16"/>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Qualifications</w:t>
      </w:r>
      <w:r>
        <w:rPr>
          <w:b/>
          <w:spacing w:val="-6"/>
          <w:sz w:val="24"/>
          <w:u w:val="single"/>
        </w:rPr>
        <w:t> </w:t>
      </w:r>
      <w:r>
        <w:rPr>
          <w:b/>
          <w:spacing w:val="-2"/>
          <w:sz w:val="24"/>
          <w:u w:val="single"/>
        </w:rPr>
        <w:t>requises</w:t>
      </w:r>
    </w:p>
    <w:p>
      <w:pPr>
        <w:pStyle w:val="BodyText"/>
        <w:spacing w:before="1"/>
        <w:rPr>
          <w:b/>
          <w:sz w:val="16"/>
        </w:rPr>
      </w:pPr>
    </w:p>
    <w:p>
      <w:pPr>
        <w:pStyle w:val="Heading1"/>
        <w:numPr>
          <w:ilvl w:val="0"/>
          <w:numId w:val="4"/>
        </w:numPr>
        <w:tabs>
          <w:tab w:pos="796" w:val="left" w:leader="none"/>
        </w:tabs>
        <w:spacing w:line="240" w:lineRule="auto" w:before="90" w:after="0"/>
        <w:ind w:left="795" w:right="0" w:hanging="240"/>
        <w:jc w:val="left"/>
        <w:rPr>
          <w:u w:val="none"/>
        </w:rPr>
      </w:pPr>
      <w:r>
        <w:rPr>
          <w:u w:val="none"/>
        </w:rPr>
        <w:t>Critères</w:t>
      </w:r>
      <w:r>
        <w:rPr>
          <w:spacing w:val="-9"/>
          <w:u w:val="none"/>
        </w:rPr>
        <w:t> </w:t>
      </w:r>
      <w:r>
        <w:rPr>
          <w:spacing w:val="-2"/>
          <w:u w:val="none"/>
        </w:rPr>
        <w:t>d'éligibilité</w:t>
      </w:r>
    </w:p>
    <w:p>
      <w:pPr>
        <w:pStyle w:val="BodyText"/>
        <w:rPr>
          <w:b/>
        </w:rPr>
      </w:pPr>
    </w:p>
    <w:p>
      <w:pPr>
        <w:pStyle w:val="BodyText"/>
        <w:ind w:left="556" w:right="114"/>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0"/>
          <w:numId w:val="5"/>
        </w:numPr>
        <w:tabs>
          <w:tab w:pos="840" w:val="left" w:leader="none"/>
        </w:tabs>
        <w:spacing w:line="240" w:lineRule="auto" w:before="0" w:after="0"/>
        <w:ind w:left="840" w:right="113"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0"/>
          <w:numId w:val="5"/>
        </w:numPr>
        <w:tabs>
          <w:tab w:pos="840" w:val="left" w:leader="none"/>
        </w:tabs>
        <w:spacing w:line="240" w:lineRule="auto" w:before="0" w:after="0"/>
        <w:ind w:left="84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1"/>
          <w:sz w:val="22"/>
        </w:rPr>
        <w:t> </w:t>
      </w:r>
      <w:r>
        <w:rPr>
          <w:sz w:val="22"/>
        </w:rPr>
        <w:t>moins</w:t>
      </w:r>
      <w:r>
        <w:rPr>
          <w:spacing w:val="-2"/>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3"/>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w:t>
      </w:r>
      <w:r>
        <w:rPr>
          <w:spacing w:val="-1"/>
          <w:sz w:val="22"/>
        </w:rPr>
        <w:t> </w:t>
      </w:r>
      <w:r>
        <w:rPr>
          <w:sz w:val="22"/>
        </w:rPr>
        <w:t>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3"/>
          <w:sz w:val="22"/>
        </w:rPr>
        <w:t> </w:t>
      </w:r>
      <w:r>
        <w:rPr>
          <w:sz w:val="22"/>
        </w:rPr>
        <w:t>dans</w:t>
      </w:r>
      <w:r>
        <w:rPr>
          <w:spacing w:val="-3"/>
          <w:sz w:val="22"/>
        </w:rPr>
        <w:t> </w:t>
      </w:r>
      <w:r>
        <w:rPr>
          <w:sz w:val="22"/>
        </w:rPr>
        <w:t>un cadre statutaire ou contractuel avant le détachement;</w:t>
      </w:r>
    </w:p>
    <w:p>
      <w:pPr>
        <w:pStyle w:val="BodyText"/>
        <w:spacing w:before="1"/>
      </w:pPr>
    </w:p>
    <w:p>
      <w:pPr>
        <w:pStyle w:val="ListParagraph"/>
        <w:numPr>
          <w:ilvl w:val="0"/>
          <w:numId w:val="5"/>
        </w:numPr>
        <w:tabs>
          <w:tab w:pos="840" w:val="left" w:leader="none"/>
        </w:tabs>
        <w:spacing w:line="240" w:lineRule="auto" w:before="0" w:after="0"/>
        <w:ind w:left="840" w:right="109" w:hanging="284"/>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0"/>
          <w:numId w:val="4"/>
        </w:numPr>
        <w:tabs>
          <w:tab w:pos="839" w:val="left" w:leader="none"/>
        </w:tabs>
        <w:spacing w:line="240" w:lineRule="auto" w:before="0" w:after="0"/>
        <w:ind w:left="838" w:right="0" w:hanging="283"/>
        <w:jc w:val="left"/>
        <w:rPr>
          <w:u w:val="none"/>
        </w:rPr>
      </w:pPr>
      <w:r>
        <w:rPr>
          <w:u w:val="single"/>
        </w:rPr>
        <w:t>Critères</w:t>
      </w:r>
      <w:r>
        <w:rPr>
          <w:spacing w:val="-6"/>
          <w:u w:val="single"/>
        </w:rPr>
        <w:t> </w:t>
      </w:r>
      <w:r>
        <w:rPr>
          <w:u w:val="single"/>
        </w:rPr>
        <w:t>de</w:t>
      </w:r>
      <w:r>
        <w:rPr>
          <w:spacing w:val="-4"/>
          <w:u w:val="single"/>
        </w:rPr>
        <w:t> </w:t>
      </w:r>
      <w:r>
        <w:rPr>
          <w:spacing w:val="-2"/>
          <w:u w:val="single"/>
        </w:rPr>
        <w:t>sélection</w:t>
      </w:r>
    </w:p>
    <w:p>
      <w:pPr>
        <w:pStyle w:val="BodyText"/>
        <w:spacing w:before="11"/>
        <w:rPr>
          <w:b/>
          <w:sz w:val="15"/>
        </w:rPr>
      </w:pPr>
    </w:p>
    <w:p>
      <w:pPr>
        <w:pStyle w:val="BodyText"/>
        <w:spacing w:before="90"/>
        <w:ind w:left="840"/>
      </w:pPr>
      <w:r>
        <w:rPr>
          <w:spacing w:val="-2"/>
          <w:u w:val="single"/>
        </w:rPr>
        <w:t>Diplôme</w:t>
      </w:r>
    </w:p>
    <w:p>
      <w:pPr>
        <w:pStyle w:val="ListParagraph"/>
        <w:numPr>
          <w:ilvl w:val="1"/>
          <w:numId w:val="4"/>
        </w:numPr>
        <w:tabs>
          <w:tab w:pos="969" w:val="left" w:leader="none"/>
        </w:tabs>
        <w:spacing w:line="240" w:lineRule="auto" w:before="1" w:after="0"/>
        <w:ind w:left="968" w:right="0" w:hanging="129"/>
        <w:jc w:val="left"/>
        <w:rPr>
          <w:sz w:val="22"/>
        </w:rPr>
      </w:pPr>
      <w:r>
        <w:rPr>
          <w:sz w:val="22"/>
        </w:rPr>
        <w:t>diplôme</w:t>
      </w:r>
      <w:r>
        <w:rPr>
          <w:spacing w:val="-12"/>
          <w:sz w:val="22"/>
        </w:rPr>
        <w:t> </w:t>
      </w:r>
      <w:r>
        <w:rPr>
          <w:sz w:val="22"/>
        </w:rPr>
        <w:t>universitaire</w:t>
      </w:r>
      <w:r>
        <w:rPr>
          <w:spacing w:val="-11"/>
          <w:sz w:val="22"/>
        </w:rPr>
        <w:t> </w:t>
      </w:r>
      <w:r>
        <w:rPr>
          <w:spacing w:val="-5"/>
          <w:sz w:val="22"/>
        </w:rPr>
        <w:t>ou</w:t>
      </w:r>
    </w:p>
    <w:p>
      <w:pPr>
        <w:pStyle w:val="ListParagraph"/>
        <w:numPr>
          <w:ilvl w:val="1"/>
          <w:numId w:val="4"/>
        </w:numPr>
        <w:tabs>
          <w:tab w:pos="969" w:val="left" w:leader="none"/>
        </w:tabs>
        <w:spacing w:line="480" w:lineRule="auto" w:before="0" w:after="0"/>
        <w:ind w:left="950" w:right="2656" w:hanging="111"/>
        <w:jc w:val="left"/>
        <w:rPr>
          <w:sz w:val="22"/>
        </w:rPr>
      </w:pPr>
      <w:r>
        <w:rPr>
          <w:sz w:val="22"/>
        </w:rPr>
        <w:t>formation</w:t>
      </w:r>
      <w:r>
        <w:rPr>
          <w:spacing w:val="-3"/>
          <w:sz w:val="22"/>
        </w:rPr>
        <w:t> </w:t>
      </w:r>
      <w:r>
        <w:rPr>
          <w:sz w:val="22"/>
        </w:rPr>
        <w:t>professionnelle</w:t>
      </w:r>
      <w:r>
        <w:rPr>
          <w:spacing w:val="-4"/>
          <w:sz w:val="22"/>
        </w:rPr>
        <w:t> </w:t>
      </w:r>
      <w:r>
        <w:rPr>
          <w:sz w:val="22"/>
        </w:rPr>
        <w:t>ou</w:t>
      </w:r>
      <w:r>
        <w:rPr>
          <w:spacing w:val="-3"/>
          <w:sz w:val="22"/>
        </w:rPr>
        <w:t> </w:t>
      </w:r>
      <w:r>
        <w:rPr>
          <w:sz w:val="22"/>
        </w:rPr>
        <w:t>expérience</w:t>
      </w:r>
      <w:r>
        <w:rPr>
          <w:spacing w:val="-4"/>
          <w:sz w:val="22"/>
        </w:rPr>
        <w:t> </w:t>
      </w:r>
      <w:r>
        <w:rPr>
          <w:sz w:val="22"/>
        </w:rPr>
        <w:t>professionnelle</w:t>
      </w:r>
      <w:r>
        <w:rPr>
          <w:spacing w:val="-4"/>
          <w:sz w:val="22"/>
        </w:rPr>
        <w:t> </w:t>
      </w:r>
      <w:r>
        <w:rPr>
          <w:sz w:val="22"/>
        </w:rPr>
        <w:t>de</w:t>
      </w:r>
      <w:r>
        <w:rPr>
          <w:spacing w:val="-4"/>
          <w:sz w:val="22"/>
        </w:rPr>
        <w:t> </w:t>
      </w:r>
      <w:r>
        <w:rPr>
          <w:sz w:val="22"/>
        </w:rPr>
        <w:t>niveau</w:t>
      </w:r>
      <w:r>
        <w:rPr>
          <w:spacing w:val="-4"/>
          <w:sz w:val="22"/>
        </w:rPr>
        <w:t> </w:t>
      </w:r>
      <w:r>
        <w:rPr>
          <w:sz w:val="22"/>
        </w:rPr>
        <w:t>équivalent dans le(s) domaine(s) :</w:t>
      </w:r>
    </w:p>
    <w:p>
      <w:pPr>
        <w:pStyle w:val="BodyText"/>
        <w:spacing w:before="2"/>
        <w:ind w:left="840" w:right="171"/>
        <w:jc w:val="both"/>
        <w:rPr>
          <w:rFonts w:ascii="Calibri" w:hAnsi="Calibri"/>
        </w:rPr>
      </w:pPr>
      <w:r>
        <w:rPr>
          <w:rFonts w:ascii="Calibri" w:hAnsi="Calibri"/>
        </w:rPr>
        <w:t>Santé publique, coopération internationale, gestion de crise, recherche et innovation de contre-mesures médicales, sciences de la santé et cliniques, maladies infectieuses, virologie, épidémiologie, essais </w:t>
      </w:r>
      <w:r>
        <w:rPr>
          <w:rFonts w:ascii="Calibri" w:hAnsi="Calibri"/>
          <w:spacing w:val="-2"/>
        </w:rPr>
        <w:t>cliniques,.</w:t>
      </w:r>
    </w:p>
    <w:p>
      <w:pPr>
        <w:pStyle w:val="BodyText"/>
        <w:spacing w:before="7"/>
        <w:rPr>
          <w:rFonts w:ascii="Calibri"/>
          <w:sz w:val="20"/>
        </w:rPr>
      </w:pPr>
    </w:p>
    <w:p>
      <w:pPr>
        <w:pStyle w:val="BodyText"/>
        <w:spacing w:before="1"/>
        <w:ind w:left="840"/>
      </w:pPr>
      <w:r>
        <w:rPr>
          <w:u w:val="single"/>
        </w:rPr>
        <w:t>Expérience</w:t>
      </w:r>
      <w:r>
        <w:rPr>
          <w:spacing w:val="-11"/>
          <w:u w:val="single"/>
        </w:rPr>
        <w:t> </w:t>
      </w:r>
      <w:r>
        <w:rPr>
          <w:spacing w:val="-2"/>
          <w:u w:val="single"/>
        </w:rPr>
        <w:t>professionnelle</w:t>
      </w:r>
    </w:p>
    <w:p>
      <w:pPr>
        <w:pStyle w:val="BodyText"/>
        <w:spacing w:before="3"/>
        <w:rPr>
          <w:sz w:val="17"/>
        </w:rPr>
      </w:pPr>
    </w:p>
    <w:p>
      <w:pPr>
        <w:pStyle w:val="BodyText"/>
        <w:spacing w:before="55"/>
        <w:ind w:left="840"/>
        <w:rPr>
          <w:rFonts w:ascii="Calibri" w:hAnsi="Calibri"/>
        </w:rPr>
      </w:pPr>
      <w:r>
        <w:rPr>
          <w:rFonts w:ascii="Calibri" w:hAnsi="Calibri"/>
        </w:rPr>
        <w:t>Expérience</w:t>
      </w:r>
      <w:r>
        <w:rPr>
          <w:rFonts w:ascii="Calibri" w:hAnsi="Calibri"/>
          <w:spacing w:val="40"/>
        </w:rPr>
        <w:t> </w:t>
      </w:r>
      <w:r>
        <w:rPr>
          <w:rFonts w:ascii="Calibri" w:hAnsi="Calibri"/>
        </w:rPr>
        <w:t>générale</w:t>
      </w:r>
      <w:r>
        <w:rPr>
          <w:rFonts w:ascii="Calibri" w:hAnsi="Calibri"/>
          <w:spacing w:val="40"/>
        </w:rPr>
        <w:t> </w:t>
      </w:r>
      <w:r>
        <w:rPr>
          <w:rFonts w:ascii="Calibri" w:hAnsi="Calibri"/>
        </w:rPr>
        <w:t>dans</w:t>
      </w:r>
      <w:r>
        <w:rPr>
          <w:rFonts w:ascii="Calibri" w:hAnsi="Calibri"/>
          <w:spacing w:val="40"/>
        </w:rPr>
        <w:t> </w:t>
      </w:r>
      <w:r>
        <w:rPr>
          <w:rFonts w:ascii="Calibri" w:hAnsi="Calibri"/>
        </w:rPr>
        <w:t>le</w:t>
      </w:r>
      <w:r>
        <w:rPr>
          <w:rFonts w:ascii="Calibri" w:hAnsi="Calibri"/>
          <w:spacing w:val="40"/>
        </w:rPr>
        <w:t> </w:t>
      </w:r>
      <w:r>
        <w:rPr>
          <w:rFonts w:ascii="Calibri" w:hAnsi="Calibri"/>
        </w:rPr>
        <w:t>domaine</w:t>
      </w:r>
      <w:r>
        <w:rPr>
          <w:rFonts w:ascii="Calibri" w:hAnsi="Calibri"/>
          <w:spacing w:val="40"/>
        </w:rPr>
        <w:t> </w:t>
      </w:r>
      <w:r>
        <w:rPr>
          <w:rFonts w:ascii="Calibri" w:hAnsi="Calibri"/>
        </w:rPr>
        <w:t>de</w:t>
      </w:r>
      <w:r>
        <w:rPr>
          <w:rFonts w:ascii="Calibri" w:hAnsi="Calibri"/>
          <w:spacing w:val="40"/>
        </w:rPr>
        <w:t> </w:t>
      </w:r>
      <w:r>
        <w:rPr>
          <w:rFonts w:ascii="Calibri" w:hAnsi="Calibri"/>
        </w:rPr>
        <w:t>la</w:t>
      </w:r>
      <w:r>
        <w:rPr>
          <w:rFonts w:ascii="Calibri" w:hAnsi="Calibri"/>
          <w:spacing w:val="40"/>
        </w:rPr>
        <w:t> </w:t>
      </w:r>
      <w:r>
        <w:rPr>
          <w:rFonts w:ascii="Calibri" w:hAnsi="Calibri"/>
        </w:rPr>
        <w:t>santé,</w:t>
      </w:r>
      <w:r>
        <w:rPr>
          <w:rFonts w:ascii="Calibri" w:hAnsi="Calibri"/>
          <w:spacing w:val="40"/>
        </w:rPr>
        <w:t> </w:t>
      </w:r>
      <w:r>
        <w:rPr>
          <w:rFonts w:ascii="Calibri" w:hAnsi="Calibri"/>
        </w:rPr>
        <w:t>idéalement</w:t>
      </w:r>
      <w:r>
        <w:rPr>
          <w:rFonts w:ascii="Calibri" w:hAnsi="Calibri"/>
          <w:spacing w:val="40"/>
        </w:rPr>
        <w:t> </w:t>
      </w:r>
      <w:r>
        <w:rPr>
          <w:rFonts w:ascii="Calibri" w:hAnsi="Calibri"/>
        </w:rPr>
        <w:t>dans</w:t>
      </w:r>
      <w:r>
        <w:rPr>
          <w:rFonts w:ascii="Calibri" w:hAnsi="Calibri"/>
          <w:spacing w:val="40"/>
        </w:rPr>
        <w:t> </w:t>
      </w:r>
      <w:r>
        <w:rPr>
          <w:rFonts w:ascii="Calibri" w:hAnsi="Calibri"/>
        </w:rPr>
        <w:t>la</w:t>
      </w:r>
      <w:r>
        <w:rPr>
          <w:rFonts w:ascii="Calibri" w:hAnsi="Calibri"/>
          <w:spacing w:val="40"/>
        </w:rPr>
        <w:t> </w:t>
      </w:r>
      <w:r>
        <w:rPr>
          <w:rFonts w:ascii="Calibri" w:hAnsi="Calibri"/>
        </w:rPr>
        <w:t>coopération</w:t>
      </w:r>
      <w:r>
        <w:rPr>
          <w:rFonts w:ascii="Calibri" w:hAnsi="Calibri"/>
          <w:spacing w:val="40"/>
        </w:rPr>
        <w:t> </w:t>
      </w:r>
      <w:r>
        <w:rPr>
          <w:rFonts w:ascii="Calibri" w:hAnsi="Calibri"/>
        </w:rPr>
        <w:t>internationale,</w:t>
      </w:r>
      <w:r>
        <w:rPr>
          <w:rFonts w:ascii="Calibri" w:hAnsi="Calibri"/>
          <w:spacing w:val="40"/>
        </w:rPr>
        <w:t> </w:t>
      </w:r>
      <w:r>
        <w:rPr>
          <w:rFonts w:ascii="Calibri" w:hAnsi="Calibri"/>
        </w:rPr>
        <w:t>y compris la relation avec l'OMS, et en relation avec les contre-mesures médicales.</w:t>
      </w:r>
    </w:p>
    <w:p>
      <w:pPr>
        <w:pStyle w:val="BodyText"/>
        <w:spacing w:line="252" w:lineRule="exact"/>
        <w:ind w:left="840"/>
      </w:pPr>
      <w:r>
        <w:rPr>
          <w:u w:val="single"/>
        </w:rPr>
        <w:t>Langue(s)</w:t>
      </w:r>
      <w:r>
        <w:rPr>
          <w:spacing w:val="-11"/>
          <w:u w:val="single"/>
        </w:rPr>
        <w:t> </w:t>
      </w:r>
      <w:r>
        <w:rPr>
          <w:u w:val="single"/>
        </w:rPr>
        <w:t>nécessaire(s)</w:t>
      </w:r>
      <w:r>
        <w:rPr>
          <w:spacing w:val="-10"/>
          <w:u w:val="single"/>
        </w:rPr>
        <w:t> </w:t>
      </w:r>
      <w:r>
        <w:rPr>
          <w:u w:val="single"/>
        </w:rPr>
        <w:t>pour</w:t>
      </w:r>
      <w:r>
        <w:rPr>
          <w:spacing w:val="-10"/>
          <w:u w:val="single"/>
        </w:rPr>
        <w:t> </w:t>
      </w:r>
      <w:r>
        <w:rPr>
          <w:u w:val="single"/>
        </w:rPr>
        <w:t>l'accomplissement</w:t>
      </w:r>
      <w:r>
        <w:rPr>
          <w:spacing w:val="-10"/>
          <w:u w:val="single"/>
        </w:rPr>
        <w:t> </w:t>
      </w:r>
      <w:r>
        <w:rPr>
          <w:u w:val="single"/>
        </w:rPr>
        <w:t>des</w:t>
      </w:r>
      <w:r>
        <w:rPr>
          <w:spacing w:val="-10"/>
          <w:u w:val="single"/>
        </w:rPr>
        <w:t> </w:t>
      </w:r>
      <w:r>
        <w:rPr>
          <w:spacing w:val="-2"/>
          <w:u w:val="single"/>
        </w:rPr>
        <w:t>tâches</w:t>
      </w:r>
    </w:p>
    <w:p>
      <w:pPr>
        <w:pStyle w:val="BodyText"/>
        <w:spacing w:before="3"/>
        <w:rPr>
          <w:sz w:val="17"/>
        </w:rPr>
      </w:pPr>
    </w:p>
    <w:p>
      <w:pPr>
        <w:pStyle w:val="BodyText"/>
        <w:spacing w:line="276" w:lineRule="auto" w:before="56"/>
        <w:ind w:left="130" w:right="229"/>
        <w:rPr>
          <w:rFonts w:ascii="Calibri" w:hAnsi="Calibri"/>
        </w:rPr>
      </w:pPr>
      <w:r>
        <w:rPr>
          <w:rFonts w:ascii="Calibri" w:hAnsi="Calibri"/>
        </w:rPr>
        <w:t>Une</w:t>
      </w:r>
      <w:r>
        <w:rPr>
          <w:rFonts w:ascii="Calibri" w:hAnsi="Calibri"/>
          <w:spacing w:val="-3"/>
        </w:rPr>
        <w:t> </w:t>
      </w:r>
      <w:r>
        <w:rPr>
          <w:rFonts w:ascii="Calibri" w:hAnsi="Calibri"/>
        </w:rPr>
        <w:t>bonne</w:t>
      </w:r>
      <w:r>
        <w:rPr>
          <w:rFonts w:ascii="Calibri" w:hAnsi="Calibri"/>
          <w:spacing w:val="-3"/>
        </w:rPr>
        <w:t> </w:t>
      </w:r>
      <w:r>
        <w:rPr>
          <w:rFonts w:ascii="Calibri" w:hAnsi="Calibri"/>
        </w:rPr>
        <w:t>capacité</w:t>
      </w:r>
      <w:r>
        <w:rPr>
          <w:rFonts w:ascii="Calibri" w:hAnsi="Calibri"/>
          <w:spacing w:val="-4"/>
        </w:rPr>
        <w:t> </w:t>
      </w:r>
      <w:r>
        <w:rPr>
          <w:rFonts w:ascii="Calibri" w:hAnsi="Calibri"/>
        </w:rPr>
        <w:t>à</w:t>
      </w:r>
      <w:r>
        <w:rPr>
          <w:rFonts w:ascii="Calibri" w:hAnsi="Calibri"/>
          <w:spacing w:val="-4"/>
        </w:rPr>
        <w:t> </w:t>
      </w:r>
      <w:r>
        <w:rPr>
          <w:rFonts w:ascii="Calibri" w:hAnsi="Calibri"/>
        </w:rPr>
        <w:t>communiquer</w:t>
      </w:r>
      <w:r>
        <w:rPr>
          <w:rFonts w:ascii="Calibri" w:hAnsi="Calibri"/>
          <w:spacing w:val="-2"/>
        </w:rPr>
        <w:t> </w:t>
      </w:r>
      <w:r>
        <w:rPr>
          <w:rFonts w:ascii="Calibri" w:hAnsi="Calibri"/>
        </w:rPr>
        <w:t>oralement</w:t>
      </w:r>
      <w:r>
        <w:rPr>
          <w:rFonts w:ascii="Calibri" w:hAnsi="Calibri"/>
          <w:spacing w:val="-3"/>
        </w:rPr>
        <w:t> </w:t>
      </w:r>
      <w:r>
        <w:rPr>
          <w:rFonts w:ascii="Calibri" w:hAnsi="Calibri"/>
        </w:rPr>
        <w:t>et</w:t>
      </w:r>
      <w:r>
        <w:rPr>
          <w:rFonts w:ascii="Calibri" w:hAnsi="Calibri"/>
          <w:spacing w:val="-3"/>
        </w:rPr>
        <w:t> </w:t>
      </w:r>
      <w:r>
        <w:rPr>
          <w:rFonts w:ascii="Calibri" w:hAnsi="Calibri"/>
        </w:rPr>
        <w:t>par</w:t>
      </w:r>
      <w:r>
        <w:rPr>
          <w:rFonts w:ascii="Calibri" w:hAnsi="Calibri"/>
          <w:spacing w:val="-4"/>
        </w:rPr>
        <w:t> </w:t>
      </w:r>
      <w:r>
        <w:rPr>
          <w:rFonts w:ascii="Calibri" w:hAnsi="Calibri"/>
        </w:rPr>
        <w:t>écrit</w:t>
      </w:r>
      <w:r>
        <w:rPr>
          <w:rFonts w:ascii="Calibri" w:hAnsi="Calibri"/>
          <w:spacing w:val="-3"/>
        </w:rPr>
        <w:t> </w:t>
      </w:r>
      <w:r>
        <w:rPr>
          <w:rFonts w:ascii="Calibri" w:hAnsi="Calibri"/>
        </w:rPr>
        <w:t>en</w:t>
      </w:r>
      <w:r>
        <w:rPr>
          <w:rFonts w:ascii="Calibri" w:hAnsi="Calibri"/>
          <w:spacing w:val="-3"/>
        </w:rPr>
        <w:t> </w:t>
      </w:r>
      <w:r>
        <w:rPr>
          <w:rFonts w:ascii="Calibri" w:hAnsi="Calibri"/>
        </w:rPr>
        <w:t>anglais</w:t>
      </w:r>
      <w:r>
        <w:rPr>
          <w:rFonts w:ascii="Calibri" w:hAnsi="Calibri"/>
          <w:spacing w:val="-1"/>
        </w:rPr>
        <w:t> </w:t>
      </w:r>
      <w:r>
        <w:rPr>
          <w:rFonts w:ascii="Calibri" w:hAnsi="Calibri"/>
        </w:rPr>
        <w:t>de</w:t>
      </w:r>
      <w:r>
        <w:rPr>
          <w:rFonts w:ascii="Calibri" w:hAnsi="Calibri"/>
          <w:spacing w:val="-4"/>
        </w:rPr>
        <w:t> </w:t>
      </w:r>
      <w:r>
        <w:rPr>
          <w:rFonts w:ascii="Calibri" w:hAnsi="Calibri"/>
        </w:rPr>
        <w:t>manière</w:t>
      </w:r>
      <w:r>
        <w:rPr>
          <w:rFonts w:ascii="Calibri" w:hAnsi="Calibri"/>
          <w:spacing w:val="-3"/>
        </w:rPr>
        <w:t> </w:t>
      </w:r>
      <w:r>
        <w:rPr>
          <w:rFonts w:ascii="Calibri" w:hAnsi="Calibri"/>
        </w:rPr>
        <w:t>compréhensible</w:t>
      </w:r>
      <w:r>
        <w:rPr>
          <w:rFonts w:ascii="Calibri" w:hAnsi="Calibri"/>
          <w:spacing w:val="-3"/>
        </w:rPr>
        <w:t> </w:t>
      </w:r>
      <w:r>
        <w:rPr>
          <w:rFonts w:ascii="Calibri" w:hAnsi="Calibri"/>
        </w:rPr>
        <w:t>et</w:t>
      </w:r>
      <w:r>
        <w:rPr>
          <w:rFonts w:ascii="Calibri" w:hAnsi="Calibri"/>
          <w:spacing w:val="-3"/>
        </w:rPr>
        <w:t> </w:t>
      </w:r>
      <w:r>
        <w:rPr>
          <w:rFonts w:ascii="Calibri" w:hAnsi="Calibri"/>
        </w:rPr>
        <w:t>structurée est essentielle.</w:t>
      </w:r>
    </w:p>
    <w:p>
      <w:pPr>
        <w:pStyle w:val="BodyText"/>
        <w:rPr>
          <w:rFonts w:ascii="Calibri"/>
        </w:rPr>
      </w:pPr>
    </w:p>
    <w:p>
      <w:pPr>
        <w:pStyle w:val="ListParagraph"/>
        <w:numPr>
          <w:ilvl w:val="0"/>
          <w:numId w:val="2"/>
        </w:numPr>
        <w:tabs>
          <w:tab w:pos="556" w:val="left" w:leader="none"/>
          <w:tab w:pos="557" w:val="left" w:leader="none"/>
        </w:tabs>
        <w:spacing w:line="240" w:lineRule="auto" w:before="185" w:after="0"/>
        <w:ind w:left="556" w:right="0" w:hanging="427"/>
        <w:jc w:val="left"/>
        <w:rPr>
          <w:b/>
          <w:sz w:val="24"/>
        </w:rPr>
      </w:pPr>
      <w:r>
        <w:rPr>
          <w:b/>
          <w:sz w:val="24"/>
          <w:u w:val="single"/>
        </w:rPr>
        <w:t>Soumission</w:t>
      </w:r>
      <w:r>
        <w:rPr>
          <w:b/>
          <w:spacing w:val="-8"/>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7"/>
          <w:sz w:val="24"/>
          <w:u w:val="single"/>
        </w:rPr>
        <w:t> </w:t>
      </w:r>
      <w:r>
        <w:rPr>
          <w:b/>
          <w:spacing w:val="-2"/>
          <w:sz w:val="24"/>
          <w:u w:val="single"/>
        </w:rPr>
        <w:t>sélection</w:t>
      </w:r>
    </w:p>
    <w:p>
      <w:pPr>
        <w:pStyle w:val="BodyText"/>
        <w:rPr>
          <w:b/>
          <w:sz w:val="16"/>
        </w:rPr>
      </w:pPr>
    </w:p>
    <w:p>
      <w:pPr>
        <w:spacing w:before="91"/>
        <w:ind w:left="556" w:right="284"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w:t>
      </w:r>
      <w:r>
        <w:rPr>
          <w:spacing w:val="36"/>
          <w:sz w:val="22"/>
        </w:rPr>
        <w:t> </w:t>
      </w:r>
      <w:r>
        <w:rPr>
          <w:sz w:val="22"/>
        </w:rPr>
        <w:t>à</w:t>
      </w:r>
      <w:r>
        <w:rPr>
          <w:spacing w:val="37"/>
          <w:sz w:val="22"/>
        </w:rPr>
        <w:t> </w:t>
      </w:r>
      <w:r>
        <w:rPr>
          <w:sz w:val="22"/>
        </w:rPr>
        <w:t>leur</w:t>
      </w:r>
      <w:r>
        <w:rPr>
          <w:spacing w:val="37"/>
          <w:sz w:val="22"/>
        </w:rPr>
        <w:t> </w:t>
      </w:r>
      <w:r>
        <w:rPr>
          <w:sz w:val="22"/>
        </w:rPr>
        <w:t>candidature</w:t>
      </w:r>
      <w:r>
        <w:rPr>
          <w:spacing w:val="37"/>
          <w:sz w:val="22"/>
        </w:rPr>
        <w:t> </w:t>
      </w:r>
      <w:r>
        <w:rPr>
          <w:sz w:val="22"/>
        </w:rPr>
        <w:t>d'autres</w:t>
      </w:r>
      <w:r>
        <w:rPr>
          <w:spacing w:val="36"/>
          <w:sz w:val="22"/>
        </w:rPr>
        <w:t> </w:t>
      </w:r>
      <w:r>
        <w:rPr>
          <w:sz w:val="22"/>
        </w:rPr>
        <w:t>documents</w:t>
      </w:r>
      <w:r>
        <w:rPr>
          <w:spacing w:val="41"/>
          <w:sz w:val="22"/>
        </w:rPr>
        <w:t> </w:t>
      </w:r>
      <w:r>
        <w:rPr>
          <w:sz w:val="22"/>
        </w:rPr>
        <w:t>(tels</w:t>
      </w:r>
      <w:r>
        <w:rPr>
          <w:spacing w:val="39"/>
          <w:sz w:val="22"/>
        </w:rPr>
        <w:t> </w:t>
      </w:r>
      <w:r>
        <w:rPr>
          <w:sz w:val="22"/>
        </w:rPr>
        <w:t>que</w:t>
      </w:r>
      <w:r>
        <w:rPr>
          <w:spacing w:val="36"/>
          <w:sz w:val="22"/>
        </w:rPr>
        <w:t> </w:t>
      </w:r>
      <w:r>
        <w:rPr>
          <w:sz w:val="22"/>
        </w:rPr>
        <w:t>copie</w:t>
      </w:r>
      <w:r>
        <w:rPr>
          <w:spacing w:val="37"/>
          <w:sz w:val="22"/>
        </w:rPr>
        <w:t> </w:t>
      </w:r>
      <w:r>
        <w:rPr>
          <w:sz w:val="22"/>
        </w:rPr>
        <w:t>de</w:t>
      </w:r>
      <w:r>
        <w:rPr>
          <w:spacing w:val="37"/>
          <w:sz w:val="22"/>
        </w:rPr>
        <w:t> </w:t>
      </w:r>
      <w:r>
        <w:rPr>
          <w:sz w:val="22"/>
        </w:rPr>
        <w:t>carte</w:t>
      </w:r>
      <w:r>
        <w:rPr>
          <w:spacing w:val="37"/>
          <w:sz w:val="22"/>
        </w:rPr>
        <w:t> </w:t>
      </w:r>
      <w:r>
        <w:rPr>
          <w:sz w:val="22"/>
        </w:rPr>
        <w:t>d'identité,</w:t>
      </w:r>
      <w:r>
        <w:rPr>
          <w:spacing w:val="37"/>
          <w:sz w:val="22"/>
        </w:rPr>
        <w:t> </w:t>
      </w:r>
      <w:r>
        <w:rPr>
          <w:sz w:val="22"/>
        </w:rPr>
        <w:t>copie</w:t>
      </w:r>
      <w:r>
        <w:rPr>
          <w:spacing w:val="37"/>
          <w:sz w:val="22"/>
        </w:rPr>
        <w:t> </w:t>
      </w:r>
      <w:r>
        <w:rPr>
          <w:sz w:val="22"/>
        </w:rPr>
        <w:t>des</w:t>
      </w:r>
      <w:r>
        <w:rPr>
          <w:spacing w:val="37"/>
          <w:sz w:val="22"/>
        </w:rPr>
        <w:t> </w:t>
      </w:r>
      <w:r>
        <w:rPr>
          <w:sz w:val="22"/>
        </w:rPr>
        <w:t>diplômes</w:t>
      </w:r>
      <w:r>
        <w:rPr>
          <w:spacing w:val="37"/>
          <w:sz w:val="22"/>
        </w:rPr>
        <w:t> </w:t>
      </w:r>
      <w:r>
        <w:rPr>
          <w:spacing w:val="-5"/>
          <w:sz w:val="22"/>
        </w:rPr>
        <w:t>et</w:t>
      </w:r>
    </w:p>
    <w:p>
      <w:pPr>
        <w:spacing w:after="0"/>
        <w:jc w:val="both"/>
        <w:rPr>
          <w:sz w:val="22"/>
        </w:rPr>
        <w:sectPr>
          <w:pgSz w:w="11910" w:h="16840"/>
          <w:pgMar w:header="0" w:footer="689" w:top="1080" w:bottom="880" w:left="720" w:right="740"/>
        </w:sectPr>
      </w:pPr>
    </w:p>
    <w:p>
      <w:pPr>
        <w:pStyle w:val="BodyText"/>
        <w:spacing w:before="74"/>
        <w:ind w:left="556"/>
      </w:pPr>
      <w:r>
        <w:rPr/>
        <w:t>attestations</w:t>
      </w:r>
      <w:r>
        <w:rPr>
          <w:spacing w:val="-2"/>
        </w:rPr>
        <w:t> </w:t>
      </w:r>
      <w:r>
        <w:rPr/>
        <w:t>d'expérience</w:t>
      </w:r>
      <w:r>
        <w:rPr>
          <w:spacing w:val="-3"/>
        </w:rPr>
        <w:t> </w:t>
      </w:r>
      <w:r>
        <w:rPr/>
        <w:t>professionnelle,…).</w:t>
      </w:r>
      <w:r>
        <w:rPr>
          <w:spacing w:val="-2"/>
        </w:rPr>
        <w:t> </w:t>
      </w:r>
      <w:r>
        <w:rPr/>
        <w:t>Ces</w:t>
      </w:r>
      <w:r>
        <w:rPr>
          <w:spacing w:val="-3"/>
        </w:rPr>
        <w:t> </w:t>
      </w:r>
      <w:r>
        <w:rPr/>
        <w:t>documents</w:t>
      </w:r>
      <w:r>
        <w:rPr>
          <w:spacing w:val="-2"/>
        </w:rPr>
        <w:t> </w:t>
      </w:r>
      <w:r>
        <w:rPr/>
        <w:t>leur</w:t>
      </w:r>
      <w:r>
        <w:rPr>
          <w:spacing w:val="-2"/>
        </w:rPr>
        <w:t> </w:t>
      </w:r>
      <w:r>
        <w:rPr/>
        <w:t>seront</w:t>
      </w:r>
      <w:r>
        <w:rPr>
          <w:spacing w:val="-2"/>
        </w:rPr>
        <w:t> </w:t>
      </w:r>
      <w:r>
        <w:rPr/>
        <w:t>demandés,</w:t>
      </w:r>
      <w:r>
        <w:rPr>
          <w:spacing w:val="-2"/>
        </w:rPr>
        <w:t> </w:t>
      </w:r>
      <w:r>
        <w:rPr/>
        <w:t>le</w:t>
      </w:r>
      <w:r>
        <w:rPr>
          <w:spacing w:val="-2"/>
        </w:rPr>
        <w:t> </w:t>
      </w:r>
      <w:r>
        <w:rPr/>
        <w:t>cas</w:t>
      </w:r>
      <w:r>
        <w:rPr>
          <w:spacing w:val="-3"/>
        </w:rPr>
        <w:t> </w:t>
      </w:r>
      <w:r>
        <w:rPr/>
        <w:t>échéant,</w:t>
      </w:r>
      <w:r>
        <w:rPr>
          <w:spacing w:val="-2"/>
        </w:rPr>
        <w:t> </w:t>
      </w:r>
      <w:r>
        <w:rPr/>
        <w:t>à</w:t>
      </w:r>
      <w:r>
        <w:rPr>
          <w:spacing w:val="-3"/>
        </w:rPr>
        <w:t> </w:t>
      </w:r>
      <w:r>
        <w:rPr/>
        <w:t>un</w:t>
      </w:r>
      <w:r>
        <w:rPr>
          <w:spacing w:val="-1"/>
        </w:rPr>
        <w:t> </w:t>
      </w:r>
      <w:r>
        <w:rPr/>
        <w:t>stade ultérieur de la procédure de sélection.</w:t>
      </w:r>
    </w:p>
    <w:p>
      <w:pPr>
        <w:pStyle w:val="BodyText"/>
        <w:spacing w:line="252" w:lineRule="exact"/>
        <w:ind w:left="556"/>
      </w:pPr>
      <w:r>
        <w:rPr/>
        <w:t>Les</w:t>
      </w:r>
      <w:r>
        <w:rPr>
          <w:spacing w:val="-7"/>
        </w:rPr>
        <w:t> </w:t>
      </w:r>
      <w:r>
        <w:rPr/>
        <w:t>candidats</w:t>
      </w:r>
      <w:r>
        <w:rPr>
          <w:spacing w:val="-4"/>
        </w:rPr>
        <w:t> </w:t>
      </w:r>
      <w:r>
        <w:rPr/>
        <w:t>seront</w:t>
      </w:r>
      <w:r>
        <w:rPr>
          <w:spacing w:val="-7"/>
        </w:rPr>
        <w:t> </w:t>
      </w:r>
      <w:r>
        <w:rPr/>
        <w:t>informés</w:t>
      </w:r>
      <w:r>
        <w:rPr>
          <w:spacing w:val="-6"/>
        </w:rPr>
        <w:t> </w:t>
      </w:r>
      <w:r>
        <w:rPr/>
        <w:t>du</w:t>
      </w:r>
      <w:r>
        <w:rPr>
          <w:spacing w:val="-5"/>
        </w:rPr>
        <w:t> </w:t>
      </w:r>
      <w:r>
        <w:rPr/>
        <w:t>suivi</w:t>
      </w:r>
      <w:r>
        <w:rPr>
          <w:spacing w:val="-7"/>
        </w:rPr>
        <w:t> </w:t>
      </w:r>
      <w:r>
        <w:rPr/>
        <w:t>de</w:t>
      </w:r>
      <w:r>
        <w:rPr>
          <w:spacing w:val="-6"/>
        </w:rPr>
        <w:t> </w:t>
      </w:r>
      <w:r>
        <w:rPr/>
        <w:t>leur</w:t>
      </w:r>
      <w:r>
        <w:rPr>
          <w:spacing w:val="-6"/>
        </w:rPr>
        <w:t> </w:t>
      </w:r>
      <w:r>
        <w:rPr/>
        <w:t>candidature</w:t>
      </w:r>
      <w:r>
        <w:rPr>
          <w:spacing w:val="-6"/>
        </w:rPr>
        <w:t> </w:t>
      </w:r>
      <w:r>
        <w:rPr/>
        <w:t>par</w:t>
      </w:r>
      <w:r>
        <w:rPr>
          <w:spacing w:val="-6"/>
        </w:rPr>
        <w:t> </w:t>
      </w:r>
      <w:r>
        <w:rPr/>
        <w:t>l'unité</w:t>
      </w:r>
      <w:r>
        <w:rPr>
          <w:spacing w:val="-7"/>
        </w:rPr>
        <w:t> </w:t>
      </w:r>
      <w:r>
        <w:rPr>
          <w:spacing w:val="-2"/>
        </w:rPr>
        <w:t>concernée.</w:t>
      </w:r>
    </w:p>
    <w:p>
      <w:pPr>
        <w:pStyle w:val="ListParagraph"/>
        <w:numPr>
          <w:ilvl w:val="0"/>
          <w:numId w:val="2"/>
        </w:numPr>
        <w:tabs>
          <w:tab w:pos="556" w:val="left" w:leader="none"/>
          <w:tab w:pos="557" w:val="left" w:leader="none"/>
        </w:tabs>
        <w:spacing w:line="240" w:lineRule="auto" w:before="2" w:after="0"/>
        <w:ind w:left="556" w:right="0" w:hanging="427"/>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rPr>
          <w:b/>
          <w:sz w:val="16"/>
        </w:rPr>
      </w:pPr>
    </w:p>
    <w:p>
      <w:pPr>
        <w:spacing w:before="90"/>
        <w:ind w:left="556" w:right="284"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6"/>
      </w:pPr>
      <w:r>
        <w:rPr/>
        <w:t>L'END</w:t>
      </w:r>
      <w:r>
        <w:rPr>
          <w:spacing w:val="33"/>
        </w:rPr>
        <w:t> </w:t>
      </w:r>
      <w:r>
        <w:rPr/>
        <w:t>restera</w:t>
      </w:r>
      <w:r>
        <w:rPr>
          <w:spacing w:val="32"/>
        </w:rPr>
        <w:t> </w:t>
      </w:r>
      <w:r>
        <w:rPr/>
        <w:t>employé</w:t>
      </w:r>
      <w:r>
        <w:rPr>
          <w:spacing w:val="33"/>
        </w:rPr>
        <w:t> </w:t>
      </w:r>
      <w:r>
        <w:rPr/>
        <w:t>et</w:t>
      </w:r>
      <w:r>
        <w:rPr>
          <w:spacing w:val="32"/>
        </w:rPr>
        <w:t> </w:t>
      </w:r>
      <w:r>
        <w:rPr/>
        <w:t>rémunéré</w:t>
      </w:r>
      <w:r>
        <w:rPr>
          <w:spacing w:val="33"/>
        </w:rPr>
        <w:t> </w:t>
      </w:r>
      <w:r>
        <w:rPr/>
        <w:t>par</w:t>
      </w:r>
      <w:r>
        <w:rPr>
          <w:spacing w:val="33"/>
        </w:rPr>
        <w:t> </w:t>
      </w:r>
      <w:r>
        <w:rPr/>
        <w:t>son</w:t>
      </w:r>
      <w:r>
        <w:rPr>
          <w:spacing w:val="33"/>
        </w:rPr>
        <w:t> </w:t>
      </w:r>
      <w:r>
        <w:rPr/>
        <w:t>employeur</w:t>
      </w:r>
      <w:r>
        <w:rPr>
          <w:spacing w:val="33"/>
        </w:rPr>
        <w:t> </w:t>
      </w:r>
      <w:r>
        <w:rPr/>
        <w:t>durant</w:t>
      </w:r>
      <w:r>
        <w:rPr>
          <w:spacing w:val="33"/>
        </w:rPr>
        <w:t> </w:t>
      </w:r>
      <w:r>
        <w:rPr/>
        <w:t>toute</w:t>
      </w:r>
      <w:r>
        <w:rPr>
          <w:spacing w:val="32"/>
        </w:rPr>
        <w:t> </w:t>
      </w:r>
      <w:r>
        <w:rPr/>
        <w:t>la</w:t>
      </w:r>
      <w:r>
        <w:rPr>
          <w:spacing w:val="33"/>
        </w:rPr>
        <w:t> </w:t>
      </w:r>
      <w:r>
        <w:rPr/>
        <w:t>durée</w:t>
      </w:r>
      <w:r>
        <w:rPr>
          <w:spacing w:val="32"/>
        </w:rPr>
        <w:t> </w:t>
      </w:r>
      <w:r>
        <w:rPr/>
        <w:t>du</w:t>
      </w:r>
      <w:r>
        <w:rPr>
          <w:spacing w:val="33"/>
        </w:rPr>
        <w:t> </w:t>
      </w:r>
      <w:r>
        <w:rPr/>
        <w:t>détachement.</w:t>
      </w:r>
      <w:r>
        <w:rPr>
          <w:spacing w:val="33"/>
        </w:rPr>
        <w:t> </w:t>
      </w:r>
      <w:r>
        <w:rPr/>
        <w:t>Il</w:t>
      </w:r>
      <w:r>
        <w:rPr>
          <w:spacing w:val="33"/>
        </w:rPr>
        <w:t> </w:t>
      </w:r>
      <w:r>
        <w:rPr/>
        <w:t>restera également couvert par la sécurité sociale nationale durant son détachement.</w:t>
      </w:r>
    </w:p>
    <w:p>
      <w:pPr>
        <w:pStyle w:val="BodyText"/>
        <w:spacing w:before="1"/>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0"/>
        </w:rPr>
        <w:t> </w:t>
      </w:r>
      <w:r>
        <w:rPr/>
        <w:t>le</w:t>
      </w:r>
      <w:r>
        <w:rPr>
          <w:spacing w:val="30"/>
        </w:rPr>
        <w:t> </w:t>
      </w:r>
      <w:r>
        <w:rPr/>
        <w:t>détachement,</w:t>
      </w:r>
      <w:r>
        <w:rPr>
          <w:spacing w:val="30"/>
        </w:rPr>
        <w:t> </w:t>
      </w:r>
      <w:r>
        <w:rPr/>
        <w:t>l'END</w:t>
      </w:r>
      <w:r>
        <w:rPr>
          <w:spacing w:val="30"/>
        </w:rPr>
        <w:t> </w:t>
      </w:r>
      <w:r>
        <w:rPr/>
        <w:t>sera</w:t>
      </w:r>
      <w:r>
        <w:rPr>
          <w:spacing w:val="30"/>
        </w:rPr>
        <w:t> </w:t>
      </w:r>
      <w:r>
        <w:rPr/>
        <w:t>soumis</w:t>
      </w:r>
      <w:r>
        <w:rPr>
          <w:spacing w:val="30"/>
        </w:rPr>
        <w:t> </w:t>
      </w:r>
      <w:r>
        <w:rPr/>
        <w:t>aux</w:t>
      </w:r>
      <w:r>
        <w:rPr>
          <w:spacing w:val="31"/>
        </w:rPr>
        <w:t> </w:t>
      </w:r>
      <w:r>
        <w:rPr/>
        <w:t>obligations</w:t>
      </w:r>
      <w:r>
        <w:rPr>
          <w:spacing w:val="30"/>
        </w:rPr>
        <w:t> </w:t>
      </w:r>
      <w:r>
        <w:rPr/>
        <w:t>de</w:t>
      </w:r>
      <w:r>
        <w:rPr>
          <w:spacing w:val="30"/>
        </w:rPr>
        <w:t> </w:t>
      </w:r>
      <w:r>
        <w:rPr/>
        <w:t>confidentialité,</w:t>
      </w:r>
      <w:r>
        <w:rPr>
          <w:spacing w:val="29"/>
        </w:rPr>
        <w:t> </w:t>
      </w:r>
      <w:r>
        <w:rPr/>
        <w:t>de</w:t>
      </w:r>
      <w:r>
        <w:rPr>
          <w:spacing w:val="30"/>
        </w:rPr>
        <w:t> </w:t>
      </w:r>
      <w:r>
        <w:rPr/>
        <w:t>loyauté</w:t>
      </w:r>
      <w:r>
        <w:rPr>
          <w:spacing w:val="30"/>
        </w:rPr>
        <w:t> </w:t>
      </w:r>
      <w:r>
        <w:rPr/>
        <w:t>et</w:t>
      </w:r>
      <w:r>
        <w:rPr>
          <w:spacing w:val="30"/>
        </w:rPr>
        <w:t> </w:t>
      </w:r>
      <w:r>
        <w:rPr/>
        <w:t>d'absence</w:t>
      </w:r>
      <w:r>
        <w:rPr>
          <w:spacing w:val="30"/>
        </w:rPr>
        <w:t> </w:t>
      </w:r>
      <w:r>
        <w:rPr/>
        <w:t>de conflit d'intérêt prévues par les articles 6 et 7 de la décision END.</w:t>
      </w:r>
    </w:p>
    <w:p>
      <w:pPr>
        <w:pStyle w:val="BodyText"/>
        <w:spacing w:before="1"/>
        <w:ind w:left="556"/>
      </w:pPr>
      <w:r>
        <w:rPr/>
        <w:t>Toute</w:t>
      </w:r>
      <w:r>
        <w:rPr>
          <w:spacing w:val="-6"/>
        </w:rPr>
        <w:t> </w:t>
      </w:r>
      <w:r>
        <w:rPr/>
        <w:t>déclaration</w:t>
      </w:r>
      <w:r>
        <w:rPr>
          <w:spacing w:val="-5"/>
        </w:rPr>
        <w:t> </w:t>
      </w:r>
      <w:r>
        <w:rPr/>
        <w:t>incomplète</w:t>
      </w:r>
      <w:r>
        <w:rPr>
          <w:spacing w:val="-6"/>
        </w:rPr>
        <w:t> </w:t>
      </w:r>
      <w:r>
        <w:rPr/>
        <w:t>ou</w:t>
      </w:r>
      <w:r>
        <w:rPr>
          <w:spacing w:val="-5"/>
        </w:rPr>
        <w:t> </w:t>
      </w:r>
      <w:r>
        <w:rPr/>
        <w:t>fausse</w:t>
      </w:r>
      <w:r>
        <w:rPr>
          <w:spacing w:val="-6"/>
        </w:rPr>
        <w:t> </w:t>
      </w:r>
      <w:r>
        <w:rPr/>
        <w:t>pourra</w:t>
      </w:r>
      <w:r>
        <w:rPr>
          <w:spacing w:val="-6"/>
        </w:rPr>
        <w:t> </w:t>
      </w:r>
      <w:r>
        <w:rPr/>
        <w:t>entraîner</w:t>
      </w:r>
      <w:r>
        <w:rPr>
          <w:spacing w:val="-6"/>
        </w:rPr>
        <w:t> </w:t>
      </w:r>
      <w:r>
        <w:rPr/>
        <w:t>le</w:t>
      </w:r>
      <w:r>
        <w:rPr>
          <w:spacing w:val="-5"/>
        </w:rPr>
        <w:t> </w:t>
      </w:r>
      <w:r>
        <w:rPr/>
        <w:t>refus</w:t>
      </w:r>
      <w:r>
        <w:rPr>
          <w:spacing w:val="-5"/>
        </w:rPr>
        <w:t> </w:t>
      </w:r>
      <w:r>
        <w:rPr/>
        <w:t>de</w:t>
      </w:r>
      <w:r>
        <w:rPr>
          <w:spacing w:val="-6"/>
        </w:rPr>
        <w:t> </w:t>
      </w:r>
      <w:r>
        <w:rPr/>
        <w:t>la</w:t>
      </w:r>
      <w:r>
        <w:rPr>
          <w:spacing w:val="-6"/>
        </w:rPr>
        <w:t> </w:t>
      </w:r>
      <w:r>
        <w:rPr>
          <w:spacing w:val="-2"/>
        </w:rPr>
        <w:t>candidature.</w:t>
      </w:r>
    </w:p>
    <w:p>
      <w:pPr>
        <w:pStyle w:val="BodyText"/>
        <w:spacing w:before="8"/>
        <w:rPr>
          <w:sz w:val="20"/>
        </w:rPr>
      </w:pPr>
    </w:p>
    <w:p>
      <w:pPr>
        <w:pStyle w:val="BodyText"/>
        <w:spacing w:before="1"/>
        <w:ind w:left="556" w:right="110"/>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2"/>
        <w:rPr>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4"/>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4"/>
          <w:sz w:val="24"/>
          <w:u w:val="single"/>
        </w:rPr>
        <w:t> </w:t>
      </w:r>
      <w:r>
        <w:rPr>
          <w:b/>
          <w:spacing w:val="-2"/>
          <w:sz w:val="24"/>
          <w:u w:val="single"/>
        </w:rPr>
        <w:t>personnel</w:t>
      </w:r>
    </w:p>
    <w:p>
      <w:pPr>
        <w:pStyle w:val="BodyText"/>
        <w:spacing w:before="10"/>
        <w:rPr>
          <w:b/>
          <w:sz w:val="15"/>
        </w:rPr>
      </w:pPr>
    </w:p>
    <w:p>
      <w:pPr>
        <w:pStyle w:val="BodyText"/>
        <w:spacing w:before="91"/>
        <w:ind w:left="556" w:right="284"/>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556" w:right="283"/>
        <w:jc w:val="both"/>
      </w:pPr>
      <w:r>
        <w:rPr/>
        <w:t>Les données des END seront conservées pendant 10 ans à compter de la fin du détachement (2 ans pour les END dont la candidature n'a pas été retenue ou a été retirée).</w:t>
      </w:r>
    </w:p>
    <w:p>
      <w:pPr>
        <w:pStyle w:val="BodyText"/>
        <w:spacing w:before="1"/>
        <w:ind w:left="556" w:right="287"/>
        <w:jc w:val="both"/>
      </w:pPr>
      <w:r>
        <w:rPr/>
        <w:t>En tant que personne concernée, vous avez des droits spécifiques en vertu du chapitre III (articles 14 à 25)</w:t>
      </w:r>
      <w:r>
        <w:rPr>
          <w:spacing w:val="40"/>
        </w:rPr>
        <w:t> </w:t>
      </w:r>
      <w:r>
        <w:rPr/>
        <w:t>du règlement (UE) 2018/1725,</w:t>
      </w:r>
      <w:r>
        <w:rPr>
          <w:spacing w:val="-1"/>
        </w:rPr>
        <w:t> </w:t>
      </w:r>
      <w:r>
        <w:rPr/>
        <w:t>notamment le droit</w:t>
      </w:r>
      <w:r>
        <w:rPr>
          <w:spacing w:val="-1"/>
        </w:rPr>
        <w:t> </w:t>
      </w:r>
      <w:r>
        <w:rPr/>
        <w:t>d'accès, de rectification ou d'effacement de vos données</w:t>
      </w:r>
      <w:r>
        <w:rPr>
          <w:spacing w:val="-2"/>
        </w:rPr>
        <w:t> </w:t>
      </w:r>
      <w:r>
        <w:rPr/>
        <w:t>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ind w:left="556" w:right="289"/>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
      </w:pPr>
    </w:p>
    <w:p>
      <w:pPr>
        <w:pStyle w:val="Heading1"/>
        <w:ind w:left="556" w:firstLine="0"/>
        <w:rPr>
          <w:u w:val="none"/>
        </w:rPr>
      </w:pPr>
      <w:r>
        <w:rPr>
          <w:u w:val="single"/>
        </w:rPr>
        <w:t>Informations</w:t>
      </w:r>
      <w:r>
        <w:rPr>
          <w:spacing w:val="-9"/>
          <w:u w:val="single"/>
        </w:rPr>
        <w:t> </w:t>
      </w:r>
      <w:r>
        <w:rPr>
          <w:u w:val="single"/>
        </w:rPr>
        <w:t>de</w:t>
      </w:r>
      <w:r>
        <w:rPr>
          <w:spacing w:val="-9"/>
          <w:u w:val="single"/>
        </w:rPr>
        <w:t> </w:t>
      </w:r>
      <w:r>
        <w:rPr>
          <w:spacing w:val="-2"/>
          <w:u w:val="single"/>
        </w:rPr>
        <w:t>contact</w:t>
      </w:r>
    </w:p>
    <w:p>
      <w:pPr>
        <w:pStyle w:val="BodyText"/>
        <w:rPr>
          <w:b/>
          <w:sz w:val="14"/>
        </w:rPr>
      </w:pPr>
    </w:p>
    <w:p>
      <w:pPr>
        <w:pStyle w:val="ListParagraph"/>
        <w:numPr>
          <w:ilvl w:val="0"/>
          <w:numId w:val="6"/>
        </w:numPr>
        <w:tabs>
          <w:tab w:pos="839" w:val="left" w:leader="none"/>
        </w:tabs>
        <w:spacing w:line="240" w:lineRule="auto" w:before="90" w:after="0"/>
        <w:ind w:left="838" w:right="0" w:hanging="283"/>
        <w:jc w:val="both"/>
        <w:rPr>
          <w:sz w:val="22"/>
        </w:rPr>
      </w:pPr>
      <w:r>
        <w:rPr>
          <w:b/>
          <w:sz w:val="22"/>
        </w:rPr>
        <w:t>Le</w:t>
      </w:r>
      <w:r>
        <w:rPr>
          <w:b/>
          <w:spacing w:val="-6"/>
          <w:sz w:val="22"/>
        </w:rPr>
        <w:t> </w:t>
      </w:r>
      <w:r>
        <w:rPr>
          <w:b/>
          <w:sz w:val="22"/>
        </w:rPr>
        <w:t>contrôleur</w:t>
      </w:r>
      <w:r>
        <w:rPr>
          <w:b/>
          <w:spacing w:val="-6"/>
          <w:sz w:val="22"/>
        </w:rPr>
        <w:t> </w:t>
      </w:r>
      <w:r>
        <w:rPr>
          <w:b/>
          <w:sz w:val="22"/>
        </w:rPr>
        <w:t>de</w:t>
      </w:r>
      <w:r>
        <w:rPr>
          <w:b/>
          <w:spacing w:val="-5"/>
          <w:sz w:val="22"/>
        </w:rPr>
        <w:t> </w:t>
      </w:r>
      <w:r>
        <w:rPr>
          <w:b/>
          <w:spacing w:val="-2"/>
          <w:sz w:val="22"/>
        </w:rPr>
        <w:t>données</w:t>
      </w:r>
    </w:p>
    <w:p>
      <w:pPr>
        <w:pStyle w:val="BodyText"/>
        <w:spacing w:before="1"/>
        <w:ind w:left="556" w:right="28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r>
          <w:rPr/>
          <w:t>.</w:t>
        </w:r>
      </w:hyperlink>
    </w:p>
    <w:p>
      <w:pPr>
        <w:pStyle w:val="BodyText"/>
        <w:spacing w:before="1"/>
        <w:rPr>
          <w:sz w:val="14"/>
        </w:rPr>
      </w:pPr>
    </w:p>
    <w:p>
      <w:pPr>
        <w:pStyle w:val="Heading1"/>
        <w:numPr>
          <w:ilvl w:val="0"/>
          <w:numId w:val="6"/>
        </w:numPr>
        <w:tabs>
          <w:tab w:pos="839" w:val="left" w:leader="none"/>
        </w:tabs>
        <w:spacing w:line="240" w:lineRule="auto" w:before="91" w:after="0"/>
        <w:ind w:left="838" w:right="0" w:hanging="283"/>
        <w:jc w:val="both"/>
        <w:rPr>
          <w:b w:val="0"/>
          <w:u w:val="none"/>
        </w:rPr>
      </w:pPr>
      <w:r>
        <w:rPr>
          <w:u w:val="single"/>
        </w:rPr>
        <w:t>Le</w:t>
      </w:r>
      <w:r>
        <w:rPr>
          <w:spacing w:val="-6"/>
          <w:u w:val="single"/>
        </w:rPr>
        <w:t> </w:t>
      </w:r>
      <w:r>
        <w:rPr>
          <w:u w:val="single"/>
        </w:rPr>
        <w:t>délégué</w:t>
      </w:r>
      <w:r>
        <w:rPr>
          <w:spacing w:val="-5"/>
          <w:u w:val="single"/>
        </w:rPr>
        <w:t> </w:t>
      </w:r>
      <w:r>
        <w:rPr>
          <w:u w:val="single"/>
        </w:rPr>
        <w:t>à</w:t>
      </w:r>
      <w:r>
        <w:rPr>
          <w:spacing w:val="-4"/>
          <w:u w:val="single"/>
        </w:rPr>
        <w:t> </w:t>
      </w:r>
      <w:r>
        <w:rPr>
          <w:u w:val="single"/>
        </w:rPr>
        <w:t>la</w:t>
      </w:r>
      <w:r>
        <w:rPr>
          <w:spacing w:val="-4"/>
          <w:u w:val="single"/>
        </w:rPr>
        <w:t> </w:t>
      </w:r>
      <w:r>
        <w:rPr>
          <w:u w:val="single"/>
        </w:rPr>
        <w:t>protection</w:t>
      </w:r>
      <w:r>
        <w:rPr>
          <w:spacing w:val="-5"/>
          <w:u w:val="single"/>
        </w:rPr>
        <w:t> </w:t>
      </w:r>
      <w:r>
        <w:rPr>
          <w:u w:val="single"/>
        </w:rPr>
        <w:t>des</w:t>
      </w:r>
      <w:r>
        <w:rPr>
          <w:spacing w:val="-5"/>
          <w:u w:val="single"/>
        </w:rPr>
        <w:t> </w:t>
      </w:r>
      <w:r>
        <w:rPr>
          <w:u w:val="single"/>
        </w:rPr>
        <w:t>données</w:t>
      </w:r>
      <w:r>
        <w:rPr>
          <w:spacing w:val="-4"/>
          <w:u w:val="single"/>
        </w:rPr>
        <w:t> </w:t>
      </w:r>
      <w:r>
        <w:rPr>
          <w:u w:val="single"/>
        </w:rPr>
        <w:t>(DPD)</w:t>
      </w:r>
      <w:r>
        <w:rPr>
          <w:spacing w:val="-5"/>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6" w:right="285"/>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839" w:val="left" w:leader="none"/>
        </w:tabs>
        <w:spacing w:line="240" w:lineRule="auto" w:before="1" w:after="0"/>
        <w:ind w:left="838" w:right="0" w:hanging="283"/>
        <w:jc w:val="both"/>
        <w:rPr>
          <w:u w:val="none"/>
        </w:rPr>
      </w:pPr>
      <w:r>
        <w:rPr>
          <w:u w:val="single"/>
        </w:rPr>
        <w:t>Le</w:t>
      </w:r>
      <w:r>
        <w:rPr>
          <w:spacing w:val="-7"/>
          <w:u w:val="single"/>
        </w:rPr>
        <w:t> </w:t>
      </w:r>
      <w:r>
        <w:rPr>
          <w:u w:val="single"/>
        </w:rPr>
        <w:t>contrôleur</w:t>
      </w:r>
      <w:r>
        <w:rPr>
          <w:spacing w:val="-5"/>
          <w:u w:val="single"/>
        </w:rPr>
        <w:t> </w:t>
      </w:r>
      <w:r>
        <w:rPr>
          <w:u w:val="single"/>
        </w:rPr>
        <w:t>européen</w:t>
      </w:r>
      <w:r>
        <w:rPr>
          <w:spacing w:val="-7"/>
          <w:u w:val="single"/>
        </w:rPr>
        <w:t> </w:t>
      </w:r>
      <w:r>
        <w:rPr>
          <w:u w:val="single"/>
        </w:rPr>
        <w:t>de</w:t>
      </w:r>
      <w:r>
        <w:rPr>
          <w:spacing w:val="-6"/>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7"/>
          <w:u w:val="single"/>
        </w:rPr>
        <w:t> </w:t>
      </w:r>
      <w:r>
        <w:rPr>
          <w:spacing w:val="-2"/>
          <w:u w:val="single"/>
        </w:rPr>
        <w:t>(CEPD)</w:t>
      </w:r>
    </w:p>
    <w:p>
      <w:pPr>
        <w:pStyle w:val="BodyText"/>
        <w:spacing w:before="1"/>
        <w:rPr>
          <w:b/>
          <w:sz w:val="14"/>
        </w:rPr>
      </w:pPr>
    </w:p>
    <w:p>
      <w:pPr>
        <w:pStyle w:val="BodyText"/>
        <w:spacing w:before="90"/>
        <w:ind w:left="556" w:right="285"/>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spacing w:after="0"/>
        <w:jc w:val="both"/>
        <w:sectPr>
          <w:pgSz w:w="11910" w:h="16840"/>
          <w:pgMar w:header="0" w:footer="689" w:top="1040" w:bottom="880" w:left="720" w:right="740"/>
        </w:sectPr>
      </w:pPr>
    </w:p>
    <w:p>
      <w:pPr>
        <w:pStyle w:val="BodyText"/>
        <w:spacing w:before="74"/>
        <w:ind w:left="556"/>
      </w:pPr>
      <w:r>
        <w:rPr/>
        <w:t>À l'attention des candidats ressortissant de pays tiers: vos données personnelles peuvent être utilisées aux fins des vérifications nécessaires.</w:t>
      </w:r>
    </w:p>
    <w:sectPr>
      <w:pgSz w:w="11910" w:h="16840"/>
      <w:pgMar w:header="0" w:footer="689"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20800" type="#_x0000_t202" id="docshape1" filled="false" stroked="false">
          <v:textbox inset="0,0,0,0">
            <w:txbxContent>
              <w:p>
                <w:pPr>
                  <w:spacing w:before="13"/>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4">
    <w:multiLevelType w:val="hybridMultilevel"/>
    <w:lvl w:ilvl="0">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800" w:hanging="284"/>
      </w:pPr>
      <w:rPr>
        <w:rFonts w:hint="default"/>
        <w:lang w:val="fr-FR" w:eastAsia="en-US" w:bidi="ar-SA"/>
      </w:rPr>
    </w:lvl>
    <w:lvl w:ilvl="2">
      <w:start w:val="0"/>
      <w:numFmt w:val="bullet"/>
      <w:lvlText w:val="•"/>
      <w:lvlJc w:val="left"/>
      <w:pPr>
        <w:ind w:left="2761" w:hanging="284"/>
      </w:pPr>
      <w:rPr>
        <w:rFonts w:hint="default"/>
        <w:lang w:val="fr-FR" w:eastAsia="en-US" w:bidi="ar-SA"/>
      </w:rPr>
    </w:lvl>
    <w:lvl w:ilvl="3">
      <w:start w:val="0"/>
      <w:numFmt w:val="bullet"/>
      <w:lvlText w:val="•"/>
      <w:lvlJc w:val="left"/>
      <w:pPr>
        <w:ind w:left="3721" w:hanging="284"/>
      </w:pPr>
      <w:rPr>
        <w:rFonts w:hint="default"/>
        <w:lang w:val="fr-FR" w:eastAsia="en-US" w:bidi="ar-SA"/>
      </w:rPr>
    </w:lvl>
    <w:lvl w:ilvl="4">
      <w:start w:val="0"/>
      <w:numFmt w:val="bullet"/>
      <w:lvlText w:val="•"/>
      <w:lvlJc w:val="left"/>
      <w:pPr>
        <w:ind w:left="4682" w:hanging="284"/>
      </w:pPr>
      <w:rPr>
        <w:rFonts w:hint="default"/>
        <w:lang w:val="fr-FR" w:eastAsia="en-US" w:bidi="ar-SA"/>
      </w:rPr>
    </w:lvl>
    <w:lvl w:ilvl="5">
      <w:start w:val="0"/>
      <w:numFmt w:val="bullet"/>
      <w:lvlText w:val="•"/>
      <w:lvlJc w:val="left"/>
      <w:pPr>
        <w:ind w:left="5643" w:hanging="284"/>
      </w:pPr>
      <w:rPr>
        <w:rFonts w:hint="default"/>
        <w:lang w:val="fr-FR" w:eastAsia="en-US" w:bidi="ar-SA"/>
      </w:rPr>
    </w:lvl>
    <w:lvl w:ilvl="6">
      <w:start w:val="0"/>
      <w:numFmt w:val="bullet"/>
      <w:lvlText w:val="•"/>
      <w:lvlJc w:val="left"/>
      <w:pPr>
        <w:ind w:left="6603" w:hanging="284"/>
      </w:pPr>
      <w:rPr>
        <w:rFonts w:hint="default"/>
        <w:lang w:val="fr-FR" w:eastAsia="en-US" w:bidi="ar-SA"/>
      </w:rPr>
    </w:lvl>
    <w:lvl w:ilvl="7">
      <w:start w:val="0"/>
      <w:numFmt w:val="bullet"/>
      <w:lvlText w:val="•"/>
      <w:lvlJc w:val="left"/>
      <w:pPr>
        <w:ind w:left="7564" w:hanging="284"/>
      </w:pPr>
      <w:rPr>
        <w:rFonts w:hint="default"/>
        <w:lang w:val="fr-FR" w:eastAsia="en-US" w:bidi="ar-SA"/>
      </w:rPr>
    </w:lvl>
    <w:lvl w:ilvl="8">
      <w:start w:val="0"/>
      <w:numFmt w:val="bullet"/>
      <w:lvlText w:val="•"/>
      <w:lvlJc w:val="left"/>
      <w:pPr>
        <w:ind w:left="8525" w:hanging="284"/>
      </w:pPr>
      <w:rPr>
        <w:rFonts w:hint="default"/>
        <w:lang w:val="fr-FR" w:eastAsia="en-US" w:bidi="ar-SA"/>
      </w:rPr>
    </w:lvl>
  </w:abstractNum>
  <w:abstractNum w:abstractNumId="3">
    <w:multiLevelType w:val="hybridMultilevel"/>
    <w:lvl w:ilvl="0">
      <w:start w:val="1"/>
      <w:numFmt w:val="lowerLetter"/>
      <w:lvlText w:val="%1)"/>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950"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014" w:hanging="129"/>
      </w:pPr>
      <w:rPr>
        <w:rFonts w:hint="default"/>
        <w:lang w:val="fr-FR" w:eastAsia="en-US" w:bidi="ar-SA"/>
      </w:rPr>
    </w:lvl>
    <w:lvl w:ilvl="3">
      <w:start w:val="0"/>
      <w:numFmt w:val="bullet"/>
      <w:lvlText w:val="•"/>
      <w:lvlJc w:val="left"/>
      <w:pPr>
        <w:ind w:left="3068" w:hanging="129"/>
      </w:pPr>
      <w:rPr>
        <w:rFonts w:hint="default"/>
        <w:lang w:val="fr-FR" w:eastAsia="en-US" w:bidi="ar-SA"/>
      </w:rPr>
    </w:lvl>
    <w:lvl w:ilvl="4">
      <w:start w:val="0"/>
      <w:numFmt w:val="bullet"/>
      <w:lvlText w:val="•"/>
      <w:lvlJc w:val="left"/>
      <w:pPr>
        <w:ind w:left="4122" w:hanging="129"/>
      </w:pPr>
      <w:rPr>
        <w:rFonts w:hint="default"/>
        <w:lang w:val="fr-FR" w:eastAsia="en-US" w:bidi="ar-SA"/>
      </w:rPr>
    </w:lvl>
    <w:lvl w:ilvl="5">
      <w:start w:val="0"/>
      <w:numFmt w:val="bullet"/>
      <w:lvlText w:val="•"/>
      <w:lvlJc w:val="left"/>
      <w:pPr>
        <w:ind w:left="5176" w:hanging="129"/>
      </w:pPr>
      <w:rPr>
        <w:rFonts w:hint="default"/>
        <w:lang w:val="fr-FR" w:eastAsia="en-US" w:bidi="ar-SA"/>
      </w:rPr>
    </w:lvl>
    <w:lvl w:ilvl="6">
      <w:start w:val="0"/>
      <w:numFmt w:val="bullet"/>
      <w:lvlText w:val="•"/>
      <w:lvlJc w:val="left"/>
      <w:pPr>
        <w:ind w:left="6230" w:hanging="129"/>
      </w:pPr>
      <w:rPr>
        <w:rFonts w:hint="default"/>
        <w:lang w:val="fr-FR" w:eastAsia="en-US" w:bidi="ar-SA"/>
      </w:rPr>
    </w:lvl>
    <w:lvl w:ilvl="7">
      <w:start w:val="0"/>
      <w:numFmt w:val="bullet"/>
      <w:lvlText w:val="•"/>
      <w:lvlJc w:val="left"/>
      <w:pPr>
        <w:ind w:left="7284" w:hanging="129"/>
      </w:pPr>
      <w:rPr>
        <w:rFonts w:hint="default"/>
        <w:lang w:val="fr-FR" w:eastAsia="en-US" w:bidi="ar-SA"/>
      </w:rPr>
    </w:lvl>
    <w:lvl w:ilvl="8">
      <w:start w:val="0"/>
      <w:numFmt w:val="bullet"/>
      <w:lvlText w:val="•"/>
      <w:lvlJc w:val="left"/>
      <w:pPr>
        <w:ind w:left="8338" w:hanging="129"/>
      </w:pPr>
      <w:rPr>
        <w:rFonts w:hint="default"/>
        <w:lang w:val="fr-FR" w:eastAsia="en-US" w:bidi="ar-SA"/>
      </w:rPr>
    </w:lvl>
  </w:abstractNum>
  <w:abstractNum w:abstractNumId="2">
    <w:multiLevelType w:val="hybridMultilevel"/>
    <w:lvl w:ilvl="0">
      <w:start w:val="0"/>
      <w:numFmt w:val="bullet"/>
      <w:lvlText w:val="•"/>
      <w:lvlJc w:val="left"/>
      <w:pPr>
        <w:ind w:left="130" w:hanging="159"/>
      </w:pPr>
      <w:rPr>
        <w:rFonts w:hint="default" w:ascii="Calibri" w:hAnsi="Calibri" w:eastAsia="Calibri" w:cs="Calibri"/>
        <w:b w:val="0"/>
        <w:bCs w:val="0"/>
        <w:i w:val="0"/>
        <w:iCs w:val="0"/>
        <w:w w:val="99"/>
        <w:sz w:val="22"/>
        <w:szCs w:val="22"/>
        <w:lang w:val="fr-FR" w:eastAsia="en-US" w:bidi="ar-SA"/>
      </w:rPr>
    </w:lvl>
    <w:lvl w:ilvl="1">
      <w:start w:val="0"/>
      <w:numFmt w:val="bullet"/>
      <w:lvlText w:val="•"/>
      <w:lvlJc w:val="left"/>
      <w:pPr>
        <w:ind w:left="1170" w:hanging="159"/>
      </w:pPr>
      <w:rPr>
        <w:rFonts w:hint="default"/>
        <w:lang w:val="fr-FR" w:eastAsia="en-US" w:bidi="ar-SA"/>
      </w:rPr>
    </w:lvl>
    <w:lvl w:ilvl="2">
      <w:start w:val="0"/>
      <w:numFmt w:val="bullet"/>
      <w:lvlText w:val="•"/>
      <w:lvlJc w:val="left"/>
      <w:pPr>
        <w:ind w:left="2201" w:hanging="159"/>
      </w:pPr>
      <w:rPr>
        <w:rFonts w:hint="default"/>
        <w:lang w:val="fr-FR" w:eastAsia="en-US" w:bidi="ar-SA"/>
      </w:rPr>
    </w:lvl>
    <w:lvl w:ilvl="3">
      <w:start w:val="0"/>
      <w:numFmt w:val="bullet"/>
      <w:lvlText w:val="•"/>
      <w:lvlJc w:val="left"/>
      <w:pPr>
        <w:ind w:left="3231" w:hanging="159"/>
      </w:pPr>
      <w:rPr>
        <w:rFonts w:hint="default"/>
        <w:lang w:val="fr-FR" w:eastAsia="en-US" w:bidi="ar-SA"/>
      </w:rPr>
    </w:lvl>
    <w:lvl w:ilvl="4">
      <w:start w:val="0"/>
      <w:numFmt w:val="bullet"/>
      <w:lvlText w:val="•"/>
      <w:lvlJc w:val="left"/>
      <w:pPr>
        <w:ind w:left="4262" w:hanging="159"/>
      </w:pPr>
      <w:rPr>
        <w:rFonts w:hint="default"/>
        <w:lang w:val="fr-FR" w:eastAsia="en-US" w:bidi="ar-SA"/>
      </w:rPr>
    </w:lvl>
    <w:lvl w:ilvl="5">
      <w:start w:val="0"/>
      <w:numFmt w:val="bullet"/>
      <w:lvlText w:val="•"/>
      <w:lvlJc w:val="left"/>
      <w:pPr>
        <w:ind w:left="5293" w:hanging="159"/>
      </w:pPr>
      <w:rPr>
        <w:rFonts w:hint="default"/>
        <w:lang w:val="fr-FR" w:eastAsia="en-US" w:bidi="ar-SA"/>
      </w:rPr>
    </w:lvl>
    <w:lvl w:ilvl="6">
      <w:start w:val="0"/>
      <w:numFmt w:val="bullet"/>
      <w:lvlText w:val="•"/>
      <w:lvlJc w:val="left"/>
      <w:pPr>
        <w:ind w:left="6323" w:hanging="159"/>
      </w:pPr>
      <w:rPr>
        <w:rFonts w:hint="default"/>
        <w:lang w:val="fr-FR" w:eastAsia="en-US" w:bidi="ar-SA"/>
      </w:rPr>
    </w:lvl>
    <w:lvl w:ilvl="7">
      <w:start w:val="0"/>
      <w:numFmt w:val="bullet"/>
      <w:lvlText w:val="•"/>
      <w:lvlJc w:val="left"/>
      <w:pPr>
        <w:ind w:left="7354" w:hanging="159"/>
      </w:pPr>
      <w:rPr>
        <w:rFonts w:hint="default"/>
        <w:lang w:val="fr-FR" w:eastAsia="en-US" w:bidi="ar-SA"/>
      </w:rPr>
    </w:lvl>
    <w:lvl w:ilvl="8">
      <w:start w:val="0"/>
      <w:numFmt w:val="bullet"/>
      <w:lvlText w:val="•"/>
      <w:lvlJc w:val="left"/>
      <w:pPr>
        <w:ind w:left="8385" w:hanging="159"/>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0" w:hanging="117"/>
      </w:pPr>
      <w:rPr>
        <w:rFonts w:hint="default" w:ascii="Calibri" w:hAnsi="Calibri" w:eastAsia="Calibri" w:cs="Calibri"/>
        <w:b w:val="0"/>
        <w:bCs w:val="0"/>
        <w:i w:val="0"/>
        <w:iCs w:val="0"/>
        <w:w w:val="99"/>
        <w:sz w:val="22"/>
        <w:szCs w:val="22"/>
        <w:lang w:val="fr-FR" w:eastAsia="en-US" w:bidi="ar-SA"/>
      </w:rPr>
    </w:lvl>
    <w:lvl w:ilvl="2">
      <w:start w:val="0"/>
      <w:numFmt w:val="bullet"/>
      <w:lvlText w:val="•"/>
      <w:lvlJc w:val="left"/>
      <w:pPr>
        <w:ind w:left="1658" w:hanging="117"/>
      </w:pPr>
      <w:rPr>
        <w:rFonts w:hint="default"/>
        <w:lang w:val="fr-FR" w:eastAsia="en-US" w:bidi="ar-SA"/>
      </w:rPr>
    </w:lvl>
    <w:lvl w:ilvl="3">
      <w:start w:val="0"/>
      <w:numFmt w:val="bullet"/>
      <w:lvlText w:val="•"/>
      <w:lvlJc w:val="left"/>
      <w:pPr>
        <w:ind w:left="2756" w:hanging="117"/>
      </w:pPr>
      <w:rPr>
        <w:rFonts w:hint="default"/>
        <w:lang w:val="fr-FR" w:eastAsia="en-US" w:bidi="ar-SA"/>
      </w:rPr>
    </w:lvl>
    <w:lvl w:ilvl="4">
      <w:start w:val="0"/>
      <w:numFmt w:val="bullet"/>
      <w:lvlText w:val="•"/>
      <w:lvlJc w:val="left"/>
      <w:pPr>
        <w:ind w:left="3855" w:hanging="117"/>
      </w:pPr>
      <w:rPr>
        <w:rFonts w:hint="default"/>
        <w:lang w:val="fr-FR" w:eastAsia="en-US" w:bidi="ar-SA"/>
      </w:rPr>
    </w:lvl>
    <w:lvl w:ilvl="5">
      <w:start w:val="0"/>
      <w:numFmt w:val="bullet"/>
      <w:lvlText w:val="•"/>
      <w:lvlJc w:val="left"/>
      <w:pPr>
        <w:ind w:left="4953" w:hanging="117"/>
      </w:pPr>
      <w:rPr>
        <w:rFonts w:hint="default"/>
        <w:lang w:val="fr-FR" w:eastAsia="en-US" w:bidi="ar-SA"/>
      </w:rPr>
    </w:lvl>
    <w:lvl w:ilvl="6">
      <w:start w:val="0"/>
      <w:numFmt w:val="bullet"/>
      <w:lvlText w:val="•"/>
      <w:lvlJc w:val="left"/>
      <w:pPr>
        <w:ind w:left="6052" w:hanging="117"/>
      </w:pPr>
      <w:rPr>
        <w:rFonts w:hint="default"/>
        <w:lang w:val="fr-FR" w:eastAsia="en-US" w:bidi="ar-SA"/>
      </w:rPr>
    </w:lvl>
    <w:lvl w:ilvl="7">
      <w:start w:val="0"/>
      <w:numFmt w:val="bullet"/>
      <w:lvlText w:val="•"/>
      <w:lvlJc w:val="left"/>
      <w:pPr>
        <w:ind w:left="7150" w:hanging="117"/>
      </w:pPr>
      <w:rPr>
        <w:rFonts w:hint="default"/>
        <w:lang w:val="fr-FR" w:eastAsia="en-US" w:bidi="ar-SA"/>
      </w:rPr>
    </w:lvl>
    <w:lvl w:ilvl="8">
      <w:start w:val="0"/>
      <w:numFmt w:val="bullet"/>
      <w:lvlText w:val="•"/>
      <w:lvlJc w:val="left"/>
      <w:pPr>
        <w:ind w:left="8249" w:hanging="117"/>
      </w:pPr>
      <w:rPr>
        <w:rFonts w:hint="default"/>
        <w:lang w:val="fr-FR" w:eastAsia="en-US" w:bidi="ar-SA"/>
      </w:rPr>
    </w:lvl>
  </w:abstract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Kurcz@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2023-04-11T15:08:28Z</dcterms:created>
  <dcterms:modified xsi:type="dcterms:W3CDTF">2023-04-11T15:08:28Z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LastSaved">
    <vt:filetime>2023-04-11T00:00:00Z</vt:filetime>
  </property>
</Properties>
</file>