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0"/>
        <w:rPr>
          <w:sz w:val="20"/>
        </w:rPr>
      </w:pPr>
    </w:p>
    <w:p>
      <w:pPr>
        <w:spacing w:line="240" w:lineRule="auto" w:before="0"/>
        <w:rPr>
          <w:sz w:val="20"/>
        </w:rPr>
      </w:pPr>
    </w:p>
    <w:p>
      <w:pPr>
        <w:spacing w:line="240" w:lineRule="auto" w:before="0"/>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spacing w:line="240" w:lineRule="auto"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spacing w:line="240" w:lineRule="auto" w:before="11" w:after="0"/>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618"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rPr>
                <w:rFonts w:ascii="Calibri"/>
                <w:sz w:val="22"/>
              </w:rPr>
            </w:pPr>
            <w:r>
              <w:rPr>
                <w:rFonts w:ascii="Calibri"/>
                <w:spacing w:val="-2"/>
                <w:sz w:val="22"/>
              </w:rPr>
              <w:t>OLAF.A.5</w:t>
            </w:r>
          </w:p>
          <w:p>
            <w:pPr>
              <w:pStyle w:val="TableParagraph"/>
              <w:spacing w:before="4"/>
              <w:ind w:left="0"/>
              <w:rPr>
                <w:b/>
                <w:sz w:val="23"/>
              </w:rPr>
            </w:pPr>
          </w:p>
          <w:p>
            <w:pPr>
              <w:pStyle w:val="TableParagraph"/>
              <w:spacing w:before="1"/>
              <w:ind w:right="1439"/>
              <w:rPr>
                <w:rFonts w:ascii="Calibri" w:hAnsi="Calibri"/>
                <w:sz w:val="22"/>
              </w:rPr>
            </w:pPr>
            <w:r>
              <w:rPr>
                <w:rFonts w:ascii="Calibri" w:hAnsi="Calibri"/>
                <w:sz w:val="22"/>
              </w:rPr>
              <w:t>OLAF</w:t>
            </w:r>
            <w:r>
              <w:rPr>
                <w:rFonts w:ascii="Calibri" w:hAnsi="Calibri"/>
                <w:spacing w:val="-7"/>
                <w:sz w:val="22"/>
              </w:rPr>
              <w:t> </w:t>
            </w:r>
            <w:r>
              <w:rPr>
                <w:rFonts w:ascii="Calibri" w:hAnsi="Calibri"/>
                <w:sz w:val="22"/>
              </w:rPr>
              <w:t>–</w:t>
            </w:r>
            <w:r>
              <w:rPr>
                <w:rFonts w:ascii="Calibri" w:hAnsi="Calibri"/>
                <w:spacing w:val="-7"/>
                <w:sz w:val="22"/>
              </w:rPr>
              <w:t> </w:t>
            </w:r>
            <w:r>
              <w:rPr>
                <w:rFonts w:ascii="Calibri" w:hAnsi="Calibri"/>
                <w:sz w:val="22"/>
              </w:rPr>
              <w:t>Office</w:t>
            </w:r>
            <w:r>
              <w:rPr>
                <w:rFonts w:ascii="Calibri" w:hAnsi="Calibri"/>
                <w:spacing w:val="-7"/>
                <w:sz w:val="22"/>
              </w:rPr>
              <w:t> </w:t>
            </w:r>
            <w:r>
              <w:rPr>
                <w:rFonts w:ascii="Calibri" w:hAnsi="Calibri"/>
                <w:sz w:val="22"/>
              </w:rPr>
              <w:t>Européen</w:t>
            </w:r>
            <w:r>
              <w:rPr>
                <w:rFonts w:ascii="Calibri" w:hAnsi="Calibri"/>
                <w:spacing w:val="-7"/>
                <w:sz w:val="22"/>
              </w:rPr>
              <w:t> </w:t>
            </w:r>
            <w:r>
              <w:rPr>
                <w:rFonts w:ascii="Calibri" w:hAnsi="Calibri"/>
                <w:sz w:val="22"/>
              </w:rPr>
              <w:t>de</w:t>
            </w:r>
            <w:r>
              <w:rPr>
                <w:rFonts w:ascii="Calibri" w:hAnsi="Calibri"/>
                <w:spacing w:val="-7"/>
                <w:sz w:val="22"/>
              </w:rPr>
              <w:t> </w:t>
            </w:r>
            <w:r>
              <w:rPr>
                <w:rFonts w:ascii="Calibri" w:hAnsi="Calibri"/>
                <w:sz w:val="22"/>
              </w:rPr>
              <w:t>Lutte</w:t>
            </w:r>
            <w:r>
              <w:rPr>
                <w:rFonts w:ascii="Calibri" w:hAnsi="Calibri"/>
                <w:spacing w:val="-7"/>
                <w:sz w:val="22"/>
              </w:rPr>
              <w:t> </w:t>
            </w:r>
            <w:r>
              <w:rPr>
                <w:rFonts w:ascii="Calibri" w:hAnsi="Calibri"/>
                <w:sz w:val="22"/>
              </w:rPr>
              <w:t>Antifraude, A – Dépenses – Opérations &amp; Enquêtes,</w:t>
            </w:r>
          </w:p>
          <w:p>
            <w:pPr>
              <w:pStyle w:val="TableParagraph"/>
              <w:spacing w:line="268" w:lineRule="exact"/>
              <w:rPr>
                <w:rFonts w:ascii="Calibri" w:hAnsi="Calibri"/>
                <w:sz w:val="22"/>
              </w:rPr>
            </w:pPr>
            <w:r>
              <w:rPr>
                <w:rFonts w:ascii="Calibri" w:hAnsi="Calibri"/>
                <w:sz w:val="22"/>
              </w:rPr>
              <w:t>A.5</w:t>
            </w:r>
            <w:r>
              <w:rPr>
                <w:rFonts w:ascii="Calibri" w:hAnsi="Calibri"/>
                <w:spacing w:val="-11"/>
                <w:sz w:val="22"/>
              </w:rPr>
              <w:t> </w:t>
            </w:r>
            <w:r>
              <w:rPr>
                <w:rFonts w:ascii="Calibri" w:hAnsi="Calibri"/>
                <w:sz w:val="22"/>
              </w:rPr>
              <w:t>Dépenses</w:t>
            </w:r>
            <w:r>
              <w:rPr>
                <w:rFonts w:ascii="Calibri" w:hAnsi="Calibri"/>
                <w:spacing w:val="-10"/>
                <w:sz w:val="22"/>
              </w:rPr>
              <w:t> </w:t>
            </w:r>
            <w:r>
              <w:rPr>
                <w:rFonts w:ascii="Calibri" w:hAnsi="Calibri"/>
                <w:sz w:val="22"/>
              </w:rPr>
              <w:t>Partagées</w:t>
            </w:r>
            <w:r>
              <w:rPr>
                <w:rFonts w:ascii="Calibri" w:hAnsi="Calibri"/>
                <w:spacing w:val="-11"/>
                <w:sz w:val="22"/>
              </w:rPr>
              <w:t> </w:t>
            </w:r>
            <w:r>
              <w:rPr>
                <w:rFonts w:ascii="Calibri" w:hAnsi="Calibri"/>
                <w:spacing w:val="-5"/>
                <w:sz w:val="22"/>
              </w:rPr>
              <w:t>III</w:t>
            </w:r>
          </w:p>
        </w:tc>
      </w:tr>
      <w:tr>
        <w:trPr>
          <w:trHeight w:val="1977" w:hRule="atLeast"/>
        </w:trPr>
        <w:tc>
          <w:tcPr>
            <w:tcW w:w="4360" w:type="dxa"/>
            <w:vMerge w:val="restart"/>
          </w:tcPr>
          <w:p>
            <w:pPr>
              <w:pStyle w:val="TableParagraph"/>
              <w:spacing w:line="253" w:lineRule="exact"/>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ind w:right="1439"/>
              <w:rPr>
                <w:rFonts w:ascii="Calibri"/>
                <w:sz w:val="22"/>
              </w:rPr>
            </w:pPr>
            <w:r>
              <w:rPr>
                <w:rFonts w:ascii="Calibri"/>
                <w:sz w:val="22"/>
              </w:rPr>
              <w:t>Francesco ALBORE </w:t>
            </w:r>
            <w:hyperlink r:id="rId7">
              <w:r>
                <w:rPr>
                  <w:rFonts w:ascii="Calibri"/>
                  <w:spacing w:val="-2"/>
                  <w:sz w:val="22"/>
                </w:rPr>
                <w:t>francesco.albore@ec.europa.eu</w:t>
              </w:r>
            </w:hyperlink>
          </w:p>
          <w:p>
            <w:pPr>
              <w:pStyle w:val="TableParagraph"/>
              <w:spacing w:before="1"/>
              <w:rPr>
                <w:rFonts w:ascii="Calibri"/>
                <w:sz w:val="22"/>
              </w:rPr>
            </w:pPr>
            <w:r>
              <w:rPr>
                <w:rFonts w:ascii="Calibri"/>
                <w:sz w:val="22"/>
              </w:rPr>
              <w:t>+32</w:t>
            </w:r>
            <w:r>
              <w:rPr>
                <w:rFonts w:ascii="Calibri"/>
                <w:spacing w:val="-4"/>
                <w:sz w:val="22"/>
              </w:rPr>
              <w:t> </w:t>
            </w:r>
            <w:r>
              <w:rPr>
                <w:rFonts w:ascii="Calibri"/>
                <w:sz w:val="22"/>
              </w:rPr>
              <w:t>2</w:t>
            </w:r>
            <w:r>
              <w:rPr>
                <w:rFonts w:ascii="Calibri"/>
                <w:spacing w:val="-4"/>
                <w:sz w:val="22"/>
              </w:rPr>
              <w:t> </w:t>
            </w:r>
            <w:r>
              <w:rPr>
                <w:rFonts w:ascii="Calibri"/>
                <w:sz w:val="22"/>
              </w:rPr>
              <w:t>29</w:t>
            </w:r>
            <w:r>
              <w:rPr>
                <w:rFonts w:ascii="Calibri"/>
                <w:spacing w:val="-3"/>
                <w:sz w:val="22"/>
              </w:rPr>
              <w:t> </w:t>
            </w:r>
            <w:r>
              <w:rPr>
                <w:rFonts w:ascii="Calibri"/>
                <w:spacing w:val="-2"/>
                <w:sz w:val="22"/>
              </w:rPr>
              <w:t>58797</w:t>
            </w:r>
          </w:p>
          <w:p>
            <w:pPr>
              <w:pStyle w:val="TableParagraph"/>
              <w:spacing w:line="268" w:lineRule="exact"/>
              <w:rPr>
                <w:rFonts w:ascii="Calibri"/>
                <w:sz w:val="22"/>
              </w:rPr>
            </w:pPr>
            <w:r>
              <w:rPr>
                <w:rFonts w:ascii="Calibri"/>
                <w:w w:val="99"/>
                <w:sz w:val="22"/>
              </w:rPr>
              <w:t>1</w:t>
            </w:r>
          </w:p>
          <w:p>
            <w:pPr>
              <w:pStyle w:val="TableParagraph"/>
              <w:spacing w:line="268" w:lineRule="exact"/>
              <w:rPr>
                <w:b/>
                <w:sz w:val="22"/>
              </w:rPr>
            </w:pPr>
            <w:r>
              <w:rPr>
                <w:rFonts w:ascii="Calibri" w:hAnsi="Calibri"/>
                <w:sz w:val="22"/>
              </w:rPr>
              <w:t>2ème</w:t>
            </w:r>
            <w:r>
              <w:rPr>
                <w:rFonts w:ascii="Calibri" w:hAnsi="Calibri"/>
                <w:spacing w:val="-3"/>
                <w:sz w:val="22"/>
              </w:rPr>
              <w:t> </w:t>
            </w:r>
            <w:r>
              <w:rPr>
                <w:b/>
                <w:sz w:val="22"/>
              </w:rPr>
              <w:t>trimestre</w:t>
            </w:r>
            <w:r>
              <w:rPr>
                <w:b/>
                <w:spacing w:val="-8"/>
                <w:sz w:val="22"/>
              </w:rPr>
              <w:t> </w:t>
            </w:r>
            <w:r>
              <w:rPr>
                <w:b/>
                <w:sz w:val="22"/>
              </w:rPr>
              <w:t>20</w:t>
            </w:r>
            <w:r>
              <w:rPr>
                <w:rFonts w:ascii="Calibri" w:hAnsi="Calibri"/>
                <w:sz w:val="22"/>
              </w:rPr>
              <w:t>23</w:t>
            </w:r>
            <w:r>
              <w:rPr>
                <w:rFonts w:ascii="Calibri" w:hAnsi="Calibri"/>
                <w:spacing w:val="-3"/>
                <w:sz w:val="22"/>
              </w:rPr>
              <w:t> </w:t>
            </w:r>
            <w:r>
              <w:rPr>
                <w:b/>
                <w:spacing w:val="-10"/>
                <w:sz w:val="22"/>
                <w:vertAlign w:val="superscript"/>
              </w:rPr>
              <w:t>1</w:t>
            </w:r>
          </w:p>
          <w:p>
            <w:pPr>
              <w:pStyle w:val="TableParagraph"/>
              <w:spacing w:line="268" w:lineRule="exact"/>
              <w:rPr>
                <w:b/>
                <w:sz w:val="22"/>
              </w:rPr>
            </w:pPr>
            <w:r>
              <w:rPr>
                <w:rFonts w:ascii="Calibri"/>
                <w:sz w:val="22"/>
              </w:rPr>
              <w:t>2</w:t>
            </w:r>
            <w:r>
              <w:rPr>
                <w:rFonts w:ascii="Calibri"/>
                <w:spacing w:val="3"/>
                <w:sz w:val="22"/>
              </w:rPr>
              <w:t> </w:t>
            </w:r>
            <w:r>
              <w:rPr>
                <w:b/>
                <w:spacing w:val="-2"/>
                <w:sz w:val="22"/>
              </w:rPr>
              <w:t>an(s</w:t>
            </w:r>
            <w:r>
              <w:rPr>
                <w:b/>
                <w:spacing w:val="-2"/>
                <w:sz w:val="22"/>
                <w:vertAlign w:val="superscript"/>
              </w:rPr>
              <w:t>)1</w:t>
            </w:r>
          </w:p>
          <w:p>
            <w:pPr>
              <w:pStyle w:val="TableParagraph"/>
              <w:numPr>
                <w:ilvl w:val="0"/>
                <w:numId w:val="1"/>
              </w:numPr>
              <w:tabs>
                <w:tab w:pos="359" w:val="left" w:leader="none"/>
              </w:tabs>
              <w:spacing w:line="252" w:lineRule="exact" w:before="0" w:after="0"/>
              <w:ind w:left="358" w:right="0" w:hanging="252"/>
              <w:jc w:val="left"/>
              <w:rPr>
                <w:b/>
                <w:sz w:val="22"/>
              </w:rPr>
            </w:pPr>
            <w:r>
              <w:rPr>
                <w:b/>
                <w:sz w:val="22"/>
              </w:rPr>
              <w:t>Bruxelles</w:t>
            </w:r>
            <w:r>
              <w:rPr>
                <w:b/>
                <w:spacing w:val="43"/>
                <w:sz w:val="22"/>
              </w:rPr>
              <w:t> </w:t>
            </w:r>
            <w:r>
              <w:rPr>
                <w:rFonts w:ascii="Wingdings 2" w:hAnsi="Wingdings 2"/>
                <w:sz w:val="22"/>
              </w:rPr>
              <w:t></w:t>
            </w:r>
            <w:r>
              <w:rPr>
                <w:spacing w:val="-6"/>
                <w:sz w:val="22"/>
              </w:rPr>
              <w:t> </w:t>
            </w:r>
            <w:r>
              <w:rPr>
                <w:b/>
                <w:sz w:val="22"/>
              </w:rPr>
              <w:t>Luxembourg</w:t>
            </w:r>
            <w:r>
              <w:rPr>
                <w:b/>
                <w:spacing w:val="44"/>
                <w:sz w:val="22"/>
              </w:rPr>
              <w:t> </w:t>
            </w:r>
            <w:r>
              <w:rPr>
                <w:rFonts w:ascii="Wingdings 2" w:hAnsi="Wingdings 2"/>
                <w:sz w:val="22"/>
              </w:rPr>
              <w:t></w:t>
            </w:r>
            <w:r>
              <w:rPr>
                <w:spacing w:val="-6"/>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48" w:val="left" w:leader="none"/>
                <w:tab w:pos="3421" w:val="left" w:leader="none"/>
              </w:tabs>
              <w:spacing w:line="240" w:lineRule="auto" w:before="146"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0"/>
              <w:ind w:left="0"/>
              <w:rPr>
                <w:b/>
                <w:sz w:val="21"/>
              </w:rPr>
            </w:pP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3"/>
              </w:numPr>
              <w:tabs>
                <w:tab w:pos="1102" w:val="left" w:leader="none"/>
              </w:tabs>
              <w:spacing w:line="240" w:lineRule="auto"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3"/>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spacing w:line="240" w:lineRule="auto" w:before="1"/>
        <w:rPr>
          <w:b/>
          <w:sz w:val="24"/>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spacing w:line="240" w:lineRule="auto" w:before="2"/>
        <w:rPr>
          <w:b/>
          <w:sz w:val="19"/>
        </w:rPr>
      </w:pPr>
    </w:p>
    <w:p>
      <w:pPr>
        <w:pStyle w:val="BodyText"/>
        <w:spacing w:line="276" w:lineRule="auto" w:before="55"/>
        <w:ind w:left="130" w:right="174"/>
      </w:pPr>
      <w:r>
        <w:rPr/>
        <w:t>L’unité A.5 de l’OLAF cherche à recruter un expert national détaché afin de renforcer sa capacité à enquêter sur les allégations de fraude à l’encontre du budget de l’UE et d’assurer la liaison avec les autorités nationales en Bulgarie ou Roumanie. Les candidats doivent être membres du personnel des autorités nationales administratives, policières et du ministère public (ou d'une autorité publique jouissant de pouvoirs d'enquête administratifs</w:t>
      </w:r>
      <w:r>
        <w:rPr>
          <w:spacing w:val="-3"/>
        </w:rPr>
        <w:t> </w:t>
      </w:r>
      <w:r>
        <w:rPr/>
        <w:t>et/ou</w:t>
      </w:r>
      <w:r>
        <w:rPr>
          <w:spacing w:val="-3"/>
        </w:rPr>
        <w:t> </w:t>
      </w:r>
      <w:r>
        <w:rPr/>
        <w:t>pénaux)</w:t>
      </w:r>
      <w:r>
        <w:rPr>
          <w:spacing w:val="-2"/>
        </w:rPr>
        <w:t> </w:t>
      </w:r>
      <w:r>
        <w:rPr/>
        <w:t>et</w:t>
      </w:r>
      <w:r>
        <w:rPr>
          <w:spacing w:val="-2"/>
        </w:rPr>
        <w:t> </w:t>
      </w:r>
      <w:r>
        <w:rPr/>
        <w:t>avoir</w:t>
      </w:r>
      <w:r>
        <w:rPr>
          <w:spacing w:val="-3"/>
        </w:rPr>
        <w:t> </w:t>
      </w:r>
      <w:r>
        <w:rPr/>
        <w:t>au</w:t>
      </w:r>
      <w:r>
        <w:rPr>
          <w:spacing w:val="-3"/>
        </w:rPr>
        <w:t> </w:t>
      </w:r>
      <w:r>
        <w:rPr/>
        <w:t>moins</w:t>
      </w:r>
      <w:r>
        <w:rPr>
          <w:spacing w:val="-1"/>
        </w:rPr>
        <w:t> </w:t>
      </w:r>
      <w:r>
        <w:rPr/>
        <w:t>dix</w:t>
      </w:r>
      <w:r>
        <w:rPr>
          <w:spacing w:val="-2"/>
        </w:rPr>
        <w:t> </w:t>
      </w:r>
      <w:r>
        <w:rPr/>
        <w:t>(10)</w:t>
      </w:r>
      <w:r>
        <w:rPr>
          <w:spacing w:val="-4"/>
        </w:rPr>
        <w:t> </w:t>
      </w:r>
      <w:r>
        <w:rPr/>
        <w:t>années</w:t>
      </w:r>
      <w:r>
        <w:rPr>
          <w:spacing w:val="-2"/>
        </w:rPr>
        <w:t> </w:t>
      </w:r>
      <w:r>
        <w:rPr/>
        <w:t>d’expérience.</w:t>
      </w:r>
      <w:r>
        <w:rPr>
          <w:spacing w:val="-2"/>
        </w:rPr>
        <w:t> </w:t>
      </w:r>
      <w:r>
        <w:rPr/>
        <w:t>Une</w:t>
      </w:r>
      <w:r>
        <w:rPr>
          <w:spacing w:val="-2"/>
        </w:rPr>
        <w:t> </w:t>
      </w:r>
      <w:r>
        <w:rPr/>
        <w:t>expérience</w:t>
      </w:r>
      <w:r>
        <w:rPr>
          <w:spacing w:val="-3"/>
        </w:rPr>
        <w:t> </w:t>
      </w:r>
      <w:r>
        <w:rPr/>
        <w:t>des</w:t>
      </w:r>
      <w:r>
        <w:rPr>
          <w:spacing w:val="-3"/>
        </w:rPr>
        <w:t> </w:t>
      </w:r>
      <w:r>
        <w:rPr/>
        <w:t>enquêtes</w:t>
      </w:r>
      <w:r>
        <w:rPr>
          <w:spacing w:val="-3"/>
        </w:rPr>
        <w:t> </w:t>
      </w:r>
      <w:r>
        <w:rPr/>
        <w:t>et/ou des poursuites concernant les infractions liées à la convention relative à la protection des intérêts financiers des Communautés européennes («infractions PIF») et/ou la fraude et/ou la corruption constituerait un atout.</w:t>
      </w:r>
    </w:p>
    <w:p>
      <w:pPr>
        <w:pStyle w:val="BodyText"/>
      </w:pPr>
    </w:p>
    <w:p>
      <w:pPr>
        <w:pStyle w:val="BodyText"/>
      </w:pPr>
    </w:p>
    <w:p>
      <w:pPr>
        <w:pStyle w:val="BodyText"/>
        <w:spacing w:line="276" w:lineRule="auto" w:before="171"/>
        <w:ind w:left="130" w:right="174"/>
      </w:pPr>
      <w:r>
        <w:rPr/>
        <w:t>L'expert national travaillera au sein de l'unité OLAF/A.5 responsable pour la conduite des activités d'enquêtes dans</w:t>
      </w:r>
      <w:r>
        <w:rPr>
          <w:spacing w:val="-1"/>
        </w:rPr>
        <w:t> </w:t>
      </w:r>
      <w:r>
        <w:rPr/>
        <w:t>les cinq Etats membres mentionné ci-dessus</w:t>
      </w:r>
      <w:r>
        <w:rPr>
          <w:spacing w:val="-1"/>
        </w:rPr>
        <w:t> </w:t>
      </w:r>
      <w:r>
        <w:rPr/>
        <w:t>pour</w:t>
      </w:r>
      <w:r>
        <w:rPr>
          <w:spacing w:val="-1"/>
        </w:rPr>
        <w:t> </w:t>
      </w:r>
      <w:r>
        <w:rPr/>
        <w:t>des cas</w:t>
      </w:r>
      <w:r>
        <w:rPr>
          <w:spacing w:val="-1"/>
        </w:rPr>
        <w:t> </w:t>
      </w:r>
      <w:r>
        <w:rPr/>
        <w:t>de fraudes</w:t>
      </w:r>
      <w:r>
        <w:rPr>
          <w:spacing w:val="-1"/>
        </w:rPr>
        <w:t> </w:t>
      </w:r>
      <w:r>
        <w:rPr/>
        <w:t>ou</w:t>
      </w:r>
      <w:r>
        <w:rPr>
          <w:spacing w:val="-1"/>
        </w:rPr>
        <w:t> </w:t>
      </w:r>
      <w:r>
        <w:rPr/>
        <w:t>d'irrégularités portant</w:t>
      </w:r>
      <w:r>
        <w:rPr>
          <w:spacing w:val="-1"/>
        </w:rPr>
        <w:t> </w:t>
      </w:r>
      <w:r>
        <w:rPr/>
        <w:t>atteinte</w:t>
      </w:r>
      <w:r>
        <w:rPr>
          <w:spacing w:val="-1"/>
        </w:rPr>
        <w:t> </w:t>
      </w:r>
      <w:r>
        <w:rPr/>
        <w:t>aux intérêts financiers de l'Union européenne. Ces activités concernent principalement les Fonds Structurels et d'Investissements Européens, les fonds européens pour l'agriculture et les aides de préadhésion dans le secteur du</w:t>
      </w:r>
      <w:r>
        <w:rPr>
          <w:spacing w:val="-4"/>
        </w:rPr>
        <w:t> </w:t>
      </w:r>
      <w:r>
        <w:rPr/>
        <w:t>développement</w:t>
      </w:r>
      <w:r>
        <w:rPr>
          <w:spacing w:val="-3"/>
        </w:rPr>
        <w:t> </w:t>
      </w:r>
      <w:r>
        <w:rPr/>
        <w:t>rural.</w:t>
      </w:r>
      <w:r>
        <w:rPr>
          <w:spacing w:val="-3"/>
        </w:rPr>
        <w:t> </w:t>
      </w:r>
      <w:r>
        <w:rPr/>
        <w:t>L'unité</w:t>
      </w:r>
      <w:r>
        <w:rPr>
          <w:spacing w:val="-3"/>
        </w:rPr>
        <w:t> </w:t>
      </w:r>
      <w:r>
        <w:rPr/>
        <w:t>A.5</w:t>
      </w:r>
      <w:r>
        <w:rPr>
          <w:spacing w:val="-3"/>
        </w:rPr>
        <w:t> </w:t>
      </w:r>
      <w:r>
        <w:rPr/>
        <w:t>coordonne</w:t>
      </w:r>
      <w:r>
        <w:rPr>
          <w:spacing w:val="-4"/>
        </w:rPr>
        <w:t> </w:t>
      </w:r>
      <w:r>
        <w:rPr/>
        <w:t>également</w:t>
      </w:r>
      <w:r>
        <w:rPr>
          <w:spacing w:val="-3"/>
        </w:rPr>
        <w:t> </w:t>
      </w:r>
      <w:r>
        <w:rPr/>
        <w:t>les</w:t>
      </w:r>
      <w:r>
        <w:rPr>
          <w:spacing w:val="-3"/>
        </w:rPr>
        <w:t> </w:t>
      </w:r>
      <w:r>
        <w:rPr/>
        <w:t>enquêtes</w:t>
      </w:r>
      <w:r>
        <w:rPr>
          <w:spacing w:val="-2"/>
        </w:rPr>
        <w:t> </w:t>
      </w:r>
      <w:r>
        <w:rPr/>
        <w:t>menées</w:t>
      </w:r>
      <w:r>
        <w:rPr>
          <w:spacing w:val="-4"/>
        </w:rPr>
        <w:t> </w:t>
      </w:r>
      <w:r>
        <w:rPr/>
        <w:t>par</w:t>
      </w:r>
      <w:r>
        <w:rPr>
          <w:spacing w:val="-4"/>
        </w:rPr>
        <w:t> </w:t>
      </w:r>
      <w:r>
        <w:rPr/>
        <w:t>les</w:t>
      </w:r>
      <w:r>
        <w:rPr>
          <w:spacing w:val="-4"/>
        </w:rPr>
        <w:t> </w:t>
      </w:r>
      <w:r>
        <w:rPr/>
        <w:t>services</w:t>
      </w:r>
      <w:r>
        <w:rPr>
          <w:spacing w:val="-4"/>
        </w:rPr>
        <w:t> </w:t>
      </w:r>
      <w:r>
        <w:rPr/>
        <w:t>compétents</w:t>
      </w:r>
      <w:r>
        <w:rPr>
          <w:spacing w:val="-4"/>
        </w:rPr>
        <w:t> </w:t>
      </w:r>
      <w:r>
        <w:rPr/>
        <w:t>des Etats</w:t>
      </w:r>
      <w:r>
        <w:rPr>
          <w:spacing w:val="-1"/>
        </w:rPr>
        <w:t> </w:t>
      </w:r>
      <w:r>
        <w:rPr/>
        <w:t>membres</w:t>
      </w:r>
      <w:r>
        <w:rPr>
          <w:spacing w:val="-2"/>
        </w:rPr>
        <w:t> </w:t>
      </w:r>
      <w:r>
        <w:rPr/>
        <w:t>ou</w:t>
      </w:r>
      <w:r>
        <w:rPr>
          <w:spacing w:val="-3"/>
        </w:rPr>
        <w:t> </w:t>
      </w:r>
      <w:r>
        <w:rPr/>
        <w:t>des</w:t>
      </w:r>
      <w:r>
        <w:rPr>
          <w:spacing w:val="-1"/>
        </w:rPr>
        <w:t> </w:t>
      </w:r>
      <w:r>
        <w:rPr/>
        <w:t>pays</w:t>
      </w:r>
      <w:r>
        <w:rPr>
          <w:spacing w:val="-3"/>
        </w:rPr>
        <w:t> </w:t>
      </w:r>
      <w:r>
        <w:rPr/>
        <w:t>candidats.</w:t>
      </w:r>
      <w:r>
        <w:rPr>
          <w:spacing w:val="-3"/>
        </w:rPr>
        <w:t> </w:t>
      </w:r>
      <w:r>
        <w:rPr/>
        <w:t>L'unité</w:t>
      </w:r>
      <w:r>
        <w:rPr>
          <w:spacing w:val="-2"/>
        </w:rPr>
        <w:t> </w:t>
      </w:r>
      <w:r>
        <w:rPr/>
        <w:t>contribue</w:t>
      </w:r>
      <w:r>
        <w:rPr>
          <w:spacing w:val="-3"/>
        </w:rPr>
        <w:t> </w:t>
      </w:r>
      <w:r>
        <w:rPr/>
        <w:t>au</w:t>
      </w:r>
      <w:r>
        <w:rPr>
          <w:spacing w:val="-2"/>
        </w:rPr>
        <w:t> </w:t>
      </w:r>
      <w:r>
        <w:rPr/>
        <w:t>suivi</w:t>
      </w:r>
      <w:r>
        <w:rPr>
          <w:spacing w:val="-3"/>
        </w:rPr>
        <w:t> </w:t>
      </w:r>
      <w:r>
        <w:rPr/>
        <w:t>des</w:t>
      </w:r>
      <w:r>
        <w:rPr>
          <w:spacing w:val="-3"/>
        </w:rPr>
        <w:t> </w:t>
      </w:r>
      <w:r>
        <w:rPr/>
        <w:t>recommandations</w:t>
      </w:r>
      <w:r>
        <w:rPr>
          <w:spacing w:val="-3"/>
        </w:rPr>
        <w:t> </w:t>
      </w:r>
      <w:r>
        <w:rPr/>
        <w:t>formulées</w:t>
      </w:r>
      <w:r>
        <w:rPr>
          <w:spacing w:val="-2"/>
        </w:rPr>
        <w:t> </w:t>
      </w:r>
      <w:r>
        <w:rPr/>
        <w:t>sur</w:t>
      </w:r>
      <w:r>
        <w:rPr>
          <w:spacing w:val="-3"/>
        </w:rPr>
        <w:t> </w:t>
      </w:r>
      <w:r>
        <w:rPr/>
        <w:t>la</w:t>
      </w:r>
      <w:r>
        <w:rPr>
          <w:spacing w:val="-1"/>
        </w:rPr>
        <w:t> </w:t>
      </w:r>
      <w:r>
        <w:rPr/>
        <w:t>base</w:t>
      </w:r>
      <w:r>
        <w:rPr>
          <w:spacing w:val="-3"/>
        </w:rPr>
        <w:t> </w:t>
      </w:r>
      <w:r>
        <w:rPr/>
        <w:t>des résultats des enquêtes.</w:t>
      </w:r>
    </w:p>
    <w:p>
      <w:pPr>
        <w:pStyle w:val="BodyText"/>
        <w:spacing w:before="7"/>
        <w:rPr>
          <w:sz w:val="12"/>
        </w:rPr>
      </w:pPr>
      <w:r>
        <w:rPr/>
        <w:pict>
          <v:rect style="position:absolute;margin-left:42.540001pt;margin-top:8.91727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43"/>
        <w:ind w:left="130" w:right="126"/>
      </w:pPr>
      <w:r>
        <w:rPr/>
        <w:t>L'expert national participera à des enquêtes administratives et à des dossiers de coordination principalement</w:t>
      </w:r>
      <w:r>
        <w:rPr>
          <w:spacing w:val="40"/>
        </w:rPr>
        <w:t> </w:t>
      </w:r>
      <w:r>
        <w:rPr/>
        <w:t>dans</w:t>
      </w:r>
      <w:r>
        <w:rPr>
          <w:spacing w:val="-2"/>
        </w:rPr>
        <w:t> </w:t>
      </w:r>
      <w:r>
        <w:rPr/>
        <w:t>des cas relatifs</w:t>
      </w:r>
      <w:r>
        <w:rPr>
          <w:spacing w:val="-2"/>
        </w:rPr>
        <w:t> </w:t>
      </w:r>
      <w:r>
        <w:rPr/>
        <w:t>aux</w:t>
      </w:r>
      <w:r>
        <w:rPr>
          <w:spacing w:val="-1"/>
        </w:rPr>
        <w:t> </w:t>
      </w:r>
      <w:r>
        <w:rPr/>
        <w:t>Fonds</w:t>
      </w:r>
      <w:r>
        <w:rPr>
          <w:spacing w:val="-2"/>
        </w:rPr>
        <w:t> </w:t>
      </w:r>
      <w:r>
        <w:rPr/>
        <w:t>Structurels</w:t>
      </w:r>
      <w:r>
        <w:rPr>
          <w:spacing w:val="-2"/>
        </w:rPr>
        <w:t> </w:t>
      </w:r>
      <w:r>
        <w:rPr/>
        <w:t>et</w:t>
      </w:r>
      <w:r>
        <w:rPr>
          <w:spacing w:val="-1"/>
        </w:rPr>
        <w:t> </w:t>
      </w:r>
      <w:r>
        <w:rPr/>
        <w:t>d'Investissements Européens</w:t>
      </w:r>
      <w:r>
        <w:rPr>
          <w:spacing w:val="-2"/>
        </w:rPr>
        <w:t> </w:t>
      </w:r>
      <w:r>
        <w:rPr/>
        <w:t>et</w:t>
      </w:r>
      <w:r>
        <w:rPr>
          <w:spacing w:val="-1"/>
        </w:rPr>
        <w:t> </w:t>
      </w:r>
      <w:r>
        <w:rPr/>
        <w:t>aux</w:t>
      </w:r>
      <w:r>
        <w:rPr>
          <w:spacing w:val="-2"/>
        </w:rPr>
        <w:t> </w:t>
      </w:r>
      <w:r>
        <w:rPr/>
        <w:t>dépenses agricoles</w:t>
      </w:r>
      <w:r>
        <w:rPr>
          <w:spacing w:val="-2"/>
        </w:rPr>
        <w:t> </w:t>
      </w:r>
      <w:r>
        <w:rPr/>
        <w:t>dans</w:t>
      </w:r>
      <w:r>
        <w:rPr>
          <w:spacing w:val="-2"/>
        </w:rPr>
        <w:t> </w:t>
      </w:r>
      <w:r>
        <w:rPr/>
        <w:t>les</w:t>
      </w:r>
      <w:r>
        <w:rPr>
          <w:spacing w:val="-2"/>
        </w:rPr>
        <w:t> </w:t>
      </w:r>
      <w:r>
        <w:rPr/>
        <w:t>cinq Etats membres dont l'Unité A.5 est responsable. L'expert contribuera à la mission d'enquête de l'OLAF en participant</w:t>
      </w:r>
      <w:r>
        <w:rPr>
          <w:spacing w:val="-3"/>
        </w:rPr>
        <w:t> </w:t>
      </w:r>
      <w:r>
        <w:rPr/>
        <w:t>à des</w:t>
      </w:r>
      <w:r>
        <w:rPr>
          <w:spacing w:val="-2"/>
        </w:rPr>
        <w:t> </w:t>
      </w:r>
      <w:r>
        <w:rPr/>
        <w:t>investigations</w:t>
      </w:r>
      <w:r>
        <w:rPr>
          <w:spacing w:val="-3"/>
        </w:rPr>
        <w:t> </w:t>
      </w:r>
      <w:r>
        <w:rPr/>
        <w:t>dans</w:t>
      </w:r>
      <w:r>
        <w:rPr>
          <w:spacing w:val="-3"/>
        </w:rPr>
        <w:t> </w:t>
      </w:r>
      <w:r>
        <w:rPr/>
        <w:t>les</w:t>
      </w:r>
      <w:r>
        <w:rPr>
          <w:spacing w:val="-2"/>
        </w:rPr>
        <w:t> </w:t>
      </w:r>
      <w:r>
        <w:rPr/>
        <w:t>Etats</w:t>
      </w:r>
      <w:r>
        <w:rPr>
          <w:spacing w:val="-3"/>
        </w:rPr>
        <w:t> </w:t>
      </w:r>
      <w:r>
        <w:rPr/>
        <w:t>membres,</w:t>
      </w:r>
      <w:r>
        <w:rPr>
          <w:spacing w:val="-3"/>
        </w:rPr>
        <w:t> </w:t>
      </w:r>
      <w:r>
        <w:rPr/>
        <w:t>principalement</w:t>
      </w:r>
      <w:r>
        <w:rPr>
          <w:spacing w:val="-2"/>
        </w:rPr>
        <w:t> </w:t>
      </w:r>
      <w:r>
        <w:rPr/>
        <w:t>en</w:t>
      </w:r>
      <w:r>
        <w:rPr>
          <w:spacing w:val="-2"/>
        </w:rPr>
        <w:t> </w:t>
      </w:r>
      <w:r>
        <w:rPr/>
        <w:t>Bulgarie,</w:t>
      </w:r>
      <w:r>
        <w:rPr>
          <w:spacing w:val="-3"/>
        </w:rPr>
        <w:t> </w:t>
      </w:r>
      <w:r>
        <w:rPr/>
        <w:t>Chypre</w:t>
      </w:r>
      <w:r>
        <w:rPr>
          <w:spacing w:val="-2"/>
        </w:rPr>
        <w:t> </w:t>
      </w:r>
      <w:r>
        <w:rPr/>
        <w:t>ou</w:t>
      </w:r>
      <w:r>
        <w:rPr>
          <w:spacing w:val="-3"/>
        </w:rPr>
        <w:t> </w:t>
      </w:r>
      <w:r>
        <w:rPr/>
        <w:t>Roumanie,</w:t>
      </w:r>
      <w:r>
        <w:rPr>
          <w:spacing w:val="-3"/>
        </w:rPr>
        <w:t> </w:t>
      </w:r>
      <w:r>
        <w:rPr/>
        <w:t>et</w:t>
      </w:r>
      <w:r>
        <w:rPr>
          <w:spacing w:val="-2"/>
        </w:rPr>
        <w:t> </w:t>
      </w:r>
      <w:r>
        <w:rPr/>
        <w:t>dans les pays candidats comme prévu par le règlement (UE, Euratom) N° 883/2013 et les lignes directrices sur les procédures d'enquête des agents de l'OLAF. Il/elle contribuera également à la coordination des enquêtes menées par les services compétents des Etats membres ou des pays candidats. Il/elle contribuera aussi au suivi des recommandations de nature judiciaire ou financière telles que prévues dans les lignes directrices de l'OLAF relatives au suivi des enquêtes. Ces activités d'enquête et de suivi requièrent de maintenir des contacts permanents avec les autorités administratives, policières et judiciaires dans les Etats membres et les pays </w:t>
      </w:r>
      <w:r>
        <w:rPr>
          <w:spacing w:val="-2"/>
        </w:rPr>
        <w:t>candidats.</w:t>
      </w:r>
    </w:p>
    <w:p>
      <w:pPr>
        <w:pStyle w:val="BodyText"/>
      </w:pPr>
    </w:p>
    <w:p>
      <w:pPr>
        <w:pStyle w:val="BodyText"/>
      </w:pPr>
    </w:p>
    <w:p>
      <w:pPr>
        <w:pStyle w:val="BodyText"/>
        <w:spacing w:before="173"/>
        <w:ind w:left="130"/>
      </w:pPr>
      <w:r>
        <w:rPr/>
        <w:t>Particulièrement,</w:t>
      </w:r>
      <w:r>
        <w:rPr>
          <w:spacing w:val="-4"/>
        </w:rPr>
        <w:t> </w:t>
      </w:r>
      <w:r>
        <w:rPr/>
        <w:t>il/elle</w:t>
      </w:r>
      <w:r>
        <w:rPr>
          <w:spacing w:val="-3"/>
        </w:rPr>
        <w:t> </w:t>
      </w:r>
      <w:r>
        <w:rPr/>
        <w:t>maintiendra</w:t>
      </w:r>
      <w:r>
        <w:rPr>
          <w:spacing w:val="-4"/>
        </w:rPr>
        <w:t> </w:t>
      </w:r>
      <w:r>
        <w:rPr/>
        <w:t>et</w:t>
      </w:r>
      <w:r>
        <w:rPr>
          <w:spacing w:val="-2"/>
        </w:rPr>
        <w:t> </w:t>
      </w:r>
      <w:r>
        <w:rPr/>
        <w:t>développera</w:t>
      </w:r>
      <w:r>
        <w:rPr>
          <w:spacing w:val="-2"/>
        </w:rPr>
        <w:t> </w:t>
      </w:r>
      <w:r>
        <w:rPr/>
        <w:t>des</w:t>
      </w:r>
      <w:r>
        <w:rPr>
          <w:spacing w:val="-4"/>
        </w:rPr>
        <w:t> </w:t>
      </w:r>
      <w:r>
        <w:rPr/>
        <w:t>contacts</w:t>
      </w:r>
      <w:r>
        <w:rPr>
          <w:spacing w:val="-2"/>
        </w:rPr>
        <w:t> </w:t>
      </w:r>
      <w:r>
        <w:rPr/>
        <w:t>avec</w:t>
      </w:r>
      <w:r>
        <w:rPr>
          <w:spacing w:val="-4"/>
        </w:rPr>
        <w:t> </w:t>
      </w:r>
      <w:r>
        <w:rPr/>
        <w:t>les</w:t>
      </w:r>
      <w:r>
        <w:rPr>
          <w:spacing w:val="-4"/>
        </w:rPr>
        <w:t> </w:t>
      </w:r>
      <w:r>
        <w:rPr/>
        <w:t>autorités</w:t>
      </w:r>
      <w:r>
        <w:rPr>
          <w:spacing w:val="-4"/>
        </w:rPr>
        <w:t> </w:t>
      </w:r>
      <w:r>
        <w:rPr/>
        <w:t>administratives,</w:t>
      </w:r>
      <w:r>
        <w:rPr>
          <w:spacing w:val="-4"/>
        </w:rPr>
        <w:t> </w:t>
      </w:r>
      <w:r>
        <w:rPr/>
        <w:t>policières</w:t>
      </w:r>
      <w:r>
        <w:rPr>
          <w:spacing w:val="-4"/>
        </w:rPr>
        <w:t> </w:t>
      </w:r>
      <w:r>
        <w:rPr/>
        <w:t>et judiciaires nationales bulgares ou roumaines en lien avec les cas traités par l'unité.</w:t>
      </w:r>
    </w:p>
    <w:p>
      <w:pPr>
        <w:pStyle w:val="BodyText"/>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spacing w:line="240" w:lineRule="auto" w:before="1"/>
        <w:rPr>
          <w:b/>
          <w:sz w:val="16"/>
        </w:rPr>
      </w:pPr>
    </w:p>
    <w:p>
      <w:pPr>
        <w:pStyle w:val="Heading1"/>
        <w:numPr>
          <w:ilvl w:val="1"/>
          <w:numId w:val="4"/>
        </w:numPr>
        <w:tabs>
          <w:tab w:pos="796" w:val="left" w:leader="none"/>
        </w:tabs>
        <w:spacing w:line="240" w:lineRule="auto" w:before="91" w:after="0"/>
        <w:ind w:left="795" w:right="0" w:hanging="240"/>
        <w:jc w:val="left"/>
        <w:rPr>
          <w:u w:val="none"/>
        </w:rPr>
      </w:pPr>
      <w:r>
        <w:rPr>
          <w:u w:val="none"/>
        </w:rPr>
        <w:t>Critères</w:t>
      </w:r>
      <w:r>
        <w:rPr>
          <w:spacing w:val="-13"/>
          <w:u w:val="none"/>
        </w:rPr>
        <w:t> </w:t>
      </w:r>
      <w:r>
        <w:rPr>
          <w:spacing w:val="-2"/>
          <w:u w:val="none"/>
        </w:rPr>
        <w:t>d'éligibilité</w:t>
      </w:r>
    </w:p>
    <w:p>
      <w:pPr>
        <w:spacing w:line="240" w:lineRule="auto" w:before="10"/>
        <w:rPr>
          <w:b/>
          <w:sz w:val="21"/>
        </w:rPr>
      </w:pPr>
    </w:p>
    <w:p>
      <w:pPr>
        <w:pStyle w:val="BodyText"/>
        <w:ind w:left="556" w:right="108"/>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w:t>
      </w:r>
      <w:r>
        <w:rPr>
          <w:rFonts w:ascii="Times New Roman" w:hAnsi="Times New Roman"/>
        </w:rPr>
        <w:t>éliminé de la procédure de sélection.</w:t>
      </w:r>
    </w:p>
    <w:p>
      <w:pPr>
        <w:spacing w:line="240" w:lineRule="auto" w:before="0"/>
        <w:rPr>
          <w:sz w:val="22"/>
        </w:rPr>
      </w:pPr>
    </w:p>
    <w:p>
      <w:pPr>
        <w:pStyle w:val="ListParagraph"/>
        <w:numPr>
          <w:ilvl w:val="2"/>
          <w:numId w:val="4"/>
        </w:numPr>
        <w:tabs>
          <w:tab w:pos="841" w:val="left" w:leader="none"/>
        </w:tabs>
        <w:spacing w:line="240" w:lineRule="auto" w:before="0" w:after="0"/>
        <w:ind w:left="84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spacing w:line="240" w:lineRule="auto" w:before="0"/>
        <w:rPr>
          <w:sz w:val="22"/>
        </w:rPr>
      </w:pPr>
    </w:p>
    <w:p>
      <w:pPr>
        <w:pStyle w:val="ListParagraph"/>
        <w:numPr>
          <w:ilvl w:val="2"/>
          <w:numId w:val="4"/>
        </w:numPr>
        <w:tabs>
          <w:tab w:pos="841" w:val="left" w:leader="none"/>
        </w:tabs>
        <w:spacing w:line="240" w:lineRule="auto" w:before="0" w:after="0"/>
        <w:ind w:left="84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spacing w:line="240" w:lineRule="auto" w:before="0"/>
        <w:rPr>
          <w:sz w:val="22"/>
        </w:rPr>
      </w:pPr>
    </w:p>
    <w:p>
      <w:pPr>
        <w:pStyle w:val="ListParagraph"/>
        <w:numPr>
          <w:ilvl w:val="2"/>
          <w:numId w:val="4"/>
        </w:numPr>
        <w:tabs>
          <w:tab w:pos="841" w:val="left" w:leader="none"/>
        </w:tabs>
        <w:spacing w:line="240" w:lineRule="auto" w:before="0" w:after="0"/>
        <w:ind w:left="84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spacing w:line="240" w:lineRule="auto" w:before="0"/>
        <w:rPr>
          <w:sz w:val="24"/>
        </w:rPr>
      </w:pPr>
    </w:p>
    <w:p>
      <w:pPr>
        <w:pStyle w:val="Heading1"/>
        <w:numPr>
          <w:ilvl w:val="1"/>
          <w:numId w:val="4"/>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spacing w:line="240" w:lineRule="auto" w:before="1"/>
        <w:rPr>
          <w:b/>
          <w:sz w:val="16"/>
        </w:rPr>
      </w:pPr>
    </w:p>
    <w:p>
      <w:pPr>
        <w:pStyle w:val="BodyText"/>
        <w:spacing w:before="91"/>
        <w:ind w:left="840"/>
        <w:rPr>
          <w:rFonts w:ascii="Times New Roman" w:hAnsi="Times New Roman"/>
        </w:rPr>
      </w:pPr>
      <w:r>
        <w:rPr>
          <w:rFonts w:ascii="Times New Roman" w:hAnsi="Times New Roman"/>
          <w:spacing w:val="-2"/>
          <w:u w:val="single"/>
        </w:rPr>
        <w:t>Diplôme</w:t>
      </w:r>
    </w:p>
    <w:p>
      <w:pPr>
        <w:pStyle w:val="ListParagraph"/>
        <w:numPr>
          <w:ilvl w:val="0"/>
          <w:numId w:val="5"/>
        </w:numPr>
        <w:tabs>
          <w:tab w:pos="969" w:val="left" w:leader="none"/>
        </w:tabs>
        <w:spacing w:line="240" w:lineRule="auto" w:before="0" w:after="0"/>
        <w:ind w:left="96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0"/>
          <w:numId w:val="5"/>
        </w:numPr>
        <w:tabs>
          <w:tab w:pos="969" w:val="left" w:leader="none"/>
        </w:tabs>
        <w:spacing w:line="240" w:lineRule="auto" w:before="0" w:after="0"/>
        <w:ind w:left="96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spacing w:line="240" w:lineRule="auto" w:before="1"/>
        <w:rPr>
          <w:sz w:val="22"/>
        </w:rPr>
      </w:pPr>
    </w:p>
    <w:p>
      <w:pPr>
        <w:pStyle w:val="BodyText"/>
        <w:ind w:left="950"/>
      </w:pPr>
      <w:r>
        <w:rPr>
          <w:rFonts w:ascii="Times New Roman" w:hAnsi="Times New Roman"/>
        </w:rPr>
        <w:t>dans</w:t>
      </w:r>
      <w:r>
        <w:rPr>
          <w:rFonts w:ascii="Times New Roman" w:hAnsi="Times New Roman"/>
          <w:spacing w:val="-10"/>
        </w:rPr>
        <w:t> </w:t>
      </w:r>
      <w:r>
        <w:rPr>
          <w:rFonts w:ascii="Times New Roman" w:hAnsi="Times New Roman"/>
        </w:rPr>
        <w:t>le(s)</w:t>
      </w:r>
      <w:r>
        <w:rPr>
          <w:rFonts w:ascii="Times New Roman" w:hAnsi="Times New Roman"/>
          <w:spacing w:val="-8"/>
        </w:rPr>
        <w:t> </w:t>
      </w:r>
      <w:r>
        <w:rPr>
          <w:rFonts w:ascii="Times New Roman" w:hAnsi="Times New Roman"/>
        </w:rPr>
        <w:t>domaine(s)</w:t>
      </w:r>
      <w:r>
        <w:rPr>
          <w:rFonts w:ascii="Times New Roman" w:hAnsi="Times New Roman"/>
          <w:spacing w:val="-9"/>
        </w:rPr>
        <w:t> </w:t>
      </w:r>
      <w:r>
        <w:rPr>
          <w:rFonts w:ascii="Times New Roman" w:hAnsi="Times New Roman"/>
        </w:rPr>
        <w:t>:</w:t>
      </w:r>
      <w:r>
        <w:rPr>
          <w:rFonts w:ascii="Times New Roman" w:hAnsi="Times New Roman"/>
          <w:spacing w:val="33"/>
        </w:rPr>
        <w:t> </w:t>
      </w:r>
      <w:r>
        <w:rPr/>
        <w:t>droit,</w:t>
      </w:r>
      <w:r>
        <w:rPr>
          <w:spacing w:val="-9"/>
        </w:rPr>
        <w:t> </w:t>
      </w:r>
      <w:r>
        <w:rPr/>
        <w:t>sciences</w:t>
      </w:r>
      <w:r>
        <w:rPr>
          <w:spacing w:val="-7"/>
        </w:rPr>
        <w:t> </w:t>
      </w:r>
      <w:r>
        <w:rPr/>
        <w:t>économiques,</w:t>
      </w:r>
      <w:r>
        <w:rPr>
          <w:spacing w:val="-8"/>
        </w:rPr>
        <w:t> </w:t>
      </w:r>
      <w:r>
        <w:rPr/>
        <w:t>audit,</w:t>
      </w:r>
      <w:r>
        <w:rPr>
          <w:spacing w:val="-9"/>
        </w:rPr>
        <w:t> </w:t>
      </w:r>
      <w:r>
        <w:rPr/>
        <w:t>sciences</w:t>
      </w:r>
      <w:r>
        <w:rPr>
          <w:spacing w:val="-8"/>
        </w:rPr>
        <w:t> </w:t>
      </w:r>
      <w:r>
        <w:rPr>
          <w:spacing w:val="-2"/>
        </w:rPr>
        <w:t>environnementales.</w:t>
      </w:r>
    </w:p>
    <w:p>
      <w:pPr>
        <w:pStyle w:val="BodyText"/>
        <w:spacing w:before="7"/>
        <w:rPr>
          <w:sz w:val="20"/>
        </w:rPr>
      </w:pPr>
    </w:p>
    <w:p>
      <w:pPr>
        <w:pStyle w:val="BodyText"/>
        <w:spacing w:before="1"/>
        <w:ind w:left="840"/>
        <w:rPr>
          <w:rFonts w:ascii="Times New Roman" w:hAnsi="Times New Roman"/>
        </w:rPr>
      </w:pPr>
      <w:r>
        <w:rPr>
          <w:rFonts w:ascii="Times New Roman" w:hAnsi="Times New Roman"/>
          <w:spacing w:val="-2"/>
          <w:u w:val="single"/>
        </w:rPr>
        <w:t>Expérience</w:t>
      </w:r>
      <w:r>
        <w:rPr>
          <w:rFonts w:ascii="Times New Roman" w:hAnsi="Times New Roman"/>
          <w:spacing w:val="6"/>
          <w:u w:val="single"/>
        </w:rPr>
        <w:t> </w:t>
      </w:r>
      <w:r>
        <w:rPr>
          <w:rFonts w:ascii="Times New Roman" w:hAnsi="Times New Roman"/>
          <w:spacing w:val="-2"/>
          <w:u w:val="single"/>
        </w:rPr>
        <w:t>professionnelle</w:t>
      </w:r>
    </w:p>
    <w:p>
      <w:pPr>
        <w:spacing w:line="240" w:lineRule="auto" w:before="3"/>
        <w:rPr>
          <w:sz w:val="17"/>
        </w:rPr>
      </w:pPr>
    </w:p>
    <w:p>
      <w:pPr>
        <w:pStyle w:val="BodyText"/>
        <w:spacing w:line="276" w:lineRule="auto" w:before="55"/>
        <w:ind w:left="130" w:right="65"/>
      </w:pPr>
      <w:r>
        <w:rPr/>
        <w:t>L’expert devra avoir une formation solide et une expérience prouvée (au moins cinq années) dans la conduite d’enquêtes</w:t>
      </w:r>
      <w:r>
        <w:rPr>
          <w:spacing w:val="-4"/>
        </w:rPr>
        <w:t> </w:t>
      </w:r>
      <w:r>
        <w:rPr/>
        <w:t>administratives,</w:t>
      </w:r>
      <w:r>
        <w:rPr>
          <w:spacing w:val="-4"/>
        </w:rPr>
        <w:t> </w:t>
      </w:r>
      <w:r>
        <w:rPr/>
        <w:t>policières</w:t>
      </w:r>
      <w:r>
        <w:rPr>
          <w:spacing w:val="-4"/>
        </w:rPr>
        <w:t> </w:t>
      </w:r>
      <w:r>
        <w:rPr/>
        <w:t>ou</w:t>
      </w:r>
      <w:r>
        <w:rPr>
          <w:spacing w:val="-4"/>
        </w:rPr>
        <w:t> </w:t>
      </w:r>
      <w:r>
        <w:rPr/>
        <w:t>judiciaires</w:t>
      </w:r>
      <w:r>
        <w:rPr>
          <w:spacing w:val="-4"/>
        </w:rPr>
        <w:t> </w:t>
      </w:r>
      <w:r>
        <w:rPr/>
        <w:t>au</w:t>
      </w:r>
      <w:r>
        <w:rPr>
          <w:spacing w:val="-4"/>
        </w:rPr>
        <w:t> </w:t>
      </w:r>
      <w:r>
        <w:rPr/>
        <w:t>niveau</w:t>
      </w:r>
      <w:r>
        <w:rPr>
          <w:spacing w:val="-3"/>
        </w:rPr>
        <w:t> </w:t>
      </w:r>
      <w:r>
        <w:rPr/>
        <w:t>national</w:t>
      </w:r>
      <w:r>
        <w:rPr>
          <w:spacing w:val="-4"/>
        </w:rPr>
        <w:t> </w:t>
      </w:r>
      <w:r>
        <w:rPr/>
        <w:t>dans</w:t>
      </w:r>
      <w:r>
        <w:rPr>
          <w:spacing w:val="-4"/>
        </w:rPr>
        <w:t> </w:t>
      </w:r>
      <w:r>
        <w:rPr/>
        <w:t>le</w:t>
      </w:r>
      <w:r>
        <w:rPr>
          <w:spacing w:val="-2"/>
        </w:rPr>
        <w:t> </w:t>
      </w:r>
      <w:r>
        <w:rPr/>
        <w:t>domaine</w:t>
      </w:r>
      <w:r>
        <w:rPr>
          <w:spacing w:val="-3"/>
        </w:rPr>
        <w:t> </w:t>
      </w:r>
      <w:r>
        <w:rPr/>
        <w:t>des</w:t>
      </w:r>
      <w:r>
        <w:rPr>
          <w:spacing w:val="-2"/>
        </w:rPr>
        <w:t> </w:t>
      </w:r>
      <w:r>
        <w:rPr/>
        <w:t>irrégularités</w:t>
      </w:r>
      <w:r>
        <w:rPr>
          <w:spacing w:val="-2"/>
        </w:rPr>
        <w:t> </w:t>
      </w:r>
      <w:r>
        <w:rPr/>
        <w:t>et/ou</w:t>
      </w:r>
      <w:r>
        <w:rPr>
          <w:spacing w:val="-4"/>
        </w:rPr>
        <w:t> </w:t>
      </w:r>
      <w:r>
        <w:rPr/>
        <w:t>de la fraude, idéalement au détriment du budget de l'UE. Il/elle devra être familier avec les différentes autorités</w:t>
      </w:r>
    </w:p>
    <w:p>
      <w:pPr>
        <w:spacing w:after="0" w:line="276" w:lineRule="auto"/>
        <w:sectPr>
          <w:pgSz w:w="11910" w:h="16840"/>
          <w:pgMar w:header="0" w:footer="690" w:top="1580" w:bottom="880" w:left="720" w:right="740"/>
        </w:sectPr>
      </w:pPr>
    </w:p>
    <w:p>
      <w:pPr>
        <w:pStyle w:val="BodyText"/>
        <w:spacing w:line="276" w:lineRule="auto" w:before="35"/>
        <w:ind w:left="130" w:right="65"/>
      </w:pPr>
      <w:r>
        <w:rPr/>
        <w:t>nationales</w:t>
      </w:r>
      <w:r>
        <w:rPr>
          <w:spacing w:val="-3"/>
        </w:rPr>
        <w:t> </w:t>
      </w:r>
      <w:r>
        <w:rPr/>
        <w:t>dans</w:t>
      </w:r>
      <w:r>
        <w:rPr>
          <w:spacing w:val="-3"/>
        </w:rPr>
        <w:t> </w:t>
      </w:r>
      <w:r>
        <w:rPr/>
        <w:t>au</w:t>
      </w:r>
      <w:r>
        <w:rPr>
          <w:spacing w:val="-3"/>
        </w:rPr>
        <w:t> </w:t>
      </w:r>
      <w:r>
        <w:rPr/>
        <w:t>moins</w:t>
      </w:r>
      <w:r>
        <w:rPr>
          <w:spacing w:val="-1"/>
        </w:rPr>
        <w:t> </w:t>
      </w:r>
      <w:r>
        <w:rPr/>
        <w:t>un</w:t>
      </w:r>
      <w:r>
        <w:rPr>
          <w:spacing w:val="-3"/>
        </w:rPr>
        <w:t> </w:t>
      </w:r>
      <w:r>
        <w:rPr/>
        <w:t>des</w:t>
      </w:r>
      <w:r>
        <w:rPr>
          <w:spacing w:val="-3"/>
        </w:rPr>
        <w:t> </w:t>
      </w:r>
      <w:r>
        <w:rPr/>
        <w:t>états</w:t>
      </w:r>
      <w:r>
        <w:rPr>
          <w:spacing w:val="-3"/>
        </w:rPr>
        <w:t> </w:t>
      </w:r>
      <w:r>
        <w:rPr/>
        <w:t>suivants:</w:t>
      </w:r>
      <w:r>
        <w:rPr>
          <w:spacing w:val="-3"/>
        </w:rPr>
        <w:t> </w:t>
      </w:r>
      <w:r>
        <w:rPr/>
        <w:t>Bulgarie</w:t>
      </w:r>
      <w:r>
        <w:rPr>
          <w:spacing w:val="-3"/>
        </w:rPr>
        <w:t> </w:t>
      </w:r>
      <w:r>
        <w:rPr/>
        <w:t>ou</w:t>
      </w:r>
      <w:r>
        <w:rPr>
          <w:spacing w:val="-3"/>
        </w:rPr>
        <w:t> </w:t>
      </w:r>
      <w:r>
        <w:rPr/>
        <w:t>Roumanie</w:t>
      </w:r>
      <w:r>
        <w:rPr>
          <w:spacing w:val="-3"/>
        </w:rPr>
        <w:t> </w:t>
      </w:r>
      <w:r>
        <w:rPr/>
        <w:t>(services</w:t>
      </w:r>
      <w:r>
        <w:rPr>
          <w:spacing w:val="-1"/>
        </w:rPr>
        <w:t> </w:t>
      </w:r>
      <w:r>
        <w:rPr/>
        <w:t>administratifs,</w:t>
      </w:r>
      <w:r>
        <w:rPr>
          <w:spacing w:val="-3"/>
        </w:rPr>
        <w:t> </w:t>
      </w:r>
      <w:r>
        <w:rPr/>
        <w:t>autorités</w:t>
      </w:r>
      <w:r>
        <w:rPr>
          <w:spacing w:val="-3"/>
        </w:rPr>
        <w:t> </w:t>
      </w:r>
      <w:r>
        <w:rPr/>
        <w:t>policières et judiciaires) et avoir une bonne connaissance des procédures nationales en lien avec la protection des intérêts financiers de l'UE. Une expérience d'appui aux autorités bulgares, italiennes, cypriotes, grecques ou roumaines dans la prévention, la conduite d'enquête et la poursuite de fraudes au budget de l'UE serait un avantage </w:t>
      </w:r>
      <w:r>
        <w:rPr>
          <w:spacing w:val="-2"/>
        </w:rPr>
        <w:t>supplémentaire.</w:t>
      </w:r>
    </w:p>
    <w:p>
      <w:pPr>
        <w:pStyle w:val="BodyText"/>
        <w:spacing w:before="3"/>
        <w:rPr>
          <w:sz w:val="16"/>
        </w:rPr>
      </w:pPr>
    </w:p>
    <w:p>
      <w:pPr>
        <w:pStyle w:val="BodyText"/>
        <w:spacing w:line="276" w:lineRule="auto" w:before="1"/>
        <w:ind w:left="130"/>
      </w:pPr>
      <w:r>
        <w:rPr/>
        <w:t>La</w:t>
      </w:r>
      <w:r>
        <w:rPr>
          <w:spacing w:val="-3"/>
        </w:rPr>
        <w:t> </w:t>
      </w:r>
      <w:r>
        <w:rPr/>
        <w:t>connaissance</w:t>
      </w:r>
      <w:r>
        <w:rPr>
          <w:spacing w:val="-3"/>
        </w:rPr>
        <w:t> </w:t>
      </w:r>
      <w:r>
        <w:rPr/>
        <w:t>des</w:t>
      </w:r>
      <w:r>
        <w:rPr>
          <w:spacing w:val="-3"/>
        </w:rPr>
        <w:t> </w:t>
      </w:r>
      <w:r>
        <w:rPr/>
        <w:t>Fonds</w:t>
      </w:r>
      <w:r>
        <w:rPr>
          <w:spacing w:val="-3"/>
        </w:rPr>
        <w:t> </w:t>
      </w:r>
      <w:r>
        <w:rPr/>
        <w:t>Structurels</w:t>
      </w:r>
      <w:r>
        <w:rPr>
          <w:spacing w:val="-1"/>
        </w:rPr>
        <w:t> </w:t>
      </w:r>
      <w:r>
        <w:rPr/>
        <w:t>et</w:t>
      </w:r>
      <w:r>
        <w:rPr>
          <w:spacing w:val="-3"/>
        </w:rPr>
        <w:t> </w:t>
      </w:r>
      <w:r>
        <w:rPr/>
        <w:t>d'Investissements</w:t>
      </w:r>
      <w:r>
        <w:rPr>
          <w:spacing w:val="-3"/>
        </w:rPr>
        <w:t> </w:t>
      </w:r>
      <w:r>
        <w:rPr/>
        <w:t>Européens</w:t>
      </w:r>
      <w:r>
        <w:rPr>
          <w:spacing w:val="-3"/>
        </w:rPr>
        <w:t> </w:t>
      </w:r>
      <w:r>
        <w:rPr/>
        <w:t>et/ou</w:t>
      </w:r>
      <w:r>
        <w:rPr>
          <w:spacing w:val="-3"/>
        </w:rPr>
        <w:t> </w:t>
      </w:r>
      <w:r>
        <w:rPr/>
        <w:t>de</w:t>
      </w:r>
      <w:r>
        <w:rPr>
          <w:spacing w:val="-3"/>
        </w:rPr>
        <w:t> </w:t>
      </w:r>
      <w:r>
        <w:rPr/>
        <w:t>la</w:t>
      </w:r>
      <w:r>
        <w:rPr>
          <w:spacing w:val="-3"/>
        </w:rPr>
        <w:t> </w:t>
      </w:r>
      <w:r>
        <w:rPr/>
        <w:t>politique</w:t>
      </w:r>
      <w:r>
        <w:rPr>
          <w:spacing w:val="-3"/>
        </w:rPr>
        <w:t> </w:t>
      </w:r>
      <w:r>
        <w:rPr/>
        <w:t>agricole</w:t>
      </w:r>
      <w:r>
        <w:rPr>
          <w:spacing w:val="-3"/>
        </w:rPr>
        <w:t> </w:t>
      </w:r>
      <w:r>
        <w:rPr/>
        <w:t>commune</w:t>
      </w:r>
      <w:r>
        <w:rPr>
          <w:spacing w:val="-3"/>
        </w:rPr>
        <w:t> </w:t>
      </w:r>
      <w:r>
        <w:rPr/>
        <w:t>est un atout.</w:t>
      </w:r>
    </w:p>
    <w:p>
      <w:pPr>
        <w:pStyle w:val="BodyText"/>
        <w:spacing w:before="5"/>
        <w:rPr>
          <w:sz w:val="16"/>
        </w:rPr>
      </w:pPr>
    </w:p>
    <w:p>
      <w:pPr>
        <w:pStyle w:val="BodyText"/>
        <w:spacing w:line="276" w:lineRule="auto"/>
        <w:ind w:left="130"/>
      </w:pPr>
      <w:r>
        <w:rPr/>
        <w:t>Le candidat retenu doit avoir de bonnes capacités d’analyse, de rédaction et de présentation et être un bon communicant.</w:t>
      </w:r>
      <w:r>
        <w:rPr>
          <w:spacing w:val="-2"/>
        </w:rPr>
        <w:t> </w:t>
      </w:r>
      <w:r>
        <w:rPr/>
        <w:t>Un</w:t>
      </w:r>
      <w:r>
        <w:rPr>
          <w:spacing w:val="-2"/>
        </w:rPr>
        <w:t> </w:t>
      </w:r>
      <w:r>
        <w:rPr/>
        <w:t>bon</w:t>
      </w:r>
      <w:r>
        <w:rPr>
          <w:spacing w:val="-3"/>
        </w:rPr>
        <w:t> </w:t>
      </w:r>
      <w:r>
        <w:rPr/>
        <w:t>jugement,</w:t>
      </w:r>
      <w:r>
        <w:rPr>
          <w:spacing w:val="-3"/>
        </w:rPr>
        <w:t> </w:t>
      </w:r>
      <w:r>
        <w:rPr/>
        <w:t>et</w:t>
      </w:r>
      <w:r>
        <w:rPr>
          <w:spacing w:val="-2"/>
        </w:rPr>
        <w:t> </w:t>
      </w:r>
      <w:r>
        <w:rPr/>
        <w:t>une</w:t>
      </w:r>
      <w:r>
        <w:rPr>
          <w:spacing w:val="-3"/>
        </w:rPr>
        <w:t> </w:t>
      </w:r>
      <w:r>
        <w:rPr/>
        <w:t>capacité</w:t>
      </w:r>
      <w:r>
        <w:rPr>
          <w:spacing w:val="-2"/>
        </w:rPr>
        <w:t> </w:t>
      </w:r>
      <w:r>
        <w:rPr/>
        <w:t>de</w:t>
      </w:r>
      <w:r>
        <w:rPr>
          <w:spacing w:val="-2"/>
        </w:rPr>
        <w:t> </w:t>
      </w:r>
      <w:r>
        <w:rPr/>
        <w:t>travailler</w:t>
      </w:r>
      <w:r>
        <w:rPr>
          <w:spacing w:val="-3"/>
        </w:rPr>
        <w:t> </w:t>
      </w:r>
      <w:r>
        <w:rPr/>
        <w:t>efficacement</w:t>
      </w:r>
      <w:r>
        <w:rPr>
          <w:spacing w:val="-2"/>
        </w:rPr>
        <w:t> </w:t>
      </w:r>
      <w:r>
        <w:rPr/>
        <w:t>–</w:t>
      </w:r>
      <w:r>
        <w:rPr>
          <w:spacing w:val="-2"/>
        </w:rPr>
        <w:t> </w:t>
      </w:r>
      <w:r>
        <w:rPr/>
        <w:t>à</w:t>
      </w:r>
      <w:r>
        <w:rPr>
          <w:spacing w:val="-3"/>
        </w:rPr>
        <w:t> </w:t>
      </w:r>
      <w:r>
        <w:rPr/>
        <w:t>la</w:t>
      </w:r>
      <w:r>
        <w:rPr>
          <w:spacing w:val="-3"/>
        </w:rPr>
        <w:t> </w:t>
      </w:r>
      <w:r>
        <w:rPr/>
        <w:t>fois</w:t>
      </w:r>
      <w:r>
        <w:rPr>
          <w:spacing w:val="-3"/>
        </w:rPr>
        <w:t> </w:t>
      </w:r>
      <w:r>
        <w:rPr/>
        <w:t>seul</w:t>
      </w:r>
      <w:r>
        <w:rPr>
          <w:spacing w:val="-2"/>
        </w:rPr>
        <w:t> </w:t>
      </w:r>
      <w:r>
        <w:rPr/>
        <w:t>et</w:t>
      </w:r>
      <w:r>
        <w:rPr>
          <w:spacing w:val="-2"/>
        </w:rPr>
        <w:t> </w:t>
      </w:r>
      <w:r>
        <w:rPr/>
        <w:t>au</w:t>
      </w:r>
      <w:r>
        <w:rPr>
          <w:spacing w:val="-3"/>
        </w:rPr>
        <w:t> </w:t>
      </w:r>
      <w:r>
        <w:rPr/>
        <w:t>sein</w:t>
      </w:r>
      <w:r>
        <w:rPr>
          <w:spacing w:val="-2"/>
        </w:rPr>
        <w:t> </w:t>
      </w:r>
      <w:r>
        <w:rPr/>
        <w:t>d’une</w:t>
      </w:r>
      <w:r>
        <w:rPr>
          <w:spacing w:val="-3"/>
        </w:rPr>
        <w:t> </w:t>
      </w:r>
      <w:r>
        <w:rPr/>
        <w:t>équipe</w:t>
      </w:r>
    </w:p>
    <w:p>
      <w:pPr>
        <w:pStyle w:val="BodyText"/>
        <w:ind w:left="130"/>
      </w:pPr>
      <w:r>
        <w:rPr/>
        <w:t>-</w:t>
      </w:r>
      <w:r>
        <w:rPr>
          <w:spacing w:val="-4"/>
        </w:rPr>
        <w:t> </w:t>
      </w:r>
      <w:r>
        <w:rPr/>
        <w:t>sont</w:t>
      </w:r>
      <w:r>
        <w:rPr>
          <w:spacing w:val="-4"/>
        </w:rPr>
        <w:t> </w:t>
      </w:r>
      <w:r>
        <w:rPr>
          <w:spacing w:val="-2"/>
        </w:rPr>
        <w:t>exigés.</w:t>
      </w:r>
    </w:p>
    <w:p>
      <w:pPr>
        <w:pStyle w:val="BodyText"/>
        <w:spacing w:before="8"/>
        <w:rPr>
          <w:sz w:val="19"/>
        </w:rPr>
      </w:pPr>
    </w:p>
    <w:p>
      <w:pPr>
        <w:pStyle w:val="BodyText"/>
        <w:spacing w:line="276" w:lineRule="auto" w:before="1"/>
        <w:ind w:left="130"/>
      </w:pPr>
      <w:r>
        <w:rPr/>
        <w:t>Une</w:t>
      </w:r>
      <w:r>
        <w:rPr>
          <w:spacing w:val="-3"/>
        </w:rPr>
        <w:t> </w:t>
      </w:r>
      <w:r>
        <w:rPr/>
        <w:t>bonne</w:t>
      </w:r>
      <w:r>
        <w:rPr>
          <w:spacing w:val="-3"/>
        </w:rPr>
        <w:t> </w:t>
      </w:r>
      <w:r>
        <w:rPr/>
        <w:t>maîtrise</w:t>
      </w:r>
      <w:r>
        <w:rPr>
          <w:spacing w:val="-4"/>
        </w:rPr>
        <w:t> </w:t>
      </w:r>
      <w:r>
        <w:rPr/>
        <w:t>des</w:t>
      </w:r>
      <w:r>
        <w:rPr>
          <w:spacing w:val="-4"/>
        </w:rPr>
        <w:t> </w:t>
      </w:r>
      <w:r>
        <w:rPr/>
        <w:t>applications</w:t>
      </w:r>
      <w:r>
        <w:rPr>
          <w:spacing w:val="-4"/>
        </w:rPr>
        <w:t> </w:t>
      </w:r>
      <w:r>
        <w:rPr/>
        <w:t>informatiques</w:t>
      </w:r>
      <w:r>
        <w:rPr>
          <w:spacing w:val="-2"/>
        </w:rPr>
        <w:t> </w:t>
      </w:r>
      <w:r>
        <w:rPr/>
        <w:t>générales</w:t>
      </w:r>
      <w:r>
        <w:rPr>
          <w:spacing w:val="-4"/>
        </w:rPr>
        <w:t> </w:t>
      </w:r>
      <w:r>
        <w:rPr/>
        <w:t>(Word,</w:t>
      </w:r>
      <w:r>
        <w:rPr>
          <w:spacing w:val="-4"/>
        </w:rPr>
        <w:t> </w:t>
      </w:r>
      <w:r>
        <w:rPr/>
        <w:t>Excel,</w:t>
      </w:r>
      <w:r>
        <w:rPr>
          <w:spacing w:val="-4"/>
        </w:rPr>
        <w:t> </w:t>
      </w:r>
      <w:r>
        <w:rPr/>
        <w:t>Power</w:t>
      </w:r>
      <w:r>
        <w:rPr>
          <w:spacing w:val="-4"/>
        </w:rPr>
        <w:t> </w:t>
      </w:r>
      <w:r>
        <w:rPr/>
        <w:t>Point,</w:t>
      </w:r>
      <w:r>
        <w:rPr>
          <w:spacing w:val="-4"/>
        </w:rPr>
        <w:t> </w:t>
      </w:r>
      <w:r>
        <w:rPr/>
        <w:t>etc.)</w:t>
      </w:r>
      <w:r>
        <w:rPr>
          <w:spacing w:val="-3"/>
        </w:rPr>
        <w:t> </w:t>
      </w:r>
      <w:r>
        <w:rPr/>
        <w:t>est</w:t>
      </w:r>
      <w:r>
        <w:rPr>
          <w:spacing w:val="-3"/>
        </w:rPr>
        <w:t> </w:t>
      </w:r>
      <w:r>
        <w:rPr/>
        <w:t>essentielle,</w:t>
      </w:r>
      <w:r>
        <w:rPr>
          <w:spacing w:val="-4"/>
        </w:rPr>
        <w:t> </w:t>
      </w:r>
      <w:r>
        <w:rPr/>
        <w:t>ainsi que la disponibilité pour travailler avec les outils informatiques spécifiques utilisés par l’OLAF, en particulier ceux développés spécialement pour la gestion des enquêtes.</w:t>
      </w:r>
    </w:p>
    <w:p>
      <w:pPr>
        <w:pStyle w:val="BodyText"/>
        <w:spacing w:before="3"/>
        <w:rPr>
          <w:sz w:val="16"/>
        </w:rPr>
      </w:pPr>
    </w:p>
    <w:p>
      <w:pPr>
        <w:pStyle w:val="BodyText"/>
        <w:ind w:left="130"/>
      </w:pPr>
      <w:r>
        <w:rPr/>
        <w:t>La</w:t>
      </w:r>
      <w:r>
        <w:rPr>
          <w:spacing w:val="-8"/>
        </w:rPr>
        <w:t> </w:t>
      </w:r>
      <w:r>
        <w:rPr/>
        <w:t>capacité</w:t>
      </w:r>
      <w:r>
        <w:rPr>
          <w:spacing w:val="-8"/>
        </w:rPr>
        <w:t> </w:t>
      </w:r>
      <w:r>
        <w:rPr/>
        <w:t>à</w:t>
      </w:r>
      <w:r>
        <w:rPr>
          <w:spacing w:val="-6"/>
        </w:rPr>
        <w:t> </w:t>
      </w:r>
      <w:r>
        <w:rPr/>
        <w:t>travailler</w:t>
      </w:r>
      <w:r>
        <w:rPr>
          <w:spacing w:val="-8"/>
        </w:rPr>
        <w:t> </w:t>
      </w:r>
      <w:r>
        <w:rPr/>
        <w:t>au</w:t>
      </w:r>
      <w:r>
        <w:rPr>
          <w:spacing w:val="-8"/>
        </w:rPr>
        <w:t> </w:t>
      </w:r>
      <w:r>
        <w:rPr/>
        <w:t>sein</w:t>
      </w:r>
      <w:r>
        <w:rPr>
          <w:spacing w:val="-8"/>
        </w:rPr>
        <w:t> </w:t>
      </w:r>
      <w:r>
        <w:rPr/>
        <w:t>d'une</w:t>
      </w:r>
      <w:r>
        <w:rPr>
          <w:spacing w:val="-8"/>
        </w:rPr>
        <w:t> </w:t>
      </w:r>
      <w:r>
        <w:rPr/>
        <w:t>équipe</w:t>
      </w:r>
      <w:r>
        <w:rPr>
          <w:spacing w:val="-8"/>
        </w:rPr>
        <w:t> </w:t>
      </w:r>
      <w:r>
        <w:rPr/>
        <w:t>multiculturelle</w:t>
      </w:r>
      <w:r>
        <w:rPr>
          <w:spacing w:val="-8"/>
        </w:rPr>
        <w:t> </w:t>
      </w:r>
      <w:r>
        <w:rPr/>
        <w:t>et</w:t>
      </w:r>
      <w:r>
        <w:rPr>
          <w:spacing w:val="-7"/>
        </w:rPr>
        <w:t> </w:t>
      </w:r>
      <w:r>
        <w:rPr/>
        <w:t>polyvalente</w:t>
      </w:r>
      <w:r>
        <w:rPr>
          <w:spacing w:val="-7"/>
        </w:rPr>
        <w:t> </w:t>
      </w:r>
      <w:r>
        <w:rPr/>
        <w:t>est</w:t>
      </w:r>
      <w:r>
        <w:rPr>
          <w:spacing w:val="-8"/>
        </w:rPr>
        <w:t> </w:t>
      </w:r>
      <w:r>
        <w:rPr/>
        <w:t>donc</w:t>
      </w:r>
      <w:r>
        <w:rPr>
          <w:spacing w:val="-8"/>
        </w:rPr>
        <w:t> </w:t>
      </w:r>
      <w:r>
        <w:rPr>
          <w:spacing w:val="-2"/>
        </w:rPr>
        <w:t>essentielle.</w:t>
      </w:r>
    </w:p>
    <w:p>
      <w:pPr>
        <w:pStyle w:val="BodyText"/>
        <w:spacing w:before="8"/>
        <w:rPr>
          <w:sz w:val="19"/>
        </w:rPr>
      </w:pPr>
    </w:p>
    <w:p>
      <w:pPr>
        <w:pStyle w:val="BodyText"/>
        <w:spacing w:line="276" w:lineRule="auto" w:before="1"/>
        <w:ind w:left="130" w:right="174"/>
      </w:pPr>
      <w:r>
        <w:rPr/>
        <w:t>Connaissance et expérience en matière de contrôle ou d'audit de: l'évaluation de l'impact environnemental des projets de génie civil; la conception, la construction, gestion et entretien d'installations de traitement des déchets;</w:t>
      </w:r>
      <w:r>
        <w:rPr>
          <w:spacing w:val="-3"/>
        </w:rPr>
        <w:t> </w:t>
      </w:r>
      <w:r>
        <w:rPr/>
        <w:t>projets</w:t>
      </w:r>
      <w:r>
        <w:rPr>
          <w:spacing w:val="-3"/>
        </w:rPr>
        <w:t> </w:t>
      </w:r>
      <w:r>
        <w:rPr/>
        <w:t>d'économie</w:t>
      </w:r>
      <w:r>
        <w:rPr>
          <w:spacing w:val="-3"/>
        </w:rPr>
        <w:t> </w:t>
      </w:r>
      <w:r>
        <w:rPr/>
        <w:t>circulaire</w:t>
      </w:r>
      <w:r>
        <w:rPr>
          <w:spacing w:val="-3"/>
        </w:rPr>
        <w:t> </w:t>
      </w:r>
      <w:r>
        <w:rPr/>
        <w:t>pour</w:t>
      </w:r>
      <w:r>
        <w:rPr>
          <w:spacing w:val="-3"/>
        </w:rPr>
        <w:t> </w:t>
      </w:r>
      <w:r>
        <w:rPr/>
        <w:t>le</w:t>
      </w:r>
      <w:r>
        <w:rPr>
          <w:spacing w:val="-3"/>
        </w:rPr>
        <w:t> </w:t>
      </w:r>
      <w:r>
        <w:rPr/>
        <w:t>traitement</w:t>
      </w:r>
      <w:r>
        <w:rPr>
          <w:spacing w:val="-3"/>
        </w:rPr>
        <w:t> </w:t>
      </w:r>
      <w:r>
        <w:rPr/>
        <w:t>des</w:t>
      </w:r>
      <w:r>
        <w:rPr>
          <w:spacing w:val="-2"/>
        </w:rPr>
        <w:t> </w:t>
      </w:r>
      <w:r>
        <w:rPr/>
        <w:t>déchets;</w:t>
      </w:r>
      <w:r>
        <w:rPr>
          <w:spacing w:val="-3"/>
        </w:rPr>
        <w:t> </w:t>
      </w:r>
      <w:r>
        <w:rPr/>
        <w:t>l’évaluation</w:t>
      </w:r>
      <w:r>
        <w:rPr>
          <w:spacing w:val="-3"/>
        </w:rPr>
        <w:t> </w:t>
      </w:r>
      <w:r>
        <w:rPr/>
        <w:t>de</w:t>
      </w:r>
      <w:r>
        <w:rPr>
          <w:spacing w:val="-3"/>
        </w:rPr>
        <w:t> </w:t>
      </w:r>
      <w:r>
        <w:rPr/>
        <w:t>projets</w:t>
      </w:r>
      <w:r>
        <w:rPr>
          <w:spacing w:val="-3"/>
        </w:rPr>
        <w:t> </w:t>
      </w:r>
      <w:r>
        <w:rPr/>
        <w:t>dans</w:t>
      </w:r>
      <w:r>
        <w:rPr>
          <w:spacing w:val="-3"/>
        </w:rPr>
        <w:t> </w:t>
      </w:r>
      <w:r>
        <w:rPr/>
        <w:t>le</w:t>
      </w:r>
      <w:r>
        <w:rPr>
          <w:spacing w:val="-3"/>
        </w:rPr>
        <w:t> </w:t>
      </w:r>
      <w:r>
        <w:rPr/>
        <w:t>domaine</w:t>
      </w:r>
      <w:r>
        <w:rPr>
          <w:spacing w:val="-3"/>
        </w:rPr>
        <w:t> </w:t>
      </w:r>
      <w:r>
        <w:rPr/>
        <w:t>de l’infrastructure informatique numérique, des sources et énergies renouvelables, recherche et innovation dans le domaine de l'énergie; certificats d'émission, crédits carbone, certifications de qualité serait un atout.</w:t>
      </w:r>
    </w:p>
    <w:p>
      <w:pPr>
        <w:pStyle w:val="BodyText"/>
      </w:pPr>
    </w:p>
    <w:p>
      <w:pPr>
        <w:pStyle w:val="BodyText"/>
        <w:spacing w:before="184"/>
        <w:ind w:left="840"/>
        <w:rPr>
          <w:rFonts w:ascii="Times New Roman" w:hAnsi="Times New Roman"/>
        </w:rPr>
      </w:pPr>
      <w:r>
        <w:rPr>
          <w:rFonts w:ascii="Times New Roman" w:hAnsi="Times New Roman"/>
          <w:u w:val="single"/>
        </w:rPr>
        <w:t>Langue(s)</w:t>
      </w:r>
      <w:r>
        <w:rPr>
          <w:rFonts w:ascii="Times New Roman" w:hAnsi="Times New Roman"/>
          <w:spacing w:val="-13"/>
          <w:u w:val="single"/>
        </w:rPr>
        <w:t> </w:t>
      </w:r>
      <w:r>
        <w:rPr>
          <w:rFonts w:ascii="Times New Roman" w:hAnsi="Times New Roman"/>
          <w:u w:val="single"/>
        </w:rPr>
        <w:t>nécessaire(s)</w:t>
      </w:r>
      <w:r>
        <w:rPr>
          <w:rFonts w:ascii="Times New Roman" w:hAnsi="Times New Roman"/>
          <w:spacing w:val="-12"/>
          <w:u w:val="single"/>
        </w:rPr>
        <w:t> </w:t>
      </w:r>
      <w:r>
        <w:rPr>
          <w:rFonts w:ascii="Times New Roman" w:hAnsi="Times New Roman"/>
          <w:u w:val="single"/>
        </w:rPr>
        <w:t>pour</w:t>
      </w:r>
      <w:r>
        <w:rPr>
          <w:rFonts w:ascii="Times New Roman" w:hAnsi="Times New Roman"/>
          <w:spacing w:val="-12"/>
          <w:u w:val="single"/>
        </w:rPr>
        <w:t> </w:t>
      </w:r>
      <w:r>
        <w:rPr>
          <w:rFonts w:ascii="Times New Roman" w:hAnsi="Times New Roman"/>
          <w:u w:val="single"/>
        </w:rPr>
        <w:t>l'accomplissement</w:t>
      </w:r>
      <w:r>
        <w:rPr>
          <w:rFonts w:ascii="Times New Roman" w:hAnsi="Times New Roman"/>
          <w:spacing w:val="-13"/>
          <w:u w:val="single"/>
        </w:rPr>
        <w:t> </w:t>
      </w:r>
      <w:r>
        <w:rPr>
          <w:rFonts w:ascii="Times New Roman" w:hAnsi="Times New Roman"/>
          <w:u w:val="single"/>
        </w:rPr>
        <w:t>des</w:t>
      </w:r>
      <w:r>
        <w:rPr>
          <w:rFonts w:ascii="Times New Roman" w:hAnsi="Times New Roman"/>
          <w:spacing w:val="-13"/>
          <w:u w:val="single"/>
        </w:rPr>
        <w:t> </w:t>
      </w:r>
      <w:r>
        <w:rPr>
          <w:rFonts w:ascii="Times New Roman" w:hAnsi="Times New Roman"/>
          <w:spacing w:val="-2"/>
          <w:u w:val="single"/>
        </w:rPr>
        <w:t>tâches</w:t>
      </w:r>
    </w:p>
    <w:p>
      <w:pPr>
        <w:spacing w:line="240" w:lineRule="auto" w:before="4"/>
        <w:rPr>
          <w:sz w:val="17"/>
        </w:rPr>
      </w:pPr>
    </w:p>
    <w:p>
      <w:pPr>
        <w:pStyle w:val="BodyText"/>
        <w:spacing w:before="55"/>
        <w:ind w:left="840"/>
      </w:pPr>
      <w:r>
        <w:rPr/>
        <w:t>Une</w:t>
      </w:r>
      <w:r>
        <w:rPr>
          <w:spacing w:val="-1"/>
        </w:rPr>
        <w:t> </w:t>
      </w:r>
      <w:r>
        <w:rPr/>
        <w:t>excellente</w:t>
      </w:r>
      <w:r>
        <w:rPr>
          <w:spacing w:val="-2"/>
        </w:rPr>
        <w:t> </w:t>
      </w:r>
      <w:r>
        <w:rPr/>
        <w:t>connaissance</w:t>
      </w:r>
      <w:r>
        <w:rPr>
          <w:spacing w:val="-1"/>
        </w:rPr>
        <w:t> </w:t>
      </w:r>
      <w:r>
        <w:rPr/>
        <w:t>d'au moins</w:t>
      </w:r>
      <w:r>
        <w:rPr>
          <w:spacing w:val="-1"/>
        </w:rPr>
        <w:t> </w:t>
      </w:r>
      <w:r>
        <w:rPr/>
        <w:t>une</w:t>
      </w:r>
      <w:r>
        <w:rPr>
          <w:spacing w:val="-1"/>
        </w:rPr>
        <w:t> </w:t>
      </w:r>
      <w:r>
        <w:rPr/>
        <w:t>des</w:t>
      </w:r>
      <w:r>
        <w:rPr>
          <w:spacing w:val="-1"/>
        </w:rPr>
        <w:t> </w:t>
      </w:r>
      <w:r>
        <w:rPr/>
        <w:t>deux</w:t>
      </w:r>
      <w:r>
        <w:rPr>
          <w:spacing w:val="-1"/>
        </w:rPr>
        <w:t> </w:t>
      </w:r>
      <w:r>
        <w:rPr/>
        <w:t>langues suivantes:</w:t>
      </w:r>
      <w:r>
        <w:rPr>
          <w:spacing w:val="-2"/>
        </w:rPr>
        <w:t> </w:t>
      </w:r>
      <w:r>
        <w:rPr/>
        <w:t>bulgare</w:t>
      </w:r>
      <w:r>
        <w:rPr>
          <w:spacing w:val="-2"/>
        </w:rPr>
        <w:t> </w:t>
      </w:r>
      <w:r>
        <w:rPr/>
        <w:t>ou</w:t>
      </w:r>
      <w:r>
        <w:rPr>
          <w:spacing w:val="-2"/>
        </w:rPr>
        <w:t> </w:t>
      </w:r>
      <w:r>
        <w:rPr/>
        <w:t>roumain,</w:t>
      </w:r>
      <w:r>
        <w:rPr>
          <w:spacing w:val="-2"/>
        </w:rPr>
        <w:t> </w:t>
      </w:r>
      <w:r>
        <w:rPr/>
        <w:t>et une</w:t>
      </w:r>
      <w:r>
        <w:rPr>
          <w:spacing w:val="-1"/>
        </w:rPr>
        <w:t> </w:t>
      </w:r>
      <w:r>
        <w:rPr/>
        <w:t>très bonne connaissance écrite et parlée de l'anglais, langue de travail de l'unité, sont requises.</w:t>
      </w:r>
    </w:p>
    <w:p>
      <w:pPr>
        <w:pStyle w:val="BodyText"/>
      </w:pPr>
    </w:p>
    <w:p>
      <w:pPr>
        <w:pStyle w:val="BodyText"/>
        <w:spacing w:before="6"/>
        <w:rPr>
          <w:sz w:val="19"/>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spacing w:line="240" w:lineRule="auto" w:before="10"/>
        <w:rPr>
          <w:b/>
          <w:sz w:val="15"/>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before="1"/>
        <w:ind w:left="556"/>
        <w:jc w:val="both"/>
        <w:rPr>
          <w:rFonts w:ascii="Times New Roman" w:hAnsi="Times New Roman"/>
        </w:rPr>
      </w:pPr>
      <w:r>
        <w:rPr>
          <w:rFonts w:ascii="Times New Roman" w:hAnsi="Times New Roman"/>
        </w:rPr>
        <w:t>Les</w:t>
      </w:r>
      <w:r>
        <w:rPr>
          <w:rFonts w:ascii="Times New Roman" w:hAnsi="Times New Roman"/>
          <w:spacing w:val="-8"/>
        </w:rPr>
        <w:t> </w:t>
      </w:r>
      <w:r>
        <w:rPr>
          <w:rFonts w:ascii="Times New Roman" w:hAnsi="Times New Roman"/>
        </w:rPr>
        <w:t>candidats</w:t>
      </w:r>
      <w:r>
        <w:rPr>
          <w:rFonts w:ascii="Times New Roman" w:hAnsi="Times New Roman"/>
          <w:spacing w:val="-6"/>
        </w:rPr>
        <w:t> </w:t>
      </w:r>
      <w:r>
        <w:rPr>
          <w:rFonts w:ascii="Times New Roman" w:hAnsi="Times New Roman"/>
        </w:rPr>
        <w:t>seront</w:t>
      </w:r>
      <w:r>
        <w:rPr>
          <w:rFonts w:ascii="Times New Roman" w:hAnsi="Times New Roman"/>
          <w:spacing w:val="-7"/>
        </w:rPr>
        <w:t> </w:t>
      </w:r>
      <w:r>
        <w:rPr>
          <w:rFonts w:ascii="Times New Roman" w:hAnsi="Times New Roman"/>
        </w:rPr>
        <w:t>informés</w:t>
      </w:r>
      <w:r>
        <w:rPr>
          <w:rFonts w:ascii="Times New Roman" w:hAnsi="Times New Roman"/>
          <w:spacing w:val="-7"/>
        </w:rPr>
        <w:t> </w:t>
      </w:r>
      <w:r>
        <w:rPr>
          <w:rFonts w:ascii="Times New Roman" w:hAnsi="Times New Roman"/>
        </w:rPr>
        <w:t>du</w:t>
      </w:r>
      <w:r>
        <w:rPr>
          <w:rFonts w:ascii="Times New Roman" w:hAnsi="Times New Roman"/>
          <w:spacing w:val="-7"/>
        </w:rPr>
        <w:t> </w:t>
      </w:r>
      <w:r>
        <w:rPr>
          <w:rFonts w:ascii="Times New Roman" w:hAnsi="Times New Roman"/>
        </w:rPr>
        <w:t>suivi</w:t>
      </w:r>
      <w:r>
        <w:rPr>
          <w:rFonts w:ascii="Times New Roman" w:hAnsi="Times New Roman"/>
          <w:spacing w:val="-7"/>
        </w:rPr>
        <w:t> </w:t>
      </w:r>
      <w:r>
        <w:rPr>
          <w:rFonts w:ascii="Times New Roman" w:hAnsi="Times New Roman"/>
        </w:rPr>
        <w:t>de</w:t>
      </w:r>
      <w:r>
        <w:rPr>
          <w:rFonts w:ascii="Times New Roman" w:hAnsi="Times New Roman"/>
          <w:spacing w:val="-7"/>
        </w:rPr>
        <w:t> </w:t>
      </w:r>
      <w:r>
        <w:rPr>
          <w:rFonts w:ascii="Times New Roman" w:hAnsi="Times New Roman"/>
        </w:rPr>
        <w:t>leur</w:t>
      </w:r>
      <w:r>
        <w:rPr>
          <w:rFonts w:ascii="Times New Roman" w:hAnsi="Times New Roman"/>
          <w:spacing w:val="-7"/>
        </w:rPr>
        <w:t> </w:t>
      </w:r>
      <w:r>
        <w:rPr>
          <w:rFonts w:ascii="Times New Roman" w:hAnsi="Times New Roman"/>
        </w:rPr>
        <w:t>candidature</w:t>
      </w:r>
      <w:r>
        <w:rPr>
          <w:rFonts w:ascii="Times New Roman" w:hAnsi="Times New Roman"/>
          <w:spacing w:val="-7"/>
        </w:rPr>
        <w:t> </w:t>
      </w:r>
      <w:r>
        <w:rPr>
          <w:rFonts w:ascii="Times New Roman" w:hAnsi="Times New Roman"/>
        </w:rPr>
        <w:t>par</w:t>
      </w:r>
      <w:r>
        <w:rPr>
          <w:rFonts w:ascii="Times New Roman" w:hAnsi="Times New Roman"/>
          <w:spacing w:val="-7"/>
        </w:rPr>
        <w:t> </w:t>
      </w:r>
      <w:r>
        <w:rPr>
          <w:rFonts w:ascii="Times New Roman" w:hAnsi="Times New Roman"/>
        </w:rPr>
        <w:t>l'unité</w:t>
      </w:r>
      <w:r>
        <w:rPr>
          <w:rFonts w:ascii="Times New Roman" w:hAnsi="Times New Roman"/>
          <w:spacing w:val="-8"/>
        </w:rPr>
        <w:t> </w:t>
      </w:r>
      <w:r>
        <w:rPr>
          <w:rFonts w:ascii="Times New Roman" w:hAnsi="Times New Roman"/>
          <w:spacing w:val="-2"/>
        </w:rPr>
        <w:t>concernée.</w:t>
      </w:r>
    </w:p>
    <w:p>
      <w:pPr>
        <w:pStyle w:val="ListParagraph"/>
        <w:numPr>
          <w:ilvl w:val="0"/>
          <w:numId w:val="4"/>
        </w:numPr>
        <w:tabs>
          <w:tab w:pos="557" w:val="left" w:leader="none"/>
        </w:tabs>
        <w:spacing w:line="240" w:lineRule="auto" w:before="2"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spacing w:line="240" w:lineRule="auto" w:before="10"/>
        <w:rPr>
          <w:b/>
          <w:sz w:val="15"/>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spacing w:line="240" w:lineRule="auto" w:before="1"/>
        <w:rPr>
          <w:sz w:val="22"/>
        </w:rPr>
      </w:pPr>
    </w:p>
    <w:p>
      <w:pPr>
        <w:pStyle w:val="BodyText"/>
        <w:ind w:left="556" w:right="285"/>
        <w:jc w:val="both"/>
        <w:rPr>
          <w:rFonts w:ascii="Times New Roman" w:hAnsi="Times New Roman"/>
        </w:rPr>
      </w:pPr>
      <w:r>
        <w:rPr>
          <w:rFonts w:ascii="Times New Roman" w:hAnsi="Times New Roman"/>
        </w:rPr>
        <w:t>L'END restera employé et rémunéré par son employeur durant toute la durée du détachement. Il restera également couvert par la sécurité sociale nationale durant son détachement.</w:t>
      </w:r>
    </w:p>
    <w:p>
      <w:pPr>
        <w:pStyle w:val="BodyText"/>
        <w:ind w:left="556" w:right="285"/>
        <w:jc w:val="both"/>
        <w:rPr>
          <w:rFonts w:ascii="Times New Roman" w:hAnsi="Times New Roman"/>
        </w:rPr>
      </w:pPr>
      <w:r>
        <w:rPr>
          <w:rFonts w:ascii="Times New Roman" w:hAnsi="Times New Roman"/>
        </w:rPr>
        <w:t>Sauf pour les END sans frais, des indemnités de séjour peuvent être versées à l'END qui remplit les conditions, conformément à l'article 17 de la décision END.</w:t>
      </w:r>
    </w:p>
    <w:p>
      <w:pPr>
        <w:spacing w:after="0"/>
        <w:jc w:val="both"/>
        <w:rPr>
          <w:rFonts w:ascii="Times New Roman" w:hAnsi="Times New Roman"/>
        </w:rPr>
        <w:sectPr>
          <w:pgSz w:w="11910" w:h="16840"/>
          <w:pgMar w:header="0" w:footer="690" w:top="1080" w:bottom="880" w:left="720" w:right="740"/>
        </w:sectPr>
      </w:pPr>
    </w:p>
    <w:p>
      <w:pPr>
        <w:pStyle w:val="BodyText"/>
        <w:spacing w:before="74"/>
        <w:ind w:left="556"/>
        <w:rPr>
          <w:rFonts w:ascii="Times New Roman" w:hAnsi="Times New Roman"/>
        </w:rPr>
      </w:pPr>
      <w:r>
        <w:rPr>
          <w:rFonts w:ascii="Times New Roman" w:hAnsi="Times New Roman"/>
        </w:rPr>
        <w:t>Durant</w:t>
      </w:r>
      <w:r>
        <w:rPr>
          <w:rFonts w:ascii="Times New Roman" w:hAnsi="Times New Roman"/>
          <w:spacing w:val="31"/>
        </w:rPr>
        <w:t> </w:t>
      </w:r>
      <w:r>
        <w:rPr>
          <w:rFonts w:ascii="Times New Roman" w:hAnsi="Times New Roman"/>
        </w:rPr>
        <w:t>le</w:t>
      </w:r>
      <w:r>
        <w:rPr>
          <w:rFonts w:ascii="Times New Roman" w:hAnsi="Times New Roman"/>
          <w:spacing w:val="31"/>
        </w:rPr>
        <w:t> </w:t>
      </w:r>
      <w:r>
        <w:rPr>
          <w:rFonts w:ascii="Times New Roman" w:hAnsi="Times New Roman"/>
        </w:rPr>
        <w:t>détachement,</w:t>
      </w:r>
      <w:r>
        <w:rPr>
          <w:rFonts w:ascii="Times New Roman" w:hAnsi="Times New Roman"/>
          <w:spacing w:val="32"/>
        </w:rPr>
        <w:t> </w:t>
      </w:r>
      <w:r>
        <w:rPr>
          <w:rFonts w:ascii="Times New Roman" w:hAnsi="Times New Roman"/>
        </w:rPr>
        <w:t>l'END</w:t>
      </w:r>
      <w:r>
        <w:rPr>
          <w:rFonts w:ascii="Times New Roman" w:hAnsi="Times New Roman"/>
          <w:spacing w:val="31"/>
        </w:rPr>
        <w:t> </w:t>
      </w:r>
      <w:r>
        <w:rPr>
          <w:rFonts w:ascii="Times New Roman" w:hAnsi="Times New Roman"/>
        </w:rPr>
        <w:t>sera</w:t>
      </w:r>
      <w:r>
        <w:rPr>
          <w:rFonts w:ascii="Times New Roman" w:hAnsi="Times New Roman"/>
          <w:spacing w:val="31"/>
        </w:rPr>
        <w:t> </w:t>
      </w:r>
      <w:r>
        <w:rPr>
          <w:rFonts w:ascii="Times New Roman" w:hAnsi="Times New Roman"/>
        </w:rPr>
        <w:t>soumis</w:t>
      </w:r>
      <w:r>
        <w:rPr>
          <w:rFonts w:ascii="Times New Roman" w:hAnsi="Times New Roman"/>
          <w:spacing w:val="31"/>
        </w:rPr>
        <w:t> </w:t>
      </w:r>
      <w:r>
        <w:rPr>
          <w:rFonts w:ascii="Times New Roman" w:hAnsi="Times New Roman"/>
        </w:rPr>
        <w:t>aux</w:t>
      </w:r>
      <w:r>
        <w:rPr>
          <w:rFonts w:ascii="Times New Roman" w:hAnsi="Times New Roman"/>
          <w:spacing w:val="32"/>
        </w:rPr>
        <w:t> </w:t>
      </w:r>
      <w:r>
        <w:rPr>
          <w:rFonts w:ascii="Times New Roman" w:hAnsi="Times New Roman"/>
        </w:rPr>
        <w:t>obligations</w:t>
      </w:r>
      <w:r>
        <w:rPr>
          <w:rFonts w:ascii="Times New Roman" w:hAnsi="Times New Roman"/>
          <w:spacing w:val="31"/>
        </w:rPr>
        <w:t> </w:t>
      </w:r>
      <w:r>
        <w:rPr>
          <w:rFonts w:ascii="Times New Roman" w:hAnsi="Times New Roman"/>
        </w:rPr>
        <w:t>de</w:t>
      </w:r>
      <w:r>
        <w:rPr>
          <w:rFonts w:ascii="Times New Roman" w:hAnsi="Times New Roman"/>
          <w:spacing w:val="31"/>
        </w:rPr>
        <w:t> </w:t>
      </w:r>
      <w:r>
        <w:rPr>
          <w:rFonts w:ascii="Times New Roman" w:hAnsi="Times New Roman"/>
        </w:rPr>
        <w:t>confidentialité,</w:t>
      </w:r>
      <w:r>
        <w:rPr>
          <w:rFonts w:ascii="Times New Roman" w:hAnsi="Times New Roman"/>
          <w:spacing w:val="30"/>
        </w:rPr>
        <w:t> </w:t>
      </w:r>
      <w:r>
        <w:rPr>
          <w:rFonts w:ascii="Times New Roman" w:hAnsi="Times New Roman"/>
        </w:rPr>
        <w:t>de</w:t>
      </w:r>
      <w:r>
        <w:rPr>
          <w:rFonts w:ascii="Times New Roman" w:hAnsi="Times New Roman"/>
          <w:spacing w:val="31"/>
        </w:rPr>
        <w:t> </w:t>
      </w:r>
      <w:r>
        <w:rPr>
          <w:rFonts w:ascii="Times New Roman" w:hAnsi="Times New Roman"/>
        </w:rPr>
        <w:t>loyauté</w:t>
      </w:r>
      <w:r>
        <w:rPr>
          <w:rFonts w:ascii="Times New Roman" w:hAnsi="Times New Roman"/>
          <w:spacing w:val="31"/>
        </w:rPr>
        <w:t> </w:t>
      </w:r>
      <w:r>
        <w:rPr>
          <w:rFonts w:ascii="Times New Roman" w:hAnsi="Times New Roman"/>
        </w:rPr>
        <w:t>et</w:t>
      </w:r>
      <w:r>
        <w:rPr>
          <w:rFonts w:ascii="Times New Roman" w:hAnsi="Times New Roman"/>
          <w:spacing w:val="31"/>
        </w:rPr>
        <w:t> </w:t>
      </w:r>
      <w:r>
        <w:rPr>
          <w:rFonts w:ascii="Times New Roman" w:hAnsi="Times New Roman"/>
        </w:rPr>
        <w:t>d'absence</w:t>
      </w:r>
      <w:r>
        <w:rPr>
          <w:rFonts w:ascii="Times New Roman" w:hAnsi="Times New Roman"/>
          <w:spacing w:val="31"/>
        </w:rPr>
        <w:t> </w:t>
      </w:r>
      <w:r>
        <w:rPr>
          <w:rFonts w:ascii="Times New Roman" w:hAnsi="Times New Roman"/>
        </w:rPr>
        <w:t>de conflit d'intérêt prévues par les articles 6 et 7 de la décision END.</w:t>
      </w:r>
    </w:p>
    <w:p>
      <w:pPr>
        <w:pStyle w:val="BodyText"/>
        <w:ind w:left="556"/>
        <w:rPr>
          <w:rFonts w:ascii="Times New Roman" w:hAnsi="Times New Roman"/>
        </w:rPr>
      </w:pPr>
      <w:r>
        <w:rPr>
          <w:rFonts w:ascii="Times New Roman" w:hAnsi="Times New Roman"/>
        </w:rPr>
        <w:t>Toute</w:t>
      </w:r>
      <w:r>
        <w:rPr>
          <w:rFonts w:ascii="Times New Roman" w:hAnsi="Times New Roman"/>
          <w:spacing w:val="-8"/>
        </w:rPr>
        <w:t> </w:t>
      </w:r>
      <w:r>
        <w:rPr>
          <w:rFonts w:ascii="Times New Roman" w:hAnsi="Times New Roman"/>
        </w:rPr>
        <w:t>déclaration</w:t>
      </w:r>
      <w:r>
        <w:rPr>
          <w:rFonts w:ascii="Times New Roman" w:hAnsi="Times New Roman"/>
          <w:spacing w:val="-6"/>
        </w:rPr>
        <w:t> </w:t>
      </w:r>
      <w:r>
        <w:rPr>
          <w:rFonts w:ascii="Times New Roman" w:hAnsi="Times New Roman"/>
        </w:rPr>
        <w:t>incomplète</w:t>
      </w:r>
      <w:r>
        <w:rPr>
          <w:rFonts w:ascii="Times New Roman" w:hAnsi="Times New Roman"/>
          <w:spacing w:val="-7"/>
        </w:rPr>
        <w:t> </w:t>
      </w:r>
      <w:r>
        <w:rPr>
          <w:rFonts w:ascii="Times New Roman" w:hAnsi="Times New Roman"/>
        </w:rPr>
        <w:t>ou</w:t>
      </w:r>
      <w:r>
        <w:rPr>
          <w:rFonts w:ascii="Times New Roman" w:hAnsi="Times New Roman"/>
          <w:spacing w:val="-7"/>
        </w:rPr>
        <w:t> </w:t>
      </w:r>
      <w:r>
        <w:rPr>
          <w:rFonts w:ascii="Times New Roman" w:hAnsi="Times New Roman"/>
        </w:rPr>
        <w:t>fausse</w:t>
      </w:r>
      <w:r>
        <w:rPr>
          <w:rFonts w:ascii="Times New Roman" w:hAnsi="Times New Roman"/>
          <w:spacing w:val="-7"/>
        </w:rPr>
        <w:t> </w:t>
      </w:r>
      <w:r>
        <w:rPr>
          <w:rFonts w:ascii="Times New Roman" w:hAnsi="Times New Roman"/>
        </w:rPr>
        <w:t>pourra</w:t>
      </w:r>
      <w:r>
        <w:rPr>
          <w:rFonts w:ascii="Times New Roman" w:hAnsi="Times New Roman"/>
          <w:spacing w:val="-7"/>
        </w:rPr>
        <w:t> </w:t>
      </w:r>
      <w:r>
        <w:rPr>
          <w:rFonts w:ascii="Times New Roman" w:hAnsi="Times New Roman"/>
        </w:rPr>
        <w:t>entraîner</w:t>
      </w:r>
      <w:r>
        <w:rPr>
          <w:rFonts w:ascii="Times New Roman" w:hAnsi="Times New Roman"/>
          <w:spacing w:val="-7"/>
        </w:rPr>
        <w:t> </w:t>
      </w:r>
      <w:r>
        <w:rPr>
          <w:rFonts w:ascii="Times New Roman" w:hAnsi="Times New Roman"/>
        </w:rPr>
        <w:t>le</w:t>
      </w:r>
      <w:r>
        <w:rPr>
          <w:rFonts w:ascii="Times New Roman" w:hAnsi="Times New Roman"/>
          <w:spacing w:val="-7"/>
        </w:rPr>
        <w:t> </w:t>
      </w:r>
      <w:r>
        <w:rPr>
          <w:rFonts w:ascii="Times New Roman" w:hAnsi="Times New Roman"/>
        </w:rPr>
        <w:t>refus</w:t>
      </w:r>
      <w:r>
        <w:rPr>
          <w:rFonts w:ascii="Times New Roman" w:hAnsi="Times New Roman"/>
          <w:spacing w:val="-7"/>
        </w:rPr>
        <w:t> </w:t>
      </w:r>
      <w:r>
        <w:rPr>
          <w:rFonts w:ascii="Times New Roman" w:hAnsi="Times New Roman"/>
        </w:rPr>
        <w:t>de</w:t>
      </w:r>
      <w:r>
        <w:rPr>
          <w:rFonts w:ascii="Times New Roman" w:hAnsi="Times New Roman"/>
          <w:spacing w:val="-8"/>
        </w:rPr>
        <w:t> </w:t>
      </w:r>
      <w:r>
        <w:rPr>
          <w:rFonts w:ascii="Times New Roman" w:hAnsi="Times New Roman"/>
        </w:rPr>
        <w:t>la</w:t>
      </w:r>
      <w:r>
        <w:rPr>
          <w:rFonts w:ascii="Times New Roman" w:hAnsi="Times New Roman"/>
          <w:spacing w:val="-7"/>
        </w:rPr>
        <w:t> </w:t>
      </w:r>
      <w:r>
        <w:rPr>
          <w:rFonts w:ascii="Times New Roman" w:hAnsi="Times New Roman"/>
          <w:spacing w:val="-2"/>
        </w:rPr>
        <w:t>candidature.</w:t>
      </w:r>
    </w:p>
    <w:p>
      <w:pPr>
        <w:spacing w:line="240" w:lineRule="auto" w:before="9"/>
        <w:rPr>
          <w:sz w:val="20"/>
        </w:rPr>
      </w:pPr>
    </w:p>
    <w:p>
      <w:pPr>
        <w:pStyle w:val="BodyText"/>
        <w:ind w:left="556" w:right="107"/>
        <w:jc w:val="both"/>
        <w:rPr>
          <w:rFonts w:ascii="Times New Roman" w:hAnsi="Times New Roman"/>
        </w:rPr>
      </w:pPr>
      <w:r>
        <w:rPr>
          <w:rFonts w:ascii="Times New Roman" w:hAnsi="Times New Roman"/>
        </w:rPr>
        <w:t>Toute personne postée dans une </w:t>
      </w:r>
      <w:r>
        <w:rPr>
          <w:rFonts w:ascii="Times New Roman" w:hAnsi="Times New Roman"/>
          <w:b/>
        </w:rPr>
        <w:t>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spacing w:line="240" w:lineRule="auto" w:before="3"/>
        <w:rPr>
          <w:sz w:val="24"/>
        </w:rPr>
      </w:pPr>
    </w:p>
    <w:p>
      <w:pPr>
        <w:pStyle w:val="ListParagraph"/>
        <w:numPr>
          <w:ilvl w:val="0"/>
          <w:numId w:val="4"/>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2"/>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spacing w:line="240" w:lineRule="auto" w:before="10"/>
        <w:rPr>
          <w:b/>
          <w:sz w:val="15"/>
        </w:rPr>
      </w:pPr>
    </w:p>
    <w:p>
      <w:pPr>
        <w:pStyle w:val="BodyText"/>
        <w:spacing w:before="91"/>
        <w:ind w:left="556" w:right="282"/>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rFonts w:ascii="Times New Roman" w:hAnsi="Times New Roman"/>
          <w:spacing w:val="-1"/>
        </w:rPr>
        <w:t> </w:t>
      </w:r>
      <w:r>
        <w:rPr>
          <w:rFonts w:ascii="Times New Roman" w:hAnsi="Times New Roman"/>
        </w:rPr>
        <w:t>de la Commission relative aux END et est soumis au Règlement (UE) No 2018/1725.</w:t>
      </w:r>
    </w:p>
    <w:p>
      <w:pPr>
        <w:pStyle w:val="BodyText"/>
        <w:spacing w:before="1"/>
        <w:ind w:left="556" w:right="282"/>
        <w:jc w:val="both"/>
        <w:rPr>
          <w:rFonts w:ascii="Times New Roman" w:hAnsi="Times New Roman"/>
        </w:rPr>
      </w:pPr>
      <w:r>
        <w:rPr>
          <w:rFonts w:ascii="Times New Roman" w:hAnsi="Times New Roman"/>
        </w:rPr>
        <w:t>Les données des END seront conservées pendant 10 ans à compter de la fin du détachement (2 ans pour les END dont la candidature n'a pas été retenue ou a été retirée).</w:t>
      </w:r>
    </w:p>
    <w:p>
      <w:pPr>
        <w:pStyle w:val="BodyText"/>
        <w:ind w:left="556" w:right="281"/>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w:t>
      </w:r>
      <w:r>
        <w:rPr>
          <w:rFonts w:ascii="Times New Roman" w:hAnsi="Times New Roman"/>
        </w:rPr>
        <w:t>du règlement (UE) 2018/1725, notamment le droit d'accès, de rectification ou d'effacement de vos données à caractère personnel et le droit de limiter le traitement de vos données personnelles. Le cas échéant, vous</w:t>
      </w:r>
      <w:r>
        <w:rPr>
          <w:rFonts w:ascii="Times New Roman" w:hAnsi="Times New Roman"/>
          <w:spacing w:val="80"/>
        </w:rPr>
        <w:t> </w:t>
      </w:r>
      <w:r>
        <w:rPr>
          <w:rFonts w:ascii="Times New Roman" w:hAnsi="Times New Roman"/>
        </w:rPr>
        <w:t>avez également le droit de vous opposer au traitement ou au droit à la portabilité des données.</w:t>
      </w:r>
    </w:p>
    <w:p>
      <w:pPr>
        <w:pStyle w:val="BodyText"/>
        <w:ind w:left="557" w:right="281"/>
        <w:jc w:val="both"/>
        <w:rPr>
          <w:rFonts w:ascii="Times New Roman" w:hAnsi="Times New Roman"/>
        </w:rPr>
      </w:pPr>
      <w:r>
        <w:rPr>
          <w:rFonts w:ascii="Times New Roman" w:hAnsi="Times New Roman"/>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spacing w:line="240" w:lineRule="auto" w:before="1"/>
        <w:rPr>
          <w:sz w:val="22"/>
        </w:rPr>
      </w:pPr>
    </w:p>
    <w:p>
      <w:pPr>
        <w:pStyle w:val="Heading1"/>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spacing w:line="240" w:lineRule="auto" w:before="11"/>
        <w:rPr>
          <w:b/>
          <w:sz w:val="13"/>
        </w:rPr>
      </w:pPr>
    </w:p>
    <w:p>
      <w:pPr>
        <w:pStyle w:val="ListParagraph"/>
        <w:numPr>
          <w:ilvl w:val="0"/>
          <w:numId w:val="6"/>
        </w:numPr>
        <w:tabs>
          <w:tab w:pos="839" w:val="left" w:leader="none"/>
        </w:tabs>
        <w:spacing w:line="240" w:lineRule="auto" w:before="90"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spacing w:before="1"/>
        <w:ind w:left="556" w:right="282"/>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rFonts w:ascii="Times New Roman" w:hAnsi="Times New Roman"/>
            <w:color w:val="0000FF"/>
            <w:u w:val="single" w:color="0000FF"/>
          </w:rPr>
          <w:t>HR-MAIL-B4@ec.europa.eu</w:t>
        </w:r>
        <w:r>
          <w:rPr>
            <w:rFonts w:ascii="Times New Roman" w:hAnsi="Times New Roman"/>
          </w:rPr>
          <w:t>.</w:t>
        </w:r>
      </w:hyperlink>
    </w:p>
    <w:p>
      <w:pPr>
        <w:spacing w:line="240" w:lineRule="auto" w:before="1"/>
        <w:rPr>
          <w:sz w:val="14"/>
        </w:rPr>
      </w:pPr>
    </w:p>
    <w:p>
      <w:pPr>
        <w:pStyle w:val="Heading1"/>
        <w:numPr>
          <w:ilvl w:val="0"/>
          <w:numId w:val="6"/>
        </w:numPr>
        <w:tabs>
          <w:tab w:pos="839" w:val="left" w:leader="none"/>
        </w:tabs>
        <w:spacing w:line="240" w:lineRule="auto"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spacing w:before="1"/>
        <w:ind w:left="556" w:right="284"/>
        <w:jc w:val="both"/>
        <w:rPr>
          <w:rFonts w:ascii="Times New Roman" w:hAnsi="Times New Roman"/>
        </w:rPr>
      </w:pPr>
      <w:r>
        <w:rPr>
          <w:rFonts w:ascii="Times New Roman" w:hAnsi="Times New Roman"/>
        </w:rPr>
        <w:t>Vous pouvez contacter le délégué à la protection des données (</w:t>
      </w:r>
      <w:hyperlink r:id="rId10">
        <w:r>
          <w:rPr>
            <w:rFonts w:ascii="Times New Roman" w:hAnsi="Times New Roman"/>
            <w:color w:val="0000FF"/>
            <w:u w:val="single" w:color="0000FF"/>
          </w:rPr>
          <w:t>DATA-PROTECTION-</w:t>
        </w:r>
      </w:hyperlink>
      <w:r>
        <w:rPr>
          <w:rFonts w:ascii="Times New Roman" w:hAnsi="Times New Roman"/>
          <w:color w:val="0000FF"/>
        </w:rPr>
        <w:t> </w:t>
      </w:r>
      <w:hyperlink r:id="rId10">
        <w:r>
          <w:rPr>
            <w:rFonts w:ascii="Times New Roman" w:hAnsi="Times New Roman"/>
            <w:color w:val="0000FF"/>
            <w:u w:val="single" w:color="0000FF"/>
          </w:rPr>
          <w:t>OFFICER@ec.europa.eu</w:t>
        </w:r>
      </w:hyperlink>
      <w:r>
        <w:rPr>
          <w:rFonts w:ascii="Times New Roman" w:hAnsi="Times New Roman"/>
        </w:rPr>
        <w:t>) pour toute question relative au traitement de vos données à caractère personnel en vertu du règlement (UE) 2018/1725.</w:t>
      </w:r>
    </w:p>
    <w:p>
      <w:pPr>
        <w:pStyle w:val="Heading1"/>
        <w:numPr>
          <w:ilvl w:val="0"/>
          <w:numId w:val="6"/>
        </w:numPr>
        <w:tabs>
          <w:tab w:pos="839" w:val="left" w:leader="none"/>
        </w:tabs>
        <w:spacing w:line="240" w:lineRule="auto" w:before="0"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spacing w:line="240" w:lineRule="auto" w:before="1"/>
        <w:rPr>
          <w:b/>
          <w:sz w:val="14"/>
        </w:rPr>
      </w:pPr>
    </w:p>
    <w:p>
      <w:pPr>
        <w:pStyle w:val="BodyText"/>
        <w:spacing w:before="91"/>
        <w:ind w:left="556" w:right="283"/>
        <w:jc w:val="both"/>
        <w:rPr>
          <w:rFonts w:ascii="Times New Roman" w:hAnsi="Times New Roman"/>
        </w:rPr>
      </w:pPr>
      <w:r>
        <w:rPr>
          <w:rFonts w:ascii="Times New Roman" w:hAnsi="Times New Roman"/>
        </w:rPr>
        <w:t>Vous avez le droit de saisir le contrôleur européen de la protection des données (</w:t>
      </w:r>
      <w:hyperlink r:id="rId11">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pPr>
        <w:spacing w:line="240" w:lineRule="auto" w:before="11"/>
        <w:rPr>
          <w:sz w:val="21"/>
        </w:rPr>
      </w:pPr>
    </w:p>
    <w:p>
      <w:pPr>
        <w:pStyle w:val="BodyText"/>
        <w:ind w:left="556"/>
        <w:rPr>
          <w:rFonts w:ascii="Times New Roman" w:hAnsi="Times New Roman"/>
        </w:rPr>
      </w:pPr>
      <w:r>
        <w:rPr>
          <w:rFonts w:ascii="Times New Roman" w:hAnsi="Times New Roman"/>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694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882" w:hanging="251"/>
      </w:pPr>
      <w:rPr>
        <w:rFonts w:hint="default"/>
        <w:lang w:val="fr-FR" w:eastAsia="en-US" w:bidi="ar-SA"/>
      </w:rPr>
    </w:lvl>
    <w:lvl w:ilvl="2">
      <w:start w:val="0"/>
      <w:numFmt w:val="bullet"/>
      <w:lvlText w:val="•"/>
      <w:lvlJc w:val="left"/>
      <w:pPr>
        <w:ind w:left="1405" w:hanging="251"/>
      </w:pPr>
      <w:rPr>
        <w:rFonts w:hint="default"/>
        <w:lang w:val="fr-FR" w:eastAsia="en-US" w:bidi="ar-SA"/>
      </w:rPr>
    </w:lvl>
    <w:lvl w:ilvl="3">
      <w:start w:val="0"/>
      <w:numFmt w:val="bullet"/>
      <w:lvlText w:val="•"/>
      <w:lvlJc w:val="left"/>
      <w:pPr>
        <w:ind w:left="1928" w:hanging="251"/>
      </w:pPr>
      <w:rPr>
        <w:rFonts w:hint="default"/>
        <w:lang w:val="fr-FR" w:eastAsia="en-US" w:bidi="ar-SA"/>
      </w:rPr>
    </w:lvl>
    <w:lvl w:ilvl="4">
      <w:start w:val="0"/>
      <w:numFmt w:val="bullet"/>
      <w:lvlText w:val="•"/>
      <w:lvlJc w:val="left"/>
      <w:pPr>
        <w:ind w:left="2450" w:hanging="251"/>
      </w:pPr>
      <w:rPr>
        <w:rFonts w:hint="default"/>
        <w:lang w:val="fr-FR" w:eastAsia="en-US" w:bidi="ar-SA"/>
      </w:rPr>
    </w:lvl>
    <w:lvl w:ilvl="5">
      <w:start w:val="0"/>
      <w:numFmt w:val="bullet"/>
      <w:lvlText w:val="•"/>
      <w:lvlJc w:val="left"/>
      <w:pPr>
        <w:ind w:left="2973" w:hanging="251"/>
      </w:pPr>
      <w:rPr>
        <w:rFonts w:hint="default"/>
        <w:lang w:val="fr-FR" w:eastAsia="en-US" w:bidi="ar-SA"/>
      </w:rPr>
    </w:lvl>
    <w:lvl w:ilvl="6">
      <w:start w:val="0"/>
      <w:numFmt w:val="bullet"/>
      <w:lvlText w:val="•"/>
      <w:lvlJc w:val="left"/>
      <w:pPr>
        <w:ind w:left="3496" w:hanging="251"/>
      </w:pPr>
      <w:rPr>
        <w:rFonts w:hint="default"/>
        <w:lang w:val="fr-FR" w:eastAsia="en-US" w:bidi="ar-SA"/>
      </w:rPr>
    </w:lvl>
    <w:lvl w:ilvl="7">
      <w:start w:val="0"/>
      <w:numFmt w:val="bullet"/>
      <w:lvlText w:val="•"/>
      <w:lvlJc w:val="left"/>
      <w:pPr>
        <w:ind w:left="4018" w:hanging="251"/>
      </w:pPr>
      <w:rPr>
        <w:rFonts w:hint="default"/>
        <w:lang w:val="fr-FR" w:eastAsia="en-US" w:bidi="ar-SA"/>
      </w:rPr>
    </w:lvl>
    <w:lvl w:ilvl="8">
      <w:start w:val="0"/>
      <w:numFmt w:val="bullet"/>
      <w:lvlText w:val="•"/>
      <w:lvlJc w:val="left"/>
      <w:pPr>
        <w:ind w:left="4541" w:hanging="251"/>
      </w:pPr>
      <w:rPr>
        <w:rFonts w:hint="default"/>
        <w:lang w:val="fr-FR" w:eastAsia="en-US" w:bidi="ar-SA"/>
      </w:rPr>
    </w:lvl>
  </w:abstractNum>
  <w:abstractNum w:abstractNumId="5">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4">
    <w:multiLevelType w:val="hybridMultilevel"/>
    <w:lvl w:ilvl="0">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908" w:hanging="129"/>
      </w:pPr>
      <w:rPr>
        <w:rFonts w:hint="default"/>
        <w:lang w:val="fr-FR" w:eastAsia="en-US" w:bidi="ar-SA"/>
      </w:rPr>
    </w:lvl>
    <w:lvl w:ilvl="2">
      <w:start w:val="0"/>
      <w:numFmt w:val="bullet"/>
      <w:lvlText w:val="•"/>
      <w:lvlJc w:val="left"/>
      <w:pPr>
        <w:ind w:left="2857" w:hanging="129"/>
      </w:pPr>
      <w:rPr>
        <w:rFonts w:hint="default"/>
        <w:lang w:val="fr-FR" w:eastAsia="en-US" w:bidi="ar-SA"/>
      </w:rPr>
    </w:lvl>
    <w:lvl w:ilvl="3">
      <w:start w:val="0"/>
      <w:numFmt w:val="bullet"/>
      <w:lvlText w:val="•"/>
      <w:lvlJc w:val="left"/>
      <w:pPr>
        <w:ind w:left="3805" w:hanging="129"/>
      </w:pPr>
      <w:rPr>
        <w:rFonts w:hint="default"/>
        <w:lang w:val="fr-FR" w:eastAsia="en-US" w:bidi="ar-SA"/>
      </w:rPr>
    </w:lvl>
    <w:lvl w:ilvl="4">
      <w:start w:val="0"/>
      <w:numFmt w:val="bullet"/>
      <w:lvlText w:val="•"/>
      <w:lvlJc w:val="left"/>
      <w:pPr>
        <w:ind w:left="4754" w:hanging="129"/>
      </w:pPr>
      <w:rPr>
        <w:rFonts w:hint="default"/>
        <w:lang w:val="fr-FR" w:eastAsia="en-US" w:bidi="ar-SA"/>
      </w:rPr>
    </w:lvl>
    <w:lvl w:ilvl="5">
      <w:start w:val="0"/>
      <w:numFmt w:val="bullet"/>
      <w:lvlText w:val="•"/>
      <w:lvlJc w:val="left"/>
      <w:pPr>
        <w:ind w:left="5703" w:hanging="129"/>
      </w:pPr>
      <w:rPr>
        <w:rFonts w:hint="default"/>
        <w:lang w:val="fr-FR" w:eastAsia="en-US" w:bidi="ar-SA"/>
      </w:rPr>
    </w:lvl>
    <w:lvl w:ilvl="6">
      <w:start w:val="0"/>
      <w:numFmt w:val="bullet"/>
      <w:lvlText w:val="•"/>
      <w:lvlJc w:val="left"/>
      <w:pPr>
        <w:ind w:left="6651" w:hanging="129"/>
      </w:pPr>
      <w:rPr>
        <w:rFonts w:hint="default"/>
        <w:lang w:val="fr-FR" w:eastAsia="en-US" w:bidi="ar-SA"/>
      </w:rPr>
    </w:lvl>
    <w:lvl w:ilvl="7">
      <w:start w:val="0"/>
      <w:numFmt w:val="bullet"/>
      <w:lvlText w:val="•"/>
      <w:lvlJc w:val="left"/>
      <w:pPr>
        <w:ind w:left="7600" w:hanging="129"/>
      </w:pPr>
      <w:rPr>
        <w:rFonts w:hint="default"/>
        <w:lang w:val="fr-FR" w:eastAsia="en-US" w:bidi="ar-SA"/>
      </w:rPr>
    </w:lvl>
    <w:lvl w:ilvl="8">
      <w:start w:val="0"/>
      <w:numFmt w:val="bullet"/>
      <w:lvlText w:val="•"/>
      <w:lvlJc w:val="left"/>
      <w:pPr>
        <w:ind w:left="8549" w:hanging="129"/>
      </w:pPr>
      <w:rPr>
        <w:rFonts w:hint="default"/>
        <w:lang w:val="fr-FR"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3">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040" w:hanging="284"/>
      </w:pPr>
      <w:rPr>
        <w:rFonts w:hint="default"/>
        <w:lang w:val="fr-FR" w:eastAsia="en-US" w:bidi="ar-SA"/>
      </w:rPr>
    </w:lvl>
    <w:lvl w:ilvl="4">
      <w:start w:val="0"/>
      <w:numFmt w:val="bullet"/>
      <w:lvlText w:val="•"/>
      <w:lvlJc w:val="left"/>
      <w:pPr>
        <w:ind w:left="3241" w:hanging="284"/>
      </w:pPr>
      <w:rPr>
        <w:rFonts w:hint="default"/>
        <w:lang w:val="fr-FR" w:eastAsia="en-US" w:bidi="ar-SA"/>
      </w:rPr>
    </w:lvl>
    <w:lvl w:ilvl="5">
      <w:start w:val="0"/>
      <w:numFmt w:val="bullet"/>
      <w:lvlText w:val="•"/>
      <w:lvlJc w:val="left"/>
      <w:pPr>
        <w:ind w:left="4442" w:hanging="284"/>
      </w:pPr>
      <w:rPr>
        <w:rFonts w:hint="default"/>
        <w:lang w:val="fr-FR" w:eastAsia="en-US" w:bidi="ar-SA"/>
      </w:rPr>
    </w:lvl>
    <w:lvl w:ilvl="6">
      <w:start w:val="0"/>
      <w:numFmt w:val="bullet"/>
      <w:lvlText w:val="•"/>
      <w:lvlJc w:val="left"/>
      <w:pPr>
        <w:ind w:left="5643" w:hanging="284"/>
      </w:pPr>
      <w:rPr>
        <w:rFonts w:hint="default"/>
        <w:lang w:val="fr-FR" w:eastAsia="en-US" w:bidi="ar-SA"/>
      </w:rPr>
    </w:lvl>
    <w:lvl w:ilvl="7">
      <w:start w:val="0"/>
      <w:numFmt w:val="bullet"/>
      <w:lvlText w:val="•"/>
      <w:lvlJc w:val="left"/>
      <w:pPr>
        <w:ind w:left="6844" w:hanging="284"/>
      </w:pPr>
      <w:rPr>
        <w:rFonts w:hint="default"/>
        <w:lang w:val="fr-FR" w:eastAsia="en-US" w:bidi="ar-SA"/>
      </w:rPr>
    </w:lvl>
    <w:lvl w:ilvl="8">
      <w:start w:val="0"/>
      <w:numFmt w:val="bullet"/>
      <w:lvlText w:val="•"/>
      <w:lvlJc w:val="left"/>
      <w:pPr>
        <w:ind w:left="8044" w:hanging="284"/>
      </w:pPr>
      <w:rPr>
        <w:rFonts w:hint="default"/>
        <w:lang w:val="fr-FR"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Calibri" w:hAnsi="Calibri" w:eastAsia="Calibri" w:cs="Calibri"/>
      <w:sz w:val="22"/>
      <w:szCs w:val="22"/>
      <w:lang w:val="fr-FR" w:eastAsia="en-US" w:bidi="ar-SA"/>
    </w:rPr>
  </w:style>
  <w:style w:styleId="Heading1" w:type="paragraph">
    <w:name w:val="Heading 1"/>
    <w:basedOn w:val="Normal"/>
    <w:uiPriority w:val="1"/>
    <w:qFormat/>
    <w:pPr>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rancesco.albore@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2023-04-02T21:04:09Z</dcterms:created>
  <dcterms:modified xsi:type="dcterms:W3CDTF">2023-04-02T21:04:09Z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D:20230331142403</vt:lpwstr>
  </property>
</Properties>
</file>