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2FFE9" w14:textId="77777777" w:rsidR="00447778" w:rsidRDefault="00447778" w:rsidP="00447778">
      <w:pPr>
        <w:ind w:left="720" w:right="1317"/>
        <w:jc w:val="center"/>
        <w:rPr>
          <w:b/>
        </w:rPr>
      </w:pPr>
      <w:r>
        <w:rPr>
          <w:noProof/>
          <w:lang w:val="en-GB" w:eastAsia="en-GB"/>
        </w:rPr>
        <w:drawing>
          <wp:anchor distT="0" distB="0" distL="114300" distR="114300" simplePos="0" relativeHeight="251659264" behindDoc="1" locked="0" layoutInCell="1" allowOverlap="0" wp14:anchorId="1FF4EF74" wp14:editId="1292E74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hotograph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graphi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606E60" w14:textId="77777777" w:rsidR="00447778" w:rsidRDefault="00447778" w:rsidP="00447778">
      <w:pPr>
        <w:ind w:left="720" w:right="1317"/>
        <w:jc w:val="center"/>
        <w:rPr>
          <w:b/>
        </w:rPr>
      </w:pPr>
    </w:p>
    <w:p w14:paraId="637745D2" w14:textId="77777777" w:rsidR="00447778" w:rsidRDefault="00447778" w:rsidP="00447778">
      <w:pPr>
        <w:pStyle w:val="P68B1DB1-Normal1"/>
        <w:ind w:left="720" w:right="1317"/>
        <w:jc w:val="center"/>
      </w:pPr>
      <w:r>
        <w:t>POSTE VACANT</w:t>
      </w:r>
    </w:p>
    <w:p w14:paraId="71BE672C" w14:textId="77777777" w:rsidR="00447778" w:rsidRDefault="00447778" w:rsidP="00447778">
      <w:pPr>
        <w:ind w:left="720" w:right="1317"/>
        <w:jc w:val="center"/>
        <w:rPr>
          <w:b/>
        </w:rPr>
      </w:pPr>
    </w:p>
    <w:p w14:paraId="3088F3AE" w14:textId="77777777" w:rsidR="00447778" w:rsidRDefault="00447778" w:rsidP="00447778">
      <w:pPr>
        <w:pStyle w:val="P68B1DB1-Normal1"/>
        <w:ind w:left="720" w:right="1317"/>
        <w:jc w:val="center"/>
      </w:pPr>
      <w:r>
        <w:t>EXPERT NATIONAL DÉTACHÉ À LA COMMISSION EUROPÉENNE</w:t>
      </w:r>
    </w:p>
    <w:p w14:paraId="10F914E2" w14:textId="77777777" w:rsidR="00447778" w:rsidRDefault="00447778" w:rsidP="00447778">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47778" w14:paraId="3A7B0ECF" w14:textId="77777777" w:rsidTr="003912DC">
        <w:trPr>
          <w:trHeight w:val="611"/>
          <w:jc w:val="center"/>
        </w:trPr>
        <w:tc>
          <w:tcPr>
            <w:tcW w:w="4359" w:type="dxa"/>
          </w:tcPr>
          <w:p w14:paraId="3EA2DE32" w14:textId="77777777" w:rsidR="00447778" w:rsidRDefault="00447778" w:rsidP="003912DC">
            <w:pPr>
              <w:pStyle w:val="P68B1DB1-Normal1"/>
              <w:ind w:right="-1881"/>
              <w:jc w:val="both"/>
            </w:pPr>
            <w:r>
              <w:t>Intitulé du poste:</w:t>
            </w:r>
          </w:p>
          <w:p w14:paraId="0932F192" w14:textId="77777777" w:rsidR="00447778" w:rsidRDefault="00447778" w:rsidP="003912DC">
            <w:pPr>
              <w:ind w:right="-1881"/>
              <w:jc w:val="both"/>
              <w:rPr>
                <w:sz w:val="20"/>
              </w:rPr>
            </w:pPr>
            <w:r>
              <w:t>(DG DIR-UNIT)</w:t>
            </w:r>
          </w:p>
        </w:tc>
        <w:tc>
          <w:tcPr>
            <w:tcW w:w="5597" w:type="dxa"/>
            <w:vAlign w:val="center"/>
          </w:tcPr>
          <w:p w14:paraId="026A1382" w14:textId="77777777" w:rsidR="00447778" w:rsidRDefault="00447778" w:rsidP="003912DC">
            <w:pPr>
              <w:pStyle w:val="P68B1DB1-Normal1"/>
            </w:pPr>
            <w:r>
              <w:t>HERA.02</w:t>
            </w:r>
          </w:p>
        </w:tc>
      </w:tr>
      <w:tr w:rsidR="00447778" w14:paraId="36717E3D" w14:textId="77777777" w:rsidTr="003912DC">
        <w:trPr>
          <w:trHeight w:val="1977"/>
          <w:jc w:val="center"/>
        </w:trPr>
        <w:tc>
          <w:tcPr>
            <w:tcW w:w="4359" w:type="dxa"/>
            <w:tcBorders>
              <w:bottom w:val="nil"/>
            </w:tcBorders>
          </w:tcPr>
          <w:p w14:paraId="1DF3F7F7" w14:textId="77777777" w:rsidR="00447778" w:rsidRDefault="00447778" w:rsidP="003912DC">
            <w:pPr>
              <w:pStyle w:val="P68B1DB1-Normal2"/>
              <w:tabs>
                <w:tab w:val="left" w:pos="1697"/>
              </w:tabs>
              <w:ind w:right="-1739"/>
              <w:jc w:val="both"/>
            </w:pPr>
            <w:r>
              <w:t>Chef d’unité:</w:t>
            </w:r>
          </w:p>
          <w:p w14:paraId="337C8444" w14:textId="77777777" w:rsidR="00447778" w:rsidRDefault="00447778" w:rsidP="003912DC">
            <w:pPr>
              <w:pStyle w:val="P68B1DB1-Normal2"/>
              <w:tabs>
                <w:tab w:val="left" w:pos="1697"/>
              </w:tabs>
              <w:ind w:right="-1739"/>
              <w:jc w:val="both"/>
            </w:pPr>
            <w:r>
              <w:t>Adresse électronique:</w:t>
            </w:r>
          </w:p>
          <w:p w14:paraId="4AEAEDC2" w14:textId="77777777" w:rsidR="00447778" w:rsidRDefault="00447778" w:rsidP="003912DC">
            <w:pPr>
              <w:pStyle w:val="P68B1DB1-Normal2"/>
              <w:tabs>
                <w:tab w:val="left" w:pos="1697"/>
              </w:tabs>
              <w:ind w:right="-1739"/>
              <w:jc w:val="both"/>
            </w:pPr>
            <w:r>
              <w:t>Téléphone:</w:t>
            </w:r>
          </w:p>
          <w:p w14:paraId="31B00923" w14:textId="77777777" w:rsidR="00447778" w:rsidRDefault="00447778" w:rsidP="003912DC">
            <w:pPr>
              <w:pStyle w:val="P68B1DB1-Normal2"/>
              <w:tabs>
                <w:tab w:val="left" w:pos="1697"/>
              </w:tabs>
              <w:ind w:right="-1739"/>
              <w:jc w:val="both"/>
            </w:pPr>
            <w:r>
              <w:t>Nombre de postes disponibles:</w:t>
            </w:r>
          </w:p>
          <w:p w14:paraId="495B5F80" w14:textId="77777777" w:rsidR="00447778" w:rsidRDefault="00447778" w:rsidP="003912DC">
            <w:pPr>
              <w:pStyle w:val="P68B1DB1-Normal2"/>
              <w:tabs>
                <w:tab w:val="left" w:pos="1697"/>
              </w:tabs>
              <w:ind w:right="-1739"/>
              <w:jc w:val="both"/>
            </w:pPr>
            <w:r>
              <w:t>Date d’entrée en fonction proposée:</w:t>
            </w:r>
          </w:p>
          <w:p w14:paraId="516B9EE5" w14:textId="77777777" w:rsidR="00447778" w:rsidRDefault="00447778" w:rsidP="003912DC">
            <w:pPr>
              <w:pStyle w:val="P68B1DB1-Normal2"/>
              <w:tabs>
                <w:tab w:val="left" w:pos="1697"/>
              </w:tabs>
              <w:ind w:right="-1739"/>
              <w:jc w:val="both"/>
            </w:pPr>
            <w:r>
              <w:t>Durée initiale proposée:</w:t>
            </w:r>
          </w:p>
          <w:p w14:paraId="28BB9886" w14:textId="77777777" w:rsidR="00447778" w:rsidRDefault="00447778" w:rsidP="003912DC">
            <w:pPr>
              <w:pStyle w:val="P68B1DB1-Normal2"/>
              <w:tabs>
                <w:tab w:val="left" w:pos="1697"/>
              </w:tabs>
              <w:ind w:right="-1739"/>
              <w:jc w:val="both"/>
            </w:pPr>
            <w:r>
              <w:t>Lieu d’affectation:</w:t>
            </w:r>
          </w:p>
        </w:tc>
        <w:tc>
          <w:tcPr>
            <w:tcW w:w="5597" w:type="dxa"/>
          </w:tcPr>
          <w:p w14:paraId="3FD724A5" w14:textId="77777777" w:rsidR="00447778" w:rsidRPr="00613364" w:rsidRDefault="00447778" w:rsidP="003912DC">
            <w:pPr>
              <w:rPr>
                <w:lang w:val="de-DE"/>
              </w:rPr>
            </w:pPr>
            <w:r w:rsidRPr="00613364">
              <w:rPr>
                <w:lang w:val="de-DE"/>
              </w:rPr>
              <w:t>Wolfgang PHILIPP</w:t>
            </w:r>
          </w:p>
          <w:p w14:paraId="3BA5B139" w14:textId="77777777" w:rsidR="00447778" w:rsidRPr="00613364" w:rsidRDefault="00447778" w:rsidP="003912DC">
            <w:pPr>
              <w:rPr>
                <w:lang w:val="de-DE"/>
              </w:rPr>
            </w:pPr>
            <w:r w:rsidRPr="00613364">
              <w:rPr>
                <w:lang w:val="de-DE"/>
              </w:rPr>
              <w:t>Wolfgang.Philipp@ec.europa.eu</w:t>
            </w:r>
          </w:p>
          <w:p w14:paraId="5E8CA508" w14:textId="77777777" w:rsidR="00447778" w:rsidRPr="00613364" w:rsidRDefault="00447778" w:rsidP="003912DC">
            <w:pPr>
              <w:rPr>
                <w:lang w:val="fr-BE"/>
              </w:rPr>
            </w:pPr>
            <w:r w:rsidRPr="00613364">
              <w:rPr>
                <w:lang w:val="fr-BE"/>
              </w:rPr>
              <w:t>+ 32-2-2968608</w:t>
            </w:r>
          </w:p>
          <w:p w14:paraId="54A40F21" w14:textId="77777777" w:rsidR="00447778" w:rsidRPr="00613364" w:rsidRDefault="00447778" w:rsidP="003912DC">
            <w:pPr>
              <w:rPr>
                <w:lang w:val="fr-BE"/>
              </w:rPr>
            </w:pPr>
            <w:r w:rsidRPr="00613364">
              <w:rPr>
                <w:lang w:val="fr-BE"/>
              </w:rPr>
              <w:t>2</w:t>
            </w:r>
          </w:p>
          <w:p w14:paraId="34E53C0E" w14:textId="77777777" w:rsidR="00447778" w:rsidRPr="00613364" w:rsidRDefault="00447778" w:rsidP="003912DC">
            <w:pPr>
              <w:pStyle w:val="P68B1DB1-Normal2"/>
              <w:ind w:right="1317"/>
              <w:jc w:val="both"/>
              <w:rPr>
                <w:lang w:val="fr-BE"/>
              </w:rPr>
            </w:pPr>
            <w:r w:rsidRPr="00613364">
              <w:rPr>
                <w:lang w:val="fr-BE"/>
              </w:rPr>
              <w:t>2</w:t>
            </w:r>
            <w:r w:rsidRPr="00613364">
              <w:rPr>
                <w:vertAlign w:val="superscript"/>
                <w:lang w:val="fr-BE"/>
              </w:rPr>
              <w:t>e</w:t>
            </w:r>
            <w:r w:rsidRPr="00613364">
              <w:rPr>
                <w:lang w:val="fr-BE"/>
              </w:rPr>
              <w:t xml:space="preserve"> semestre 2023 </w:t>
            </w:r>
            <w:r>
              <w:footnoteReference w:id="1"/>
            </w:r>
          </w:p>
          <w:p w14:paraId="593DC179" w14:textId="77777777" w:rsidR="00447778" w:rsidRDefault="00447778" w:rsidP="003912DC">
            <w:pPr>
              <w:pStyle w:val="P68B1DB1-Normal3"/>
              <w:ind w:right="1317"/>
              <w:jc w:val="both"/>
              <w:rPr>
                <w:b/>
              </w:rPr>
            </w:pPr>
            <w:r>
              <w:rPr>
                <w:b/>
              </w:rPr>
              <w:t>2 ans</w:t>
            </w:r>
            <w:r>
              <w:rPr>
                <w:b/>
                <w:vertAlign w:val="superscript"/>
              </w:rPr>
              <w:t>1</w:t>
            </w:r>
            <w:r>
              <w:rPr>
                <w:b/>
              </w:rPr>
              <w:t xml:space="preserve"> </w:t>
            </w:r>
          </w:p>
          <w:p w14:paraId="31341760" w14:textId="77777777" w:rsidR="00447778" w:rsidRDefault="00447778" w:rsidP="003912DC">
            <w:pPr>
              <w:pStyle w:val="P68B1DB1-Normal3"/>
            </w:pPr>
            <w:r>
              <w:rPr>
                <w:rFonts w:eastAsia="MS Minngs"/>
              </w:rPr>
              <w:t xml:space="preserve">X </w:t>
            </w:r>
            <w:r>
              <w:rPr>
                <w:b/>
              </w:rPr>
              <w:t xml:space="preserve">Bruxelles </w:t>
            </w:r>
            <w:r>
              <w:rPr>
                <w:rFonts w:eastAsia="MS Minngs"/>
              </w:rPr>
              <w:sym w:font="Wingdings 2" w:char="F0A3"/>
            </w:r>
            <w:r>
              <w:rPr>
                <w:rFonts w:eastAsia="MS Minngs"/>
              </w:rPr>
              <w:t xml:space="preserve"> </w:t>
            </w:r>
            <w:r>
              <w:rPr>
                <w:b/>
              </w:rPr>
              <w:t xml:space="preserve">Luxembourg </w:t>
            </w:r>
            <w:r>
              <w:rPr>
                <w:rFonts w:eastAsia="MS Minngs"/>
              </w:rPr>
              <w:sym w:font="Wingdings 2" w:char="F0A3"/>
            </w:r>
            <w:r>
              <w:rPr>
                <w:rFonts w:eastAsia="MS Minngs"/>
              </w:rPr>
              <w:t xml:space="preserve"> </w:t>
            </w:r>
            <w:r>
              <w:rPr>
                <w:rFonts w:eastAsia="MS Minngs"/>
                <w:b/>
              </w:rPr>
              <w:t>Autre</w:t>
            </w:r>
            <w:r>
              <w:rPr>
                <w:b/>
              </w:rPr>
              <w:t>: .................</w:t>
            </w:r>
          </w:p>
        </w:tc>
      </w:tr>
      <w:tr w:rsidR="00447778" w14:paraId="6366A53B" w14:textId="77777777" w:rsidTr="003912DC">
        <w:trPr>
          <w:trHeight w:val="545"/>
          <w:jc w:val="center"/>
        </w:trPr>
        <w:tc>
          <w:tcPr>
            <w:tcW w:w="4359" w:type="dxa"/>
            <w:tcBorders>
              <w:top w:val="nil"/>
              <w:left w:val="single" w:sz="4" w:space="0" w:color="auto"/>
              <w:bottom w:val="single" w:sz="4" w:space="0" w:color="auto"/>
              <w:right w:val="single" w:sz="4" w:space="0" w:color="auto"/>
            </w:tcBorders>
          </w:tcPr>
          <w:p w14:paraId="3B04C520" w14:textId="77777777" w:rsidR="00447778" w:rsidRDefault="00447778" w:rsidP="003912DC"/>
        </w:tc>
        <w:tc>
          <w:tcPr>
            <w:tcW w:w="5597" w:type="dxa"/>
            <w:tcBorders>
              <w:left w:val="single" w:sz="4" w:space="0" w:color="auto"/>
            </w:tcBorders>
            <w:vAlign w:val="center"/>
          </w:tcPr>
          <w:p w14:paraId="410B23BB" w14:textId="77777777" w:rsidR="00447778" w:rsidRDefault="00447778" w:rsidP="003912DC">
            <w:r>
              <w:rPr>
                <w:rStyle w:val="Strong"/>
                <w:sz w:val="22"/>
              </w:rPr>
              <w:t xml:space="preserve">X Avec indemnités Sans </w:t>
            </w:r>
            <w:r>
              <w:rPr>
                <w:rFonts w:eastAsia="MS Minngs"/>
                <w:sz w:val="22"/>
              </w:rPr>
              <w:sym w:font="Wingdings 2" w:char="F0A3"/>
            </w:r>
            <w:r>
              <w:rPr>
                <w:rFonts w:eastAsia="MS Minngs"/>
                <w:sz w:val="22"/>
              </w:rPr>
              <w:t xml:space="preserve"> </w:t>
            </w:r>
            <w:r>
              <w:rPr>
                <w:rStyle w:val="Strong"/>
                <w:sz w:val="22"/>
              </w:rPr>
              <w:t xml:space="preserve"> </w:t>
            </w:r>
            <w:r>
              <w:rPr>
                <w:rFonts w:eastAsia="MS Minngs"/>
                <w:sz w:val="22"/>
              </w:rPr>
              <w:t xml:space="preserve"> </w:t>
            </w:r>
            <w:r>
              <w:rPr>
                <w:b/>
                <w:sz w:val="22"/>
              </w:rPr>
              <w:t>frais</w:t>
            </w:r>
          </w:p>
        </w:tc>
      </w:tr>
      <w:tr w:rsidR="00447778" w14:paraId="58C72E4D" w14:textId="77777777" w:rsidTr="003912DC">
        <w:trPr>
          <w:trHeight w:val="2112"/>
          <w:jc w:val="center"/>
        </w:trPr>
        <w:tc>
          <w:tcPr>
            <w:tcW w:w="9956" w:type="dxa"/>
            <w:gridSpan w:val="2"/>
            <w:tcBorders>
              <w:top w:val="nil"/>
              <w:left w:val="single" w:sz="4" w:space="0" w:color="auto"/>
              <w:bottom w:val="single" w:sz="4" w:space="0" w:color="auto"/>
            </w:tcBorders>
            <w:vAlign w:val="center"/>
          </w:tcPr>
          <w:p w14:paraId="73DDC2A4" w14:textId="77777777" w:rsidR="00447778" w:rsidRDefault="00447778" w:rsidP="003912DC">
            <w:pPr>
              <w:pStyle w:val="P68B1DB1-Normal2"/>
            </w:pPr>
            <w:r>
              <w:t>Cet avis de vacance est aussi ouvert</w:t>
            </w:r>
          </w:p>
          <w:p w14:paraId="1D80F13C" w14:textId="77777777" w:rsidR="00447778" w:rsidRDefault="00447778" w:rsidP="003912DC">
            <w:pPr>
              <w:rPr>
                <w:b/>
                <w:sz w:val="22"/>
              </w:rPr>
            </w:pPr>
          </w:p>
          <w:p w14:paraId="76B354C0" w14:textId="77777777" w:rsidR="00447778" w:rsidRDefault="00447778" w:rsidP="003912DC">
            <w:pPr>
              <w:rPr>
                <w:sz w:val="22"/>
              </w:rPr>
            </w:pPr>
            <w:r>
              <w:rPr>
                <w:b/>
              </w:rPr>
              <w:sym w:font="Wingdings 2" w:char="F0A3"/>
            </w:r>
            <w:r>
              <w:rPr>
                <w:b/>
              </w:rPr>
              <w:t>aux pays AELE suivants:</w:t>
            </w:r>
            <w:r>
              <w:rPr>
                <w:b/>
              </w:rPr>
              <w:br/>
            </w:r>
            <w:r>
              <w:rPr>
                <w:b/>
              </w:rPr>
              <w:tab/>
            </w:r>
            <w:r>
              <w:rPr>
                <w:rFonts w:eastAsia="MS Minngs"/>
                <w:sz w:val="22"/>
              </w:rPr>
              <w:sym w:font="Wingdings 2" w:char="F0A3"/>
            </w:r>
            <w:r>
              <w:rPr>
                <w:rFonts w:eastAsia="MS Minngs"/>
                <w:sz w:val="22"/>
              </w:rPr>
              <w:t xml:space="preserve"> </w:t>
            </w:r>
            <w:r>
              <w:rPr>
                <w:b/>
              </w:rPr>
              <w:t xml:space="preserve">Islande, </w:t>
            </w:r>
            <w:r>
              <w:rPr>
                <w:rFonts w:eastAsia="MS Minngs"/>
                <w:sz w:val="22"/>
              </w:rPr>
              <w:sym w:font="Wingdings 2" w:char="F0A3"/>
            </w:r>
            <w:r>
              <w:rPr>
                <w:rFonts w:eastAsia="MS Minngs"/>
                <w:sz w:val="22"/>
              </w:rPr>
              <w:t xml:space="preserve"> </w:t>
            </w:r>
            <w:r>
              <w:rPr>
                <w:b/>
              </w:rPr>
              <w:t xml:space="preserve">Liechtenstein, </w:t>
            </w:r>
            <w:r>
              <w:rPr>
                <w:rFonts w:eastAsia="MS Minngs"/>
                <w:sz w:val="22"/>
              </w:rPr>
              <w:sym w:font="Wingdings 2" w:char="F0A3"/>
            </w:r>
            <w:r>
              <w:rPr>
                <w:rFonts w:eastAsia="MS Minngs"/>
                <w:sz w:val="22"/>
              </w:rPr>
              <w:t xml:space="preserve"> </w:t>
            </w:r>
            <w:r>
              <w:rPr>
                <w:b/>
              </w:rPr>
              <w:t xml:space="preserve">Norvège, </w:t>
            </w:r>
            <w:r>
              <w:rPr>
                <w:rFonts w:eastAsia="MS Minngs"/>
                <w:sz w:val="22"/>
              </w:rPr>
              <w:sym w:font="Wingdings 2" w:char="F0A3"/>
            </w:r>
            <w:r>
              <w:rPr>
                <w:rFonts w:eastAsia="MS Minngs"/>
                <w:sz w:val="22"/>
              </w:rPr>
              <w:t xml:space="preserve"> </w:t>
            </w:r>
            <w:r>
              <w:rPr>
                <w:b/>
              </w:rPr>
              <w:t xml:space="preserve">Suisse, </w:t>
            </w:r>
            <w:r>
              <w:rPr>
                <w:b/>
              </w:rPr>
              <w:br/>
            </w:r>
            <w:r>
              <w:rPr>
                <w:b/>
              </w:rPr>
              <w:tab/>
            </w:r>
            <w:r>
              <w:rPr>
                <w:rFonts w:eastAsia="MS Minngs"/>
                <w:sz w:val="22"/>
              </w:rPr>
              <w:sym w:font="Wingdings 2" w:char="F0A3"/>
            </w:r>
            <w:r>
              <w:rPr>
                <w:b/>
              </w:rPr>
              <w:t xml:space="preserve">Accord en nature AELE-EEE (Islande, Liechtenstein, Norvège) </w:t>
            </w:r>
            <w:r>
              <w:rPr>
                <w:b/>
              </w:rPr>
              <w:br/>
              <w:t xml:space="preserve"> </w:t>
            </w:r>
            <w:r>
              <w:rPr>
                <w:b/>
              </w:rPr>
              <w:sym w:font="Wingdings 2" w:char="F0A3"/>
            </w:r>
            <w:r>
              <w:rPr>
                <w:b/>
              </w:rPr>
              <w:t>    des pays tiers suivants:</w:t>
            </w:r>
            <w:r>
              <w:rPr>
                <w:b/>
              </w:rPr>
              <w:br/>
            </w:r>
            <w:r>
              <w:rPr>
                <w:b/>
              </w:rPr>
              <w:sym w:font="Wingdings 2" w:char="F0A3"/>
            </w:r>
            <w:r>
              <w:rPr>
                <w:b/>
              </w:rPr>
              <w:t>     l’organisation intergouvernementale suivante:</w:t>
            </w:r>
          </w:p>
        </w:tc>
      </w:tr>
    </w:tbl>
    <w:p w14:paraId="6C48372E" w14:textId="77777777" w:rsidR="00447778" w:rsidRDefault="00447778" w:rsidP="00447778"/>
    <w:p w14:paraId="2979DF8A" w14:textId="77777777" w:rsidR="00447778" w:rsidRDefault="00447778" w:rsidP="00447778">
      <w:pPr>
        <w:pStyle w:val="P68B1DB1-Normal1"/>
        <w:tabs>
          <w:tab w:val="left" w:pos="426"/>
        </w:tabs>
        <w:rPr>
          <w:u w:val="single"/>
        </w:rPr>
      </w:pPr>
      <w:r>
        <w:t>1.</w:t>
      </w:r>
      <w:r>
        <w:tab/>
      </w:r>
      <w:r>
        <w:rPr>
          <w:u w:val="single"/>
        </w:rPr>
        <w:t>Nature des tâches</w:t>
      </w:r>
    </w:p>
    <w:p w14:paraId="4381867A" w14:textId="77777777" w:rsidR="00447778" w:rsidRDefault="00447778" w:rsidP="00447778"/>
    <w:p w14:paraId="5B10CBE3" w14:textId="77777777" w:rsidR="00447778" w:rsidRDefault="00447778" w:rsidP="00447778">
      <w:pPr>
        <w:ind w:right="106"/>
        <w:jc w:val="both"/>
      </w:pPr>
      <w:r>
        <w:t xml:space="preserve">L’Autorité de préparation et de réaction en cas d’urgence sanitaire (HERA) a été créée pour renforcer la capacité de l’Europe à prévenir et détecter les urgences sanitaires transfrontières graves et à y </w:t>
      </w:r>
      <w:r w:rsidR="006435EB">
        <w:t>remédier</w:t>
      </w:r>
      <w:r>
        <w:t xml:space="preserve"> rapidement en assurant la mise au point, la fabrication, l’acquisition et la distribution de contre-mesures médicales nécessaires en cas de crise (MCM), telles que des masques, des tests de </w:t>
      </w:r>
      <w:r w:rsidR="006435EB">
        <w:t>dépistage</w:t>
      </w:r>
      <w:r>
        <w:t xml:space="preserve"> ou des médicaments. </w:t>
      </w:r>
    </w:p>
    <w:p w14:paraId="2E6AADF0" w14:textId="77777777" w:rsidR="00447778" w:rsidRDefault="00447778" w:rsidP="00447778">
      <w:pPr>
        <w:ind w:right="106"/>
        <w:jc w:val="both"/>
      </w:pPr>
    </w:p>
    <w:p w14:paraId="4D9FAE4C" w14:textId="77777777" w:rsidR="00447778" w:rsidRDefault="006435EB" w:rsidP="00447778">
      <w:pPr>
        <w:ind w:right="106"/>
        <w:jc w:val="both"/>
      </w:pPr>
      <w:r>
        <w:t xml:space="preserve">Par conséquent, </w:t>
      </w:r>
      <w:r w:rsidR="00447778">
        <w:t xml:space="preserve">HERA </w:t>
      </w:r>
      <w:r>
        <w:t>est en charge</w:t>
      </w:r>
      <w:r w:rsidR="00447778">
        <w:t xml:space="preserve"> de l’évaluation des </w:t>
      </w:r>
      <w:r>
        <w:t>menaces sanitaires</w:t>
      </w:r>
      <w:r w:rsidR="00447778">
        <w:t xml:space="preserve"> et de la collecte de renseignements sur les MCM </w:t>
      </w:r>
      <w:r>
        <w:t>adéquats</w:t>
      </w:r>
      <w:r w:rsidR="00447778">
        <w:t xml:space="preserve"> en cas de crise. Cette fonction est destinée </w:t>
      </w:r>
      <w:r w:rsidR="00447778">
        <w:rPr>
          <w:rStyle w:val="normaltextrun"/>
          <w:color w:val="000000"/>
        </w:rPr>
        <w:t xml:space="preserve">à recueillir les signaux d’éventuelles menaces sanitaires nécessitant une réponse MCM, à fournir une évaluation anticipée </w:t>
      </w:r>
      <w:r w:rsidR="009E5DB5">
        <w:rPr>
          <w:rStyle w:val="normaltextrun"/>
          <w:color w:val="000000"/>
        </w:rPr>
        <w:t>des</w:t>
      </w:r>
      <w:r w:rsidR="00447778">
        <w:rPr>
          <w:rStyle w:val="normaltextrun"/>
          <w:color w:val="000000"/>
        </w:rPr>
        <w:t xml:space="preserve"> menace</w:t>
      </w:r>
      <w:r w:rsidR="009E5DB5">
        <w:rPr>
          <w:rStyle w:val="normaltextrun"/>
          <w:color w:val="000000"/>
        </w:rPr>
        <w:t>s</w:t>
      </w:r>
      <w:r w:rsidR="00447778">
        <w:rPr>
          <w:rStyle w:val="normaltextrun"/>
          <w:color w:val="000000"/>
        </w:rPr>
        <w:t xml:space="preserve"> </w:t>
      </w:r>
      <w:r w:rsidR="009E5DB5">
        <w:rPr>
          <w:rStyle w:val="normaltextrun"/>
          <w:color w:val="000000"/>
        </w:rPr>
        <w:t>sanitaires</w:t>
      </w:r>
      <w:r w:rsidR="00447778">
        <w:rPr>
          <w:rStyle w:val="normaltextrun"/>
          <w:color w:val="000000"/>
        </w:rPr>
        <w:t xml:space="preserve"> et à suivre les chaînes d’approvisionnement en MCM, en remédiant aux pénuries, aux vulnérabilités et aux dépendances stratégiques.   </w:t>
      </w:r>
      <w:r w:rsidR="009E5DB5">
        <w:t>L’unité « </w:t>
      </w:r>
      <w:r w:rsidR="00C16225">
        <w:t>Re</w:t>
      </w:r>
      <w:r w:rsidR="00447778">
        <w:t>nse</w:t>
      </w:r>
      <w:r w:rsidR="009E5DB5">
        <w:t>ignement, analyse et innovation »</w:t>
      </w:r>
      <w:r w:rsidR="00447778">
        <w:t xml:space="preserve"> est chargée de cette fonction, qui sera facilitée par </w:t>
      </w:r>
      <w:r w:rsidR="009E5DB5">
        <w:t>le</w:t>
      </w:r>
      <w:r w:rsidR="00447778">
        <w:t xml:space="preserve"> système informatique ATHINA (Advanced </w:t>
      </w:r>
      <w:proofErr w:type="spellStart"/>
      <w:r w:rsidR="00447778">
        <w:t>Technology</w:t>
      </w:r>
      <w:proofErr w:type="spellEnd"/>
      <w:r w:rsidR="00447778">
        <w:t xml:space="preserve"> for </w:t>
      </w:r>
      <w:proofErr w:type="spellStart"/>
      <w:r w:rsidR="00447778">
        <w:t>Health</w:t>
      </w:r>
      <w:proofErr w:type="spellEnd"/>
      <w:r w:rsidR="00447778">
        <w:t xml:space="preserve"> Intelligence and Action IT System).</w:t>
      </w:r>
    </w:p>
    <w:p w14:paraId="01EE78D9" w14:textId="77777777" w:rsidR="00447778" w:rsidRDefault="00447778" w:rsidP="00447778">
      <w:pPr>
        <w:ind w:right="106"/>
        <w:jc w:val="both"/>
      </w:pPr>
    </w:p>
    <w:p w14:paraId="349ECB24" w14:textId="77777777" w:rsidR="00447778" w:rsidRDefault="00447778" w:rsidP="00447778">
      <w:pPr>
        <w:ind w:right="106"/>
        <w:jc w:val="both"/>
      </w:pPr>
      <w:r>
        <w:t xml:space="preserve">En raison de sa complexité, ATHINA sera progressivement développé. Athina se composera de cinq modules différents permettant de recueillir des informations sur les menaces </w:t>
      </w:r>
      <w:r w:rsidR="009E5DB5">
        <w:t>sanitaires</w:t>
      </w:r>
      <w:r>
        <w:t xml:space="preserve"> et les MCM, d’évaluer et de hiérarchiser les menaces, de cartographier et de simuler les scénarios potentiels et de permettre une réaction adéquate en cas d’urgence. Athina disposera également d’une</w:t>
      </w:r>
      <w:proofErr w:type="gramStart"/>
      <w:r>
        <w:t xml:space="preserve"> «colonne</w:t>
      </w:r>
      <w:proofErr w:type="gramEnd"/>
      <w:r>
        <w:t xml:space="preserve"> vertébrale» présentant plusieurs caractéristiques horizontales telles que l’administration, la collaboration, la recherche, la visu</w:t>
      </w:r>
      <w:r w:rsidR="0073700E">
        <w:t xml:space="preserve">alisation et le compte rendu. </w:t>
      </w:r>
      <w:r>
        <w:t xml:space="preserve">HERA a lancé un appel d’offres pour le développement de l’épine dorsale et de deux modules ainsi que pour une analyse plus approfondie des modules restants qui ne sont </w:t>
      </w:r>
      <w:r>
        <w:lastRenderedPageBreak/>
        <w:t xml:space="preserve">pas encore prêts pour la phase de développement. Les marchés seront attribués avant la fin de l’année 2023. </w:t>
      </w:r>
    </w:p>
    <w:p w14:paraId="4AE3E14C" w14:textId="77777777" w:rsidR="00447778" w:rsidRDefault="00447778" w:rsidP="00447778">
      <w:pPr>
        <w:ind w:right="106"/>
        <w:jc w:val="both"/>
      </w:pPr>
    </w:p>
    <w:p w14:paraId="2346FA73" w14:textId="77777777" w:rsidR="00447778" w:rsidRDefault="00447778" w:rsidP="00447778">
      <w:pPr>
        <w:ind w:right="106"/>
        <w:jc w:val="both"/>
      </w:pPr>
      <w:r>
        <w:t>L’unité «</w:t>
      </w:r>
      <w:r w:rsidR="00C16225">
        <w:t xml:space="preserve"> </w:t>
      </w:r>
      <w:r>
        <w:t>Renseignement, analyse et innovation</w:t>
      </w:r>
      <w:r w:rsidR="00C16225">
        <w:t xml:space="preserve"> </w:t>
      </w:r>
      <w:r>
        <w:t xml:space="preserve">» recherche deux experts en informatique qui travailleront avec le soumissionnaire sélectionné sur la mise en œuvre du contrat, </w:t>
      </w:r>
      <w:r w:rsidR="007275A9">
        <w:t>y compris le suivi du projet, la refonte</w:t>
      </w:r>
      <w:r>
        <w:t xml:space="preserve"> et l’évaluation des éléments </w:t>
      </w:r>
      <w:r w:rsidR="007275A9">
        <w:t>à fournir</w:t>
      </w:r>
      <w:r>
        <w:t xml:space="preserve"> afin de garantir l’adéquation des travaux réalisés ainsi que le développement et l’analyse en temps utile d’ATHINA pour satisfaire aux exigences opérationnelles nécessaires. En outre, les experts en informatique seront associés à la préparation des futures activités de passation de marchés en vue du développement des modules en </w:t>
      </w:r>
      <w:r w:rsidR="007275A9">
        <w:t>préparation</w:t>
      </w:r>
      <w:r>
        <w:t xml:space="preserve">.  </w:t>
      </w:r>
    </w:p>
    <w:p w14:paraId="7502DF72" w14:textId="77777777" w:rsidR="00447778" w:rsidRPr="00613364" w:rsidRDefault="00447778" w:rsidP="00447778">
      <w:pPr>
        <w:ind w:right="106"/>
        <w:jc w:val="both"/>
      </w:pPr>
    </w:p>
    <w:p w14:paraId="0A43182C" w14:textId="1FA5EC4B" w:rsidR="00447778" w:rsidRDefault="00447778" w:rsidP="00447778">
      <w:pPr>
        <w:spacing w:after="200" w:line="276" w:lineRule="auto"/>
        <w:jc w:val="both"/>
      </w:pPr>
      <w:r>
        <w:t xml:space="preserve">Les experts nationaux fourniront une assistance pour le déploiement </w:t>
      </w:r>
      <w:r w:rsidR="002A01B2">
        <w:t>du</w:t>
      </w:r>
      <w:r w:rsidR="005428D8">
        <w:t xml:space="preserve"> matériel et des logiciels et la configuration du système.</w:t>
      </w:r>
      <w:r w:rsidR="002846BB">
        <w:t xml:space="preserve"> Idéalement, ils fourniront</w:t>
      </w:r>
      <w:r>
        <w:t xml:space="preserve"> des conseils et une assistance spécialisés dans des technologies spécifiques telles que l’analyse des mégadonnées et </w:t>
      </w:r>
      <w:r w:rsidR="002A01B2">
        <w:t>l</w:t>
      </w:r>
      <w:r>
        <w:t xml:space="preserve">’intelligence artificielle. </w:t>
      </w:r>
    </w:p>
    <w:p w14:paraId="4B02F7EC" w14:textId="77777777" w:rsidR="00447778" w:rsidRDefault="00447778" w:rsidP="00447778">
      <w:pPr>
        <w:ind w:right="106"/>
        <w:jc w:val="both"/>
      </w:pPr>
    </w:p>
    <w:p w14:paraId="4BEDEB74" w14:textId="77777777" w:rsidR="00447778" w:rsidRDefault="00447778" w:rsidP="00447778">
      <w:pPr>
        <w:tabs>
          <w:tab w:val="left" w:pos="426"/>
        </w:tabs>
      </w:pPr>
    </w:p>
    <w:p w14:paraId="016EAF5D" w14:textId="77777777" w:rsidR="00447778" w:rsidRDefault="00447778" w:rsidP="00447778">
      <w:pPr>
        <w:pStyle w:val="P68B1DB1-Normal1"/>
        <w:tabs>
          <w:tab w:val="left" w:pos="426"/>
        </w:tabs>
        <w:rPr>
          <w:u w:val="single"/>
        </w:rPr>
      </w:pPr>
      <w:r>
        <w:t>2.</w:t>
      </w:r>
      <w:r>
        <w:tab/>
      </w:r>
      <w:r>
        <w:rPr>
          <w:u w:val="single"/>
        </w:rPr>
        <w:t>Principales qualifications</w:t>
      </w:r>
    </w:p>
    <w:p w14:paraId="0E4A3DAF" w14:textId="77777777" w:rsidR="00447778" w:rsidRDefault="00447778" w:rsidP="00447778"/>
    <w:p w14:paraId="512D0D35" w14:textId="77777777" w:rsidR="00447778" w:rsidRDefault="00447778" w:rsidP="00447778">
      <w:pPr>
        <w:pStyle w:val="P68B1DB1-Normal2"/>
        <w:ind w:left="426"/>
      </w:pPr>
      <w:r>
        <w:t>a) Critères d’éligibilité</w:t>
      </w:r>
    </w:p>
    <w:p w14:paraId="48609D28" w14:textId="77777777" w:rsidR="00447778" w:rsidRDefault="00447778" w:rsidP="00447778">
      <w:pPr>
        <w:ind w:left="426"/>
        <w:rPr>
          <w:sz w:val="22"/>
        </w:rPr>
      </w:pPr>
    </w:p>
    <w:p w14:paraId="3D79E318" w14:textId="77777777" w:rsidR="00447778" w:rsidRDefault="00447778" w:rsidP="00447778">
      <w:pPr>
        <w:pStyle w:val="P68B1DB1-Normal3"/>
        <w:ind w:left="426"/>
        <w:jc w:val="both"/>
      </w:pPr>
      <w:r>
        <w:t>Le candidat doit remplir les critères d’éligibilité ci-après pour pouvoir être détaché auprès de la Commission. Par conséquent, le candidat qui ne remplira pas tous ces critères sera automatiquement éliminé de la procédure de sélection.</w:t>
      </w:r>
    </w:p>
    <w:p w14:paraId="0809E836" w14:textId="77777777" w:rsidR="00447778" w:rsidRDefault="00447778" w:rsidP="00447778">
      <w:pPr>
        <w:ind w:left="426"/>
        <w:jc w:val="both"/>
        <w:rPr>
          <w:sz w:val="22"/>
        </w:rPr>
      </w:pPr>
    </w:p>
    <w:p w14:paraId="7F1E26F2" w14:textId="77777777" w:rsidR="00447778" w:rsidRDefault="00447778" w:rsidP="00447778">
      <w:pPr>
        <w:pStyle w:val="P68B1DB1-Normal3"/>
        <w:ind w:left="709" w:hanging="283"/>
        <w:jc w:val="both"/>
      </w:pPr>
      <w:r>
        <w:t>•</w:t>
      </w:r>
      <w:r>
        <w:tab/>
      </w:r>
      <w:r>
        <w:rPr>
          <w:u w:val="single"/>
        </w:rPr>
        <w:t>Expérience professionnelle</w:t>
      </w:r>
      <w:r>
        <w:t>: posséder une expérience professionnelle d’au moins trois ans dans des fonctions administratives, juridiques, scientifiques, techniques, de conseil ou de supervision, à un grade équivalant au groupe de fonctions administrateur AD;</w:t>
      </w:r>
    </w:p>
    <w:p w14:paraId="42C90F1F" w14:textId="77777777" w:rsidR="00447778" w:rsidRDefault="00447778" w:rsidP="00447778">
      <w:pPr>
        <w:ind w:left="426"/>
        <w:jc w:val="both"/>
        <w:rPr>
          <w:sz w:val="22"/>
        </w:rPr>
      </w:pPr>
    </w:p>
    <w:p w14:paraId="3655DFD2" w14:textId="77777777" w:rsidR="00447778" w:rsidRDefault="00447778" w:rsidP="00447778">
      <w:pPr>
        <w:pStyle w:val="P68B1DB1-Normal3"/>
        <w:ind w:left="709" w:hanging="283"/>
        <w:jc w:val="both"/>
      </w:pPr>
      <w:r>
        <w:t>•</w:t>
      </w:r>
      <w:r>
        <w:tab/>
      </w:r>
      <w:r>
        <w:rPr>
          <w:u w:val="single"/>
        </w:rPr>
        <w:t>Ancienneté</w:t>
      </w:r>
      <w:r>
        <w:t xml:space="preserve">: avoir une ancienneté d’au moins un an auprès de son employeur, c’est-à-dire être employé depuis au moins un an par un employeur éligible au sens de l’article 1er de la décision END, dans un cadre statutaire ou contractuel avant le détachement; </w:t>
      </w:r>
    </w:p>
    <w:p w14:paraId="177840AD" w14:textId="77777777" w:rsidR="00447778" w:rsidRDefault="00447778" w:rsidP="00447778">
      <w:pPr>
        <w:ind w:left="426"/>
        <w:jc w:val="both"/>
        <w:rPr>
          <w:sz w:val="22"/>
        </w:rPr>
      </w:pPr>
    </w:p>
    <w:p w14:paraId="7B55E7F6" w14:textId="77777777" w:rsidR="00447778" w:rsidRDefault="00447778" w:rsidP="00447778">
      <w:pPr>
        <w:pStyle w:val="P68B1DB1-Normal3"/>
        <w:ind w:left="709" w:hanging="283"/>
        <w:jc w:val="both"/>
      </w:pPr>
      <w:r>
        <w:t>•</w:t>
      </w:r>
      <w:r>
        <w:tab/>
      </w:r>
      <w:r>
        <w:rPr>
          <w:u w:val="single"/>
        </w:rPr>
        <w:t>Compétences</w:t>
      </w:r>
      <w:r w:rsidR="002846BB">
        <w:rPr>
          <w:u w:val="single"/>
        </w:rPr>
        <w:t xml:space="preserve"> </w:t>
      </w:r>
      <w:r>
        <w:t>linguistiques</w:t>
      </w:r>
      <w:r w:rsidR="002846BB">
        <w:t> :</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29B0D4A2" w14:textId="77777777" w:rsidR="00447778" w:rsidRDefault="00447778" w:rsidP="00447778"/>
    <w:p w14:paraId="7FDA25E3" w14:textId="77777777" w:rsidR="00447778" w:rsidRDefault="00447778" w:rsidP="00447778">
      <w:pPr>
        <w:pStyle w:val="P68B1DB1-Normal2"/>
        <w:tabs>
          <w:tab w:val="left" w:pos="317"/>
        </w:tabs>
        <w:ind w:left="426" w:right="1317"/>
        <w:jc w:val="both"/>
      </w:pPr>
      <w:r>
        <w:t>b)</w:t>
      </w:r>
      <w:r>
        <w:tab/>
      </w:r>
      <w:r>
        <w:rPr>
          <w:u w:val="single"/>
        </w:rPr>
        <w:t>Les critères de sélection</w:t>
      </w:r>
    </w:p>
    <w:p w14:paraId="6EEC69E7" w14:textId="77777777" w:rsidR="00447778" w:rsidRDefault="00447778" w:rsidP="00447778"/>
    <w:p w14:paraId="7EA7A73E" w14:textId="77777777" w:rsidR="00447778" w:rsidRDefault="00447778" w:rsidP="00447778">
      <w:pPr>
        <w:pStyle w:val="P68B1DB1-Normal3"/>
        <w:tabs>
          <w:tab w:val="left" w:pos="709"/>
        </w:tabs>
        <w:ind w:left="709" w:right="60"/>
        <w:jc w:val="both"/>
      </w:pPr>
      <w:r>
        <w:rPr>
          <w:u w:val="single"/>
        </w:rPr>
        <w:t>Diplôme</w:t>
      </w:r>
      <w:r>
        <w:t xml:space="preserve"> </w:t>
      </w:r>
    </w:p>
    <w:p w14:paraId="00C7FE1F" w14:textId="77777777" w:rsidR="00447778" w:rsidRDefault="00447778" w:rsidP="00447778">
      <w:pPr>
        <w:pStyle w:val="P68B1DB1-Normal3"/>
        <w:tabs>
          <w:tab w:val="left" w:pos="709"/>
        </w:tabs>
        <w:ind w:left="709" w:right="1317"/>
        <w:jc w:val="both"/>
      </w:pPr>
      <w:r>
        <w:t xml:space="preserve">— diplôme universitaire </w:t>
      </w:r>
      <w:proofErr w:type="gramStart"/>
      <w:r>
        <w:t>ou</w:t>
      </w:r>
      <w:proofErr w:type="gramEnd"/>
      <w:r>
        <w:t xml:space="preserve"> </w:t>
      </w:r>
    </w:p>
    <w:p w14:paraId="136CA3D6" w14:textId="77777777" w:rsidR="00447778" w:rsidRDefault="00447778" w:rsidP="00447778">
      <w:pPr>
        <w:pStyle w:val="P68B1DB1-Normal3"/>
        <w:tabs>
          <w:tab w:val="left" w:pos="709"/>
        </w:tabs>
        <w:ind w:left="709" w:right="1317"/>
        <w:jc w:val="both"/>
      </w:pPr>
      <w:proofErr w:type="gramStart"/>
      <w:r>
        <w:t>formation</w:t>
      </w:r>
      <w:proofErr w:type="gramEnd"/>
      <w:r>
        <w:t xml:space="preserve"> professionnelle ou expérience professionnelle de niveau équivalent</w:t>
      </w:r>
    </w:p>
    <w:p w14:paraId="49D6018A" w14:textId="77777777" w:rsidR="00447778" w:rsidRDefault="00447778" w:rsidP="00447778">
      <w:pPr>
        <w:tabs>
          <w:tab w:val="left" w:pos="709"/>
        </w:tabs>
        <w:ind w:left="709" w:right="1317"/>
        <w:jc w:val="both"/>
        <w:rPr>
          <w:sz w:val="22"/>
        </w:rPr>
      </w:pPr>
    </w:p>
    <w:p w14:paraId="3205E456" w14:textId="77777777" w:rsidR="00447778" w:rsidRDefault="00447778" w:rsidP="00447778">
      <w:pPr>
        <w:pStyle w:val="P68B1DB1-Normal3"/>
        <w:tabs>
          <w:tab w:val="left" w:pos="709"/>
        </w:tabs>
        <w:ind w:left="709" w:right="60"/>
        <w:jc w:val="both"/>
      </w:pPr>
      <w:r>
        <w:t xml:space="preserve">  </w:t>
      </w:r>
      <w:proofErr w:type="gramStart"/>
      <w:r>
        <w:t>dans</w:t>
      </w:r>
      <w:proofErr w:type="gramEnd"/>
      <w:r>
        <w:t xml:space="preserve"> le (s) domaine (s):</w:t>
      </w:r>
    </w:p>
    <w:p w14:paraId="27158744" w14:textId="38711058" w:rsidR="00447778" w:rsidRPr="00613364" w:rsidRDefault="00447778" w:rsidP="00447778">
      <w:pPr>
        <w:pStyle w:val="P68B1DB1-ListParagraph4"/>
        <w:tabs>
          <w:tab w:val="left" w:pos="709"/>
        </w:tabs>
        <w:ind w:left="709" w:right="60"/>
        <w:jc w:val="both"/>
        <w:rPr>
          <w:color w:val="auto"/>
          <w:sz w:val="22"/>
        </w:rPr>
      </w:pPr>
      <w:r w:rsidRPr="00613364">
        <w:rPr>
          <w:color w:val="auto"/>
          <w:sz w:val="22"/>
        </w:rPr>
        <w:t>Ingénieur</w:t>
      </w:r>
      <w:r w:rsidR="002846BB" w:rsidRPr="00613364">
        <w:rPr>
          <w:color w:val="auto"/>
          <w:sz w:val="22"/>
        </w:rPr>
        <w:t xml:space="preserve"> </w:t>
      </w:r>
      <w:r w:rsidR="002A01B2" w:rsidRPr="00613364">
        <w:rPr>
          <w:color w:val="auto"/>
          <w:sz w:val="22"/>
        </w:rPr>
        <w:t>en</w:t>
      </w:r>
      <w:r w:rsidRPr="00613364">
        <w:rPr>
          <w:color w:val="auto"/>
          <w:sz w:val="22"/>
        </w:rPr>
        <w:t xml:space="preserve"> système d’information </w:t>
      </w:r>
      <w:r w:rsidR="002846BB" w:rsidRPr="00613364">
        <w:rPr>
          <w:color w:val="auto"/>
          <w:sz w:val="22"/>
        </w:rPr>
        <w:t xml:space="preserve">et </w:t>
      </w:r>
      <w:r w:rsidRPr="00613364">
        <w:rPr>
          <w:color w:val="auto"/>
          <w:sz w:val="22"/>
        </w:rPr>
        <w:t>de communication et/ou système d’information et/ou technologie de l’information.</w:t>
      </w:r>
    </w:p>
    <w:p w14:paraId="7FF3153D" w14:textId="77777777" w:rsidR="00563CEB" w:rsidRDefault="00563CEB" w:rsidP="00447778">
      <w:pPr>
        <w:pStyle w:val="P68B1DB1-Normal5"/>
        <w:tabs>
          <w:tab w:val="left" w:pos="709"/>
        </w:tabs>
        <w:ind w:left="709" w:right="60"/>
        <w:jc w:val="both"/>
      </w:pPr>
    </w:p>
    <w:p w14:paraId="2B82C7B0" w14:textId="77777777" w:rsidR="00447778" w:rsidRDefault="00447778" w:rsidP="00563CEB">
      <w:pPr>
        <w:pStyle w:val="P68B1DB1-Normal5"/>
        <w:tabs>
          <w:tab w:val="left" w:pos="709"/>
        </w:tabs>
        <w:ind w:left="709" w:right="60"/>
        <w:jc w:val="both"/>
      </w:pPr>
      <w:r>
        <w:t>Expérience professionnelle</w:t>
      </w:r>
    </w:p>
    <w:p w14:paraId="53336E99" w14:textId="03CDDA6F" w:rsidR="00447778" w:rsidRPr="00613364" w:rsidRDefault="00447778" w:rsidP="00613364">
      <w:pPr>
        <w:pStyle w:val="P68B1DB1-ListParagraph4"/>
        <w:tabs>
          <w:tab w:val="left" w:pos="709"/>
        </w:tabs>
        <w:ind w:left="709" w:right="60"/>
        <w:jc w:val="both"/>
        <w:rPr>
          <w:color w:val="auto"/>
          <w:sz w:val="22"/>
        </w:rPr>
      </w:pPr>
      <w:r w:rsidRPr="00613364">
        <w:rPr>
          <w:color w:val="auto"/>
          <w:sz w:val="22"/>
        </w:rPr>
        <w:t xml:space="preserve">Interconnexion du système d’information, conception, développement et </w:t>
      </w:r>
      <w:r w:rsidR="002A01B2" w:rsidRPr="00613364">
        <w:rPr>
          <w:color w:val="auto"/>
          <w:sz w:val="22"/>
        </w:rPr>
        <w:t>test</w:t>
      </w:r>
      <w:r w:rsidRPr="00613364">
        <w:rPr>
          <w:color w:val="auto"/>
          <w:sz w:val="22"/>
        </w:rPr>
        <w:t xml:space="preserve"> des systè</w:t>
      </w:r>
      <w:r w:rsidR="00613364">
        <w:rPr>
          <w:color w:val="auto"/>
          <w:sz w:val="22"/>
        </w:rPr>
        <w:t>mes d’information.</w:t>
      </w:r>
    </w:p>
    <w:p w14:paraId="7726BE3E" w14:textId="77777777" w:rsidR="00563CEB" w:rsidRPr="00613364" w:rsidRDefault="00563CEB" w:rsidP="00613364">
      <w:pPr>
        <w:pStyle w:val="P68B1DB1-ListParagraph4"/>
        <w:tabs>
          <w:tab w:val="left" w:pos="709"/>
        </w:tabs>
        <w:ind w:left="709" w:right="60"/>
        <w:jc w:val="both"/>
        <w:rPr>
          <w:color w:val="auto"/>
          <w:sz w:val="22"/>
        </w:rPr>
      </w:pPr>
    </w:p>
    <w:p w14:paraId="245D487C" w14:textId="77777777" w:rsidR="00447778" w:rsidRDefault="00447778" w:rsidP="00447778">
      <w:pPr>
        <w:pStyle w:val="P68B1DB1-Normal5"/>
        <w:tabs>
          <w:tab w:val="left" w:pos="709"/>
        </w:tabs>
        <w:ind w:left="709" w:right="60"/>
        <w:jc w:val="both"/>
      </w:pPr>
      <w:r>
        <w:t>Langue (s) nécessaire (s) pour l’accomplissement des tâches</w:t>
      </w:r>
    </w:p>
    <w:p w14:paraId="4239A0D0" w14:textId="77777777" w:rsidR="00447778" w:rsidRDefault="00447778" w:rsidP="00447778">
      <w:pPr>
        <w:tabs>
          <w:tab w:val="left" w:pos="709"/>
        </w:tabs>
        <w:ind w:left="709" w:right="60"/>
        <w:jc w:val="both"/>
      </w:pPr>
      <w:r>
        <w:t xml:space="preserve">Une bonne capacité à communiquer oralement et par écrit de manière </w:t>
      </w:r>
      <w:r w:rsidR="00563CEB">
        <w:t>claire</w:t>
      </w:r>
      <w:r>
        <w:t xml:space="preserve"> et structurée en anglais est essentielle.</w:t>
      </w:r>
    </w:p>
    <w:p w14:paraId="37DB12D2" w14:textId="77777777" w:rsidR="00563CEB" w:rsidRDefault="00563CEB" w:rsidP="00447778">
      <w:pPr>
        <w:tabs>
          <w:tab w:val="left" w:pos="709"/>
        </w:tabs>
        <w:ind w:left="709" w:right="60"/>
        <w:jc w:val="both"/>
      </w:pPr>
    </w:p>
    <w:p w14:paraId="6A6DD229" w14:textId="77777777" w:rsidR="00447778" w:rsidRDefault="00447778" w:rsidP="00447778">
      <w:pPr>
        <w:pStyle w:val="P68B1DB1-Normal1"/>
        <w:tabs>
          <w:tab w:val="left" w:pos="426"/>
        </w:tabs>
      </w:pPr>
      <w:r>
        <w:lastRenderedPageBreak/>
        <w:t>3.</w:t>
      </w:r>
      <w:r>
        <w:tab/>
      </w:r>
      <w:r>
        <w:rPr>
          <w:u w:val="single"/>
        </w:rPr>
        <w:t>Soumission des candidatures et procédure de sélection</w:t>
      </w:r>
    </w:p>
    <w:p w14:paraId="122460DD" w14:textId="77777777" w:rsidR="00447778" w:rsidRDefault="00447778" w:rsidP="00447778"/>
    <w:p w14:paraId="18A4BC54" w14:textId="77777777" w:rsidR="00447778" w:rsidRDefault="00447778" w:rsidP="00447778">
      <w:pPr>
        <w:pStyle w:val="P68B1DB1-Normal3"/>
        <w:ind w:left="426" w:right="175"/>
        <w:jc w:val="both"/>
        <w:rPr>
          <w:b/>
        </w:rPr>
      </w:pPr>
      <w:r>
        <w:t xml:space="preserve">Les </w:t>
      </w:r>
      <w:r w:rsidR="00563CEB">
        <w:t>personnes intéressées</w:t>
      </w:r>
      <w:r>
        <w:t xml:space="preserve"> doivent envoyer leur candidature </w:t>
      </w:r>
      <w:r w:rsidR="00563CEB">
        <w:t>au</w:t>
      </w:r>
      <w:r>
        <w:rPr>
          <w:b/>
        </w:rPr>
        <w:t xml:space="preserve"> format CV Europass </w:t>
      </w:r>
      <w:r w:rsidRPr="00563CEB">
        <w:rPr>
          <w:color w:val="0000FF"/>
        </w:rPr>
        <w:t>(</w:t>
      </w:r>
      <w:r>
        <w:t>http://europass.cedefop.europa.eu/en/documents/curriculum-vitae) en anglais, français ou allemand</w:t>
      </w:r>
      <w:r>
        <w:rPr>
          <w:b/>
        </w:rPr>
        <w:t xml:space="preserve"> </w:t>
      </w:r>
      <w:r>
        <w:rPr>
          <w:b/>
          <w:u w:val="single"/>
        </w:rPr>
        <w:t>uniquement à la représentation permanente/mission diplomatique de leur pays auprès de l’UE</w:t>
      </w:r>
      <w:r>
        <w:t>, qui la transmettra aux services compétents de la Commission dans le délai fixé par cette dernière.</w:t>
      </w:r>
      <w:r>
        <w:rPr>
          <w:b/>
        </w:rPr>
        <w:t xml:space="preserve"> </w:t>
      </w:r>
      <w:r>
        <w:t>Le CV doit mentionner la date de naissance et la nationalité du candidat.</w:t>
      </w:r>
      <w:r>
        <w:rPr>
          <w:b/>
        </w:rPr>
        <w:t xml:space="preserve"> Le non-respect de cette procédure ou des délais invalidera automatiquement la candidature.</w:t>
      </w:r>
    </w:p>
    <w:p w14:paraId="02D9A548" w14:textId="77777777" w:rsidR="00447778" w:rsidRDefault="00447778" w:rsidP="00447778">
      <w:pPr>
        <w:ind w:left="426" w:right="175"/>
        <w:jc w:val="both"/>
        <w:rPr>
          <w:b/>
          <w:sz w:val="22"/>
          <w:u w:val="single"/>
        </w:rPr>
      </w:pPr>
    </w:p>
    <w:p w14:paraId="72A6688F" w14:textId="77777777" w:rsidR="00447778" w:rsidRDefault="00447778" w:rsidP="00447778">
      <w:pPr>
        <w:pStyle w:val="P68B1DB1-Normal3"/>
        <w:tabs>
          <w:tab w:val="left" w:pos="8539"/>
        </w:tabs>
        <w:ind w:left="426" w:right="161"/>
        <w:jc w:val="both"/>
      </w:pPr>
      <w:r>
        <w:t>Les candidats sont priés de ne pas joindre à leur candidature d’autres documents</w:t>
      </w:r>
      <w:r>
        <w:rPr>
          <w:b/>
        </w:rPr>
        <w:t xml:space="preserve"> </w:t>
      </w:r>
      <w:r>
        <w:t xml:space="preserve">(tels que copie de carte d’identité, copie des diplômes et attestations d’expérience </w:t>
      </w:r>
      <w:proofErr w:type="gramStart"/>
      <w:r w:rsidR="00563CEB">
        <w:t>professionnelle,…</w:t>
      </w:r>
      <w:proofErr w:type="gramEnd"/>
      <w:r w:rsidR="00563CEB">
        <w:t xml:space="preserve"> </w:t>
      </w:r>
      <w:r>
        <w:t>). Ces documents leur s</w:t>
      </w:r>
      <w:r w:rsidR="00563CEB">
        <w:t xml:space="preserve">eront demandés, le cas échéant, </w:t>
      </w:r>
      <w:r>
        <w:t xml:space="preserve">à un stade ultérieur. </w:t>
      </w:r>
    </w:p>
    <w:p w14:paraId="75063900" w14:textId="77777777" w:rsidR="00447778" w:rsidRDefault="00447778" w:rsidP="00447778">
      <w:pPr>
        <w:pStyle w:val="P68B1DB1-Normal3"/>
        <w:ind w:left="426"/>
      </w:pPr>
      <w:r>
        <w:t xml:space="preserve">Les candidats seront informés du suivi de leur </w:t>
      </w:r>
      <w:r w:rsidR="00563CEB">
        <w:t>dossier</w:t>
      </w:r>
      <w:r>
        <w:t xml:space="preserve"> par l’unité concernée.</w:t>
      </w:r>
    </w:p>
    <w:p w14:paraId="0AC599EF" w14:textId="77777777" w:rsidR="00563CEB" w:rsidRDefault="00563CEB" w:rsidP="00447778">
      <w:pPr>
        <w:pStyle w:val="P68B1DB1-Normal3"/>
        <w:ind w:left="426"/>
      </w:pPr>
    </w:p>
    <w:p w14:paraId="59AF0CB6" w14:textId="77777777" w:rsidR="00447778" w:rsidRDefault="00447778" w:rsidP="00447778">
      <w:pPr>
        <w:pStyle w:val="P68B1DB1-Normal1"/>
        <w:tabs>
          <w:tab w:val="left" w:pos="426"/>
        </w:tabs>
      </w:pPr>
      <w:r>
        <w:t>4.</w:t>
      </w:r>
      <w:r>
        <w:tab/>
      </w:r>
      <w:r>
        <w:rPr>
          <w:u w:val="single"/>
        </w:rPr>
        <w:t>Conditions du détachement</w:t>
      </w:r>
    </w:p>
    <w:p w14:paraId="2B87865F" w14:textId="77777777" w:rsidR="00447778" w:rsidRDefault="00447778" w:rsidP="00447778"/>
    <w:p w14:paraId="093AC5B4" w14:textId="77777777" w:rsidR="00447778" w:rsidRDefault="00447778" w:rsidP="00447778">
      <w:pPr>
        <w:pStyle w:val="P68B1DB1-Normal3"/>
        <w:ind w:left="426" w:right="175"/>
        <w:jc w:val="both"/>
      </w:pPr>
      <w:r>
        <w:t xml:space="preserve">Les détachements sont régis par la </w:t>
      </w:r>
      <w:r>
        <w:rPr>
          <w:b/>
        </w:rPr>
        <w:t>décision de la Commission C (2008) 6866 du 12/11/2008 relative au régime applicable</w:t>
      </w:r>
      <w:r>
        <w:t xml:space="preserve"> aux experts nationaux détachés et aux experts nationaux en formation professionnelle auprès des services de la Commission (décision END). Cette décision est </w:t>
      </w:r>
      <w:r w:rsidR="00DA0686">
        <w:t>accessible</w:t>
      </w:r>
      <w:r>
        <w:t xml:space="preserve"> à l’adresse suivante</w:t>
      </w:r>
      <w:hyperlink r:id="rId8" w:history="1">
        <w:r>
          <w:rPr>
            <w:color w:val="0000FF"/>
            <w:u w:val="single"/>
          </w:rPr>
          <w:t>: http://ec.europa.eu/civil_service/job/sne/index_en.htm</w:t>
        </w:r>
      </w:hyperlink>
      <w:r>
        <w:t>.</w:t>
      </w:r>
    </w:p>
    <w:p w14:paraId="2EBF400A" w14:textId="77777777" w:rsidR="00447778" w:rsidRDefault="00447778" w:rsidP="00447778">
      <w:pPr>
        <w:pStyle w:val="P68B1DB1-Normal3"/>
        <w:ind w:left="426" w:right="175"/>
        <w:jc w:val="both"/>
      </w:pPr>
      <w:r>
        <w:t xml:space="preserve">L’END restera employé et rémunéré par son employeur pendant toute la durée du détachement. Il restera également couvert par le système de sécurité sociale national. </w:t>
      </w:r>
    </w:p>
    <w:p w14:paraId="7A089B91" w14:textId="77777777" w:rsidR="00447778" w:rsidRDefault="00447778" w:rsidP="00447778">
      <w:pPr>
        <w:pStyle w:val="P68B1DB1-Normal3"/>
        <w:ind w:left="426" w:right="175"/>
        <w:jc w:val="both"/>
      </w:pPr>
      <w:r>
        <w:t xml:space="preserve">Sauf pour les END sans frais, des indemnités peuvent être versées par la Commission à l’END qui remplit les conditions prévues à l’article 17 de la décision END. </w:t>
      </w:r>
    </w:p>
    <w:p w14:paraId="37450502" w14:textId="77777777" w:rsidR="00447778" w:rsidRDefault="00447778" w:rsidP="00447778">
      <w:pPr>
        <w:ind w:left="426" w:right="175"/>
        <w:jc w:val="both"/>
        <w:rPr>
          <w:sz w:val="22"/>
        </w:rPr>
      </w:pPr>
    </w:p>
    <w:p w14:paraId="6DDDF6F7" w14:textId="77777777" w:rsidR="00447778" w:rsidRDefault="00447778" w:rsidP="00447778">
      <w:pPr>
        <w:pStyle w:val="P68B1DB1-Normal3"/>
        <w:ind w:left="426" w:right="175"/>
        <w:jc w:val="both"/>
      </w:pPr>
      <w:r>
        <w:t>Durant le détachement, l’END sera soumis aux obligations de confidentialité, de loyauté et d’absence de conflit d’intérêt prévues par les articles 6 et 7 de la décision END.</w:t>
      </w:r>
    </w:p>
    <w:p w14:paraId="77584861" w14:textId="77777777" w:rsidR="00447778" w:rsidRDefault="00447778" w:rsidP="00447778">
      <w:pPr>
        <w:pStyle w:val="P68B1DB1-Normal7"/>
        <w:ind w:left="426" w:right="175"/>
        <w:jc w:val="both"/>
      </w:pPr>
      <w:r>
        <w:t>Tout document inexact, incomplet ou manquant pourra entraîner l’annulation de la candidature.</w:t>
      </w:r>
    </w:p>
    <w:p w14:paraId="10DDABC0" w14:textId="77777777" w:rsidR="00447778" w:rsidRDefault="00447778" w:rsidP="00447778">
      <w:pPr>
        <w:ind w:left="426" w:right="175"/>
        <w:jc w:val="both"/>
        <w:rPr>
          <w:sz w:val="22"/>
        </w:rPr>
      </w:pPr>
    </w:p>
    <w:p w14:paraId="231297A1" w14:textId="77777777" w:rsidR="00447778" w:rsidRDefault="00447778" w:rsidP="00447778">
      <w:pPr>
        <w:pStyle w:val="P68B1DB1-Normal3"/>
        <w:ind w:left="426" w:right="175"/>
        <w:jc w:val="both"/>
      </w:pPr>
      <w:r>
        <w:t xml:space="preserve">Le personnel affecté dans une </w:t>
      </w:r>
      <w:r>
        <w:rPr>
          <w:b/>
        </w:rPr>
        <w:t>délégation de l’Union européenne</w:t>
      </w:r>
      <w:r>
        <w:t xml:space="preserve"> devra disposer d’une habilitation de sécurité [jusqu’au niveau SECRET UE/EU SECRET, conformément à la décision (UE, Euratom) 2015/444 de la Commission du 13 mars 2015, JO L 72 du 17.3.2015, p. 53].</w:t>
      </w:r>
    </w:p>
    <w:p w14:paraId="1B4FBBC8" w14:textId="77777777" w:rsidR="00447778" w:rsidRDefault="00447778" w:rsidP="00447778">
      <w:pPr>
        <w:pStyle w:val="P68B1DB1-Normal3"/>
        <w:ind w:left="426"/>
        <w:jc w:val="both"/>
      </w:pPr>
      <w:r>
        <w:t>Le candidat choisi aura l’obligation de lancer cette procédure d’habilitation de sécurité avant d’obtenir la confirmation de son détachement.</w:t>
      </w:r>
    </w:p>
    <w:p w14:paraId="5CE39549" w14:textId="77777777" w:rsidR="00447778" w:rsidRDefault="00447778" w:rsidP="00447778"/>
    <w:p w14:paraId="21E3031D" w14:textId="77777777" w:rsidR="00447778" w:rsidRDefault="00447778" w:rsidP="00447778">
      <w:pPr>
        <w:pStyle w:val="P68B1DB1-Normal1"/>
        <w:tabs>
          <w:tab w:val="left" w:pos="426"/>
        </w:tabs>
      </w:pPr>
      <w:r>
        <w:t>5.</w:t>
      </w:r>
      <w:r>
        <w:tab/>
      </w:r>
      <w:r>
        <w:rPr>
          <w:u w:val="single"/>
        </w:rPr>
        <w:t>Traitement des données à caractère personnel</w:t>
      </w:r>
    </w:p>
    <w:p w14:paraId="1CFB311A" w14:textId="77777777" w:rsidR="00447778" w:rsidRDefault="00447778" w:rsidP="00447778"/>
    <w:p w14:paraId="6B976372" w14:textId="77777777" w:rsidR="00447778" w:rsidRDefault="00447778" w:rsidP="00447778">
      <w:pPr>
        <w:pStyle w:val="P68B1DB1-Normal3"/>
        <w:ind w:left="426" w:right="176"/>
        <w:jc w:val="both"/>
      </w:pPr>
      <w: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END et sur le règlement </w:t>
      </w:r>
      <w:r>
        <w:rPr>
          <w:rFonts w:eastAsia="Calibri"/>
        </w:rPr>
        <w:t>(UE) no 2018/1725.</w:t>
      </w:r>
      <w:r>
        <w:t xml:space="preserve"> </w:t>
      </w:r>
    </w:p>
    <w:p w14:paraId="29CF04AD" w14:textId="77777777" w:rsidR="00447778" w:rsidRDefault="00447778" w:rsidP="00447778">
      <w:pPr>
        <w:pStyle w:val="P68B1DB1-Normal3"/>
        <w:ind w:left="426" w:right="176"/>
        <w:jc w:val="both"/>
      </w:pPr>
      <w:r>
        <w:t xml:space="preserve">Les données sont conservées par les services compétents pendant 10 ans à compter </w:t>
      </w:r>
      <w:r w:rsidR="00437D59">
        <w:t>à partir de</w:t>
      </w:r>
      <w:r>
        <w:t xml:space="preserve"> la fin du détachement (2 ans pour les experts non sélectionnés ou non détachés).</w:t>
      </w:r>
    </w:p>
    <w:p w14:paraId="05F328DC" w14:textId="77777777" w:rsidR="00437D59" w:rsidRDefault="00437D59" w:rsidP="00447778">
      <w:pPr>
        <w:pStyle w:val="P68B1DB1-Normal3"/>
        <w:ind w:left="426" w:right="176"/>
        <w:jc w:val="both"/>
      </w:pPr>
    </w:p>
    <w:p w14:paraId="5C732263" w14:textId="77777777" w:rsidR="00447778" w:rsidRDefault="00447778" w:rsidP="00447778">
      <w:pPr>
        <w:pStyle w:val="P68B1DB1-Normal3"/>
        <w:ind w:left="426" w:right="176"/>
        <w:jc w:val="both"/>
      </w:pPr>
      <w:r>
        <w:t>Vous avez des droits spécifiques en qualité de «</w:t>
      </w:r>
      <w:r w:rsidR="00C02EF8">
        <w:t xml:space="preserve"> </w:t>
      </w:r>
      <w:r>
        <w:t>personne concernée</w:t>
      </w:r>
      <w:r w:rsidR="00C02EF8">
        <w:t xml:space="preserve"> </w:t>
      </w:r>
      <w:r>
        <w:t>» au titre du chapitre III (articles 14-25) du règlement (UE) 2018/1725, en particulier le droit de consulter, de rectifier ou de supprimer vos données à caractère personnel</w:t>
      </w:r>
      <w:r w:rsidR="00C02EF8">
        <w:t xml:space="preserve"> et le droit d’en restreindre l’accès</w:t>
      </w:r>
      <w:r>
        <w:t xml:space="preserve">. Le cas échéant, vous avez également le droit de vous opposer au traitement ou </w:t>
      </w:r>
      <w:r w:rsidR="00C02EF8">
        <w:t>au transfert</w:t>
      </w:r>
      <w:r>
        <w:t xml:space="preserve"> des données.</w:t>
      </w:r>
    </w:p>
    <w:p w14:paraId="47FB1F15" w14:textId="77777777" w:rsidR="00447778" w:rsidRDefault="00447778" w:rsidP="00447778">
      <w:pPr>
        <w:pStyle w:val="P68B1DB1-Normal3"/>
        <w:ind w:left="426" w:right="175"/>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14:paraId="07E450C8" w14:textId="77777777" w:rsidR="00447778" w:rsidRDefault="00447778" w:rsidP="00447778">
      <w:pPr>
        <w:ind w:left="426" w:right="175"/>
        <w:jc w:val="both"/>
        <w:rPr>
          <w:sz w:val="22"/>
        </w:rPr>
      </w:pPr>
    </w:p>
    <w:p w14:paraId="5CFBCE90" w14:textId="77777777" w:rsidR="00447778" w:rsidRDefault="00447778" w:rsidP="00447778">
      <w:pPr>
        <w:pStyle w:val="P68B1DB1-Normal8"/>
        <w:ind w:left="426" w:right="176"/>
      </w:pPr>
      <w:r>
        <w:t>Coordonnées</w:t>
      </w:r>
    </w:p>
    <w:p w14:paraId="43305636" w14:textId="77777777" w:rsidR="00447778" w:rsidRDefault="00447778" w:rsidP="00447778">
      <w:pPr>
        <w:ind w:left="426" w:right="176"/>
        <w:rPr>
          <w:sz w:val="22"/>
        </w:rPr>
      </w:pPr>
    </w:p>
    <w:p w14:paraId="30681EAC" w14:textId="77777777" w:rsidR="00447778" w:rsidRDefault="00447778" w:rsidP="00447778">
      <w:pPr>
        <w:pStyle w:val="P68B1DB1-Normal2"/>
        <w:numPr>
          <w:ilvl w:val="0"/>
          <w:numId w:val="1"/>
        </w:numPr>
        <w:tabs>
          <w:tab w:val="left" w:pos="426"/>
        </w:tabs>
        <w:spacing w:line="276" w:lineRule="auto"/>
        <w:ind w:left="426" w:right="176" w:firstLine="0"/>
        <w:jc w:val="both"/>
      </w:pPr>
      <w:r>
        <w:t>Responsable du traitement</w:t>
      </w:r>
    </w:p>
    <w:p w14:paraId="256D8A26" w14:textId="77777777" w:rsidR="00447778" w:rsidRDefault="00447778" w:rsidP="00447778">
      <w:pPr>
        <w:pStyle w:val="P68B1DB1-Normal3"/>
        <w:tabs>
          <w:tab w:val="left" w:pos="709"/>
        </w:tabs>
        <w:ind w:left="709" w:right="176"/>
        <w:jc w:val="both"/>
      </w:pPr>
      <w:r>
        <w:lastRenderedPageBreak/>
        <w:t xml:space="preserve">Si vous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HR.DDG.B.4, </w:t>
      </w:r>
      <w:hyperlink r:id="rId9" w:history="1">
        <w:r>
          <w:rPr>
            <w:color w:val="0000FF"/>
            <w:u w:val="single"/>
          </w:rPr>
          <w:t>HR-MAIL-B4@ec.europa.eu</w:t>
        </w:r>
      </w:hyperlink>
    </w:p>
    <w:p w14:paraId="7659893A" w14:textId="77777777" w:rsidR="00447778" w:rsidRDefault="00447778" w:rsidP="00447778">
      <w:pPr>
        <w:ind w:left="426" w:right="176"/>
        <w:jc w:val="both"/>
        <w:rPr>
          <w:sz w:val="22"/>
        </w:rPr>
      </w:pPr>
    </w:p>
    <w:p w14:paraId="63F26377" w14:textId="77777777" w:rsidR="00447778" w:rsidRDefault="00447778" w:rsidP="00447778">
      <w:pPr>
        <w:pStyle w:val="P68B1DB1-Normal2"/>
        <w:numPr>
          <w:ilvl w:val="0"/>
          <w:numId w:val="1"/>
        </w:numPr>
        <w:spacing w:line="276" w:lineRule="auto"/>
        <w:ind w:left="425" w:right="176" w:firstLine="0"/>
        <w:jc w:val="both"/>
      </w:pPr>
      <w:r>
        <w:t>Délégué à la protection des données (DPD) de la Commission</w:t>
      </w:r>
    </w:p>
    <w:p w14:paraId="64DEAD8F" w14:textId="77777777" w:rsidR="00447778" w:rsidRDefault="00447778" w:rsidP="00447778">
      <w:pPr>
        <w:pStyle w:val="P68B1DB1-Normal3"/>
        <w:ind w:left="709" w:right="176"/>
        <w:jc w:val="both"/>
      </w:pPr>
      <w:r>
        <w:t>Vous pouvez prendre contact avec le délégué à la protection des données (</w:t>
      </w:r>
      <w:hyperlink r:id="rId10" w:history="1">
        <w:r>
          <w:rPr>
            <w:color w:val="0000FF"/>
            <w:u w:val="single"/>
          </w:rPr>
          <w:t>DATA-PROTECTION-OFFICER@ec.europa.eu</w:t>
        </w:r>
      </w:hyperlink>
      <w:r>
        <w:rPr>
          <w:u w:val="single"/>
        </w:rPr>
        <w:t xml:space="preserve">) </w:t>
      </w:r>
      <w:r>
        <w:t>pour des questions relatives au traitement de vos données à caractère personnel conformément au règlement (UE) 2018/1725.</w:t>
      </w:r>
    </w:p>
    <w:p w14:paraId="4DB54547" w14:textId="77777777" w:rsidR="00447778" w:rsidRDefault="00447778" w:rsidP="00447778">
      <w:pPr>
        <w:ind w:left="426" w:right="176"/>
        <w:jc w:val="both"/>
        <w:rPr>
          <w:sz w:val="22"/>
        </w:rPr>
      </w:pPr>
    </w:p>
    <w:p w14:paraId="3E2F9813" w14:textId="77777777" w:rsidR="00447778" w:rsidRDefault="00447778" w:rsidP="00447778">
      <w:pPr>
        <w:pStyle w:val="P68B1DB1-Normal2"/>
        <w:numPr>
          <w:ilvl w:val="0"/>
          <w:numId w:val="1"/>
        </w:numPr>
        <w:spacing w:line="276" w:lineRule="auto"/>
        <w:ind w:left="425" w:right="176" w:firstLine="0"/>
        <w:jc w:val="both"/>
      </w:pPr>
      <w:r>
        <w:t>Contrôleur européen de la protection des données (CEPD)</w:t>
      </w:r>
    </w:p>
    <w:p w14:paraId="42E9DE3A" w14:textId="77777777" w:rsidR="00447778" w:rsidRDefault="00447778" w:rsidP="00447778">
      <w:pPr>
        <w:pStyle w:val="P68B1DB1-Normal3"/>
        <w:ind w:left="709" w:right="176"/>
        <w:jc w:val="both"/>
      </w:pPr>
      <w:r>
        <w:t>Vous avez le droit de saisir le Contrôleur européen de la protection des données</w:t>
      </w:r>
      <w:r>
        <w:rPr>
          <w:u w:val="single"/>
        </w:rPr>
        <w:t xml:space="preserve"> (</w:t>
      </w:r>
      <w:hyperlink r:id="rId11" w:history="1">
        <w:r>
          <w:rPr>
            <w:color w:val="0000FF"/>
            <w:u w:val="single"/>
          </w:rPr>
          <w:t>edps@edps.europa.eu</w:t>
        </w:r>
      </w:hyperlink>
      <w:r>
        <w:rPr>
          <w:u w:val="single"/>
        </w:rPr>
        <w:t>)</w:t>
      </w:r>
      <w:r>
        <w:t xml:space="preserve"> pour déposer une plainte si vous estimez que les droits dont vous jouissez en vertu du règlement (UE) 2018/1725 ont été enfreints à la suite du traitement de vos données à caractère personnel effectué par le responsable de ce traitement.</w:t>
      </w:r>
    </w:p>
    <w:p w14:paraId="20FF424B" w14:textId="77777777" w:rsidR="00447778" w:rsidRDefault="00447778" w:rsidP="00447778">
      <w:pPr>
        <w:pStyle w:val="P68B1DB1-Normal3"/>
        <w:ind w:left="709"/>
        <w:jc w:val="both"/>
      </w:pPr>
      <w:r>
        <w:t xml:space="preserve">À l’attention des candidats de pays tiers: vos données personnelles peuvent être utilisées </w:t>
      </w:r>
      <w:r w:rsidR="00C02EF8">
        <w:t>à des fins de</w:t>
      </w:r>
      <w:r>
        <w:t xml:space="preserve"> vérifications nécessaires.</w:t>
      </w:r>
    </w:p>
    <w:p w14:paraId="7B9F0E4F" w14:textId="77777777" w:rsidR="004879FD" w:rsidRDefault="004879FD"/>
    <w:sectPr w:rsidR="004879FD">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C9CE4" w14:textId="77777777" w:rsidR="00447778" w:rsidRDefault="00447778" w:rsidP="00447778">
      <w:r>
        <w:separator/>
      </w:r>
    </w:p>
  </w:endnote>
  <w:endnote w:type="continuationSeparator" w:id="0">
    <w:p w14:paraId="5B1A3794" w14:textId="77777777" w:rsidR="00447778" w:rsidRDefault="00447778" w:rsidP="0044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33F51" w14:textId="77777777" w:rsidR="0017050E" w:rsidRDefault="00C02EF8">
    <w:pPr>
      <w:pStyle w:val="P68B1DB1-Footer9"/>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864E6" w14:textId="77777777" w:rsidR="00447778" w:rsidRDefault="00447778" w:rsidP="00447778">
      <w:r>
        <w:separator/>
      </w:r>
    </w:p>
  </w:footnote>
  <w:footnote w:type="continuationSeparator" w:id="0">
    <w:p w14:paraId="214CA50D" w14:textId="77777777" w:rsidR="00447778" w:rsidRDefault="00447778" w:rsidP="00447778">
      <w:r>
        <w:continuationSeparator/>
      </w:r>
    </w:p>
  </w:footnote>
  <w:footnote w:id="1">
    <w:p w14:paraId="60615792" w14:textId="00DBDC97" w:rsidR="00447778" w:rsidRPr="00525D37" w:rsidRDefault="00447778" w:rsidP="00447778">
      <w:pPr>
        <w:pStyle w:val="FootnoteText"/>
        <w:ind w:right="1175"/>
        <w:jc w:val="both"/>
      </w:pPr>
      <w:r>
        <w:rPr>
          <w:rStyle w:val="FootnoteReference"/>
        </w:rPr>
        <w:footnoteRef/>
      </w:r>
      <w:r>
        <w:t xml:space="preserve"> Ces précisions sont données à titre indicatif uniquement </w:t>
      </w:r>
      <w:r w:rsidR="00525D37">
        <w:t>(article 4 de la décision END).</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IE" w:vendorID="64" w:dllVersion="6" w:nlCheck="1" w:checkStyle="1"/>
  <w:activeWritingStyle w:appName="MSWord" w:lang="fr-FR" w:vendorID="64" w:dllVersion="0" w:nlCheck="1" w:checkStyle="0"/>
  <w:activeWritingStyle w:appName="MSWord" w:lang="fr-BE" w:vendorID="64" w:dllVersion="0" w:nlCheck="1" w:checkStyle="0"/>
  <w:activeWritingStyle w:appName="MSWord" w:lang="fr-FR" w:vendorID="64" w:dllVersion="131078" w:nlCheck="1" w:checkStyle="0"/>
  <w:activeWritingStyle w:appName="MSWord" w:lang="de-DE" w:vendorID="64" w:dllVersion="131078" w:nlCheck="1" w:checkStyle="0"/>
  <w:activeWritingStyle w:appName="MSWord" w:lang="fr-BE" w:vendorID="64" w:dllVersion="131078"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47778"/>
    <w:rsid w:val="002846BB"/>
    <w:rsid w:val="002A01B2"/>
    <w:rsid w:val="00302F0D"/>
    <w:rsid w:val="00437D59"/>
    <w:rsid w:val="00447778"/>
    <w:rsid w:val="004879FD"/>
    <w:rsid w:val="00525D37"/>
    <w:rsid w:val="005428D8"/>
    <w:rsid w:val="00563CEB"/>
    <w:rsid w:val="005B5784"/>
    <w:rsid w:val="00613364"/>
    <w:rsid w:val="006435EB"/>
    <w:rsid w:val="00707948"/>
    <w:rsid w:val="007275A9"/>
    <w:rsid w:val="0073700E"/>
    <w:rsid w:val="009E5DB5"/>
    <w:rsid w:val="00C02EF8"/>
    <w:rsid w:val="00C16225"/>
    <w:rsid w:val="00DA068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6904EA"/>
  <w15:chartTrackingRefBased/>
  <w15:docId w15:val="{48DF9A08-D73F-41DA-8684-FB2399C2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778"/>
    <w:pPr>
      <w:spacing w:after="0" w:line="240" w:lineRule="auto"/>
    </w:pPr>
    <w:rPr>
      <w:rFonts w:ascii="Times New Roman" w:eastAsia="Times New Roman" w:hAnsi="Times New Roman" w:cs="Times New Roman"/>
      <w:sz w:val="24"/>
      <w:szCs w:val="20"/>
      <w:lang w:val="fr"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7778"/>
    <w:pPr>
      <w:spacing w:after="0" w:line="240" w:lineRule="auto"/>
    </w:pPr>
    <w:rPr>
      <w:szCs w:val="20"/>
      <w:lang w:val="fr"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47778"/>
    <w:rPr>
      <w:sz w:val="20"/>
    </w:rPr>
  </w:style>
  <w:style w:type="character" w:customStyle="1" w:styleId="FootnoteTextChar">
    <w:name w:val="Footnote Text Char"/>
    <w:basedOn w:val="DefaultParagraphFont"/>
    <w:link w:val="FootnoteText"/>
    <w:rsid w:val="00447778"/>
    <w:rPr>
      <w:rFonts w:ascii="Times New Roman" w:eastAsia="Times New Roman" w:hAnsi="Times New Roman" w:cs="Times New Roman"/>
      <w:sz w:val="20"/>
      <w:szCs w:val="20"/>
      <w:lang w:val="fr" w:eastAsia="fr-BE"/>
    </w:rPr>
  </w:style>
  <w:style w:type="character" w:styleId="FootnoteReference">
    <w:name w:val="footnote reference"/>
    <w:rsid w:val="00447778"/>
    <w:rPr>
      <w:vertAlign w:val="superscript"/>
    </w:rPr>
  </w:style>
  <w:style w:type="character" w:styleId="Strong">
    <w:name w:val="Strong"/>
    <w:uiPriority w:val="22"/>
    <w:qFormat/>
    <w:rsid w:val="00447778"/>
    <w:rPr>
      <w:b/>
    </w:rPr>
  </w:style>
  <w:style w:type="character" w:customStyle="1" w:styleId="normaltextrun">
    <w:name w:val="normaltextrun"/>
    <w:basedOn w:val="DefaultParagraphFont"/>
    <w:rsid w:val="00447778"/>
  </w:style>
  <w:style w:type="paragraph" w:customStyle="1" w:styleId="P68B1DB1-Normal1">
    <w:name w:val="P68B1DB1-Normal1"/>
    <w:basedOn w:val="Normal"/>
    <w:rsid w:val="00447778"/>
    <w:rPr>
      <w:b/>
    </w:rPr>
  </w:style>
  <w:style w:type="paragraph" w:customStyle="1" w:styleId="P68B1DB1-Normal2">
    <w:name w:val="P68B1DB1-Normal2"/>
    <w:basedOn w:val="Normal"/>
    <w:rsid w:val="00447778"/>
    <w:rPr>
      <w:b/>
      <w:sz w:val="22"/>
    </w:rPr>
  </w:style>
  <w:style w:type="paragraph" w:customStyle="1" w:styleId="P68B1DB1-Normal3">
    <w:name w:val="P68B1DB1-Normal3"/>
    <w:basedOn w:val="Normal"/>
    <w:rsid w:val="00447778"/>
    <w:rPr>
      <w:sz w:val="22"/>
    </w:rPr>
  </w:style>
  <w:style w:type="paragraph" w:customStyle="1" w:styleId="P68B1DB1-ListParagraph4">
    <w:name w:val="P68B1DB1-ListParagraph4"/>
    <w:basedOn w:val="ListParagraph"/>
    <w:rsid w:val="00447778"/>
    <w:rPr>
      <w:color w:val="FF0000"/>
    </w:rPr>
  </w:style>
  <w:style w:type="paragraph" w:customStyle="1" w:styleId="P68B1DB1-Normal5">
    <w:name w:val="P68B1DB1-Normal5"/>
    <w:basedOn w:val="Normal"/>
    <w:rsid w:val="00447778"/>
    <w:rPr>
      <w:sz w:val="22"/>
      <w:u w:val="single"/>
    </w:rPr>
  </w:style>
  <w:style w:type="paragraph" w:customStyle="1" w:styleId="P68B1DB1-Normal6">
    <w:name w:val="P68B1DB1-Normal6"/>
    <w:basedOn w:val="Normal"/>
    <w:rsid w:val="00447778"/>
    <w:rPr>
      <w:color w:val="FF0000"/>
    </w:rPr>
  </w:style>
  <w:style w:type="paragraph" w:customStyle="1" w:styleId="P68B1DB1-Normal7">
    <w:name w:val="P68B1DB1-Normal7"/>
    <w:basedOn w:val="Normal"/>
    <w:rsid w:val="00447778"/>
    <w:rPr>
      <w:rFonts w:eastAsia="Calibri"/>
      <w:sz w:val="22"/>
    </w:rPr>
  </w:style>
  <w:style w:type="paragraph" w:customStyle="1" w:styleId="P68B1DB1-Normal8">
    <w:name w:val="P68B1DB1-Normal8"/>
    <w:basedOn w:val="Normal"/>
    <w:rsid w:val="00447778"/>
    <w:rPr>
      <w:b/>
      <w:sz w:val="22"/>
      <w:u w:val="single"/>
    </w:rPr>
  </w:style>
  <w:style w:type="paragraph" w:customStyle="1" w:styleId="P68B1DB1-Footer9">
    <w:name w:val="P68B1DB1-Footer9"/>
    <w:basedOn w:val="Footer"/>
    <w:rsid w:val="00447778"/>
    <w:pPr>
      <w:tabs>
        <w:tab w:val="clear" w:pos="4680"/>
        <w:tab w:val="clear" w:pos="9360"/>
        <w:tab w:val="center" w:pos="4536"/>
        <w:tab w:val="right" w:pos="9072"/>
      </w:tabs>
    </w:pPr>
    <w:rPr>
      <w:sz w:val="16"/>
    </w:rPr>
  </w:style>
  <w:style w:type="paragraph" w:styleId="ListParagraph">
    <w:name w:val="List Paragraph"/>
    <w:basedOn w:val="Normal"/>
    <w:uiPriority w:val="34"/>
    <w:qFormat/>
    <w:rsid w:val="00447778"/>
    <w:pPr>
      <w:ind w:left="720"/>
      <w:contextualSpacing/>
    </w:pPr>
  </w:style>
  <w:style w:type="paragraph" w:styleId="Footer">
    <w:name w:val="footer"/>
    <w:basedOn w:val="Normal"/>
    <w:link w:val="FooterChar"/>
    <w:uiPriority w:val="99"/>
    <w:semiHidden/>
    <w:unhideWhenUsed/>
    <w:rsid w:val="00447778"/>
    <w:pPr>
      <w:tabs>
        <w:tab w:val="center" w:pos="4680"/>
        <w:tab w:val="right" w:pos="9360"/>
      </w:tabs>
    </w:pPr>
  </w:style>
  <w:style w:type="character" w:customStyle="1" w:styleId="FooterChar">
    <w:name w:val="Footer Char"/>
    <w:basedOn w:val="DefaultParagraphFont"/>
    <w:link w:val="Footer"/>
    <w:uiPriority w:val="99"/>
    <w:semiHidden/>
    <w:rsid w:val="00447778"/>
    <w:rPr>
      <w:rFonts w:ascii="Times New Roman" w:eastAsia="Times New Roman" w:hAnsi="Times New Roman" w:cs="Times New Roman"/>
      <w:sz w:val="24"/>
      <w:szCs w:val="20"/>
      <w:lang w:val="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civil_service/job/sne/index_en.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1530</Words>
  <Characters>8968</Characters>
  <Application>Microsoft Office Word</Application>
  <DocSecurity>0</DocSecurity>
  <Lines>190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AKOPIAN Lia (SANTE)</dc:creator>
  <cp:keywords/>
  <dc:description/>
  <cp:lastModifiedBy>JADOT Catherine (HR)</cp:lastModifiedBy>
  <cp:revision>2</cp:revision>
  <dcterms:created xsi:type="dcterms:W3CDTF">2023-04-12T12:10:00Z</dcterms:created>
  <dcterms:modified xsi:type="dcterms:W3CDTF">2023-04-12T12:10:00Z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2023-04-05T12:32:32Z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f4517f16-61de-46c8-aa01-d52334e9dd79</vt:lpwstr>
  </property>
  <property fmtid="{D5CDD505-2E9C-101B-9397-08002B2CF9AE}" pid="8" name="MSIP_Label_6bd9ddd1-4d20-43f6-abfa-fc3c07406f94_ContentBits">
    <vt:lpwstr>0</vt:lpwstr>
  </property>
</Properties>
</file>