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8"/>
              <w:ind w:left="167"/>
              <w:rPr>
                <w:b/>
                <w:sz w:val="24"/>
              </w:rPr>
            </w:pPr>
            <w:r>
              <w:rPr>
                <w:b/>
                <w:spacing w:val="-2"/>
                <w:sz w:val="24"/>
              </w:rPr>
              <w:t>HERA.01</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718"/>
              <w:rPr>
                <w:sz w:val="24"/>
              </w:rPr>
            </w:pPr>
            <w:r>
              <w:rPr>
                <w:sz w:val="24"/>
              </w:rPr>
              <w:t>Bartlomiej. Kurcz </w:t>
            </w:r>
            <w:hyperlink r:id="rId7">
              <w:r>
                <w:rPr>
                  <w:spacing w:val="-2"/>
                  <w:sz w:val="24"/>
                </w:rPr>
                <w:t>Bartlomiej.Kurcz@ec.europa.eu</w:t>
              </w:r>
            </w:hyperlink>
          </w:p>
          <w:p>
            <w:pPr>
              <w:pStyle w:val="TableParagraph"/>
              <w:spacing w:before="11"/>
              <w:ind w:left="0"/>
              <w:rPr>
                <w:b/>
                <w:sz w:val="23"/>
              </w:rPr>
            </w:pPr>
          </w:p>
          <w:p>
            <w:pPr>
              <w:pStyle w:val="TableParagraph"/>
              <w:spacing w:line="253" w:lineRule="exact"/>
              <w:rPr>
                <w:b/>
                <w:sz w:val="22"/>
              </w:rPr>
            </w:pPr>
            <w:r>
              <w:rPr>
                <w:b/>
                <w:sz w:val="22"/>
              </w:rPr>
              <w:t>2</w:t>
            </w:r>
            <w:r>
              <w:rPr>
                <w:b/>
                <w:sz w:val="22"/>
                <w:vertAlign w:val="superscript"/>
              </w:rPr>
              <w:t>nd</w:t>
            </w:r>
            <w:r>
              <w:rPr>
                <w:b/>
                <w:spacing w:val="-4"/>
                <w:sz w:val="22"/>
                <w:vertAlign w:val="baseline"/>
              </w:rPr>
              <w:t> </w:t>
            </w:r>
            <w:r>
              <w:rPr>
                <w:b/>
                <w:sz w:val="22"/>
                <w:vertAlign w:val="baseline"/>
              </w:rPr>
              <w:t>half</w:t>
            </w:r>
            <w:r>
              <w:rPr>
                <w:b/>
                <w:spacing w:val="-5"/>
                <w:sz w:val="22"/>
                <w:vertAlign w:val="baseline"/>
              </w:rPr>
              <w:t> </w:t>
            </w:r>
            <w:r>
              <w:rPr>
                <w:b/>
                <w:sz w:val="22"/>
                <w:vertAlign w:val="baseline"/>
              </w:rPr>
              <w:t>2023</w:t>
            </w:r>
            <w:r>
              <w:rPr>
                <w:b/>
                <w:spacing w:val="-5"/>
                <w:sz w:val="22"/>
                <w:vertAlign w:val="baseline"/>
              </w:rPr>
              <w:t> </w:t>
            </w:r>
            <w:r>
              <w:rPr>
                <w:b/>
                <w:spacing w:val="-10"/>
                <w:sz w:val="22"/>
                <w:vertAlign w:val="superscript"/>
              </w:rPr>
              <w:t>1</w:t>
            </w:r>
          </w:p>
          <w:p>
            <w:pPr>
              <w:pStyle w:val="TableParagraph"/>
              <w:spacing w:line="253" w:lineRule="exact"/>
              <w:rPr>
                <w:sz w:val="22"/>
              </w:rPr>
            </w:pPr>
            <w:r>
              <w:rPr>
                <w:b/>
                <w:sz w:val="22"/>
              </w:rPr>
              <w:t>2</w:t>
            </w:r>
            <w:r>
              <w:rPr>
                <w:b/>
                <w:spacing w:val="-10"/>
                <w:sz w:val="22"/>
              </w:rPr>
              <w:t> </w:t>
            </w:r>
            <w:r>
              <w:rPr>
                <w:b/>
                <w:sz w:val="22"/>
              </w:rPr>
              <w:t>year(s</w:t>
            </w:r>
            <w:r>
              <w:rPr>
                <w:b/>
                <w:sz w:val="22"/>
                <w:vertAlign w:val="superscript"/>
              </w:rPr>
              <w:t>)</w:t>
            </w:r>
            <w:r>
              <w:rPr>
                <w:b/>
                <w:spacing w:val="-21"/>
                <w:sz w:val="22"/>
                <w:vertAlign w:val="baseline"/>
              </w:rPr>
              <w:t> </w:t>
            </w:r>
            <w:r>
              <w:rPr>
                <w:spacing w:val="-10"/>
                <w:sz w:val="22"/>
                <w:vertAlign w:val="superscript"/>
              </w:rPr>
              <w:t>1</w:t>
            </w:r>
          </w:p>
          <w:p>
            <w:pPr>
              <w:pStyle w:val="TableParagraph"/>
              <w:rPr>
                <w:b/>
                <w:sz w:val="22"/>
              </w:rPr>
            </w:pPr>
            <w:r>
              <w:rPr>
                <w:sz w:val="22"/>
              </w:rPr>
              <w:t>X</w:t>
            </w:r>
            <w:r>
              <w:rPr>
                <w:spacing w:val="-6"/>
                <w:sz w:val="22"/>
              </w:rPr>
              <w:t> </w:t>
            </w:r>
            <w:r>
              <w:rPr>
                <w:b/>
                <w:sz w:val="22"/>
              </w:rPr>
              <w:t>Brussels</w:t>
            </w:r>
            <w:r>
              <w:rPr>
                <w:b/>
                <w:spacing w:val="45"/>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4"/>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487" w:val="left" w:leader="none"/>
                <w:tab w:pos="2911" w:val="left" w:leader="none"/>
                <w:tab w:pos="3383" w:val="left" w:leader="none"/>
              </w:tabs>
              <w:spacing w:before="146"/>
              <w:rPr>
                <w:b/>
                <w:sz w:val="22"/>
              </w:rPr>
            </w:pPr>
            <w:r>
              <w:rPr>
                <w:b/>
                <w:spacing w:val="-10"/>
                <w:sz w:val="22"/>
              </w:rPr>
              <w:t>X</w:t>
            </w:r>
            <w:r>
              <w:rPr>
                <w:b/>
                <w:sz w:val="22"/>
              </w:rPr>
              <w:tab/>
              <w:t>With</w:t>
            </w:r>
            <w:r>
              <w:rPr>
                <w:b/>
                <w:spacing w:val="-6"/>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6"/>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622" w:val="left" w:leader="none"/>
                <w:tab w:pos="623" w:val="left" w:leader="none"/>
              </w:tabs>
              <w:spacing w:line="240" w:lineRule="auto" w:before="0" w:after="0"/>
              <w:ind w:left="622" w:right="0" w:hanging="51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67" w:val="left" w:leader="none"/>
              </w:tabs>
              <w:spacing w:line="240" w:lineRule="auto" w:before="0" w:after="0"/>
              <w:ind w:left="1066" w:right="0" w:hanging="252"/>
              <w:jc w:val="left"/>
              <w:rPr>
                <w:b/>
                <w:sz w:val="24"/>
              </w:rPr>
            </w:pPr>
            <w:r>
              <w:rPr>
                <w:b/>
                <w:sz w:val="24"/>
              </w:rPr>
              <w:t>Iceland,</w:t>
            </w:r>
            <w:r>
              <w:rPr>
                <w:b/>
                <w:spacing w:val="56"/>
                <w:sz w:val="24"/>
              </w:rPr>
              <w:t> </w:t>
            </w:r>
            <w:r>
              <w:rPr>
                <w:rFonts w:ascii="Wingdings 2" w:hAnsi="Wingdings 2"/>
                <w:sz w:val="22"/>
              </w:rPr>
              <w:t></w:t>
            </w:r>
            <w:r>
              <w:rPr>
                <w:spacing w:val="-2"/>
                <w:sz w:val="22"/>
              </w:rPr>
              <w:t> </w:t>
            </w:r>
            <w:r>
              <w:rPr>
                <w:b/>
                <w:sz w:val="24"/>
              </w:rPr>
              <w:t>Liechtenstein,</w:t>
            </w:r>
            <w:r>
              <w:rPr>
                <w:b/>
                <w:spacing w:val="56"/>
                <w:sz w:val="24"/>
              </w:rPr>
              <w:t> </w:t>
            </w:r>
            <w:r>
              <w:rPr>
                <w:rFonts w:ascii="Wingdings 2" w:hAnsi="Wingdings 2"/>
                <w:sz w:val="22"/>
              </w:rPr>
              <w:t></w:t>
            </w:r>
            <w:r>
              <w:rPr>
                <w:spacing w:val="-2"/>
                <w:sz w:val="22"/>
              </w:rPr>
              <w:t> </w:t>
            </w:r>
            <w:r>
              <w:rPr>
                <w:b/>
                <w:sz w:val="24"/>
              </w:rPr>
              <w:t>Norway,</w:t>
            </w:r>
            <w:r>
              <w:rPr>
                <w:b/>
                <w:spacing w:val="-1"/>
                <w:sz w:val="24"/>
              </w:rPr>
              <w:t> </w:t>
            </w:r>
            <w:r>
              <w:rPr>
                <w:rFonts w:ascii="Wingdings 2" w:hAnsi="Wingdings 2"/>
                <w:sz w:val="22"/>
              </w:rPr>
              <w:t></w:t>
            </w:r>
            <w:r>
              <w:rPr>
                <w:spacing w:val="-1"/>
                <w:sz w:val="22"/>
              </w:rPr>
              <w:t> </w:t>
            </w:r>
            <w:r>
              <w:rPr>
                <w:b/>
                <w:spacing w:val="-2"/>
                <w:sz w:val="24"/>
              </w:rPr>
              <w:t>Switzerland</w:t>
            </w:r>
          </w:p>
          <w:p>
            <w:pPr>
              <w:pStyle w:val="TableParagraph"/>
              <w:numPr>
                <w:ilvl w:val="1"/>
                <w:numId w:val="1"/>
              </w:numPr>
              <w:tabs>
                <w:tab w:pos="1013" w:val="left" w:leader="none"/>
              </w:tabs>
              <w:spacing w:line="240" w:lineRule="auto" w:before="0" w:after="0"/>
              <w:ind w:left="1012" w:right="0" w:hanging="198"/>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4"/>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622" w:val="left" w:leader="none"/>
                <w:tab w:pos="623" w:val="left" w:leader="none"/>
              </w:tabs>
              <w:spacing w:line="240" w:lineRule="auto" w:before="0" w:after="0"/>
              <w:ind w:left="622" w:right="0" w:hanging="516"/>
              <w:jc w:val="left"/>
              <w:rPr>
                <w:b/>
                <w:sz w:val="24"/>
              </w:rPr>
            </w:pPr>
            <w:r>
              <w:rPr>
                <w:b/>
                <w:sz w:val="24"/>
              </w:rPr>
              <w:t>the</w:t>
            </w:r>
            <w:r>
              <w:rPr>
                <w:b/>
                <w:spacing w:val="-6"/>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spacing w:before="90"/>
        <w:ind w:left="370" w:right="216" w:firstLine="0"/>
        <w:jc w:val="both"/>
        <w:rPr>
          <w:sz w:val="24"/>
        </w:rPr>
      </w:pPr>
      <w:r>
        <w:rPr>
          <w:sz w:val="24"/>
        </w:rPr>
        <w:t>The European Health Emergency preparedness and Response Authority is a Commission service which works to improve preparedness and response to serious cross-border threats in the area of medical countermeasures, in particular by:</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strengthening health security coordination within the Union during preparedness and crisis response times, and bringing together Member States, the industry and the relevant stakeholders in a common effort;</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addressing vulnerabilities and strategic dependencies within the Union related to the development, production, procurement, stockpiling and distribution of medical </w:t>
      </w:r>
      <w:r>
        <w:rPr>
          <w:spacing w:val="-2"/>
          <w:sz w:val="24"/>
        </w:rPr>
        <w:t>countermeasures;</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contributing to reinforcing the global health emergency preparedness and</w:t>
      </w:r>
      <w:r>
        <w:rPr>
          <w:spacing w:val="40"/>
          <w:sz w:val="24"/>
        </w:rPr>
        <w:t> </w:t>
      </w:r>
      <w:r>
        <w:rPr>
          <w:sz w:val="24"/>
        </w:rPr>
        <w:t>response </w:t>
      </w:r>
      <w:r>
        <w:rPr>
          <w:spacing w:val="-2"/>
          <w:sz w:val="24"/>
        </w:rPr>
        <w:t>architecture.</w:t>
      </w:r>
    </w:p>
    <w:p>
      <w:pPr>
        <w:pStyle w:val="BodyText"/>
        <w:rPr>
          <w:sz w:val="24"/>
        </w:rPr>
      </w:pPr>
    </w:p>
    <w:p>
      <w:pPr>
        <w:spacing w:before="0"/>
        <w:ind w:left="370" w:right="0" w:firstLine="0"/>
        <w:jc w:val="both"/>
        <w:rPr>
          <w:sz w:val="24"/>
        </w:rPr>
      </w:pPr>
      <w:r>
        <w:rPr>
          <w:sz w:val="24"/>
        </w:rPr>
        <w:t>The</w:t>
      </w:r>
      <w:r>
        <w:rPr>
          <w:spacing w:val="-4"/>
          <w:sz w:val="24"/>
        </w:rPr>
        <w:t> </w:t>
      </w:r>
      <w:r>
        <w:rPr>
          <w:sz w:val="24"/>
        </w:rPr>
        <w:t>national</w:t>
      </w:r>
      <w:r>
        <w:rPr>
          <w:spacing w:val="-2"/>
          <w:sz w:val="24"/>
        </w:rPr>
        <w:t> </w:t>
      </w:r>
      <w:r>
        <w:rPr>
          <w:sz w:val="24"/>
        </w:rPr>
        <w:t>expert</w:t>
      </w:r>
      <w:r>
        <w:rPr>
          <w:spacing w:val="-1"/>
          <w:sz w:val="24"/>
        </w:rPr>
        <w:t> </w:t>
      </w:r>
      <w:r>
        <w:rPr>
          <w:sz w:val="24"/>
        </w:rPr>
        <w:t>will</w:t>
      </w:r>
      <w:r>
        <w:rPr>
          <w:spacing w:val="-2"/>
          <w:sz w:val="24"/>
        </w:rPr>
        <w:t> </w:t>
      </w:r>
      <w:r>
        <w:rPr>
          <w:sz w:val="24"/>
        </w:rPr>
        <w:t>participate</w:t>
      </w:r>
      <w:r>
        <w:rPr>
          <w:spacing w:val="-3"/>
          <w:sz w:val="24"/>
        </w:rPr>
        <w:t> </w:t>
      </w:r>
      <w:r>
        <w:rPr>
          <w:sz w:val="24"/>
        </w:rPr>
        <w:t>in</w:t>
      </w:r>
      <w:r>
        <w:rPr>
          <w:spacing w:val="-1"/>
          <w:sz w:val="24"/>
        </w:rPr>
        <w:t> </w:t>
      </w:r>
      <w:r>
        <w:rPr>
          <w:sz w:val="24"/>
        </w:rPr>
        <w:t>the</w:t>
      </w:r>
      <w:r>
        <w:rPr>
          <w:spacing w:val="-1"/>
          <w:sz w:val="24"/>
        </w:rPr>
        <w:t> </w:t>
      </w:r>
      <w:r>
        <w:rPr>
          <w:sz w:val="24"/>
        </w:rPr>
        <w:t>following</w:t>
      </w:r>
      <w:r>
        <w:rPr>
          <w:spacing w:val="-1"/>
          <w:sz w:val="24"/>
        </w:rPr>
        <w:t> </w:t>
      </w:r>
      <w:r>
        <w:rPr>
          <w:spacing w:val="-2"/>
          <w:sz w:val="24"/>
        </w:rPr>
        <w:t>tasks:</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coordination of international work of HERA, including working on relations with third countries and international organisations;</w:t>
      </w:r>
    </w:p>
    <w:p>
      <w:pPr>
        <w:pStyle w:val="BodyText"/>
        <w:rPr>
          <w:sz w:val="24"/>
        </w:rPr>
      </w:pPr>
    </w:p>
    <w:p>
      <w:pPr>
        <w:spacing w:before="0"/>
        <w:ind w:left="370" w:right="132" w:firstLine="0"/>
        <w:jc w:val="both"/>
        <w:rPr>
          <w:sz w:val="24"/>
        </w:rPr>
      </w:pPr>
      <w:r>
        <w:rPr>
          <w:sz w:val="24"/>
        </w:rPr>
        <w:t>The</w:t>
      </w:r>
      <w:r>
        <w:rPr>
          <w:spacing w:val="-2"/>
          <w:sz w:val="24"/>
        </w:rPr>
        <w:t> </w:t>
      </w:r>
      <w:r>
        <w:rPr>
          <w:sz w:val="24"/>
        </w:rPr>
        <w:t>job</w:t>
      </w:r>
      <w:r>
        <w:rPr>
          <w:spacing w:val="-2"/>
          <w:sz w:val="24"/>
        </w:rPr>
        <w:t> </w:t>
      </w:r>
      <w:r>
        <w:rPr>
          <w:sz w:val="24"/>
        </w:rPr>
        <w:t>will</w:t>
      </w:r>
      <w:r>
        <w:rPr>
          <w:spacing w:val="-3"/>
          <w:sz w:val="24"/>
        </w:rPr>
        <w:t> </w:t>
      </w:r>
      <w:r>
        <w:rPr>
          <w:sz w:val="24"/>
        </w:rPr>
        <w:t>include</w:t>
      </w:r>
      <w:r>
        <w:rPr>
          <w:spacing w:val="-3"/>
          <w:sz w:val="24"/>
        </w:rPr>
        <w:t> </w:t>
      </w:r>
      <w:r>
        <w:rPr>
          <w:sz w:val="24"/>
        </w:rPr>
        <w:t>international</w:t>
      </w:r>
      <w:r>
        <w:rPr>
          <w:spacing w:val="-2"/>
          <w:sz w:val="24"/>
        </w:rPr>
        <w:t> </w:t>
      </w:r>
      <w:r>
        <w:rPr>
          <w:sz w:val="24"/>
        </w:rPr>
        <w:t>contacts</w:t>
      </w:r>
      <w:r>
        <w:rPr>
          <w:spacing w:val="-2"/>
          <w:sz w:val="24"/>
        </w:rPr>
        <w:t> </w:t>
      </w:r>
      <w:r>
        <w:rPr>
          <w:sz w:val="24"/>
        </w:rPr>
        <w:t>and</w:t>
      </w:r>
      <w:r>
        <w:rPr>
          <w:spacing w:val="-2"/>
          <w:sz w:val="24"/>
        </w:rPr>
        <w:t> </w:t>
      </w:r>
      <w:r>
        <w:rPr>
          <w:sz w:val="24"/>
        </w:rPr>
        <w:t>those</w:t>
      </w:r>
      <w:r>
        <w:rPr>
          <w:spacing w:val="-2"/>
          <w:sz w:val="24"/>
        </w:rPr>
        <w:t> </w:t>
      </w:r>
      <w:r>
        <w:rPr>
          <w:sz w:val="24"/>
        </w:rPr>
        <w:t>with</w:t>
      </w:r>
      <w:r>
        <w:rPr>
          <w:spacing w:val="40"/>
          <w:sz w:val="24"/>
        </w:rPr>
        <w:t> </w:t>
      </w:r>
      <w:r>
        <w:rPr>
          <w:sz w:val="24"/>
        </w:rPr>
        <w:t>Member</w:t>
      </w:r>
      <w:r>
        <w:rPr>
          <w:spacing w:val="-2"/>
          <w:sz w:val="24"/>
        </w:rPr>
        <w:t> </w:t>
      </w:r>
      <w:r>
        <w:rPr>
          <w:sz w:val="24"/>
        </w:rPr>
        <w:t>States,</w:t>
      </w:r>
      <w:r>
        <w:rPr>
          <w:spacing w:val="-2"/>
          <w:sz w:val="24"/>
        </w:rPr>
        <w:t> </w:t>
      </w:r>
      <w:r>
        <w:rPr>
          <w:sz w:val="24"/>
        </w:rPr>
        <w:t>as</w:t>
      </w:r>
      <w:r>
        <w:rPr>
          <w:spacing w:val="-2"/>
          <w:sz w:val="24"/>
        </w:rPr>
        <w:t> </w:t>
      </w:r>
      <w:r>
        <w:rPr>
          <w:sz w:val="24"/>
        </w:rPr>
        <w:t>well</w:t>
      </w:r>
      <w:r>
        <w:rPr>
          <w:spacing w:val="-2"/>
          <w:sz w:val="24"/>
        </w:rPr>
        <w:t> </w:t>
      </w:r>
      <w:r>
        <w:rPr>
          <w:sz w:val="24"/>
        </w:rPr>
        <w:t>other</w:t>
      </w:r>
      <w:r>
        <w:rPr>
          <w:spacing w:val="-2"/>
          <w:sz w:val="24"/>
        </w:rPr>
        <w:t> </w:t>
      </w:r>
      <w:r>
        <w:rPr>
          <w:sz w:val="24"/>
        </w:rPr>
        <w:t>organisations</w:t>
      </w:r>
      <w:r>
        <w:rPr>
          <w:spacing w:val="-2"/>
          <w:sz w:val="24"/>
        </w:rPr>
        <w:t> </w:t>
      </w:r>
      <w:r>
        <w:rPr>
          <w:sz w:val="24"/>
        </w:rPr>
        <w:t>and Commission services and directorates general.</w:t>
      </w:r>
    </w:p>
    <w:p>
      <w:pPr>
        <w:pStyle w:val="BodyText"/>
        <w:spacing w:before="3"/>
        <w:rPr>
          <w:sz w:val="24"/>
        </w:rPr>
      </w:pPr>
    </w:p>
    <w:p>
      <w:pPr>
        <w:pStyle w:val="ListParagraph"/>
        <w:numPr>
          <w:ilvl w:val="0"/>
          <w:numId w:val="2"/>
        </w:numPr>
        <w:tabs>
          <w:tab w:pos="797" w:val="left" w:leader="none"/>
        </w:tabs>
        <w:spacing w:line="240" w:lineRule="auto" w:before="0" w:after="0"/>
        <w:ind w:left="796" w:right="0" w:hanging="36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0"/>
          <w:numId w:val="3"/>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rPr>
          <w:b/>
          <w:sz w:val="20"/>
        </w:rPr>
      </w:pPr>
    </w:p>
    <w:p>
      <w:pPr>
        <w:pStyle w:val="BodyText"/>
        <w:spacing w:before="5"/>
        <w:rPr>
          <w:b/>
          <w:sz w:val="12"/>
        </w:rPr>
      </w:pPr>
      <w:r>
        <w:rPr/>
        <w:pict>
          <v:rect style="position:absolute;margin-left:42.540001pt;margin-top:8.360394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7"/>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pPr>
    </w:p>
    <w:p>
      <w:pPr>
        <w:pStyle w:val="ListParagraph"/>
        <w:numPr>
          <w:ilvl w:val="1"/>
          <w:numId w:val="2"/>
        </w:numPr>
        <w:tabs>
          <w:tab w:pos="1081" w:val="left" w:leader="none"/>
        </w:tabs>
        <w:spacing w:line="240" w:lineRule="auto" w:before="0" w:after="0"/>
        <w:ind w:left="1080" w:right="107"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1"/>
          <w:numId w:val="2"/>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1"/>
          <w:numId w:val="2"/>
        </w:numPr>
        <w:tabs>
          <w:tab w:pos="1081" w:val="left" w:leader="none"/>
        </w:tabs>
        <w:spacing w:line="240" w:lineRule="auto" w:before="1"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rPr>
          <w:sz w:val="24"/>
        </w:rPr>
      </w:pPr>
    </w:p>
    <w:p>
      <w:pPr>
        <w:pStyle w:val="Heading1"/>
        <w:numPr>
          <w:ilvl w:val="0"/>
          <w:numId w:val="3"/>
        </w:numPr>
        <w:tabs>
          <w:tab w:pos="1079" w:val="left" w:leader="none"/>
        </w:tabs>
        <w:spacing w:line="240" w:lineRule="auto" w:before="1"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line="252" w:lineRule="exact" w:before="91"/>
        <w:ind w:left="1080"/>
      </w:pPr>
      <w:r>
        <w:rPr>
          <w:spacing w:val="-2"/>
          <w:u w:val="single"/>
        </w:rPr>
        <w:t>Diploma</w:t>
      </w:r>
    </w:p>
    <w:p>
      <w:pPr>
        <w:pStyle w:val="ListParagraph"/>
        <w:numPr>
          <w:ilvl w:val="1"/>
          <w:numId w:val="3"/>
        </w:numPr>
        <w:tabs>
          <w:tab w:pos="1209" w:val="left" w:leader="none"/>
        </w:tabs>
        <w:spacing w:line="252" w:lineRule="exact"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1"/>
          <w:numId w:val="3"/>
        </w:numPr>
        <w:tabs>
          <w:tab w:pos="1209" w:val="left" w:leader="none"/>
        </w:tabs>
        <w:spacing w:line="240" w:lineRule="auto" w:before="0"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pPr>
    </w:p>
    <w:p>
      <w:pPr>
        <w:pStyle w:val="BodyText"/>
        <w:spacing w:line="253" w:lineRule="exact"/>
        <w:ind w:left="1190"/>
        <w:jc w:val="both"/>
      </w:pPr>
      <w:r>
        <w:rPr/>
        <w:t>in</w:t>
      </w:r>
      <w:r>
        <w:rPr>
          <w:spacing w:val="-5"/>
        </w:rPr>
        <w:t> </w:t>
      </w:r>
      <w:r>
        <w:rPr/>
        <w:t>the</w:t>
      </w:r>
      <w:r>
        <w:rPr>
          <w:spacing w:val="-6"/>
        </w:rPr>
        <w:t> </w:t>
      </w:r>
      <w:r>
        <w:rPr/>
        <w:t>field(s)</w:t>
      </w:r>
      <w:r>
        <w:rPr>
          <w:spacing w:val="-4"/>
        </w:rPr>
        <w:t> </w:t>
      </w:r>
      <w:r>
        <w:rPr>
          <w:spacing w:val="-10"/>
        </w:rPr>
        <w:t>:</w:t>
      </w:r>
    </w:p>
    <w:p>
      <w:pPr>
        <w:spacing w:before="0"/>
        <w:ind w:left="1079" w:right="169" w:hanging="360"/>
        <w:jc w:val="both"/>
        <w:rPr>
          <w:sz w:val="24"/>
        </w:rPr>
      </w:pPr>
      <w:r>
        <w:rPr>
          <w:sz w:val="22"/>
        </w:rPr>
        <w:t>-</w:t>
      </w:r>
      <w:r>
        <w:rPr>
          <w:spacing w:val="80"/>
          <w:sz w:val="22"/>
        </w:rPr>
        <w:t> </w:t>
      </w:r>
      <w:r>
        <w:rPr>
          <w:sz w:val="24"/>
        </w:rPr>
        <w:t>Public health, international cooperation, crisis management, research and innovation of medical countermeasures, health and clinical sciences, infectious diseases, virology, epidemiology,</w:t>
      </w:r>
      <w:r>
        <w:rPr>
          <w:spacing w:val="40"/>
          <w:sz w:val="24"/>
        </w:rPr>
        <w:t> </w:t>
      </w:r>
      <w:r>
        <w:rPr>
          <w:sz w:val="24"/>
        </w:rPr>
        <w:t>clinical trials,.</w:t>
      </w:r>
    </w:p>
    <w:p>
      <w:pPr>
        <w:pStyle w:val="BodyText"/>
      </w:pPr>
    </w:p>
    <w:p>
      <w:pPr>
        <w:pStyle w:val="BodyText"/>
        <w:ind w:left="1080"/>
      </w:pPr>
      <w:r>
        <w:rPr>
          <w:spacing w:val="-2"/>
          <w:u w:val="single"/>
        </w:rPr>
        <w:t>Professional</w:t>
      </w:r>
      <w:r>
        <w:rPr>
          <w:spacing w:val="9"/>
          <w:u w:val="single"/>
        </w:rPr>
        <w:t> </w:t>
      </w:r>
      <w:r>
        <w:rPr>
          <w:spacing w:val="-2"/>
          <w:u w:val="single"/>
        </w:rPr>
        <w:t>experience</w:t>
      </w:r>
    </w:p>
    <w:p>
      <w:pPr>
        <w:pStyle w:val="BodyText"/>
        <w:spacing w:before="11"/>
        <w:rPr>
          <w:sz w:val="21"/>
        </w:rPr>
      </w:pPr>
    </w:p>
    <w:p>
      <w:pPr>
        <w:spacing w:before="0"/>
        <w:ind w:left="1080" w:right="0" w:firstLine="0"/>
        <w:jc w:val="left"/>
        <w:rPr>
          <w:sz w:val="24"/>
        </w:rPr>
      </w:pPr>
      <w:r>
        <w:rPr>
          <w:sz w:val="24"/>
        </w:rPr>
        <w:t>General experience in the health field, best in international cooperation, including relation with</w:t>
      </w:r>
      <w:r>
        <w:rPr>
          <w:spacing w:val="80"/>
          <w:sz w:val="24"/>
        </w:rPr>
        <w:t> </w:t>
      </w:r>
      <w:r>
        <w:rPr>
          <w:sz w:val="24"/>
        </w:rPr>
        <w:t>WHO, and in relation to medical countermeasures.</w:t>
      </w:r>
    </w:p>
    <w:p>
      <w:pPr>
        <w:pStyle w:val="BodyText"/>
        <w:spacing w:before="1"/>
      </w:pPr>
    </w:p>
    <w:p>
      <w:pPr>
        <w:pStyle w:val="BodyText"/>
        <w:ind w:left="1080"/>
      </w:pPr>
      <w:r>
        <w:rPr>
          <w:u w:val="single"/>
        </w:rPr>
        <w:t>Language(s)</w:t>
      </w:r>
      <w:r>
        <w:rPr>
          <w:spacing w:val="-9"/>
          <w:u w:val="single"/>
        </w:rPr>
        <w:t> </w:t>
      </w:r>
      <w:r>
        <w:rPr>
          <w:u w:val="single"/>
        </w:rPr>
        <w:t>necessary</w:t>
      </w:r>
      <w:r>
        <w:rPr>
          <w:spacing w:val="-7"/>
          <w:u w:val="single"/>
        </w:rPr>
        <w:t> </w:t>
      </w:r>
      <w:r>
        <w:rPr>
          <w:u w:val="single"/>
        </w:rPr>
        <w:t>for</w:t>
      </w:r>
      <w:r>
        <w:rPr>
          <w:spacing w:val="-10"/>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pPr>
    </w:p>
    <w:p>
      <w:pPr>
        <w:spacing w:before="0"/>
        <w:ind w:left="1080" w:right="0" w:firstLine="0"/>
        <w:jc w:val="left"/>
        <w:rPr>
          <w:sz w:val="24"/>
        </w:rPr>
      </w:pPr>
      <w:r>
        <w:rPr>
          <w:sz w:val="24"/>
        </w:rPr>
        <w:t>A good capacity to communicate orally and in writing in a comprehensible and structured way in English is essential.</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1"/>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5"/>
        </w:rPr>
        <w:t> </w:t>
      </w:r>
      <w:r>
        <w:rPr/>
        <w:t>of</w:t>
      </w:r>
      <w:r>
        <w:rPr>
          <w:spacing w:val="-6"/>
        </w:rPr>
        <w:t> </w:t>
      </w:r>
      <w:r>
        <w:rPr/>
        <w:t>the</w:t>
      </w:r>
      <w:r>
        <w:rPr>
          <w:spacing w:val="-7"/>
        </w:rPr>
        <w:t> </w:t>
      </w:r>
      <w:r>
        <w:rPr/>
        <w:t>follow-up</w:t>
      </w:r>
      <w:r>
        <w:rPr>
          <w:spacing w:val="-6"/>
        </w:rPr>
        <w:t> </w:t>
      </w:r>
      <w:r>
        <w:rPr/>
        <w:t>of</w:t>
      </w:r>
      <w:r>
        <w:rPr>
          <w:spacing w:val="-5"/>
        </w:rPr>
        <w:t> </w:t>
      </w:r>
      <w:r>
        <w:rPr/>
        <w:t>their</w:t>
      </w:r>
      <w:r>
        <w:rPr>
          <w:spacing w:val="-7"/>
        </w:rPr>
        <w:t> </w:t>
      </w:r>
      <w:r>
        <w:rPr/>
        <w:t>application</w:t>
      </w:r>
      <w:r>
        <w:rPr>
          <w:spacing w:val="-6"/>
        </w:rPr>
        <w:t> </w:t>
      </w:r>
      <w:r>
        <w:rPr/>
        <w:t>by</w:t>
      </w:r>
      <w:r>
        <w:rPr>
          <w:spacing w:val="-6"/>
        </w:rPr>
        <w:t> </w:t>
      </w:r>
      <w:r>
        <w:rPr/>
        <w:t>the</w:t>
      </w:r>
      <w:r>
        <w:rPr>
          <w:spacing w:val="-6"/>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0"/>
        <w:rPr>
          <w:b/>
          <w:sz w:val="15"/>
        </w:rPr>
      </w:pPr>
    </w:p>
    <w:p>
      <w:pPr>
        <w:pStyle w:val="BodyText"/>
        <w:spacing w:before="91"/>
        <w:ind w:left="796" w:right="284"/>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spacing w:after="0"/>
        <w:jc w:val="both"/>
        <w:sectPr>
          <w:pgSz w:w="11910" w:h="16840"/>
          <w:pgMar w:header="0" w:footer="690" w:top="1300" w:bottom="880" w:left="480" w:right="740"/>
        </w:sectPr>
      </w:pPr>
    </w:p>
    <w:p>
      <w:pPr>
        <w:pStyle w:val="BodyText"/>
        <w:spacing w:before="74"/>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1"/>
        <w:rPr>
          <w:sz w:val="21"/>
        </w:rPr>
      </w:pPr>
    </w:p>
    <w:p>
      <w:pPr>
        <w:pStyle w:val="BodyText"/>
        <w:ind w:left="796" w:right="283"/>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spacing w:before="1"/>
        <w:ind w:left="796" w:right="109"/>
        <w:jc w:val="both"/>
      </w:pPr>
      <w:r>
        <w:rPr/>
        <w:t>The selected candidate has the obligation to launch the vetting procedure before getting the secondment </w:t>
      </w:r>
      <w:r>
        <w:rPr>
          <w:spacing w:val="-2"/>
        </w:rPr>
        <w:t>confirmation.</w:t>
      </w:r>
    </w:p>
    <w:p>
      <w:pPr>
        <w:pStyle w:val="BodyText"/>
        <w:rPr>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1"/>
        <w:rPr>
          <w:b/>
          <w:sz w:val="15"/>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spacing w:before="1"/>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
      </w:pPr>
    </w:p>
    <w:p>
      <w:pPr>
        <w:pStyle w:val="Heading1"/>
        <w:ind w:left="796" w:firstLine="0"/>
      </w:pPr>
      <w:r>
        <w:rPr>
          <w:u w:val="single"/>
        </w:rPr>
        <w:t>Contact</w:t>
      </w:r>
      <w:r>
        <w:rPr>
          <w:spacing w:val="-10"/>
          <w:u w:val="single"/>
        </w:rPr>
        <w:t> </w:t>
      </w:r>
      <w:r>
        <w:rPr>
          <w:spacing w:val="-2"/>
          <w:u w:val="single"/>
        </w:rPr>
        <w:t>information</w:t>
      </w:r>
    </w:p>
    <w:p>
      <w:pPr>
        <w:pStyle w:val="BodyText"/>
        <w:spacing w:before="11"/>
        <w:rPr>
          <w:b/>
          <w:sz w:val="21"/>
        </w:rPr>
      </w:pPr>
    </w:p>
    <w:p>
      <w:pPr>
        <w:pStyle w:val="ListParagraph"/>
        <w:numPr>
          <w:ilvl w:val="0"/>
          <w:numId w:val="4"/>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spacing w:before="37"/>
        <w:ind w:left="1080" w:right="282"/>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3"/>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1"/>
      </w:pPr>
    </w:p>
    <w:p>
      <w:pPr>
        <w:pStyle w:val="Heading1"/>
        <w:numPr>
          <w:ilvl w:val="0"/>
          <w:numId w:val="4"/>
        </w:numPr>
        <w:tabs>
          <w:tab w:pos="1079" w:val="left" w:leader="none"/>
        </w:tabs>
        <w:spacing w:line="240" w:lineRule="auto" w:before="0" w:after="0"/>
        <w:ind w:left="1078" w:right="0" w:hanging="284"/>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spacing w:before="37"/>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
      </w:pPr>
    </w:p>
    <w:p>
      <w:pPr>
        <w:pStyle w:val="Heading1"/>
        <w:numPr>
          <w:ilvl w:val="0"/>
          <w:numId w:val="4"/>
        </w:numPr>
        <w:tabs>
          <w:tab w:pos="1079" w:val="left" w:leader="none"/>
        </w:tabs>
        <w:spacing w:line="240" w:lineRule="auto" w:before="0" w:after="0"/>
        <w:ind w:left="1078" w:right="0" w:hanging="284"/>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spacing w:before="38"/>
        <w:ind w:left="1080" w:right="281"/>
        <w:jc w:val="both"/>
      </w:pPr>
      <w:r>
        <w:rPr/>
        <w:pict>
          <v:rect style="position:absolute;margin-left:230.160004pt;margin-top:25.968573pt;width:3.66pt;height:.54pt;mso-position-horizontal-relative:page;mso-position-vertical-relative:paragraph;z-index:-15816704"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1721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0">
    <w:multiLevelType w:val="hybridMultilevel"/>
    <w:lvl w:ilvl="0">
      <w:start w:val="0"/>
      <w:numFmt w:val="bullet"/>
      <w:lvlText w:val=""/>
      <w:lvlJc w:val="left"/>
      <w:pPr>
        <w:ind w:left="622" w:hanging="51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66" w:hanging="251"/>
      </w:pPr>
      <w:rPr>
        <w:rFonts w:hint="default" w:ascii="Wingdings 2" w:hAnsi="Wingdings 2" w:eastAsia="Wingdings 2" w:cs="Wingdings 2"/>
        <w:b w:val="0"/>
        <w:bCs w:val="0"/>
        <w:i w:val="0"/>
        <w:iCs w:val="0"/>
        <w:w w:val="99"/>
        <w:sz w:val="22"/>
        <w:szCs w:val="22"/>
        <w:lang w:val="en-US" w:eastAsia="en-US" w:bidi="ar-SA"/>
      </w:rPr>
    </w:lvl>
    <w:lvl w:ilvl="2">
      <w:start w:val="0"/>
      <w:numFmt w:val="bullet"/>
      <w:lvlText w:val="•"/>
      <w:lvlJc w:val="left"/>
      <w:pPr>
        <w:ind w:left="2047" w:hanging="251"/>
      </w:pPr>
      <w:rPr>
        <w:rFonts w:hint="default"/>
        <w:lang w:val="en-US" w:eastAsia="en-US" w:bidi="ar-SA"/>
      </w:rPr>
    </w:lvl>
    <w:lvl w:ilvl="3">
      <w:start w:val="0"/>
      <w:numFmt w:val="bullet"/>
      <w:lvlText w:val="•"/>
      <w:lvlJc w:val="left"/>
      <w:pPr>
        <w:ind w:left="3034" w:hanging="251"/>
      </w:pPr>
      <w:rPr>
        <w:rFonts w:hint="default"/>
        <w:lang w:val="en-US" w:eastAsia="en-US" w:bidi="ar-SA"/>
      </w:rPr>
    </w:lvl>
    <w:lvl w:ilvl="4">
      <w:start w:val="0"/>
      <w:numFmt w:val="bullet"/>
      <w:lvlText w:val="•"/>
      <w:lvlJc w:val="left"/>
      <w:pPr>
        <w:ind w:left="4022" w:hanging="251"/>
      </w:pPr>
      <w:rPr>
        <w:rFonts w:hint="default"/>
        <w:lang w:val="en-US" w:eastAsia="en-US" w:bidi="ar-SA"/>
      </w:rPr>
    </w:lvl>
    <w:lvl w:ilvl="5">
      <w:start w:val="0"/>
      <w:numFmt w:val="bullet"/>
      <w:lvlText w:val="•"/>
      <w:lvlJc w:val="left"/>
      <w:pPr>
        <w:ind w:left="5009" w:hanging="251"/>
      </w:pPr>
      <w:rPr>
        <w:rFonts w:hint="default"/>
        <w:lang w:val="en-US" w:eastAsia="en-US" w:bidi="ar-SA"/>
      </w:rPr>
    </w:lvl>
    <w:lvl w:ilvl="6">
      <w:start w:val="0"/>
      <w:numFmt w:val="bullet"/>
      <w:lvlText w:val="•"/>
      <w:lvlJc w:val="left"/>
      <w:pPr>
        <w:ind w:left="5997" w:hanging="251"/>
      </w:pPr>
      <w:rPr>
        <w:rFonts w:hint="default"/>
        <w:lang w:val="en-US" w:eastAsia="en-US" w:bidi="ar-SA"/>
      </w:rPr>
    </w:lvl>
    <w:lvl w:ilvl="7">
      <w:start w:val="0"/>
      <w:numFmt w:val="bullet"/>
      <w:lvlText w:val="•"/>
      <w:lvlJc w:val="left"/>
      <w:pPr>
        <w:ind w:left="6984" w:hanging="251"/>
      </w:pPr>
      <w:rPr>
        <w:rFonts w:hint="default"/>
        <w:lang w:val="en-US" w:eastAsia="en-US" w:bidi="ar-SA"/>
      </w:rPr>
    </w:lvl>
    <w:lvl w:ilvl="8">
      <w:start w:val="0"/>
      <w:numFmt w:val="bullet"/>
      <w:lvlText w:val="•"/>
      <w:lvlJc w:val="left"/>
      <w:pPr>
        <w:ind w:left="7972" w:hanging="251"/>
      </w:pPr>
      <w:rPr>
        <w:rFonts w:hint="default"/>
        <w:lang w:val="en-US" w:eastAsia="en-US" w:bidi="ar-SA"/>
      </w:rPr>
    </w:lvl>
  </w:abstractNum>
  <w:abstractNum w:abstractNumId="1">
    <w:multiLevelType w:val="hybridMultilevel"/>
    <w:lvl w:ilvl="0">
      <w:start w:val="1"/>
      <w:numFmt w:val="decimal"/>
      <w:lvlText w:val="%1."/>
      <w:lvlJc w:val="left"/>
      <w:pPr>
        <w:ind w:left="796" w:hanging="426"/>
        <w:jc w:val="righ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436" w:hanging="706"/>
      </w:pPr>
      <w:rPr>
        <w:rFonts w:hint="default" w:ascii="Times New Roman" w:hAnsi="Times New Roman" w:eastAsia="Times New Roman" w:cs="Times New Roman"/>
        <w:w w:val="100"/>
        <w:lang w:val="en-US" w:eastAsia="en-US" w:bidi="ar-SA"/>
      </w:rPr>
    </w:lvl>
    <w:lvl w:ilvl="2">
      <w:start w:val="0"/>
      <w:numFmt w:val="bullet"/>
      <w:lvlText w:val="•"/>
      <w:lvlJc w:val="left"/>
      <w:pPr>
        <w:ind w:left="1440" w:hanging="706"/>
      </w:pPr>
      <w:rPr>
        <w:rFonts w:hint="default"/>
        <w:lang w:val="en-US" w:eastAsia="en-US" w:bidi="ar-SA"/>
      </w:rPr>
    </w:lvl>
    <w:lvl w:ilvl="3">
      <w:start w:val="0"/>
      <w:numFmt w:val="bullet"/>
      <w:lvlText w:val="•"/>
      <w:lvlJc w:val="left"/>
      <w:pPr>
        <w:ind w:left="2595" w:hanging="706"/>
      </w:pPr>
      <w:rPr>
        <w:rFonts w:hint="default"/>
        <w:lang w:val="en-US" w:eastAsia="en-US" w:bidi="ar-SA"/>
      </w:rPr>
    </w:lvl>
    <w:lvl w:ilvl="4">
      <w:start w:val="0"/>
      <w:numFmt w:val="bullet"/>
      <w:lvlText w:val="•"/>
      <w:lvlJc w:val="left"/>
      <w:pPr>
        <w:ind w:left="3751" w:hanging="706"/>
      </w:pPr>
      <w:rPr>
        <w:rFonts w:hint="default"/>
        <w:lang w:val="en-US" w:eastAsia="en-US" w:bidi="ar-SA"/>
      </w:rPr>
    </w:lvl>
    <w:lvl w:ilvl="5">
      <w:start w:val="0"/>
      <w:numFmt w:val="bullet"/>
      <w:lvlText w:val="•"/>
      <w:lvlJc w:val="left"/>
      <w:pPr>
        <w:ind w:left="4907" w:hanging="706"/>
      </w:pPr>
      <w:rPr>
        <w:rFonts w:hint="default"/>
        <w:lang w:val="en-US" w:eastAsia="en-US" w:bidi="ar-SA"/>
      </w:rPr>
    </w:lvl>
    <w:lvl w:ilvl="6">
      <w:start w:val="0"/>
      <w:numFmt w:val="bullet"/>
      <w:lvlText w:val="•"/>
      <w:lvlJc w:val="left"/>
      <w:pPr>
        <w:ind w:left="6063" w:hanging="706"/>
      </w:pPr>
      <w:rPr>
        <w:rFonts w:hint="default"/>
        <w:lang w:val="en-US" w:eastAsia="en-US" w:bidi="ar-SA"/>
      </w:rPr>
    </w:lvl>
    <w:lvl w:ilvl="7">
      <w:start w:val="0"/>
      <w:numFmt w:val="bullet"/>
      <w:lvlText w:val="•"/>
      <w:lvlJc w:val="left"/>
      <w:pPr>
        <w:ind w:left="7219" w:hanging="706"/>
      </w:pPr>
      <w:rPr>
        <w:rFonts w:hint="default"/>
        <w:lang w:val="en-US" w:eastAsia="en-US" w:bidi="ar-SA"/>
      </w:rPr>
    </w:lvl>
    <w:lvl w:ilvl="8">
      <w:start w:val="0"/>
      <w:numFmt w:val="bullet"/>
      <w:lvlText w:val="•"/>
      <w:lvlJc w:val="left"/>
      <w:pPr>
        <w:ind w:left="8374" w:hanging="706"/>
      </w:pPr>
      <w:rPr>
        <w:rFonts w:hint="default"/>
        <w:lang w:val="en-US"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284"/>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Bartlomiej.Kurcz@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2023-04-11T15:06:45Z</dcterms:created>
  <dcterms:modified xsi:type="dcterms:W3CDTF">2023-04-11T15:06:45Z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Acrobat PDFMaker 23 for Word</vt:lpwstr>
  </property>
  <property fmtid="{D5CDD505-2E9C-101B-9397-08002B2CF9AE}" pid="4" name="LastSaved">
    <vt:filetime>2023-04-11T00:00:00Z</vt:filetime>
  </property>
  <property fmtid="{D5CDD505-2E9C-101B-9397-08002B2CF9AE}" pid="5" name="MSIP_Label_6bd9ddd1-4d20-43f6-abfa-fc3c07406f94_ActionId">
    <vt:lpwstr>5f8c07dc-76fd-4f8b-934d-7ee6e993c653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2022-08-04T09:27:05Z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D:20230315213300</vt:lpwstr>
  </property>
</Properties>
</file>