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72"/>
              <w:rPr>
                <w:rFonts w:ascii="Calibri"/>
                <w:sz w:val="22"/>
              </w:rPr>
            </w:pPr>
            <w:r>
              <w:rPr>
                <w:rFonts w:ascii="Calibri"/>
                <w:sz w:val="22"/>
              </w:rPr>
              <w:t>GROW</w:t>
            </w:r>
            <w:r>
              <w:rPr>
                <w:rFonts w:ascii="Calibri"/>
                <w:spacing w:val="-4"/>
                <w:sz w:val="22"/>
              </w:rPr>
              <w:t> </w:t>
            </w:r>
            <w:r>
              <w:rPr>
                <w:rFonts w:ascii="Calibri"/>
                <w:sz w:val="22"/>
              </w:rPr>
              <w:t>-</w:t>
            </w:r>
            <w:r>
              <w:rPr>
                <w:rFonts w:ascii="Calibri"/>
                <w:spacing w:val="-3"/>
                <w:sz w:val="22"/>
              </w:rPr>
              <w:t> </w:t>
            </w:r>
            <w:r>
              <w:rPr>
                <w:rFonts w:ascii="Calibri"/>
                <w:sz w:val="22"/>
              </w:rPr>
              <w:t>G</w:t>
            </w:r>
            <w:r>
              <w:rPr>
                <w:rFonts w:ascii="Calibri"/>
                <w:spacing w:val="-3"/>
                <w:sz w:val="22"/>
              </w:rPr>
              <w:t> </w:t>
            </w:r>
            <w:r>
              <w:rPr>
                <w:rFonts w:ascii="Calibri"/>
                <w:sz w:val="22"/>
              </w:rPr>
              <w:t>-</w:t>
            </w:r>
            <w:r>
              <w:rPr>
                <w:rFonts w:ascii="Calibri"/>
                <w:spacing w:val="-3"/>
                <w:sz w:val="22"/>
              </w:rPr>
              <w:t> </w:t>
            </w:r>
            <w:r>
              <w:rPr>
                <w:rFonts w:ascii="Calibri"/>
                <w:spacing w:val="-10"/>
                <w:sz w:val="22"/>
              </w:rPr>
              <w:t>3</w:t>
            </w:r>
          </w:p>
        </w:tc>
      </w:tr>
      <w:tr>
        <w:trPr>
          <w:trHeight w:val="2024"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right="534"/>
              <w:rPr>
                <w:rFonts w:ascii="Calibri"/>
                <w:sz w:val="22"/>
              </w:rPr>
            </w:pPr>
            <w:r>
              <w:rPr>
                <w:rFonts w:ascii="Calibri"/>
                <w:sz w:val="22"/>
              </w:rPr>
              <w:t>Amaryllis Verhoeven </w:t>
            </w:r>
            <w:hyperlink r:id="rId7">
              <w:r>
                <w:rPr>
                  <w:rFonts w:ascii="Calibri"/>
                  <w:spacing w:val="-2"/>
                  <w:sz w:val="22"/>
                </w:rPr>
                <w:t>amaryllis.verhoeven@ec.europa.eu</w:t>
              </w:r>
            </w:hyperlink>
          </w:p>
          <w:p>
            <w:pPr>
              <w:pStyle w:val="TableParagraph"/>
              <w:spacing w:line="267" w:lineRule="exact" w:before="1"/>
              <w:rPr>
                <w:rFonts w:ascii="Calibri"/>
                <w:sz w:val="22"/>
              </w:rPr>
            </w:pPr>
            <w:r>
              <w:rPr>
                <w:rFonts w:ascii="Calibri"/>
                <w:sz w:val="22"/>
              </w:rPr>
              <w:t>+32</w:t>
            </w:r>
            <w:r>
              <w:rPr>
                <w:rFonts w:ascii="Calibri"/>
                <w:spacing w:val="-5"/>
                <w:sz w:val="22"/>
              </w:rPr>
              <w:t> </w:t>
            </w:r>
            <w:r>
              <w:rPr>
                <w:rFonts w:ascii="Calibri"/>
                <w:sz w:val="22"/>
              </w:rPr>
              <w:t>(0)2</w:t>
            </w:r>
            <w:r>
              <w:rPr>
                <w:rFonts w:ascii="Calibri"/>
                <w:spacing w:val="-5"/>
                <w:sz w:val="22"/>
              </w:rPr>
              <w:t> </w:t>
            </w:r>
            <w:r>
              <w:rPr>
                <w:rFonts w:ascii="Calibri"/>
                <w:sz w:val="22"/>
              </w:rPr>
              <w:t>299</w:t>
            </w:r>
            <w:r>
              <w:rPr>
                <w:rFonts w:ascii="Calibri"/>
                <w:spacing w:val="-2"/>
                <w:sz w:val="22"/>
              </w:rPr>
              <w:t> </w:t>
            </w:r>
            <w:r>
              <w:rPr>
                <w:rFonts w:ascii="Calibri"/>
                <w:sz w:val="22"/>
              </w:rPr>
              <w:t>83</w:t>
            </w:r>
            <w:r>
              <w:rPr>
                <w:rFonts w:ascii="Calibri"/>
                <w:spacing w:val="-5"/>
                <w:sz w:val="22"/>
              </w:rPr>
              <w:t> 56</w:t>
            </w:r>
          </w:p>
          <w:p>
            <w:pPr>
              <w:pStyle w:val="TableParagraph"/>
              <w:spacing w:line="275" w:lineRule="exact"/>
              <w:rPr>
                <w:sz w:val="24"/>
              </w:rPr>
            </w:pPr>
            <w:r>
              <w:rPr>
                <w:sz w:val="24"/>
              </w:rPr>
              <w:t>1</w:t>
            </w:r>
          </w:p>
          <w:p>
            <w:pPr>
              <w:pStyle w:val="TableParagraph"/>
              <w:spacing w:before="1"/>
              <w:rPr>
                <w:b/>
                <w:sz w:val="22"/>
              </w:rPr>
            </w:pPr>
            <w:r>
              <w:rPr>
                <w:b/>
                <w:sz w:val="22"/>
              </w:rPr>
              <w:t>3</w:t>
            </w:r>
            <w:r>
              <w:rPr>
                <w:b/>
                <w:spacing w:val="-6"/>
                <w:sz w:val="22"/>
              </w:rPr>
              <w:t> </w:t>
            </w:r>
            <w:r>
              <w:rPr>
                <w:b/>
                <w:sz w:val="22"/>
              </w:rPr>
              <w:t>Quartal</w:t>
            </w:r>
            <w:r>
              <w:rPr>
                <w:b/>
                <w:spacing w:val="-5"/>
                <w:sz w:val="22"/>
              </w:rPr>
              <w:t> </w:t>
            </w:r>
            <w:r>
              <w:rPr>
                <w:b/>
                <w:spacing w:val="-2"/>
                <w:sz w:val="22"/>
              </w:rPr>
              <w:t>2023</w:t>
            </w:r>
            <w:r>
              <w:rPr>
                <w:b/>
                <w:spacing w:val="-2"/>
                <w:sz w:val="22"/>
                <w:vertAlign w:val="superscript"/>
              </w:rPr>
              <w:t>1</w:t>
            </w:r>
          </w:p>
          <w:p>
            <w:pPr>
              <w:pStyle w:val="TableParagraph"/>
              <w:spacing w:before="1"/>
              <w:rPr>
                <w:b/>
                <w:sz w:val="22"/>
              </w:rPr>
            </w:pPr>
            <w:r>
              <w:rPr>
                <w:b/>
                <w:sz w:val="22"/>
              </w:rPr>
              <w:t>2</w:t>
            </w:r>
            <w:r>
              <w:rPr>
                <w:b/>
                <w:spacing w:val="-2"/>
                <w:sz w:val="22"/>
              </w:rPr>
              <w:t> Jahr(e)</w:t>
            </w:r>
            <w:r>
              <w:rPr>
                <w:b/>
                <w:spacing w:val="-2"/>
                <w:sz w:val="22"/>
                <w:vertAlign w:val="superscript"/>
              </w:rPr>
              <w:t>1</w:t>
            </w:r>
          </w:p>
          <w:p>
            <w:pPr>
              <w:pStyle w:val="TableParagraph"/>
              <w:tabs>
                <w:tab w:pos="1523" w:val="left" w:leader="none"/>
              </w:tabs>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spacing w:val="46"/>
                <w:sz w:val="22"/>
              </w:rPr>
              <w:t> </w:t>
            </w:r>
            <w:r>
              <w:rPr>
                <w:b/>
                <w:sz w:val="22"/>
              </w:rPr>
              <w:t>Mit</w:t>
            </w:r>
            <w:r>
              <w:rPr>
                <w:b/>
                <w:spacing w:val="-4"/>
                <w:sz w:val="22"/>
              </w:rPr>
              <w:t> </w:t>
            </w:r>
            <w:r>
              <w:rPr>
                <w:b/>
                <w:sz w:val="22"/>
              </w:rPr>
              <w:t>Vergütungen</w:t>
            </w:r>
            <w:r>
              <w:rPr>
                <w:b/>
                <w:spacing w:val="69"/>
                <w:w w:val="150"/>
                <w:sz w:val="22"/>
              </w:rPr>
              <w:t> </w:t>
            </w:r>
            <w:r>
              <w:rPr>
                <w:rFonts w:ascii="Wingdings 2" w:hAnsi="Wingdings 2"/>
                <w:sz w:val="22"/>
              </w:rPr>
              <w:t></w:t>
            </w:r>
            <w:r>
              <w:rPr>
                <w:spacing w:val="47"/>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1"/>
        <w:ind w:left="370" w:right="113"/>
      </w:pPr>
      <w:r>
        <w:rPr/>
        <w:t>Unser</w:t>
      </w:r>
      <w:r>
        <w:rPr>
          <w:spacing w:val="-2"/>
        </w:rPr>
        <w:t> </w:t>
      </w:r>
      <w:r>
        <w:rPr/>
        <w:t>Referat</w:t>
      </w:r>
      <w:r>
        <w:rPr>
          <w:spacing w:val="-1"/>
        </w:rPr>
        <w:t> </w:t>
      </w:r>
      <w:r>
        <w:rPr/>
        <w:t>–</w:t>
      </w:r>
      <w:r>
        <w:rPr>
          <w:spacing w:val="-2"/>
        </w:rPr>
        <w:t> </w:t>
      </w:r>
      <w:r>
        <w:rPr/>
        <w:t>GD</w:t>
      </w:r>
      <w:r>
        <w:rPr>
          <w:spacing w:val="-3"/>
        </w:rPr>
        <w:t> </w:t>
      </w:r>
      <w:r>
        <w:rPr/>
        <w:t>GROW</w:t>
      </w:r>
      <w:r>
        <w:rPr>
          <w:spacing w:val="-2"/>
        </w:rPr>
        <w:t> </w:t>
      </w:r>
      <w:r>
        <w:rPr/>
        <w:t>G3</w:t>
      </w:r>
      <w:r>
        <w:rPr>
          <w:spacing w:val="-2"/>
        </w:rPr>
        <w:t> </w:t>
      </w:r>
      <w:r>
        <w:rPr/>
        <w:t>–</w:t>
      </w:r>
      <w:r>
        <w:rPr>
          <w:spacing w:val="-1"/>
        </w:rPr>
        <w:t> </w:t>
      </w:r>
      <w:r>
        <w:rPr/>
        <w:t>ist</w:t>
      </w:r>
      <w:r>
        <w:rPr>
          <w:spacing w:val="-2"/>
        </w:rPr>
        <w:t> </w:t>
      </w:r>
      <w:r>
        <w:rPr/>
        <w:t>bestrebt,</w:t>
      </w:r>
      <w:r>
        <w:rPr>
          <w:spacing w:val="-2"/>
        </w:rPr>
        <w:t> </w:t>
      </w:r>
      <w:r>
        <w:rPr/>
        <w:t>den</w:t>
      </w:r>
      <w:r>
        <w:rPr>
          <w:spacing w:val="-2"/>
        </w:rPr>
        <w:t> </w:t>
      </w:r>
      <w:r>
        <w:rPr/>
        <w:t>digitalen</w:t>
      </w:r>
      <w:r>
        <w:rPr>
          <w:spacing w:val="-2"/>
        </w:rPr>
        <w:t> </w:t>
      </w:r>
      <w:r>
        <w:rPr/>
        <w:t>Wandel</w:t>
      </w:r>
      <w:r>
        <w:rPr>
          <w:spacing w:val="-2"/>
        </w:rPr>
        <w:t> </w:t>
      </w:r>
      <w:r>
        <w:rPr/>
        <w:t>unserer</w:t>
      </w:r>
      <w:r>
        <w:rPr>
          <w:spacing w:val="-2"/>
        </w:rPr>
        <w:t> </w:t>
      </w:r>
      <w:r>
        <w:rPr/>
        <w:t>EU-Industrie</w:t>
      </w:r>
      <w:r>
        <w:rPr>
          <w:spacing w:val="-3"/>
        </w:rPr>
        <w:t> </w:t>
      </w:r>
      <w:r>
        <w:rPr/>
        <w:t>sowie</w:t>
      </w:r>
      <w:r>
        <w:rPr>
          <w:spacing w:val="-3"/>
        </w:rPr>
        <w:t> </w:t>
      </w:r>
      <w:r>
        <w:rPr/>
        <w:t>–</w:t>
      </w:r>
      <w:r>
        <w:rPr>
          <w:spacing w:val="-2"/>
        </w:rPr>
        <w:t> </w:t>
      </w:r>
      <w:r>
        <w:rPr/>
        <w:t>über</w:t>
      </w:r>
      <w:r>
        <w:rPr>
          <w:spacing w:val="-2"/>
        </w:rPr>
        <w:t> </w:t>
      </w:r>
      <w:r>
        <w:rPr/>
        <w:t>das</w:t>
      </w:r>
      <w:r>
        <w:rPr>
          <w:spacing w:val="-3"/>
        </w:rPr>
        <w:t> </w:t>
      </w:r>
      <w:r>
        <w:rPr/>
        <w:t>zentrale digitale Zugangstor – wirksame eGovernment-Lösungen in der gesamten EU zu fördern. Dies sind die Prioritäten der Kommission und zentrale Säulen des Binnenmarkts, die langfristige Wettbewerbsfähigkeit der EU und die erneuerte Industriestrategie der EU.</w:t>
      </w:r>
    </w:p>
    <w:p>
      <w:pPr>
        <w:pStyle w:val="BodyText"/>
        <w:spacing w:before="11"/>
        <w:rPr>
          <w:sz w:val="21"/>
        </w:rPr>
      </w:pPr>
    </w:p>
    <w:p>
      <w:pPr>
        <w:pStyle w:val="BodyText"/>
        <w:ind w:left="370" w:right="113"/>
      </w:pPr>
      <w:r>
        <w:rPr/>
        <w:t>Wir suchen einen Kollegen für das Team, das am zentralen digitalen Zugangstor („SDG“) arbeitet. Auf der Grundlage der Verordnung (EU) 2018/1724, die im Dezember 2020 auf den Weg gebracht wurde, sieht das SDG ein ehrgeiziges Programm für eine nutzerorientierte Digitalisierung öffentlicher Dienste vor. Das Portal „Ihr Europa“ als Schnittstelle bietet Unternehmen und Bürgerinnen und Bürgern hochwertige Informationen über Rechte, Regeln und Verfahren, Hilfsdienste, Systeme zur Erhebung von Nutzungsdaten und Instrumente für Rückmeldungen</w:t>
      </w:r>
      <w:r>
        <w:rPr>
          <w:spacing w:val="-3"/>
        </w:rPr>
        <w:t> </w:t>
      </w:r>
      <w:r>
        <w:rPr/>
        <w:t>der</w:t>
      </w:r>
      <w:r>
        <w:rPr>
          <w:spacing w:val="-3"/>
        </w:rPr>
        <w:t> </w:t>
      </w:r>
      <w:r>
        <w:rPr/>
        <w:t>Nutzer.</w:t>
      </w:r>
      <w:r>
        <w:rPr>
          <w:spacing w:val="-3"/>
        </w:rPr>
        <w:t> </w:t>
      </w:r>
      <w:r>
        <w:rPr/>
        <w:t>Die</w:t>
      </w:r>
      <w:r>
        <w:rPr>
          <w:spacing w:val="-4"/>
        </w:rPr>
        <w:t> </w:t>
      </w:r>
      <w:r>
        <w:rPr/>
        <w:t>Schnittstelle</w:t>
      </w:r>
      <w:r>
        <w:rPr>
          <w:spacing w:val="-4"/>
        </w:rPr>
        <w:t> </w:t>
      </w:r>
      <w:r>
        <w:rPr/>
        <w:t>und</w:t>
      </w:r>
      <w:r>
        <w:rPr>
          <w:spacing w:val="-3"/>
        </w:rPr>
        <w:t> </w:t>
      </w:r>
      <w:r>
        <w:rPr/>
        <w:t>die</w:t>
      </w:r>
      <w:r>
        <w:rPr>
          <w:spacing w:val="-4"/>
        </w:rPr>
        <w:t> </w:t>
      </w:r>
      <w:r>
        <w:rPr/>
        <w:t>Dienste</w:t>
      </w:r>
      <w:r>
        <w:rPr>
          <w:spacing w:val="-2"/>
        </w:rPr>
        <w:t> </w:t>
      </w:r>
      <w:r>
        <w:rPr/>
        <w:t>„Ihr</w:t>
      </w:r>
      <w:r>
        <w:rPr>
          <w:spacing w:val="-3"/>
        </w:rPr>
        <w:t> </w:t>
      </w:r>
      <w:r>
        <w:rPr/>
        <w:t>Europa“</w:t>
      </w:r>
      <w:r>
        <w:rPr>
          <w:spacing w:val="-4"/>
        </w:rPr>
        <w:t> </w:t>
      </w:r>
      <w:r>
        <w:rPr/>
        <w:t>müssen</w:t>
      </w:r>
      <w:r>
        <w:rPr>
          <w:spacing w:val="-3"/>
        </w:rPr>
        <w:t> </w:t>
      </w:r>
      <w:r>
        <w:rPr/>
        <w:t>regelmäßig</w:t>
      </w:r>
      <w:r>
        <w:rPr>
          <w:spacing w:val="-3"/>
        </w:rPr>
        <w:t> </w:t>
      </w:r>
      <w:r>
        <w:rPr/>
        <w:t>aktualisiert</w:t>
      </w:r>
      <w:r>
        <w:rPr>
          <w:spacing w:val="-3"/>
        </w:rPr>
        <w:t> </w:t>
      </w:r>
      <w:r>
        <w:rPr/>
        <w:t>werden, um immer bessere Dienste und Maßnahmen zur Förderung von „Ihr Europa“ und seiner Instrumente anzubieten.</w:t>
      </w:r>
    </w:p>
    <w:p>
      <w:pPr>
        <w:pStyle w:val="BodyText"/>
        <w:spacing w:before="1"/>
      </w:pPr>
    </w:p>
    <w:p>
      <w:pPr>
        <w:pStyle w:val="BodyText"/>
        <w:ind w:left="369" w:right="113"/>
      </w:pPr>
      <w:r>
        <w:rPr/>
        <w:t>Bis Ende 2023 soll das zentrale digitale Zugangstor auch einen direkten Online-Zugang zu den wichtigsten Verfahren für Bürgerinnen, Bürger und Unternehmen in allen Mitgliedstaaten bieten, für die das EU-weite, einmalige</w:t>
      </w:r>
      <w:r>
        <w:rPr>
          <w:spacing w:val="-5"/>
        </w:rPr>
        <w:t> </w:t>
      </w:r>
      <w:r>
        <w:rPr/>
        <w:t>technische</w:t>
      </w:r>
      <w:r>
        <w:rPr>
          <w:spacing w:val="-5"/>
        </w:rPr>
        <w:t> </w:t>
      </w:r>
      <w:r>
        <w:rPr/>
        <w:t>System</w:t>
      </w:r>
      <w:r>
        <w:rPr>
          <w:spacing w:val="-5"/>
        </w:rPr>
        <w:t> </w:t>
      </w:r>
      <w:r>
        <w:rPr/>
        <w:t>einen</w:t>
      </w:r>
      <w:r>
        <w:rPr>
          <w:spacing w:val="-4"/>
        </w:rPr>
        <w:t> </w:t>
      </w:r>
      <w:r>
        <w:rPr/>
        <w:t>automatisierten</w:t>
      </w:r>
      <w:r>
        <w:rPr>
          <w:spacing w:val="-4"/>
        </w:rPr>
        <w:t> </w:t>
      </w:r>
      <w:r>
        <w:rPr/>
        <w:t>grenzüberschreitenden</w:t>
      </w:r>
      <w:r>
        <w:rPr>
          <w:spacing w:val="-4"/>
        </w:rPr>
        <w:t> </w:t>
      </w:r>
      <w:r>
        <w:rPr/>
        <w:t>Austausch</w:t>
      </w:r>
      <w:r>
        <w:rPr>
          <w:spacing w:val="-4"/>
        </w:rPr>
        <w:t> </w:t>
      </w:r>
      <w:r>
        <w:rPr/>
        <w:t>von</w:t>
      </w:r>
      <w:r>
        <w:rPr>
          <w:spacing w:val="-4"/>
        </w:rPr>
        <w:t> </w:t>
      </w:r>
      <w:r>
        <w:rPr/>
        <w:t>Beweismitteln</w:t>
      </w:r>
      <w:r>
        <w:rPr>
          <w:spacing w:val="-4"/>
        </w:rPr>
        <w:t> </w:t>
      </w:r>
      <w:r>
        <w:rPr/>
        <w:t>zwischen Behörden auf Antrag des Nutzers ermöglichen wird. Diese Herausforderung erfordert ein ständiges und seriöses Engagement mit den Mitgliedstaaten – unseren Partnern im</w:t>
      </w:r>
      <w:r>
        <w:rPr>
          <w:spacing w:val="-2"/>
        </w:rPr>
        <w:t> </w:t>
      </w:r>
      <w:r>
        <w:rPr/>
        <w:t>Umsetzungs- und Entwicklungsprozess</w:t>
      </w:r>
      <w:r>
        <w:rPr>
          <w:spacing w:val="-1"/>
        </w:rPr>
        <w:t> </w:t>
      </w:r>
      <w:r>
        <w:rPr/>
        <w:t>– und anderen Interessenträgern innerhalb und außerhalb der Kommission nach 2023. Dies erfordert eine solide Programmverwaltung und Politikentwicklung, um sicherzustellen, dass die Vorteile des zentralen digitalen Zugangstors und des Only Technical Systems voll ausgeschöpft werden. Es wird auch erforderlich sein, eine beträchtliche Zahl von Fragen am Scheideweg der Digitalisierung und des Rechts zu behandeln.</w:t>
      </w:r>
    </w:p>
    <w:p>
      <w:pPr>
        <w:pStyle w:val="BodyText"/>
        <w:spacing w:before="6"/>
        <w:rPr>
          <w:sz w:val="26"/>
        </w:rPr>
      </w:pPr>
      <w:r>
        <w:rPr/>
        <w:pict>
          <v:rect style="position:absolute;margin-left:42.540001pt;margin-top:16.48170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right="113"/>
      </w:pPr>
      <w:r>
        <w:rPr/>
        <w:t>Ihre erste Aufgabe in Ihrer neuen Rolle besteht darin, in enger Zusammenarbeit mit den Mitgliedstaaten und anderen Dienststellen der Kommission einen Beitrag zur Umsetzung des Systems der einmaligen Erfassung der Nachhaltigkeitsziele</w:t>
      </w:r>
      <w:r>
        <w:rPr>
          <w:spacing w:val="-4"/>
        </w:rPr>
        <w:t> </w:t>
      </w:r>
      <w:r>
        <w:rPr/>
        <w:t>und</w:t>
      </w:r>
      <w:r>
        <w:rPr>
          <w:spacing w:val="-3"/>
        </w:rPr>
        <w:t> </w:t>
      </w:r>
      <w:r>
        <w:rPr/>
        <w:t>aller</w:t>
      </w:r>
      <w:r>
        <w:rPr>
          <w:spacing w:val="-3"/>
        </w:rPr>
        <w:t> </w:t>
      </w:r>
      <w:r>
        <w:rPr/>
        <w:t>damit</w:t>
      </w:r>
      <w:r>
        <w:rPr>
          <w:spacing w:val="-3"/>
        </w:rPr>
        <w:t> </w:t>
      </w:r>
      <w:r>
        <w:rPr/>
        <w:t>zusammenhängenden</w:t>
      </w:r>
      <w:r>
        <w:rPr>
          <w:spacing w:val="-3"/>
        </w:rPr>
        <w:t> </w:t>
      </w:r>
      <w:r>
        <w:rPr/>
        <w:t>Rechts-</w:t>
      </w:r>
      <w:r>
        <w:rPr>
          <w:spacing w:val="-4"/>
        </w:rPr>
        <w:t> </w:t>
      </w:r>
      <w:r>
        <w:rPr/>
        <w:t>und</w:t>
      </w:r>
      <w:r>
        <w:rPr>
          <w:spacing w:val="-3"/>
        </w:rPr>
        <w:t> </w:t>
      </w:r>
      <w:r>
        <w:rPr/>
        <w:t>IT-Fragen</w:t>
      </w:r>
      <w:r>
        <w:rPr>
          <w:spacing w:val="-3"/>
        </w:rPr>
        <w:t> </w:t>
      </w:r>
      <w:r>
        <w:rPr/>
        <w:t>zu</w:t>
      </w:r>
      <w:r>
        <w:rPr>
          <w:spacing w:val="-3"/>
        </w:rPr>
        <w:t> </w:t>
      </w:r>
      <w:r>
        <w:rPr/>
        <w:t>leisten.</w:t>
      </w:r>
      <w:r>
        <w:rPr>
          <w:spacing w:val="-3"/>
        </w:rPr>
        <w:t> </w:t>
      </w:r>
      <w:r>
        <w:rPr/>
        <w:t>Dazu</w:t>
      </w:r>
      <w:r>
        <w:rPr>
          <w:spacing w:val="-3"/>
        </w:rPr>
        <w:t> </w:t>
      </w:r>
      <w:r>
        <w:rPr/>
        <w:t>gehört</w:t>
      </w:r>
      <w:r>
        <w:rPr>
          <w:spacing w:val="-3"/>
        </w:rPr>
        <w:t> </w:t>
      </w:r>
      <w:r>
        <w:rPr/>
        <w:t>auch</w:t>
      </w:r>
      <w:r>
        <w:rPr>
          <w:spacing w:val="-3"/>
        </w:rPr>
        <w:t> </w:t>
      </w:r>
      <w:r>
        <w:rPr/>
        <w:t>die Mitwirkung an den Arbeitsgruppen,</w:t>
      </w:r>
      <w:r>
        <w:rPr>
          <w:spacing w:val="-1"/>
        </w:rPr>
        <w:t> </w:t>
      </w:r>
      <w:r>
        <w:rPr/>
        <w:t>die</w:t>
      </w:r>
      <w:r>
        <w:rPr>
          <w:spacing w:val="-2"/>
        </w:rPr>
        <w:t> </w:t>
      </w:r>
      <w:r>
        <w:rPr/>
        <w:t>sich aus</w:t>
      </w:r>
      <w:r>
        <w:rPr>
          <w:spacing w:val="-1"/>
        </w:rPr>
        <w:t> </w:t>
      </w:r>
      <w:r>
        <w:rPr/>
        <w:t>Vertretern der Mitgliedstaaten zusammensetzen und sich mit den verschiedenen Aspekten der Verwaltung der OOTS befassen.</w:t>
      </w:r>
    </w:p>
    <w:p>
      <w:pPr>
        <w:pStyle w:val="BodyText"/>
      </w:pPr>
    </w:p>
    <w:p>
      <w:pPr>
        <w:pStyle w:val="BodyText"/>
        <w:ind w:left="370"/>
      </w:pPr>
      <w:r>
        <w:rPr/>
        <w:t>Sie</w:t>
      </w:r>
      <w:r>
        <w:rPr>
          <w:spacing w:val="-8"/>
        </w:rPr>
        <w:t> </w:t>
      </w:r>
      <w:r>
        <w:rPr/>
        <w:t>werden</w:t>
      </w:r>
      <w:r>
        <w:rPr>
          <w:spacing w:val="-8"/>
        </w:rPr>
        <w:t> </w:t>
      </w:r>
      <w:r>
        <w:rPr/>
        <w:t>auch</w:t>
      </w:r>
      <w:r>
        <w:rPr>
          <w:spacing w:val="-7"/>
        </w:rPr>
        <w:t> </w:t>
      </w:r>
      <w:r>
        <w:rPr/>
        <w:t>an</w:t>
      </w:r>
      <w:r>
        <w:rPr>
          <w:spacing w:val="-7"/>
        </w:rPr>
        <w:t> </w:t>
      </w:r>
      <w:r>
        <w:rPr/>
        <w:t>folgenden</w:t>
      </w:r>
      <w:r>
        <w:rPr>
          <w:spacing w:val="-7"/>
        </w:rPr>
        <w:t> </w:t>
      </w:r>
      <w:r>
        <w:rPr/>
        <w:t>Themen</w:t>
      </w:r>
      <w:r>
        <w:rPr>
          <w:spacing w:val="-7"/>
        </w:rPr>
        <w:t> </w:t>
      </w:r>
      <w:r>
        <w:rPr>
          <w:spacing w:val="-2"/>
        </w:rPr>
        <w:t>arbeiten:</w:t>
      </w:r>
    </w:p>
    <w:p>
      <w:pPr>
        <w:pStyle w:val="BodyText"/>
        <w:spacing w:before="11"/>
        <w:rPr>
          <w:sz w:val="21"/>
        </w:rPr>
      </w:pPr>
    </w:p>
    <w:p>
      <w:pPr>
        <w:pStyle w:val="ListParagraph"/>
        <w:numPr>
          <w:ilvl w:val="0"/>
          <w:numId w:val="3"/>
        </w:numPr>
        <w:tabs>
          <w:tab w:pos="500" w:val="left" w:leader="none"/>
        </w:tabs>
        <w:spacing w:line="240" w:lineRule="auto" w:before="0" w:after="0"/>
        <w:ind w:left="370" w:right="367" w:firstLine="0"/>
        <w:jc w:val="left"/>
        <w:rPr>
          <w:sz w:val="22"/>
        </w:rPr>
      </w:pPr>
      <w:r>
        <w:rPr>
          <w:sz w:val="22"/>
        </w:rPr>
        <w:t>Digitalisierung</w:t>
      </w:r>
      <w:r>
        <w:rPr>
          <w:spacing w:val="-4"/>
          <w:sz w:val="22"/>
        </w:rPr>
        <w:t> </w:t>
      </w:r>
      <w:r>
        <w:rPr>
          <w:sz w:val="22"/>
        </w:rPr>
        <w:t>und</w:t>
      </w:r>
      <w:r>
        <w:rPr>
          <w:spacing w:val="-4"/>
          <w:sz w:val="22"/>
        </w:rPr>
        <w:t> </w:t>
      </w:r>
      <w:r>
        <w:rPr>
          <w:sz w:val="22"/>
        </w:rPr>
        <w:t>grenzüberschreitende</w:t>
      </w:r>
      <w:r>
        <w:rPr>
          <w:spacing w:val="-5"/>
          <w:sz w:val="22"/>
        </w:rPr>
        <w:t> </w:t>
      </w:r>
      <w:r>
        <w:rPr>
          <w:sz w:val="22"/>
        </w:rPr>
        <w:t>Zugänglichkeit</w:t>
      </w:r>
      <w:r>
        <w:rPr>
          <w:spacing w:val="-4"/>
          <w:sz w:val="22"/>
        </w:rPr>
        <w:t> </w:t>
      </w:r>
      <w:r>
        <w:rPr>
          <w:sz w:val="22"/>
        </w:rPr>
        <w:t>der</w:t>
      </w:r>
      <w:r>
        <w:rPr>
          <w:spacing w:val="-4"/>
          <w:sz w:val="22"/>
        </w:rPr>
        <w:t> </w:t>
      </w:r>
      <w:r>
        <w:rPr>
          <w:sz w:val="22"/>
        </w:rPr>
        <w:t>wichtigsten</w:t>
      </w:r>
      <w:r>
        <w:rPr>
          <w:spacing w:val="-4"/>
          <w:sz w:val="22"/>
        </w:rPr>
        <w:t> </w:t>
      </w:r>
      <w:r>
        <w:rPr>
          <w:sz w:val="22"/>
        </w:rPr>
        <w:t>Verwaltungsverfahren</w:t>
      </w:r>
      <w:r>
        <w:rPr>
          <w:spacing w:val="-4"/>
          <w:sz w:val="22"/>
        </w:rPr>
        <w:t> </w:t>
      </w:r>
      <w:r>
        <w:rPr>
          <w:sz w:val="22"/>
        </w:rPr>
        <w:t>für</w:t>
      </w:r>
      <w:r>
        <w:rPr>
          <w:spacing w:val="-4"/>
          <w:sz w:val="22"/>
        </w:rPr>
        <w:t> </w:t>
      </w:r>
      <w:r>
        <w:rPr>
          <w:sz w:val="22"/>
        </w:rPr>
        <w:t>Bürger</w:t>
      </w:r>
      <w:r>
        <w:rPr>
          <w:spacing w:val="-4"/>
          <w:sz w:val="22"/>
        </w:rPr>
        <w:t> </w:t>
      </w:r>
      <w:r>
        <w:rPr>
          <w:sz w:val="22"/>
        </w:rPr>
        <w:t>und </w:t>
      </w:r>
      <w:r>
        <w:rPr>
          <w:spacing w:val="-2"/>
          <w:sz w:val="22"/>
        </w:rPr>
        <w:t>Unternehmen</w:t>
      </w:r>
    </w:p>
    <w:p>
      <w:pPr>
        <w:pStyle w:val="ListParagraph"/>
        <w:numPr>
          <w:ilvl w:val="0"/>
          <w:numId w:val="3"/>
        </w:numPr>
        <w:tabs>
          <w:tab w:pos="500" w:val="left" w:leader="none"/>
        </w:tabs>
        <w:spacing w:line="240" w:lineRule="auto" w:before="0" w:after="0"/>
        <w:ind w:left="499" w:right="0" w:hanging="130"/>
        <w:jc w:val="left"/>
        <w:rPr>
          <w:sz w:val="22"/>
        </w:rPr>
      </w:pPr>
      <w:r>
        <w:rPr>
          <w:sz w:val="22"/>
        </w:rPr>
        <w:t>ein</w:t>
      </w:r>
      <w:r>
        <w:rPr>
          <w:spacing w:val="-10"/>
          <w:sz w:val="22"/>
        </w:rPr>
        <w:t> </w:t>
      </w:r>
      <w:r>
        <w:rPr>
          <w:sz w:val="22"/>
        </w:rPr>
        <w:t>breites</w:t>
      </w:r>
      <w:r>
        <w:rPr>
          <w:spacing w:val="-10"/>
          <w:sz w:val="22"/>
        </w:rPr>
        <w:t> </w:t>
      </w:r>
      <w:r>
        <w:rPr>
          <w:sz w:val="22"/>
        </w:rPr>
        <w:t>Spektrum</w:t>
      </w:r>
      <w:r>
        <w:rPr>
          <w:spacing w:val="-12"/>
          <w:sz w:val="22"/>
        </w:rPr>
        <w:t> </w:t>
      </w:r>
      <w:r>
        <w:rPr>
          <w:sz w:val="22"/>
        </w:rPr>
        <w:t>bestehender</w:t>
      </w:r>
      <w:r>
        <w:rPr>
          <w:spacing w:val="-9"/>
          <w:sz w:val="22"/>
        </w:rPr>
        <w:t> </w:t>
      </w:r>
      <w:r>
        <w:rPr>
          <w:sz w:val="22"/>
        </w:rPr>
        <w:t>Informations-</w:t>
      </w:r>
      <w:r>
        <w:rPr>
          <w:spacing w:val="-10"/>
          <w:sz w:val="22"/>
        </w:rPr>
        <w:t> </w:t>
      </w:r>
      <w:r>
        <w:rPr>
          <w:sz w:val="22"/>
        </w:rPr>
        <w:t>und</w:t>
      </w:r>
      <w:r>
        <w:rPr>
          <w:spacing w:val="-10"/>
          <w:sz w:val="22"/>
        </w:rPr>
        <w:t> </w:t>
      </w:r>
      <w:r>
        <w:rPr>
          <w:sz w:val="22"/>
        </w:rPr>
        <w:t>Unterstützungsdienste</w:t>
      </w:r>
      <w:r>
        <w:rPr>
          <w:spacing w:val="-11"/>
          <w:sz w:val="22"/>
        </w:rPr>
        <w:t> </w:t>
      </w:r>
      <w:r>
        <w:rPr>
          <w:sz w:val="22"/>
        </w:rPr>
        <w:t>im</w:t>
      </w:r>
      <w:r>
        <w:rPr>
          <w:spacing w:val="-11"/>
          <w:sz w:val="22"/>
        </w:rPr>
        <w:t> </w:t>
      </w:r>
      <w:r>
        <w:rPr>
          <w:sz w:val="22"/>
        </w:rPr>
        <w:t>Rahmen</w:t>
      </w:r>
      <w:r>
        <w:rPr>
          <w:spacing w:val="-9"/>
          <w:sz w:val="22"/>
        </w:rPr>
        <w:t> </w:t>
      </w:r>
      <w:r>
        <w:rPr>
          <w:sz w:val="22"/>
        </w:rPr>
        <w:t>von</w:t>
      </w:r>
      <w:r>
        <w:rPr>
          <w:spacing w:val="-10"/>
          <w:sz w:val="22"/>
        </w:rPr>
        <w:t> </w:t>
      </w:r>
      <w:r>
        <w:rPr>
          <w:sz w:val="22"/>
        </w:rPr>
        <w:t>„Ihr</w:t>
      </w:r>
      <w:r>
        <w:rPr>
          <w:spacing w:val="-10"/>
          <w:sz w:val="22"/>
        </w:rPr>
        <w:t> </w:t>
      </w:r>
      <w:r>
        <w:rPr>
          <w:spacing w:val="-2"/>
          <w:sz w:val="22"/>
        </w:rPr>
        <w:t>Europa“</w:t>
      </w:r>
    </w:p>
    <w:p>
      <w:pPr>
        <w:pStyle w:val="ListParagraph"/>
        <w:numPr>
          <w:ilvl w:val="0"/>
          <w:numId w:val="3"/>
        </w:numPr>
        <w:tabs>
          <w:tab w:pos="500" w:val="left" w:leader="none"/>
        </w:tabs>
        <w:spacing w:line="240" w:lineRule="auto" w:before="1" w:after="0"/>
        <w:ind w:left="499" w:right="0" w:hanging="129"/>
        <w:jc w:val="left"/>
        <w:rPr>
          <w:sz w:val="22"/>
        </w:rPr>
      </w:pPr>
      <w:r>
        <w:rPr>
          <w:sz w:val="22"/>
        </w:rPr>
        <w:t>Organisation</w:t>
      </w:r>
      <w:r>
        <w:rPr>
          <w:spacing w:val="-11"/>
          <w:sz w:val="22"/>
        </w:rPr>
        <w:t> </w:t>
      </w:r>
      <w:r>
        <w:rPr>
          <w:sz w:val="22"/>
        </w:rPr>
        <w:t>der</w:t>
      </w:r>
      <w:r>
        <w:rPr>
          <w:spacing w:val="-10"/>
          <w:sz w:val="22"/>
        </w:rPr>
        <w:t> </w:t>
      </w:r>
      <w:r>
        <w:rPr>
          <w:sz w:val="22"/>
        </w:rPr>
        <w:t>Einbeziehung</w:t>
      </w:r>
      <w:r>
        <w:rPr>
          <w:spacing w:val="-10"/>
          <w:sz w:val="22"/>
        </w:rPr>
        <w:t> </w:t>
      </w:r>
      <w:r>
        <w:rPr>
          <w:sz w:val="22"/>
        </w:rPr>
        <w:t>der</w:t>
      </w:r>
      <w:r>
        <w:rPr>
          <w:spacing w:val="-10"/>
          <w:sz w:val="22"/>
        </w:rPr>
        <w:t> </w:t>
      </w:r>
      <w:r>
        <w:rPr>
          <w:spacing w:val="-2"/>
          <w:sz w:val="22"/>
        </w:rPr>
        <w:t>Interessenträger</w:t>
      </w:r>
    </w:p>
    <w:p>
      <w:pPr>
        <w:pStyle w:val="ListParagraph"/>
        <w:numPr>
          <w:ilvl w:val="0"/>
          <w:numId w:val="3"/>
        </w:numPr>
        <w:tabs>
          <w:tab w:pos="500" w:val="left" w:leader="none"/>
        </w:tabs>
        <w:spacing w:line="253" w:lineRule="exact" w:before="0" w:after="0"/>
        <w:ind w:left="499" w:right="0" w:hanging="129"/>
        <w:jc w:val="left"/>
        <w:rPr>
          <w:sz w:val="22"/>
        </w:rPr>
      </w:pPr>
      <w:r>
        <w:rPr>
          <w:sz w:val="22"/>
        </w:rPr>
        <w:t>Förderung</w:t>
      </w:r>
      <w:r>
        <w:rPr>
          <w:spacing w:val="-12"/>
          <w:sz w:val="22"/>
        </w:rPr>
        <w:t> </w:t>
      </w:r>
      <w:r>
        <w:rPr>
          <w:sz w:val="22"/>
        </w:rPr>
        <w:t>der</w:t>
      </w:r>
      <w:r>
        <w:rPr>
          <w:spacing w:val="-10"/>
          <w:sz w:val="22"/>
        </w:rPr>
        <w:t> </w:t>
      </w:r>
      <w:r>
        <w:rPr>
          <w:sz w:val="22"/>
        </w:rPr>
        <w:t>Nachhaltigkeitsziele</w:t>
      </w:r>
      <w:r>
        <w:rPr>
          <w:spacing w:val="-11"/>
          <w:sz w:val="22"/>
        </w:rPr>
        <w:t> </w:t>
      </w:r>
      <w:r>
        <w:rPr>
          <w:sz w:val="22"/>
        </w:rPr>
        <w:t>in</w:t>
      </w:r>
      <w:r>
        <w:rPr>
          <w:spacing w:val="-10"/>
          <w:sz w:val="22"/>
        </w:rPr>
        <w:t> </w:t>
      </w:r>
      <w:r>
        <w:rPr>
          <w:sz w:val="22"/>
        </w:rPr>
        <w:t>anderen</w:t>
      </w:r>
      <w:r>
        <w:rPr>
          <w:spacing w:val="-10"/>
          <w:sz w:val="22"/>
        </w:rPr>
        <w:t> </w:t>
      </w:r>
      <w:r>
        <w:rPr>
          <w:spacing w:val="-2"/>
          <w:sz w:val="22"/>
        </w:rPr>
        <w:t>Legislativvorschlägen</w:t>
      </w:r>
    </w:p>
    <w:p>
      <w:pPr>
        <w:pStyle w:val="ListParagraph"/>
        <w:numPr>
          <w:ilvl w:val="0"/>
          <w:numId w:val="3"/>
        </w:numPr>
        <w:tabs>
          <w:tab w:pos="500" w:val="left" w:leader="none"/>
        </w:tabs>
        <w:spacing w:line="240" w:lineRule="auto" w:before="0" w:after="0"/>
        <w:ind w:left="371" w:right="1461" w:firstLine="0"/>
        <w:jc w:val="left"/>
        <w:rPr>
          <w:sz w:val="22"/>
        </w:rPr>
      </w:pPr>
      <w:r>
        <w:rPr>
          <w:sz w:val="22"/>
        </w:rPr>
        <w:t>Rationalisierung</w:t>
      </w:r>
      <w:r>
        <w:rPr>
          <w:spacing w:val="-4"/>
          <w:sz w:val="22"/>
        </w:rPr>
        <w:t> </w:t>
      </w:r>
      <w:r>
        <w:rPr>
          <w:sz w:val="22"/>
        </w:rPr>
        <w:t>mit</w:t>
      </w:r>
      <w:r>
        <w:rPr>
          <w:spacing w:val="-4"/>
          <w:sz w:val="22"/>
        </w:rPr>
        <w:t> </w:t>
      </w:r>
      <w:r>
        <w:rPr>
          <w:sz w:val="22"/>
        </w:rPr>
        <w:t>anderen</w:t>
      </w:r>
      <w:r>
        <w:rPr>
          <w:spacing w:val="-4"/>
          <w:sz w:val="22"/>
        </w:rPr>
        <w:t> </w:t>
      </w:r>
      <w:r>
        <w:rPr>
          <w:sz w:val="22"/>
        </w:rPr>
        <w:t>rechtlichen</w:t>
      </w:r>
      <w:r>
        <w:rPr>
          <w:spacing w:val="-4"/>
          <w:sz w:val="22"/>
        </w:rPr>
        <w:t> </w:t>
      </w:r>
      <w:r>
        <w:rPr>
          <w:sz w:val="22"/>
        </w:rPr>
        <w:t>und</w:t>
      </w:r>
      <w:r>
        <w:rPr>
          <w:spacing w:val="-4"/>
          <w:sz w:val="22"/>
        </w:rPr>
        <w:t> </w:t>
      </w:r>
      <w:r>
        <w:rPr>
          <w:sz w:val="22"/>
        </w:rPr>
        <w:t>nichtlegislativen</w:t>
      </w:r>
      <w:r>
        <w:rPr>
          <w:spacing w:val="-4"/>
          <w:sz w:val="22"/>
        </w:rPr>
        <w:t> </w:t>
      </w:r>
      <w:r>
        <w:rPr>
          <w:sz w:val="22"/>
        </w:rPr>
        <w:t>Initiativen,</w:t>
      </w:r>
      <w:r>
        <w:rPr>
          <w:spacing w:val="-4"/>
          <w:sz w:val="22"/>
        </w:rPr>
        <w:t> </w:t>
      </w:r>
      <w:r>
        <w:rPr>
          <w:sz w:val="22"/>
        </w:rPr>
        <w:t>insbesondere</w:t>
      </w:r>
      <w:r>
        <w:rPr>
          <w:spacing w:val="-5"/>
          <w:sz w:val="22"/>
        </w:rPr>
        <w:t> </w:t>
      </w:r>
      <w:r>
        <w:rPr>
          <w:sz w:val="22"/>
        </w:rPr>
        <w:t>im</w:t>
      </w:r>
      <w:r>
        <w:rPr>
          <w:spacing w:val="-5"/>
          <w:sz w:val="22"/>
        </w:rPr>
        <w:t> </w:t>
      </w:r>
      <w:r>
        <w:rPr>
          <w:sz w:val="22"/>
        </w:rPr>
        <w:t>Bereich Digitalisierung und Daten.</w:t>
      </w:r>
    </w:p>
    <w:p>
      <w:pPr>
        <w:pStyle w:val="BodyText"/>
      </w:pPr>
    </w:p>
    <w:p>
      <w:pPr>
        <w:pStyle w:val="BodyText"/>
        <w:ind w:left="371" w:right="113"/>
      </w:pPr>
      <w:r>
        <w:rPr/>
        <w:t>Die Arbeit des SDG-Teams umfasst die Organisation der Zusammenarbeit zwischen der Kommission und den Mitgliedstaaten, um die nationalen Koordinatoren bei der vollständigen Umsetzung der SDG-Anforderungen innerhalb</w:t>
      </w:r>
      <w:r>
        <w:rPr>
          <w:spacing w:val="-2"/>
        </w:rPr>
        <w:t> </w:t>
      </w:r>
      <w:r>
        <w:rPr/>
        <w:t>der</w:t>
      </w:r>
      <w:r>
        <w:rPr>
          <w:spacing w:val="-3"/>
        </w:rPr>
        <w:t> </w:t>
      </w:r>
      <w:r>
        <w:rPr/>
        <w:t>in</w:t>
      </w:r>
      <w:r>
        <w:rPr>
          <w:spacing w:val="-2"/>
        </w:rPr>
        <w:t> </w:t>
      </w:r>
      <w:r>
        <w:rPr/>
        <w:t>der</w:t>
      </w:r>
      <w:r>
        <w:rPr>
          <w:spacing w:val="-2"/>
        </w:rPr>
        <w:t> </w:t>
      </w:r>
      <w:r>
        <w:rPr/>
        <w:t>Verordnung</w:t>
      </w:r>
      <w:r>
        <w:rPr>
          <w:spacing w:val="-3"/>
        </w:rPr>
        <w:t> </w:t>
      </w:r>
      <w:r>
        <w:rPr/>
        <w:t>festgelegten</w:t>
      </w:r>
      <w:r>
        <w:rPr>
          <w:spacing w:val="-2"/>
        </w:rPr>
        <w:t> </w:t>
      </w:r>
      <w:r>
        <w:rPr/>
        <w:t>Fristen</w:t>
      </w:r>
      <w:r>
        <w:rPr>
          <w:spacing w:val="-2"/>
        </w:rPr>
        <w:t> </w:t>
      </w:r>
      <w:r>
        <w:rPr/>
        <w:t>zu</w:t>
      </w:r>
      <w:r>
        <w:rPr>
          <w:spacing w:val="-2"/>
        </w:rPr>
        <w:t> </w:t>
      </w:r>
      <w:r>
        <w:rPr/>
        <w:t>unterstützen.</w:t>
      </w:r>
      <w:r>
        <w:rPr>
          <w:spacing w:val="-2"/>
        </w:rPr>
        <w:t> </w:t>
      </w:r>
      <w:r>
        <w:rPr/>
        <w:t>Dazu</w:t>
      </w:r>
      <w:r>
        <w:rPr>
          <w:spacing w:val="-2"/>
        </w:rPr>
        <w:t> </w:t>
      </w:r>
      <w:r>
        <w:rPr/>
        <w:t>gehört</w:t>
      </w:r>
      <w:r>
        <w:rPr>
          <w:spacing w:val="-2"/>
        </w:rPr>
        <w:t> </w:t>
      </w:r>
      <w:r>
        <w:rPr/>
        <w:t>auch</w:t>
      </w:r>
      <w:r>
        <w:rPr>
          <w:spacing w:val="-2"/>
        </w:rPr>
        <w:t> </w:t>
      </w:r>
      <w:r>
        <w:rPr/>
        <w:t>die</w:t>
      </w:r>
      <w:r>
        <w:rPr>
          <w:spacing w:val="-3"/>
        </w:rPr>
        <w:t> </w:t>
      </w:r>
      <w:r>
        <w:rPr/>
        <w:t>enge</w:t>
      </w:r>
      <w:r>
        <w:rPr>
          <w:spacing w:val="-3"/>
        </w:rPr>
        <w:t> </w:t>
      </w:r>
      <w:r>
        <w:rPr/>
        <w:t>Zusammenarbeit mit anderen Dienststellen der Kommission, die am SDG-Dossier beteiligt sind.</w:t>
      </w:r>
    </w:p>
    <w:p>
      <w:pPr>
        <w:pStyle w:val="BodyText"/>
      </w:pPr>
    </w:p>
    <w:p>
      <w:pPr>
        <w:pStyle w:val="BodyText"/>
        <w:ind w:left="371" w:right="168"/>
      </w:pPr>
      <w:r>
        <w:rPr/>
        <w:t>Wir</w:t>
      </w:r>
      <w:r>
        <w:rPr>
          <w:spacing w:val="-3"/>
        </w:rPr>
        <w:t> </w:t>
      </w:r>
      <w:r>
        <w:rPr/>
        <w:t>bieten</w:t>
      </w:r>
      <w:r>
        <w:rPr>
          <w:spacing w:val="-3"/>
        </w:rPr>
        <w:t> </w:t>
      </w:r>
      <w:r>
        <w:rPr/>
        <w:t>ein</w:t>
      </w:r>
      <w:r>
        <w:rPr>
          <w:spacing w:val="-3"/>
        </w:rPr>
        <w:t> </w:t>
      </w:r>
      <w:r>
        <w:rPr/>
        <w:t>ermutigendes,</w:t>
      </w:r>
      <w:r>
        <w:rPr>
          <w:spacing w:val="-3"/>
        </w:rPr>
        <w:t> </w:t>
      </w:r>
      <w:r>
        <w:rPr/>
        <w:t>kooperatives</w:t>
      </w:r>
      <w:r>
        <w:rPr>
          <w:spacing w:val="-4"/>
        </w:rPr>
        <w:t> </w:t>
      </w:r>
      <w:r>
        <w:rPr/>
        <w:t>Arbeitsumfeld</w:t>
      </w:r>
      <w:r>
        <w:rPr>
          <w:spacing w:val="-1"/>
        </w:rPr>
        <w:t> </w:t>
      </w:r>
      <w:r>
        <w:rPr/>
        <w:t>mit</w:t>
      </w:r>
      <w:r>
        <w:rPr>
          <w:spacing w:val="-3"/>
        </w:rPr>
        <w:t> </w:t>
      </w:r>
      <w:r>
        <w:rPr/>
        <w:t>zahlreichen</w:t>
      </w:r>
      <w:r>
        <w:rPr>
          <w:spacing w:val="-3"/>
        </w:rPr>
        <w:t> </w:t>
      </w:r>
      <w:r>
        <w:rPr/>
        <w:t>Möglichkeiten</w:t>
      </w:r>
      <w:r>
        <w:rPr>
          <w:spacing w:val="-3"/>
        </w:rPr>
        <w:t> </w:t>
      </w:r>
      <w:r>
        <w:rPr/>
        <w:t>zur</w:t>
      </w:r>
      <w:r>
        <w:rPr>
          <w:spacing w:val="-3"/>
        </w:rPr>
        <w:t> </w:t>
      </w:r>
      <w:r>
        <w:rPr/>
        <w:t>Entwicklung</w:t>
      </w:r>
      <w:r>
        <w:rPr>
          <w:spacing w:val="-4"/>
        </w:rPr>
        <w:t> </w:t>
      </w:r>
      <w:r>
        <w:rPr/>
        <w:t>und Anwendung Ihrer Koordinierungs-, Analyse- und sonstigen Kompetenzen, und für Ihre Arbeit anerkannt zu </w:t>
      </w:r>
      <w:r>
        <w:rPr>
          <w:spacing w:val="-2"/>
        </w:rPr>
        <w:t>werden.</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37" w:val="left" w:leader="none"/>
        </w:tabs>
        <w:spacing w:line="240" w:lineRule="auto" w:before="91" w:after="0"/>
        <w:ind w:left="1036" w:right="0" w:hanging="241"/>
        <w:jc w:val="left"/>
      </w:pPr>
      <w:r>
        <w:rPr>
          <w:spacing w:val="-2"/>
          <w:u w:val="single"/>
        </w:rPr>
        <w:t>Zulassungskriterien</w:t>
      </w:r>
    </w:p>
    <w:p>
      <w:pPr>
        <w:pStyle w:val="BodyText"/>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2"/>
          <w:numId w:val="2"/>
        </w:numPr>
        <w:tabs>
          <w:tab w:pos="1209" w:val="left" w:leader="none"/>
        </w:tabs>
        <w:spacing w:line="240" w:lineRule="auto" w:before="1"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2"/>
          <w:numId w:val="2"/>
        </w:numPr>
        <w:tabs>
          <w:tab w:pos="1209" w:val="left" w:leader="none"/>
        </w:tabs>
        <w:spacing w:line="240" w:lineRule="auto"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spacing w:line="253" w:lineRule="exact"/>
        <w:ind w:left="1190"/>
      </w:pPr>
      <w:r>
        <w:rPr/>
        <w:t>im</w:t>
      </w:r>
      <w:r>
        <w:rPr>
          <w:spacing w:val="-5"/>
        </w:rPr>
        <w:t> </w:t>
      </w:r>
      <w:r>
        <w:rPr>
          <w:spacing w:val="-2"/>
        </w:rPr>
        <w:t>Bereich::</w:t>
      </w:r>
    </w:p>
    <w:p>
      <w:pPr>
        <w:pStyle w:val="BodyText"/>
        <w:ind w:left="1080" w:right="113" w:firstLine="49"/>
      </w:pPr>
      <w:r>
        <w:rPr/>
        <w:t>Recht,</w:t>
      </w:r>
      <w:r>
        <w:rPr>
          <w:spacing w:val="-3"/>
        </w:rPr>
        <w:t> </w:t>
      </w:r>
      <w:r>
        <w:rPr/>
        <w:t>Politik</w:t>
      </w:r>
      <w:r>
        <w:rPr>
          <w:spacing w:val="-2"/>
        </w:rPr>
        <w:t> </w:t>
      </w:r>
      <w:r>
        <w:rPr/>
        <w:t>oder</w:t>
      </w:r>
      <w:r>
        <w:rPr>
          <w:spacing w:val="-3"/>
        </w:rPr>
        <w:t> </w:t>
      </w:r>
      <w:r>
        <w:rPr/>
        <w:t>IT</w:t>
      </w:r>
      <w:r>
        <w:rPr>
          <w:spacing w:val="-3"/>
        </w:rPr>
        <w:t> </w:t>
      </w:r>
      <w:r>
        <w:rPr/>
        <w:t>mit</w:t>
      </w:r>
      <w:r>
        <w:rPr>
          <w:spacing w:val="-4"/>
        </w:rPr>
        <w:t> </w:t>
      </w:r>
      <w:r>
        <w:rPr/>
        <w:t>ausgezeichneten</w:t>
      </w:r>
      <w:r>
        <w:rPr>
          <w:spacing w:val="-2"/>
        </w:rPr>
        <w:t> </w:t>
      </w:r>
      <w:r>
        <w:rPr/>
        <w:t>analytischen</w:t>
      </w:r>
      <w:r>
        <w:rPr>
          <w:spacing w:val="-2"/>
        </w:rPr>
        <w:t> </w:t>
      </w:r>
      <w:r>
        <w:rPr/>
        <w:t>und</w:t>
      </w:r>
      <w:r>
        <w:rPr>
          <w:spacing w:val="-2"/>
        </w:rPr>
        <w:t> </w:t>
      </w:r>
      <w:r>
        <w:rPr/>
        <w:t>redaktionellen</w:t>
      </w:r>
      <w:r>
        <w:rPr>
          <w:spacing w:val="-2"/>
        </w:rPr>
        <w:t> </w:t>
      </w:r>
      <w:r>
        <w:rPr/>
        <w:t>Fähigkeiten</w:t>
      </w:r>
      <w:r>
        <w:rPr>
          <w:spacing w:val="-2"/>
        </w:rPr>
        <w:t> </w:t>
      </w:r>
      <w:r>
        <w:rPr/>
        <w:t>und</w:t>
      </w:r>
      <w:r>
        <w:rPr>
          <w:spacing w:val="-4"/>
        </w:rPr>
        <w:t> </w:t>
      </w:r>
      <w:r>
        <w:rPr/>
        <w:t>einem</w:t>
      </w:r>
      <w:r>
        <w:rPr>
          <w:spacing w:val="-5"/>
        </w:rPr>
        <w:t> </w:t>
      </w:r>
      <w:r>
        <w:rPr/>
        <w:t>starken Interesse an allen Dingen im digitalen Bereich</w:t>
      </w:r>
    </w:p>
    <w:p>
      <w:pPr>
        <w:spacing w:after="0"/>
        <w:sectPr>
          <w:pgSz w:w="11910" w:h="16840"/>
          <w:pgMar w:header="0" w:footer="690" w:top="1040" w:bottom="880" w:left="480" w:right="740"/>
        </w:sectPr>
      </w:pPr>
    </w:p>
    <w:p>
      <w:pPr>
        <w:pStyle w:val="BodyText"/>
        <w:spacing w:before="72"/>
        <w:ind w:left="1080"/>
      </w:pPr>
      <w:r>
        <w:rPr>
          <w:spacing w:val="-2"/>
          <w:u w:val="single"/>
        </w:rPr>
        <w:t>Berufserfahrung</w:t>
      </w:r>
    </w:p>
    <w:p>
      <w:pPr>
        <w:pStyle w:val="BodyText"/>
        <w:spacing w:before="2"/>
        <w:rPr>
          <w:sz w:val="14"/>
        </w:rPr>
      </w:pPr>
    </w:p>
    <w:p>
      <w:pPr>
        <w:pStyle w:val="BodyText"/>
        <w:spacing w:before="91"/>
        <w:ind w:left="1080" w:right="167"/>
        <w:jc w:val="both"/>
      </w:pPr>
      <w:r>
        <w:rPr/>
        <w:t>Die Arbeit erfordert nachgewiesene Erfahrung im digitalen Wandel im öffentlichen Sektor und gute Kenntnisse der Verordnung (EU) 2018/1724 über das zentrale digitale Zugangstor und ihrer Rolle für das reibungslose Funktionieren des EU-Binnenmarkts. Aus der bisherigen Berufserfahrung des Bewerbers sollte hervorgehen, dass er ausgezeichnete organisatorische Fähigkeiten, intellektuelle Neugier, einen Wunsch nach Details komplexer Themen, seine Fähigkeit, das Gesamtbild zu sehen, sowie Vernetzungsfähigkeiten erworben hat.</w:t>
      </w:r>
    </w:p>
    <w:p>
      <w:pPr>
        <w:pStyle w:val="BodyText"/>
        <w:rPr>
          <w:sz w:val="24"/>
        </w:rPr>
      </w:pPr>
    </w:p>
    <w:p>
      <w:pPr>
        <w:pStyle w:val="BodyText"/>
        <w:rPr>
          <w:sz w:val="24"/>
        </w:rPr>
      </w:pPr>
    </w:p>
    <w:p>
      <w:pPr>
        <w:pStyle w:val="BodyText"/>
        <w:spacing w:before="206"/>
        <w:ind w:left="1080"/>
        <w:jc w:val="both"/>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1"/>
        <w:ind w:left="1080"/>
      </w:pPr>
      <w:r>
        <w:rPr/>
        <w:t>Englisch</w:t>
      </w:r>
      <w:r>
        <w:rPr>
          <w:spacing w:val="-10"/>
        </w:rPr>
        <w:t> </w:t>
      </w:r>
      <w:r>
        <w:rPr/>
        <w:t>ist</w:t>
      </w:r>
      <w:r>
        <w:rPr>
          <w:spacing w:val="-9"/>
        </w:rPr>
        <w:t> </w:t>
      </w:r>
      <w:r>
        <w:rPr/>
        <w:t>erforderlich.</w:t>
      </w:r>
      <w:r>
        <w:rPr>
          <w:spacing w:val="-10"/>
        </w:rPr>
        <w:t> </w:t>
      </w:r>
      <w:r>
        <w:rPr/>
        <w:t>Französisch</w:t>
      </w:r>
      <w:r>
        <w:rPr>
          <w:spacing w:val="-9"/>
        </w:rPr>
        <w:t> </w:t>
      </w:r>
      <w:r>
        <w:rPr/>
        <w:t>und/oder</w:t>
      </w:r>
      <w:r>
        <w:rPr>
          <w:spacing w:val="-10"/>
        </w:rPr>
        <w:t> </w:t>
      </w:r>
      <w:r>
        <w:rPr/>
        <w:t>Deutsch</w:t>
      </w:r>
      <w:r>
        <w:rPr>
          <w:spacing w:val="-9"/>
        </w:rPr>
        <w:t> </w:t>
      </w:r>
      <w:r>
        <w:rPr/>
        <w:t>wären</w:t>
      </w:r>
      <w:r>
        <w:rPr>
          <w:spacing w:val="-9"/>
        </w:rPr>
        <w:t> </w:t>
      </w:r>
      <w:r>
        <w:rPr/>
        <w:t>ein</w:t>
      </w:r>
      <w:r>
        <w:rPr>
          <w:spacing w:val="-10"/>
        </w:rPr>
        <w:t> </w:t>
      </w:r>
      <w:r>
        <w:rPr>
          <w:spacing w:val="-2"/>
        </w:rPr>
        <w:t>Plus.</w:t>
      </w:r>
    </w:p>
    <w:p>
      <w:pPr>
        <w:pStyle w:val="BodyText"/>
        <w:rPr>
          <w:sz w:val="24"/>
        </w:rPr>
      </w:pPr>
    </w:p>
    <w:p>
      <w:pPr>
        <w:pStyle w:val="BodyText"/>
        <w:spacing w:before="1"/>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0"/>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spacing w:before="91"/>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4"/>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spacing w:after="0" w:line="240" w:lineRule="auto"/>
        <w:jc w:val="left"/>
        <w:rPr>
          <w:sz w:val="24"/>
        </w:rPr>
        <w:sectPr>
          <w:pgSz w:w="11910" w:h="16840"/>
          <w:pgMar w:header="0" w:footer="690" w:top="1800" w:bottom="880" w:left="480" w:right="740"/>
        </w:sectPr>
      </w:pPr>
    </w:p>
    <w:p>
      <w:pPr>
        <w:pStyle w:val="BodyText"/>
        <w:spacing w:before="70"/>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7" w:right="283"/>
        <w:jc w:val="both"/>
      </w:pPr>
      <w:r>
        <w:rPr/>
        <w:t>Die Daten der ANS werden für die Dauer von 7 Jahren ab dem Ende der Abordnung aufbewahrt (zwei Jahre bei ANS, deren Bewerbung zurückgezogen wurde).</w:t>
      </w:r>
    </w:p>
    <w:p>
      <w:pPr>
        <w:pStyle w:val="BodyText"/>
        <w:ind w:left="797"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07"/>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
        <w:rPr>
          <w:sz w:val="14"/>
        </w:rPr>
      </w:pPr>
    </w:p>
    <w:p>
      <w:pPr>
        <w:pStyle w:val="Heading1"/>
        <w:numPr>
          <w:ilvl w:val="0"/>
          <w:numId w:val="5"/>
        </w:numPr>
        <w:tabs>
          <w:tab w:pos="1079" w:val="left" w:leader="none"/>
        </w:tabs>
        <w:spacing w:line="240" w:lineRule="auto" w:before="91" w:after="0"/>
        <w:ind w:left="1078" w:right="0" w:hanging="283"/>
        <w:jc w:val="both"/>
      </w:pPr>
      <w:r>
        <w:rPr>
          <w:spacing w:val="-2"/>
        </w:rPr>
        <w:t>Datenschutzbeauftragte</w:t>
      </w:r>
      <w:r>
        <w:rPr>
          <w:spacing w:val="5"/>
        </w:rPr>
        <w:t> </w:t>
      </w:r>
      <w:r>
        <w:rPr>
          <w:spacing w:val="-2"/>
        </w:rPr>
        <w:t>(DPO)</w:t>
      </w:r>
      <w:r>
        <w:rPr>
          <w:spacing w:val="6"/>
        </w:rPr>
        <w:t> </w:t>
      </w:r>
      <w:r>
        <w:rPr>
          <w:spacing w:val="-2"/>
        </w:rPr>
        <w:t>der</w:t>
      </w:r>
      <w:r>
        <w:rPr>
          <w:spacing w:val="6"/>
        </w:rPr>
        <w:t> </w:t>
      </w:r>
      <w:r>
        <w:rPr>
          <w:spacing w:val="-2"/>
        </w:rPr>
        <w:t>Kommission</w:t>
      </w:r>
    </w:p>
    <w:p>
      <w:pPr>
        <w:pStyle w:val="BodyText"/>
        <w:ind w:left="1080" w:right="108" w:hanging="1"/>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pPr>
    </w:p>
    <w:p>
      <w:pPr>
        <w:pStyle w:val="Heading1"/>
        <w:numPr>
          <w:ilvl w:val="0"/>
          <w:numId w:val="5"/>
        </w:numPr>
        <w:tabs>
          <w:tab w:pos="1079" w:val="left" w:leader="none"/>
        </w:tabs>
        <w:spacing w:line="240" w:lineRule="auto" w:before="0" w:after="0"/>
        <w:ind w:left="1078" w:right="0" w:hanging="283"/>
        <w:jc w:val="both"/>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08"/>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07"/>
        <w:jc w:val="both"/>
      </w:pPr>
      <w:r>
        <w:rPr/>
        <w:t>Hinweis für Bewerber aus Drittländern: Ihre personenbezogenen Daten können für erforderliche Überprüfungen herangezogen werden.</w:t>
      </w:r>
    </w:p>
    <w:sectPr>
      <w:pgSz w:w="11910" w:h="16840"/>
      <w:pgMar w:header="0" w:footer="690" w:top="132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284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2">
    <w:multiLevelType w:val="hybridMultilevel"/>
    <w:lvl w:ilvl="0">
      <w:start w:val="0"/>
      <w:numFmt w:val="bullet"/>
      <w:lvlText w:val="-"/>
      <w:lvlJc w:val="left"/>
      <w:pPr>
        <w:ind w:left="370"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1410" w:hanging="129"/>
      </w:pPr>
      <w:rPr>
        <w:rFonts w:hint="default"/>
        <w:lang w:val="de-DE" w:eastAsia="en-US" w:bidi="ar-SA"/>
      </w:rPr>
    </w:lvl>
    <w:lvl w:ilvl="2">
      <w:start w:val="0"/>
      <w:numFmt w:val="bullet"/>
      <w:lvlText w:val="•"/>
      <w:lvlJc w:val="left"/>
      <w:pPr>
        <w:ind w:left="2441" w:hanging="129"/>
      </w:pPr>
      <w:rPr>
        <w:rFonts w:hint="default"/>
        <w:lang w:val="de-DE" w:eastAsia="en-US" w:bidi="ar-SA"/>
      </w:rPr>
    </w:lvl>
    <w:lvl w:ilvl="3">
      <w:start w:val="0"/>
      <w:numFmt w:val="bullet"/>
      <w:lvlText w:val="•"/>
      <w:lvlJc w:val="left"/>
      <w:pPr>
        <w:ind w:left="3471" w:hanging="129"/>
      </w:pPr>
      <w:rPr>
        <w:rFonts w:hint="default"/>
        <w:lang w:val="de-DE" w:eastAsia="en-US" w:bidi="ar-SA"/>
      </w:rPr>
    </w:lvl>
    <w:lvl w:ilvl="4">
      <w:start w:val="0"/>
      <w:numFmt w:val="bullet"/>
      <w:lvlText w:val="•"/>
      <w:lvlJc w:val="left"/>
      <w:pPr>
        <w:ind w:left="4502" w:hanging="129"/>
      </w:pPr>
      <w:rPr>
        <w:rFonts w:hint="default"/>
        <w:lang w:val="de-DE" w:eastAsia="en-US" w:bidi="ar-SA"/>
      </w:rPr>
    </w:lvl>
    <w:lvl w:ilvl="5">
      <w:start w:val="0"/>
      <w:numFmt w:val="bullet"/>
      <w:lvlText w:val="•"/>
      <w:lvlJc w:val="left"/>
      <w:pPr>
        <w:ind w:left="5533" w:hanging="129"/>
      </w:pPr>
      <w:rPr>
        <w:rFonts w:hint="default"/>
        <w:lang w:val="de-DE" w:eastAsia="en-US" w:bidi="ar-SA"/>
      </w:rPr>
    </w:lvl>
    <w:lvl w:ilvl="6">
      <w:start w:val="0"/>
      <w:numFmt w:val="bullet"/>
      <w:lvlText w:val="•"/>
      <w:lvlJc w:val="left"/>
      <w:pPr>
        <w:ind w:left="6563" w:hanging="129"/>
      </w:pPr>
      <w:rPr>
        <w:rFonts w:hint="default"/>
        <w:lang w:val="de-DE" w:eastAsia="en-US" w:bidi="ar-SA"/>
      </w:rPr>
    </w:lvl>
    <w:lvl w:ilvl="7">
      <w:start w:val="0"/>
      <w:numFmt w:val="bullet"/>
      <w:lvlText w:val="•"/>
      <w:lvlJc w:val="left"/>
      <w:pPr>
        <w:ind w:left="7594" w:hanging="129"/>
      </w:pPr>
      <w:rPr>
        <w:rFonts w:hint="default"/>
        <w:lang w:val="de-DE" w:eastAsia="en-US" w:bidi="ar-SA"/>
      </w:rPr>
    </w:lvl>
    <w:lvl w:ilvl="8">
      <w:start w:val="0"/>
      <w:numFmt w:val="bullet"/>
      <w:lvlText w:val="•"/>
      <w:lvlJc w:val="left"/>
      <w:pPr>
        <w:ind w:left="8625" w:hanging="129"/>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385" w:hanging="129"/>
      </w:pPr>
      <w:rPr>
        <w:rFonts w:hint="default"/>
        <w:lang w:val="de-DE" w:eastAsia="en-US" w:bidi="ar-SA"/>
      </w:rPr>
    </w:lvl>
    <w:lvl w:ilvl="4">
      <w:start w:val="0"/>
      <w:numFmt w:val="bullet"/>
      <w:lvlText w:val="•"/>
      <w:lvlJc w:val="left"/>
      <w:pPr>
        <w:ind w:left="3571" w:hanging="129"/>
      </w:pPr>
      <w:rPr>
        <w:rFonts w:hint="default"/>
        <w:lang w:val="de-DE" w:eastAsia="en-US" w:bidi="ar-SA"/>
      </w:rPr>
    </w:lvl>
    <w:lvl w:ilvl="5">
      <w:start w:val="0"/>
      <w:numFmt w:val="bullet"/>
      <w:lvlText w:val="•"/>
      <w:lvlJc w:val="left"/>
      <w:pPr>
        <w:ind w:left="4757" w:hanging="129"/>
      </w:pPr>
      <w:rPr>
        <w:rFonts w:hint="default"/>
        <w:lang w:val="de-DE" w:eastAsia="en-US" w:bidi="ar-SA"/>
      </w:rPr>
    </w:lvl>
    <w:lvl w:ilvl="6">
      <w:start w:val="0"/>
      <w:numFmt w:val="bullet"/>
      <w:lvlText w:val="•"/>
      <w:lvlJc w:val="left"/>
      <w:pPr>
        <w:ind w:left="5943" w:hanging="129"/>
      </w:pPr>
      <w:rPr>
        <w:rFonts w:hint="default"/>
        <w:lang w:val="de-DE" w:eastAsia="en-US" w:bidi="ar-SA"/>
      </w:rPr>
    </w:lvl>
    <w:lvl w:ilvl="7">
      <w:start w:val="0"/>
      <w:numFmt w:val="bullet"/>
      <w:lvlText w:val="•"/>
      <w:lvlJc w:val="left"/>
      <w:pPr>
        <w:ind w:left="7129" w:hanging="129"/>
      </w:pPr>
      <w:rPr>
        <w:rFonts w:hint="default"/>
        <w:lang w:val="de-DE" w:eastAsia="en-US" w:bidi="ar-SA"/>
      </w:rPr>
    </w:lvl>
    <w:lvl w:ilvl="8">
      <w:start w:val="0"/>
      <w:numFmt w:val="bullet"/>
      <w:lvlText w:val="•"/>
      <w:lvlJc w:val="left"/>
      <w:pPr>
        <w:ind w:left="8314" w:hanging="129"/>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maryllis.verhoeve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2023-04-02T21:29:14Z</dcterms:created>
  <dcterms:modified xsi:type="dcterms:W3CDTF">2023-04-02T21:29:14Z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0x0101007EDF47E9E9043943AC0F0B26B8C0A136</vt:lpwstr>
  </property>
  <property fmtid="{D5CDD505-2E9C-101B-9397-08002B2CF9AE}" pid="3" name="Created">
    <vt:filetime>2023-04-02T00:00:00Z</vt:filetime>
  </property>
  <property fmtid="{D5CDD505-2E9C-101B-9397-08002B2CF9AE}" pid="4" name="Creator">
    <vt:lpwstr>Acrobat PDFMaker 22 for Word</vt:lpwstr>
  </property>
  <property fmtid="{D5CDD505-2E9C-101B-9397-08002B2CF9AE}" pid="5" name="LastSaved">
    <vt:filetime>2023-04-02T00:00:00Z</vt:filetime>
  </property>
  <property fmtid="{D5CDD505-2E9C-101B-9397-08002B2CF9AE}" pid="6" name="MSIP_Label_6bd9ddd1-4d20-43f6-abfa-fc3c07406f94_ActionId">
    <vt:lpwstr>17e33903-4660-49b3-bf2e-7d5579488d46</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2023-03-24T14:02:19Z</vt:lpwstr>
  </property>
  <property fmtid="{D5CDD505-2E9C-101B-9397-08002B2CF9AE}" pid="12" name="MSIP_Label_6bd9ddd1-4d20-43f6-abfa-fc3c07406f94_SiteId">
    <vt:lpwstr>b24c8b06-522c-46fe-9080-70926f8dddb1</vt:lpwstr>
  </property>
  <property fmtid="{D5CDD505-2E9C-101B-9397-08002B2CF9AE}" pid="13" name="Producer">
    <vt:lpwstr>Adobe PDF Library 22.3.90</vt:lpwstr>
  </property>
  <property fmtid="{D5CDD505-2E9C-101B-9397-08002B2CF9AE}" pid="14" name="SourceModified">
    <vt:lpwstr>D:20230327104800</vt:lpwstr>
  </property>
</Properties>
</file>