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32FD" w:rsidRDefault="00560835">
      <w:pPr>
        <w:pStyle w:val="BodyText"/>
        <w:ind w:left="101"/>
        <w:rPr>
          <w:sz w:val="20"/>
        </w:rPr>
      </w:pPr>
      <w:r>
        <w:rPr>
          <w:noProof/>
          <w:sz w:val="20"/>
          <w:lang w:val="en-GB" w:eastAsia="en-GB"/>
        </w:rPr>
        <w:drawing>
          <wp:inline distT="0" distB="0" distL="0" distR="0">
            <wp:extent cx="1381125" cy="68580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81125" cy="685800"/>
                    </a:xfrm>
                    <a:prstGeom prst="rect">
                      <a:avLst/>
                    </a:prstGeom>
                  </pic:spPr>
                </pic:pic>
              </a:graphicData>
            </a:graphic>
          </wp:inline>
        </w:drawing>
      </w:r>
    </w:p>
    <w:p w:rsidR="00F332FD" w:rsidRDefault="00560835">
      <w:pPr>
        <w:spacing w:before="68"/>
        <w:ind w:left="1697" w:right="2034"/>
        <w:jc w:val="center"/>
        <w:rPr>
          <w:b/>
          <w:sz w:val="24"/>
        </w:rPr>
      </w:pPr>
      <w:r>
        <w:rPr>
          <w:b/>
          <w:spacing w:val="-2"/>
          <w:sz w:val="24"/>
        </w:rPr>
        <w:t>STELLENAUSSCHREIBUNG</w:t>
      </w:r>
    </w:p>
    <w:p w:rsidR="00F332FD" w:rsidRDefault="00F332FD">
      <w:pPr>
        <w:pStyle w:val="BodyText"/>
        <w:spacing w:before="11"/>
        <w:rPr>
          <w:b/>
          <w:sz w:val="23"/>
        </w:rPr>
      </w:pPr>
    </w:p>
    <w:p w:rsidR="00F332FD" w:rsidRDefault="00560835">
      <w:pPr>
        <w:ind w:left="1698" w:right="2034"/>
        <w:jc w:val="center"/>
        <w:rPr>
          <w:b/>
          <w:sz w:val="24"/>
        </w:rPr>
      </w:pPr>
      <w:r>
        <w:rPr>
          <w:b/>
          <w:sz w:val="24"/>
        </w:rPr>
        <w:t>ABGEORDNETER</w:t>
      </w:r>
      <w:r>
        <w:rPr>
          <w:b/>
          <w:spacing w:val="-13"/>
          <w:sz w:val="24"/>
        </w:rPr>
        <w:t xml:space="preserve"> </w:t>
      </w:r>
      <w:r>
        <w:rPr>
          <w:b/>
          <w:sz w:val="24"/>
        </w:rPr>
        <w:t>NATIONALER</w:t>
      </w:r>
      <w:r>
        <w:rPr>
          <w:b/>
          <w:spacing w:val="-13"/>
          <w:sz w:val="24"/>
        </w:rPr>
        <w:t xml:space="preserve"> </w:t>
      </w:r>
      <w:r>
        <w:rPr>
          <w:b/>
          <w:sz w:val="24"/>
        </w:rPr>
        <w:t>SACHVERSTÄNDIGER</w:t>
      </w:r>
      <w:r>
        <w:rPr>
          <w:b/>
          <w:spacing w:val="-12"/>
          <w:sz w:val="24"/>
        </w:rPr>
        <w:t xml:space="preserve"> </w:t>
      </w:r>
      <w:r>
        <w:rPr>
          <w:b/>
          <w:sz w:val="24"/>
        </w:rPr>
        <w:t>ZUR EUROPÄISCHEN KOMMISSION</w:t>
      </w:r>
    </w:p>
    <w:p w:rsidR="00F332FD" w:rsidRDefault="00F332FD">
      <w:pPr>
        <w:pStyle w:val="BodyText"/>
        <w:rPr>
          <w:b/>
          <w:sz w:val="24"/>
        </w:rPr>
      </w:pPr>
    </w:p>
    <w:tbl>
      <w:tblPr>
        <w:tblW w:w="0" w:type="auto"/>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60"/>
        <w:gridCol w:w="5597"/>
      </w:tblGrid>
      <w:tr w:rsidR="00F332FD">
        <w:trPr>
          <w:trHeight w:val="610"/>
        </w:trPr>
        <w:tc>
          <w:tcPr>
            <w:tcW w:w="4360" w:type="dxa"/>
          </w:tcPr>
          <w:p w:rsidR="00F332FD" w:rsidRDefault="00560835">
            <w:pPr>
              <w:pStyle w:val="TableParagraph"/>
              <w:spacing w:line="275" w:lineRule="exact"/>
              <w:rPr>
                <w:b/>
                <w:sz w:val="24"/>
              </w:rPr>
            </w:pPr>
            <w:r>
              <w:rPr>
                <w:b/>
                <w:spacing w:val="-2"/>
                <w:sz w:val="24"/>
              </w:rPr>
              <w:t>Stellenkennung:</w:t>
            </w:r>
          </w:p>
          <w:p w:rsidR="00F332FD" w:rsidRDefault="00560835">
            <w:pPr>
              <w:pStyle w:val="TableParagraph"/>
              <w:spacing w:line="275" w:lineRule="exact"/>
              <w:rPr>
                <w:sz w:val="24"/>
              </w:rPr>
            </w:pPr>
            <w:r>
              <w:rPr>
                <w:spacing w:val="-2"/>
                <w:sz w:val="24"/>
              </w:rPr>
              <w:t>(GD-DIR-REFERAT)</w:t>
            </w:r>
          </w:p>
        </w:tc>
        <w:tc>
          <w:tcPr>
            <w:tcW w:w="5597" w:type="dxa"/>
          </w:tcPr>
          <w:p w:rsidR="00F332FD" w:rsidRDefault="00560835">
            <w:pPr>
              <w:pStyle w:val="TableParagraph"/>
              <w:spacing w:before="168"/>
              <w:rPr>
                <w:b/>
                <w:sz w:val="24"/>
              </w:rPr>
            </w:pPr>
            <w:r>
              <w:rPr>
                <w:b/>
                <w:spacing w:val="-2"/>
                <w:sz w:val="24"/>
              </w:rPr>
              <w:t>HERA.02</w:t>
            </w:r>
          </w:p>
        </w:tc>
      </w:tr>
      <w:tr w:rsidR="00F332FD">
        <w:trPr>
          <w:trHeight w:val="1977"/>
        </w:trPr>
        <w:tc>
          <w:tcPr>
            <w:tcW w:w="4360" w:type="dxa"/>
            <w:vMerge w:val="restart"/>
          </w:tcPr>
          <w:p w:rsidR="00F332FD" w:rsidRDefault="00560835">
            <w:pPr>
              <w:pStyle w:val="TableParagraph"/>
              <w:spacing w:before="1" w:line="252" w:lineRule="exact"/>
              <w:rPr>
                <w:b/>
              </w:rPr>
            </w:pPr>
            <w:r>
              <w:rPr>
                <w:b/>
                <w:spacing w:val="-2"/>
              </w:rPr>
              <w:t>Referatsleiter:</w:t>
            </w:r>
          </w:p>
          <w:p w:rsidR="00F332FD" w:rsidRDefault="00560835">
            <w:pPr>
              <w:pStyle w:val="TableParagraph"/>
              <w:ind w:right="1975"/>
              <w:rPr>
                <w:b/>
              </w:rPr>
            </w:pPr>
            <w:r>
              <w:rPr>
                <w:b/>
                <w:spacing w:val="-2"/>
              </w:rPr>
              <w:t>E-Mail-Adresse: Telefon:</w:t>
            </w:r>
          </w:p>
          <w:p w:rsidR="00F332FD" w:rsidRDefault="00560835">
            <w:pPr>
              <w:pStyle w:val="TableParagraph"/>
              <w:ind w:right="1091"/>
              <w:rPr>
                <w:b/>
              </w:rPr>
            </w:pPr>
            <w:r>
              <w:rPr>
                <w:b/>
              </w:rPr>
              <w:t>Zahl</w:t>
            </w:r>
            <w:r>
              <w:rPr>
                <w:b/>
                <w:spacing w:val="-10"/>
              </w:rPr>
              <w:t xml:space="preserve"> </w:t>
            </w:r>
            <w:r>
              <w:rPr>
                <w:b/>
              </w:rPr>
              <w:t>der</w:t>
            </w:r>
            <w:r>
              <w:rPr>
                <w:b/>
                <w:spacing w:val="-9"/>
              </w:rPr>
              <w:t xml:space="preserve"> </w:t>
            </w:r>
            <w:r>
              <w:rPr>
                <w:b/>
              </w:rPr>
              <w:t>zu</w:t>
            </w:r>
            <w:r>
              <w:rPr>
                <w:b/>
                <w:spacing w:val="-10"/>
              </w:rPr>
              <w:t xml:space="preserve"> </w:t>
            </w:r>
            <w:r>
              <w:rPr>
                <w:b/>
              </w:rPr>
              <w:t>besetzenden</w:t>
            </w:r>
            <w:r>
              <w:rPr>
                <w:b/>
                <w:spacing w:val="-9"/>
              </w:rPr>
              <w:t xml:space="preserve"> </w:t>
            </w:r>
            <w:r>
              <w:rPr>
                <w:b/>
              </w:rPr>
              <w:t>Stellen: Gewünschter Dienstantritt: Dauer der Abordnung:</w:t>
            </w:r>
          </w:p>
          <w:p w:rsidR="00F332FD" w:rsidRDefault="00560835">
            <w:pPr>
              <w:pStyle w:val="TableParagraph"/>
              <w:spacing w:line="253" w:lineRule="exact"/>
              <w:rPr>
                <w:b/>
              </w:rPr>
            </w:pPr>
            <w:r>
              <w:rPr>
                <w:b/>
              </w:rPr>
              <w:t>Ort</w:t>
            </w:r>
            <w:r>
              <w:rPr>
                <w:b/>
                <w:spacing w:val="-5"/>
              </w:rPr>
              <w:t xml:space="preserve"> </w:t>
            </w:r>
            <w:r>
              <w:rPr>
                <w:b/>
              </w:rPr>
              <w:t>der</w:t>
            </w:r>
            <w:r>
              <w:rPr>
                <w:b/>
                <w:spacing w:val="-5"/>
              </w:rPr>
              <w:t xml:space="preserve"> </w:t>
            </w:r>
            <w:r>
              <w:rPr>
                <w:b/>
                <w:spacing w:val="-2"/>
              </w:rPr>
              <w:t>Abordnung:</w:t>
            </w:r>
          </w:p>
        </w:tc>
        <w:tc>
          <w:tcPr>
            <w:tcW w:w="5597" w:type="dxa"/>
          </w:tcPr>
          <w:p w:rsidR="00F332FD" w:rsidRDefault="00560835">
            <w:pPr>
              <w:pStyle w:val="TableParagraph"/>
              <w:ind w:right="511"/>
              <w:rPr>
                <w:sz w:val="24"/>
              </w:rPr>
            </w:pPr>
            <w:r>
              <w:rPr>
                <w:sz w:val="24"/>
              </w:rPr>
              <w:t xml:space="preserve">Wolfgang PHILIPP </w:t>
            </w:r>
            <w:hyperlink r:id="rId8">
              <w:r>
                <w:rPr>
                  <w:spacing w:val="-2"/>
                  <w:sz w:val="24"/>
                </w:rPr>
                <w:t>Wolfgang.Philipp@ec.europa.eu</w:t>
              </w:r>
            </w:hyperlink>
          </w:p>
          <w:p w:rsidR="00F332FD" w:rsidRDefault="00560835">
            <w:pPr>
              <w:pStyle w:val="TableParagraph"/>
              <w:rPr>
                <w:sz w:val="24"/>
              </w:rPr>
            </w:pPr>
            <w:r>
              <w:rPr>
                <w:sz w:val="24"/>
              </w:rPr>
              <w:t>+ 32-2-</w:t>
            </w:r>
            <w:r>
              <w:rPr>
                <w:spacing w:val="-2"/>
                <w:sz w:val="24"/>
              </w:rPr>
              <w:t>2968608</w:t>
            </w:r>
          </w:p>
          <w:p w:rsidR="00F332FD" w:rsidRDefault="00560835">
            <w:pPr>
              <w:pStyle w:val="TableParagraph"/>
              <w:rPr>
                <w:sz w:val="24"/>
              </w:rPr>
            </w:pPr>
            <w:r>
              <w:rPr>
                <w:sz w:val="24"/>
              </w:rPr>
              <w:t>2</w:t>
            </w:r>
          </w:p>
          <w:p w:rsidR="00F332FD" w:rsidRDefault="00560835">
            <w:pPr>
              <w:pStyle w:val="TableParagraph"/>
              <w:spacing w:line="253" w:lineRule="exact"/>
              <w:rPr>
                <w:b/>
              </w:rPr>
            </w:pPr>
            <w:r>
              <w:rPr>
                <w:b/>
              </w:rPr>
              <w:t>2.</w:t>
            </w:r>
            <w:r>
              <w:rPr>
                <w:b/>
                <w:vertAlign w:val="superscript"/>
              </w:rPr>
              <w:t>.</w:t>
            </w:r>
            <w:r>
              <w:rPr>
                <w:b/>
                <w:spacing w:val="-7"/>
              </w:rPr>
              <w:t xml:space="preserve"> </w:t>
            </w:r>
            <w:r>
              <w:rPr>
                <w:b/>
              </w:rPr>
              <w:t>Halbjahr</w:t>
            </w:r>
            <w:r>
              <w:rPr>
                <w:b/>
                <w:spacing w:val="-7"/>
              </w:rPr>
              <w:t xml:space="preserve"> </w:t>
            </w:r>
            <w:r>
              <w:rPr>
                <w:b/>
                <w:spacing w:val="-2"/>
              </w:rPr>
              <w:t>2023</w:t>
            </w:r>
            <w:r>
              <w:rPr>
                <w:b/>
                <w:spacing w:val="-2"/>
                <w:vertAlign w:val="superscript"/>
              </w:rPr>
              <w:t>1</w:t>
            </w:r>
          </w:p>
          <w:p w:rsidR="00F332FD" w:rsidRDefault="00560835">
            <w:pPr>
              <w:pStyle w:val="TableParagraph"/>
              <w:spacing w:line="253" w:lineRule="exact"/>
            </w:pPr>
            <w:r>
              <w:rPr>
                <w:b/>
              </w:rPr>
              <w:t>2</w:t>
            </w:r>
            <w:r>
              <w:rPr>
                <w:b/>
                <w:spacing w:val="-5"/>
              </w:rPr>
              <w:t xml:space="preserve"> </w:t>
            </w:r>
            <w:r>
              <w:rPr>
                <w:b/>
              </w:rPr>
              <w:t>Jahr(e</w:t>
            </w:r>
            <w:r>
              <w:rPr>
                <w:b/>
                <w:vertAlign w:val="superscript"/>
              </w:rPr>
              <w:t>)</w:t>
            </w:r>
            <w:r>
              <w:rPr>
                <w:b/>
                <w:spacing w:val="-5"/>
              </w:rPr>
              <w:t xml:space="preserve"> </w:t>
            </w:r>
            <w:r>
              <w:rPr>
                <w:spacing w:val="-10"/>
                <w:vertAlign w:val="superscript"/>
              </w:rPr>
              <w:t>1</w:t>
            </w:r>
          </w:p>
          <w:p w:rsidR="00F332FD" w:rsidRDefault="00560835">
            <w:pPr>
              <w:pStyle w:val="TableParagraph"/>
              <w:rPr>
                <w:b/>
              </w:rPr>
            </w:pPr>
            <w:r>
              <w:t>X</w:t>
            </w:r>
            <w:r>
              <w:rPr>
                <w:spacing w:val="-7"/>
              </w:rPr>
              <w:t xml:space="preserve"> </w:t>
            </w:r>
            <w:r>
              <w:rPr>
                <w:b/>
              </w:rPr>
              <w:t>Brüssel</w:t>
            </w:r>
            <w:r>
              <w:rPr>
                <w:b/>
                <w:spacing w:val="-7"/>
              </w:rPr>
              <w:t xml:space="preserve"> </w:t>
            </w:r>
            <w:r>
              <w:rPr>
                <w:rFonts w:ascii="Wingdings 2" w:hAnsi="Wingdings 2"/>
              </w:rPr>
              <w:t></w:t>
            </w:r>
            <w:r>
              <w:rPr>
                <w:spacing w:val="-7"/>
              </w:rPr>
              <w:t xml:space="preserve"> </w:t>
            </w:r>
            <w:r>
              <w:rPr>
                <w:b/>
              </w:rPr>
              <w:t>Luxemburg</w:t>
            </w:r>
            <w:r>
              <w:rPr>
                <w:b/>
                <w:spacing w:val="-5"/>
              </w:rPr>
              <w:t xml:space="preserve"> </w:t>
            </w:r>
            <w:r>
              <w:rPr>
                <w:rFonts w:ascii="Wingdings 2" w:hAnsi="Wingdings 2"/>
              </w:rPr>
              <w:t></w:t>
            </w:r>
            <w:r>
              <w:rPr>
                <w:spacing w:val="-7"/>
              </w:rPr>
              <w:t xml:space="preserve"> </w:t>
            </w:r>
            <w:r>
              <w:rPr>
                <w:b/>
              </w:rPr>
              <w:t>Sonstige:</w:t>
            </w:r>
            <w:r>
              <w:rPr>
                <w:b/>
                <w:spacing w:val="-7"/>
              </w:rPr>
              <w:t xml:space="preserve"> </w:t>
            </w:r>
            <w:r>
              <w:rPr>
                <w:b/>
                <w:spacing w:val="-2"/>
              </w:rPr>
              <w:t>.................</w:t>
            </w:r>
          </w:p>
        </w:tc>
      </w:tr>
      <w:tr w:rsidR="00F332FD">
        <w:trPr>
          <w:trHeight w:val="545"/>
        </w:trPr>
        <w:tc>
          <w:tcPr>
            <w:tcW w:w="4360" w:type="dxa"/>
            <w:vMerge/>
            <w:tcBorders>
              <w:top w:val="nil"/>
            </w:tcBorders>
          </w:tcPr>
          <w:p w:rsidR="00F332FD" w:rsidRDefault="00F332FD">
            <w:pPr>
              <w:rPr>
                <w:sz w:val="2"/>
                <w:szCs w:val="2"/>
              </w:rPr>
            </w:pPr>
          </w:p>
        </w:tc>
        <w:tc>
          <w:tcPr>
            <w:tcW w:w="5597" w:type="dxa"/>
          </w:tcPr>
          <w:p w:rsidR="00F332FD" w:rsidRDefault="00560835">
            <w:pPr>
              <w:pStyle w:val="TableParagraph"/>
              <w:spacing w:before="146"/>
              <w:rPr>
                <w:b/>
              </w:rPr>
            </w:pPr>
            <w:r>
              <w:rPr>
                <w:b/>
              </w:rPr>
              <w:t>X</w:t>
            </w:r>
            <w:r>
              <w:rPr>
                <w:b/>
                <w:spacing w:val="-3"/>
              </w:rPr>
              <w:t xml:space="preserve"> </w:t>
            </w:r>
            <w:r>
              <w:rPr>
                <w:b/>
              </w:rPr>
              <w:t>mit</w:t>
            </w:r>
            <w:r>
              <w:rPr>
                <w:b/>
                <w:spacing w:val="-4"/>
              </w:rPr>
              <w:t xml:space="preserve"> </w:t>
            </w:r>
            <w:r>
              <w:rPr>
                <w:b/>
              </w:rPr>
              <w:t>Vergütungen</w:t>
            </w:r>
            <w:r>
              <w:rPr>
                <w:b/>
                <w:spacing w:val="-4"/>
              </w:rPr>
              <w:t xml:space="preserve"> </w:t>
            </w:r>
            <w:r>
              <w:rPr>
                <w:rFonts w:ascii="Wingdings 2" w:hAnsi="Wingdings 2"/>
              </w:rPr>
              <w:t></w:t>
            </w:r>
            <w:r>
              <w:rPr>
                <w:spacing w:val="71"/>
                <w:w w:val="150"/>
              </w:rPr>
              <w:t xml:space="preserve"> </w:t>
            </w:r>
            <w:r>
              <w:rPr>
                <w:b/>
                <w:spacing w:val="-2"/>
              </w:rPr>
              <w:t>kostenlosen</w:t>
            </w:r>
          </w:p>
        </w:tc>
      </w:tr>
      <w:tr w:rsidR="00F332FD">
        <w:trPr>
          <w:trHeight w:val="2111"/>
        </w:trPr>
        <w:tc>
          <w:tcPr>
            <w:tcW w:w="9957" w:type="dxa"/>
            <w:gridSpan w:val="2"/>
          </w:tcPr>
          <w:p w:rsidR="00F332FD" w:rsidRDefault="00560835">
            <w:pPr>
              <w:pStyle w:val="TableParagraph"/>
              <w:spacing w:before="112"/>
              <w:rPr>
                <w:b/>
              </w:rPr>
            </w:pPr>
            <w:r>
              <w:rPr>
                <w:b/>
              </w:rPr>
              <w:t>Diese</w:t>
            </w:r>
            <w:r>
              <w:rPr>
                <w:b/>
                <w:spacing w:val="-12"/>
              </w:rPr>
              <w:t xml:space="preserve"> </w:t>
            </w:r>
            <w:r>
              <w:rPr>
                <w:b/>
              </w:rPr>
              <w:t>Stellenausschreibung</w:t>
            </w:r>
            <w:r>
              <w:rPr>
                <w:b/>
                <w:spacing w:val="-10"/>
              </w:rPr>
              <w:t xml:space="preserve"> </w:t>
            </w:r>
            <w:r>
              <w:rPr>
                <w:b/>
              </w:rPr>
              <w:t>richtet</w:t>
            </w:r>
            <w:r>
              <w:rPr>
                <w:b/>
                <w:spacing w:val="-10"/>
              </w:rPr>
              <w:t xml:space="preserve"> </w:t>
            </w:r>
            <w:r>
              <w:rPr>
                <w:b/>
              </w:rPr>
              <w:t>sich</w:t>
            </w:r>
            <w:r>
              <w:rPr>
                <w:b/>
                <w:spacing w:val="-11"/>
              </w:rPr>
              <w:t xml:space="preserve"> </w:t>
            </w:r>
            <w:r>
              <w:rPr>
                <w:b/>
              </w:rPr>
              <w:t>auch</w:t>
            </w:r>
            <w:r>
              <w:rPr>
                <w:b/>
                <w:spacing w:val="-10"/>
              </w:rPr>
              <w:t xml:space="preserve"> </w:t>
            </w:r>
            <w:r>
              <w:rPr>
                <w:b/>
                <w:spacing w:val="-5"/>
              </w:rPr>
              <w:t>an</w:t>
            </w:r>
          </w:p>
          <w:p w:rsidR="00F332FD" w:rsidRDefault="00F332FD">
            <w:pPr>
              <w:pStyle w:val="TableParagraph"/>
              <w:spacing w:before="1"/>
              <w:ind w:left="0"/>
              <w:rPr>
                <w:b/>
              </w:rPr>
            </w:pPr>
          </w:p>
          <w:p w:rsidR="00F332FD" w:rsidRDefault="00560835">
            <w:pPr>
              <w:pStyle w:val="TableParagraph"/>
              <w:numPr>
                <w:ilvl w:val="0"/>
                <w:numId w:val="2"/>
              </w:numPr>
              <w:tabs>
                <w:tab w:val="left" w:pos="323"/>
              </w:tabs>
              <w:ind w:hanging="216"/>
              <w:rPr>
                <w:b/>
                <w:sz w:val="24"/>
              </w:rPr>
            </w:pPr>
            <w:r>
              <w:rPr>
                <w:b/>
                <w:sz w:val="24"/>
              </w:rPr>
              <w:t>Bedienstete</w:t>
            </w:r>
            <w:r>
              <w:rPr>
                <w:b/>
                <w:spacing w:val="-7"/>
                <w:sz w:val="24"/>
              </w:rPr>
              <w:t xml:space="preserve"> </w:t>
            </w:r>
            <w:r>
              <w:rPr>
                <w:b/>
                <w:sz w:val="24"/>
              </w:rPr>
              <w:t>folgender</w:t>
            </w:r>
            <w:r>
              <w:rPr>
                <w:b/>
                <w:spacing w:val="-7"/>
                <w:sz w:val="24"/>
              </w:rPr>
              <w:t xml:space="preserve"> </w:t>
            </w:r>
            <w:r>
              <w:rPr>
                <w:b/>
                <w:sz w:val="24"/>
              </w:rPr>
              <w:t>EFTA-</w:t>
            </w:r>
            <w:r>
              <w:rPr>
                <w:b/>
                <w:spacing w:val="-2"/>
                <w:sz w:val="24"/>
              </w:rPr>
              <w:t>Staaten:</w:t>
            </w:r>
          </w:p>
          <w:p w:rsidR="00F332FD" w:rsidRDefault="00560835">
            <w:pPr>
              <w:pStyle w:val="TableParagraph"/>
              <w:numPr>
                <w:ilvl w:val="1"/>
                <w:numId w:val="2"/>
              </w:numPr>
              <w:tabs>
                <w:tab w:val="left" w:pos="1067"/>
              </w:tabs>
              <w:ind w:hanging="252"/>
              <w:rPr>
                <w:b/>
                <w:sz w:val="24"/>
              </w:rPr>
            </w:pPr>
            <w:r>
              <w:rPr>
                <w:b/>
                <w:sz w:val="24"/>
              </w:rPr>
              <w:t>Island,</w:t>
            </w:r>
            <w:r>
              <w:rPr>
                <w:b/>
                <w:spacing w:val="-3"/>
                <w:sz w:val="24"/>
              </w:rPr>
              <w:t xml:space="preserve"> </w:t>
            </w:r>
            <w:r>
              <w:rPr>
                <w:rFonts w:ascii="Wingdings 2" w:hAnsi="Wingdings 2"/>
              </w:rPr>
              <w:t></w:t>
            </w:r>
            <w:r>
              <w:rPr>
                <w:spacing w:val="-3"/>
              </w:rPr>
              <w:t xml:space="preserve"> </w:t>
            </w:r>
            <w:r>
              <w:rPr>
                <w:b/>
                <w:sz w:val="24"/>
              </w:rPr>
              <w:t>Liechtenstein,</w:t>
            </w:r>
            <w:r>
              <w:rPr>
                <w:b/>
                <w:spacing w:val="-4"/>
                <w:sz w:val="24"/>
              </w:rPr>
              <w:t xml:space="preserve"> </w:t>
            </w:r>
            <w:r>
              <w:rPr>
                <w:rFonts w:ascii="Wingdings 2" w:hAnsi="Wingdings 2"/>
              </w:rPr>
              <w:t></w:t>
            </w:r>
            <w:r>
              <w:rPr>
                <w:spacing w:val="-2"/>
              </w:rPr>
              <w:t xml:space="preserve"> </w:t>
            </w:r>
            <w:r>
              <w:rPr>
                <w:b/>
                <w:sz w:val="24"/>
              </w:rPr>
              <w:t>Norwegen,</w:t>
            </w:r>
            <w:r>
              <w:rPr>
                <w:b/>
                <w:spacing w:val="-3"/>
                <w:sz w:val="24"/>
              </w:rPr>
              <w:t xml:space="preserve"> </w:t>
            </w:r>
            <w:r>
              <w:rPr>
                <w:rFonts w:ascii="Wingdings 2" w:hAnsi="Wingdings 2"/>
              </w:rPr>
              <w:t></w:t>
            </w:r>
            <w:r>
              <w:rPr>
                <w:spacing w:val="-2"/>
              </w:rPr>
              <w:t xml:space="preserve"> </w:t>
            </w:r>
            <w:r>
              <w:rPr>
                <w:b/>
                <w:spacing w:val="-2"/>
                <w:sz w:val="24"/>
              </w:rPr>
              <w:t>Schweiz</w:t>
            </w:r>
          </w:p>
          <w:p w:rsidR="00F332FD" w:rsidRDefault="00560835">
            <w:pPr>
              <w:pStyle w:val="TableParagraph"/>
              <w:numPr>
                <w:ilvl w:val="1"/>
                <w:numId w:val="2"/>
              </w:numPr>
              <w:tabs>
                <w:tab w:val="left" w:pos="1013"/>
              </w:tabs>
              <w:ind w:left="1012" w:hanging="198"/>
              <w:rPr>
                <w:b/>
                <w:sz w:val="24"/>
              </w:rPr>
            </w:pPr>
            <w:r>
              <w:rPr>
                <w:b/>
                <w:sz w:val="24"/>
              </w:rPr>
              <w:t>EFTA-EWR</w:t>
            </w:r>
            <w:r>
              <w:rPr>
                <w:b/>
                <w:spacing w:val="-8"/>
                <w:sz w:val="24"/>
              </w:rPr>
              <w:t xml:space="preserve"> </w:t>
            </w:r>
            <w:r>
              <w:rPr>
                <w:b/>
                <w:sz w:val="24"/>
              </w:rPr>
              <w:t>In-Kind-Abkommen</w:t>
            </w:r>
            <w:r>
              <w:rPr>
                <w:b/>
                <w:spacing w:val="-5"/>
                <w:sz w:val="24"/>
              </w:rPr>
              <w:t xml:space="preserve"> </w:t>
            </w:r>
            <w:r>
              <w:rPr>
                <w:b/>
                <w:sz w:val="24"/>
              </w:rPr>
              <w:t>(Island,</w:t>
            </w:r>
            <w:r>
              <w:rPr>
                <w:b/>
                <w:spacing w:val="-6"/>
                <w:sz w:val="24"/>
              </w:rPr>
              <w:t xml:space="preserve"> </w:t>
            </w:r>
            <w:r>
              <w:rPr>
                <w:b/>
                <w:sz w:val="24"/>
              </w:rPr>
              <w:t>Liechtenstein,</w:t>
            </w:r>
            <w:r>
              <w:rPr>
                <w:b/>
                <w:spacing w:val="-4"/>
                <w:sz w:val="24"/>
              </w:rPr>
              <w:t xml:space="preserve"> </w:t>
            </w:r>
            <w:r>
              <w:rPr>
                <w:b/>
                <w:spacing w:val="-2"/>
                <w:sz w:val="24"/>
              </w:rPr>
              <w:t>Norwegen)</w:t>
            </w:r>
          </w:p>
          <w:p w:rsidR="00F332FD" w:rsidRDefault="00560835">
            <w:pPr>
              <w:pStyle w:val="TableParagraph"/>
              <w:numPr>
                <w:ilvl w:val="0"/>
                <w:numId w:val="2"/>
              </w:numPr>
              <w:tabs>
                <w:tab w:val="left" w:pos="622"/>
                <w:tab w:val="left" w:pos="623"/>
              </w:tabs>
              <w:ind w:left="622" w:hanging="456"/>
              <w:rPr>
                <w:b/>
                <w:sz w:val="24"/>
              </w:rPr>
            </w:pPr>
            <w:r>
              <w:rPr>
                <w:b/>
                <w:sz w:val="24"/>
              </w:rPr>
              <w:t>folgende</w:t>
            </w:r>
            <w:r>
              <w:rPr>
                <w:b/>
                <w:spacing w:val="-5"/>
                <w:sz w:val="24"/>
              </w:rPr>
              <w:t xml:space="preserve"> </w:t>
            </w:r>
            <w:r>
              <w:rPr>
                <w:b/>
                <w:spacing w:val="-2"/>
                <w:sz w:val="24"/>
              </w:rPr>
              <w:t>Drittländer:</w:t>
            </w:r>
          </w:p>
          <w:p w:rsidR="00F332FD" w:rsidRDefault="00560835">
            <w:pPr>
              <w:pStyle w:val="TableParagraph"/>
              <w:numPr>
                <w:ilvl w:val="0"/>
                <w:numId w:val="2"/>
              </w:numPr>
              <w:tabs>
                <w:tab w:val="left" w:pos="622"/>
                <w:tab w:val="left" w:pos="623"/>
              </w:tabs>
              <w:ind w:left="622" w:hanging="516"/>
              <w:rPr>
                <w:b/>
                <w:sz w:val="24"/>
              </w:rPr>
            </w:pPr>
            <w:r>
              <w:rPr>
                <w:b/>
                <w:sz w:val="24"/>
              </w:rPr>
              <w:t>folgende</w:t>
            </w:r>
            <w:r>
              <w:rPr>
                <w:b/>
                <w:spacing w:val="-5"/>
                <w:sz w:val="24"/>
              </w:rPr>
              <w:t xml:space="preserve"> </w:t>
            </w:r>
            <w:r>
              <w:rPr>
                <w:b/>
                <w:sz w:val="24"/>
              </w:rPr>
              <w:t>zwischenstaatliche</w:t>
            </w:r>
            <w:r>
              <w:rPr>
                <w:b/>
                <w:spacing w:val="-6"/>
                <w:sz w:val="24"/>
              </w:rPr>
              <w:t xml:space="preserve"> </w:t>
            </w:r>
            <w:r>
              <w:rPr>
                <w:b/>
                <w:spacing w:val="-2"/>
                <w:sz w:val="24"/>
              </w:rPr>
              <w:t>Organisation</w:t>
            </w:r>
          </w:p>
        </w:tc>
      </w:tr>
    </w:tbl>
    <w:p w:rsidR="00F332FD" w:rsidRDefault="00F332FD">
      <w:pPr>
        <w:pStyle w:val="BodyText"/>
        <w:spacing w:before="1"/>
        <w:rPr>
          <w:b/>
          <w:sz w:val="24"/>
        </w:rPr>
      </w:pPr>
    </w:p>
    <w:p w:rsidR="00F332FD" w:rsidRDefault="00560835">
      <w:pPr>
        <w:pStyle w:val="ListParagraph"/>
        <w:numPr>
          <w:ilvl w:val="0"/>
          <w:numId w:val="3"/>
        </w:numPr>
        <w:tabs>
          <w:tab w:val="left" w:pos="796"/>
          <w:tab w:val="left" w:pos="797"/>
        </w:tabs>
        <w:ind w:hanging="427"/>
        <w:rPr>
          <w:b/>
          <w:sz w:val="24"/>
        </w:rPr>
      </w:pPr>
      <w:r>
        <w:rPr>
          <w:b/>
          <w:sz w:val="24"/>
          <w:u w:val="single"/>
        </w:rPr>
        <w:t>Art</w:t>
      </w:r>
      <w:r>
        <w:rPr>
          <w:b/>
          <w:spacing w:val="-3"/>
          <w:sz w:val="24"/>
          <w:u w:val="single"/>
        </w:rPr>
        <w:t xml:space="preserve"> </w:t>
      </w:r>
      <w:r>
        <w:rPr>
          <w:b/>
          <w:sz w:val="24"/>
          <w:u w:val="single"/>
        </w:rPr>
        <w:t>der</w:t>
      </w:r>
      <w:r>
        <w:rPr>
          <w:b/>
          <w:spacing w:val="-1"/>
          <w:sz w:val="24"/>
          <w:u w:val="single"/>
        </w:rPr>
        <w:t xml:space="preserve"> </w:t>
      </w:r>
      <w:r>
        <w:rPr>
          <w:b/>
          <w:spacing w:val="-2"/>
          <w:sz w:val="24"/>
          <w:u w:val="single"/>
        </w:rPr>
        <w:t>Aufgaben</w:t>
      </w:r>
    </w:p>
    <w:p w:rsidR="00F332FD" w:rsidRDefault="00F332FD">
      <w:pPr>
        <w:pStyle w:val="BodyText"/>
        <w:rPr>
          <w:b/>
          <w:sz w:val="16"/>
        </w:rPr>
      </w:pPr>
    </w:p>
    <w:p w:rsidR="00F332FD" w:rsidRDefault="00560835">
      <w:pPr>
        <w:spacing w:before="90"/>
        <w:ind w:left="370" w:right="213"/>
        <w:jc w:val="both"/>
        <w:rPr>
          <w:sz w:val="24"/>
        </w:rPr>
      </w:pPr>
      <w:r>
        <w:rPr>
          <w:sz w:val="24"/>
        </w:rPr>
        <w:t>Die Behörde für die Krisenvorsorge und -reaktion bei gesundheitlichen Notlagen (HERA) wurde eingerichtet, um die Fähigkeit Europas zu stärken, schwere grenzüberschreitende Gesundheitskrisen zu verhüten, zu erkennen und rasch darauf zu reagieren, indem die Entwicklung, Herstellung, Beschaffung und Verteilung krisenrelevanter medizinischer Gegenmaßnahmen (MCM) wie Masken, Diagnosetests oder Arzneimittel sichergestellt wird.</w:t>
      </w:r>
    </w:p>
    <w:p w:rsidR="00F332FD" w:rsidRDefault="00F332FD">
      <w:pPr>
        <w:pStyle w:val="BodyText"/>
        <w:rPr>
          <w:sz w:val="24"/>
        </w:rPr>
      </w:pPr>
    </w:p>
    <w:p w:rsidR="00F332FD" w:rsidRDefault="00560835">
      <w:pPr>
        <w:ind w:left="370" w:right="214"/>
        <w:jc w:val="both"/>
        <w:rPr>
          <w:sz w:val="24"/>
        </w:rPr>
      </w:pPr>
      <w:r>
        <w:rPr>
          <w:sz w:val="24"/>
        </w:rPr>
        <w:t>Zu diesem Zweck ist die HERA für die Bewertung von Gesundheitsgefahren und die Sammlung von Erkenntnissen über krisenrelevante MCM zuständig. Diese Funktion dient dazu, relevante Signale für mögliche Gesundheitsgefahren, die eine MCM-Reaktion erfordern, zu erhalten, eine frühzeitige/antizipative Bewertung der festgestellten Gesundheitsbedrohung vorzunehmen und die Lieferketten für MCM zu verfolgen und dabei Engpässe, Schwachstellen und strategische Abhängigkeiten von MCM anzugehen.</w:t>
      </w:r>
      <w:r>
        <w:rPr>
          <w:spacing w:val="40"/>
          <w:sz w:val="24"/>
        </w:rPr>
        <w:t xml:space="preserve"> </w:t>
      </w:r>
      <w:r>
        <w:rPr>
          <w:sz w:val="24"/>
        </w:rPr>
        <w:t>Das Referat „</w:t>
      </w:r>
      <w:proofErr w:type="spellStart"/>
      <w:r>
        <w:rPr>
          <w:sz w:val="24"/>
        </w:rPr>
        <w:t>Intelligence</w:t>
      </w:r>
      <w:proofErr w:type="spellEnd"/>
      <w:r>
        <w:rPr>
          <w:sz w:val="24"/>
        </w:rPr>
        <w:t xml:space="preserve"> </w:t>
      </w:r>
      <w:proofErr w:type="spellStart"/>
      <w:r>
        <w:rPr>
          <w:sz w:val="24"/>
        </w:rPr>
        <w:t>Gathering</w:t>
      </w:r>
      <w:proofErr w:type="spellEnd"/>
      <w:r>
        <w:rPr>
          <w:sz w:val="24"/>
        </w:rPr>
        <w:t>, Analysis and Innovation“ ist für diese Funktion zuständig, welches hierbei zukünftig durch ein IT-System namens ATHINA (</w:t>
      </w:r>
      <w:proofErr w:type="spellStart"/>
      <w:r>
        <w:rPr>
          <w:sz w:val="24"/>
        </w:rPr>
        <w:t>Advanced</w:t>
      </w:r>
      <w:proofErr w:type="spellEnd"/>
      <w:r>
        <w:rPr>
          <w:sz w:val="24"/>
        </w:rPr>
        <w:t xml:space="preserve"> Technology for </w:t>
      </w:r>
      <w:proofErr w:type="spellStart"/>
      <w:r>
        <w:rPr>
          <w:sz w:val="24"/>
        </w:rPr>
        <w:t>Health</w:t>
      </w:r>
      <w:proofErr w:type="spellEnd"/>
      <w:r>
        <w:rPr>
          <w:sz w:val="24"/>
        </w:rPr>
        <w:t xml:space="preserve"> </w:t>
      </w:r>
      <w:proofErr w:type="spellStart"/>
      <w:r>
        <w:rPr>
          <w:sz w:val="24"/>
        </w:rPr>
        <w:t>Intelligence</w:t>
      </w:r>
      <w:proofErr w:type="spellEnd"/>
      <w:r>
        <w:rPr>
          <w:sz w:val="24"/>
        </w:rPr>
        <w:t xml:space="preserve"> and Action IT System) unterstützt werden soll.</w:t>
      </w:r>
    </w:p>
    <w:p w:rsidR="00F332FD" w:rsidRDefault="00F332FD">
      <w:pPr>
        <w:pStyle w:val="BodyText"/>
        <w:rPr>
          <w:sz w:val="24"/>
        </w:rPr>
      </w:pPr>
    </w:p>
    <w:p w:rsidR="00F332FD" w:rsidRDefault="00560835">
      <w:pPr>
        <w:ind w:left="370" w:right="214"/>
        <w:jc w:val="both"/>
        <w:rPr>
          <w:sz w:val="24"/>
        </w:rPr>
      </w:pPr>
      <w:r>
        <w:rPr>
          <w:sz w:val="24"/>
        </w:rPr>
        <w:t>Aufgrund seiner Komplexität wird ATHINA schrittweise entwickelt. ATHINA wird aus fünf verschiedenen Modulen bestehen, die es ermöglichen, Informationen über Gesundheitsgefahren und MCM zu sammeln, die Bedrohungen zu bewerten und zu priorisieren, potenzielle Szenarien zu erfassen und</w:t>
      </w:r>
      <w:r>
        <w:rPr>
          <w:spacing w:val="15"/>
          <w:sz w:val="24"/>
        </w:rPr>
        <w:t xml:space="preserve"> </w:t>
      </w:r>
      <w:r>
        <w:rPr>
          <w:sz w:val="24"/>
        </w:rPr>
        <w:t>zu</w:t>
      </w:r>
      <w:r>
        <w:rPr>
          <w:spacing w:val="15"/>
          <w:sz w:val="24"/>
        </w:rPr>
        <w:t xml:space="preserve"> </w:t>
      </w:r>
      <w:r>
        <w:rPr>
          <w:sz w:val="24"/>
        </w:rPr>
        <w:t>simulieren</w:t>
      </w:r>
      <w:r>
        <w:rPr>
          <w:spacing w:val="15"/>
          <w:sz w:val="24"/>
        </w:rPr>
        <w:t xml:space="preserve"> </w:t>
      </w:r>
      <w:r>
        <w:rPr>
          <w:sz w:val="24"/>
        </w:rPr>
        <w:t>und</w:t>
      </w:r>
      <w:r>
        <w:rPr>
          <w:spacing w:val="15"/>
          <w:sz w:val="24"/>
        </w:rPr>
        <w:t xml:space="preserve"> </w:t>
      </w:r>
      <w:r>
        <w:rPr>
          <w:sz w:val="24"/>
        </w:rPr>
        <w:t>eine</w:t>
      </w:r>
      <w:r>
        <w:rPr>
          <w:spacing w:val="16"/>
          <w:sz w:val="24"/>
        </w:rPr>
        <w:t xml:space="preserve"> </w:t>
      </w:r>
      <w:r>
        <w:rPr>
          <w:sz w:val="24"/>
        </w:rPr>
        <w:t>angemessene</w:t>
      </w:r>
      <w:r>
        <w:rPr>
          <w:spacing w:val="16"/>
          <w:sz w:val="24"/>
        </w:rPr>
        <w:t xml:space="preserve"> </w:t>
      </w:r>
      <w:r>
        <w:rPr>
          <w:sz w:val="24"/>
        </w:rPr>
        <w:t>Reaktion</w:t>
      </w:r>
      <w:r>
        <w:rPr>
          <w:spacing w:val="15"/>
          <w:sz w:val="24"/>
        </w:rPr>
        <w:t xml:space="preserve"> </w:t>
      </w:r>
      <w:r>
        <w:rPr>
          <w:sz w:val="24"/>
        </w:rPr>
        <w:t>im</w:t>
      </w:r>
      <w:r>
        <w:rPr>
          <w:spacing w:val="15"/>
          <w:sz w:val="24"/>
        </w:rPr>
        <w:t xml:space="preserve"> </w:t>
      </w:r>
      <w:r>
        <w:rPr>
          <w:sz w:val="24"/>
        </w:rPr>
        <w:t>Notfall</w:t>
      </w:r>
      <w:r>
        <w:rPr>
          <w:spacing w:val="15"/>
          <w:sz w:val="24"/>
        </w:rPr>
        <w:t xml:space="preserve"> </w:t>
      </w:r>
      <w:r>
        <w:rPr>
          <w:sz w:val="24"/>
        </w:rPr>
        <w:t>zu</w:t>
      </w:r>
      <w:r>
        <w:rPr>
          <w:spacing w:val="15"/>
          <w:sz w:val="24"/>
        </w:rPr>
        <w:t xml:space="preserve"> </w:t>
      </w:r>
      <w:r>
        <w:rPr>
          <w:sz w:val="24"/>
        </w:rPr>
        <w:t>ermöglichen.</w:t>
      </w:r>
      <w:r>
        <w:rPr>
          <w:spacing w:val="16"/>
          <w:sz w:val="24"/>
        </w:rPr>
        <w:t xml:space="preserve"> </w:t>
      </w:r>
      <w:r>
        <w:rPr>
          <w:sz w:val="24"/>
        </w:rPr>
        <w:t>ATHINA</w:t>
      </w:r>
      <w:r>
        <w:rPr>
          <w:spacing w:val="15"/>
          <w:sz w:val="24"/>
        </w:rPr>
        <w:t xml:space="preserve"> </w:t>
      </w:r>
      <w:r>
        <w:rPr>
          <w:sz w:val="24"/>
        </w:rPr>
        <w:t>wird</w:t>
      </w:r>
      <w:r>
        <w:rPr>
          <w:spacing w:val="15"/>
          <w:sz w:val="24"/>
        </w:rPr>
        <w:t xml:space="preserve"> </w:t>
      </w:r>
      <w:r>
        <w:rPr>
          <w:sz w:val="24"/>
        </w:rPr>
        <w:t>auch</w:t>
      </w:r>
      <w:r>
        <w:rPr>
          <w:spacing w:val="15"/>
          <w:sz w:val="24"/>
        </w:rPr>
        <w:t xml:space="preserve"> </w:t>
      </w:r>
      <w:r>
        <w:rPr>
          <w:spacing w:val="-5"/>
          <w:sz w:val="24"/>
        </w:rPr>
        <w:t>ein</w:t>
      </w:r>
    </w:p>
    <w:p w:rsidR="00F332FD" w:rsidRDefault="00560835">
      <w:pPr>
        <w:spacing w:before="1"/>
        <w:ind w:left="370"/>
        <w:jc w:val="both"/>
        <w:rPr>
          <w:sz w:val="24"/>
        </w:rPr>
      </w:pPr>
      <w:r>
        <w:rPr>
          <w:sz w:val="24"/>
        </w:rPr>
        <w:t>„Rückgrat“</w:t>
      </w:r>
      <w:r>
        <w:rPr>
          <w:spacing w:val="44"/>
          <w:sz w:val="24"/>
        </w:rPr>
        <w:t xml:space="preserve"> </w:t>
      </w:r>
      <w:r>
        <w:rPr>
          <w:sz w:val="24"/>
        </w:rPr>
        <w:t>mit</w:t>
      </w:r>
      <w:r>
        <w:rPr>
          <w:spacing w:val="45"/>
          <w:sz w:val="24"/>
        </w:rPr>
        <w:t xml:space="preserve"> </w:t>
      </w:r>
      <w:r>
        <w:rPr>
          <w:sz w:val="24"/>
        </w:rPr>
        <w:t>mehreren</w:t>
      </w:r>
      <w:r>
        <w:rPr>
          <w:spacing w:val="44"/>
          <w:sz w:val="24"/>
        </w:rPr>
        <w:t xml:space="preserve"> </w:t>
      </w:r>
      <w:r>
        <w:rPr>
          <w:sz w:val="24"/>
        </w:rPr>
        <w:t>horizontalen</w:t>
      </w:r>
      <w:r>
        <w:rPr>
          <w:spacing w:val="44"/>
          <w:sz w:val="24"/>
        </w:rPr>
        <w:t xml:space="preserve"> </w:t>
      </w:r>
      <w:r>
        <w:rPr>
          <w:sz w:val="24"/>
        </w:rPr>
        <w:t>Elementen</w:t>
      </w:r>
      <w:r>
        <w:rPr>
          <w:spacing w:val="45"/>
          <w:sz w:val="24"/>
        </w:rPr>
        <w:t xml:space="preserve"> </w:t>
      </w:r>
      <w:r>
        <w:rPr>
          <w:sz w:val="24"/>
        </w:rPr>
        <w:t>wie</w:t>
      </w:r>
      <w:r>
        <w:rPr>
          <w:spacing w:val="45"/>
          <w:sz w:val="24"/>
        </w:rPr>
        <w:t xml:space="preserve"> </w:t>
      </w:r>
      <w:r>
        <w:rPr>
          <w:sz w:val="24"/>
        </w:rPr>
        <w:t>Verwaltung,</w:t>
      </w:r>
      <w:r>
        <w:rPr>
          <w:spacing w:val="45"/>
          <w:sz w:val="24"/>
        </w:rPr>
        <w:t xml:space="preserve"> </w:t>
      </w:r>
      <w:r>
        <w:rPr>
          <w:sz w:val="24"/>
        </w:rPr>
        <w:t>Zusammenarbeit,</w:t>
      </w:r>
      <w:r>
        <w:rPr>
          <w:spacing w:val="44"/>
          <w:sz w:val="24"/>
        </w:rPr>
        <w:t xml:space="preserve"> </w:t>
      </w:r>
      <w:bookmarkStart w:id="0" w:name="_GoBack"/>
      <w:bookmarkEnd w:id="0"/>
      <w:r>
        <w:rPr>
          <w:spacing w:val="-2"/>
          <w:sz w:val="24"/>
        </w:rPr>
        <w:t>Suche,</w:t>
      </w:r>
    </w:p>
    <w:p w:rsidR="00F332FD" w:rsidRDefault="00F332FD">
      <w:pPr>
        <w:pStyle w:val="BodyText"/>
        <w:rPr>
          <w:sz w:val="20"/>
        </w:rPr>
      </w:pPr>
    </w:p>
    <w:p w:rsidR="00F332FD" w:rsidRDefault="00844DC9">
      <w:pPr>
        <w:pStyle w:val="BodyText"/>
        <w:spacing w:before="5"/>
        <w:rPr>
          <w:sz w:val="14"/>
        </w:rPr>
      </w:pPr>
      <w:r>
        <w:pict>
          <v:rect id="docshape2" o:spid="_x0000_s1028" style="position:absolute;margin-left:42.55pt;margin-top:9.55pt;width:2in;height:.6pt;z-index:-15728640;mso-wrap-distance-left:0;mso-wrap-distance-right:0;mso-position-horizontal-relative:page" fillcolor="black" stroked="f">
            <w10:wrap type="topAndBottom" anchorx="page"/>
          </v:rect>
        </w:pict>
      </w:r>
    </w:p>
    <w:p w:rsidR="00F332FD" w:rsidRDefault="00560835">
      <w:pPr>
        <w:spacing w:before="102"/>
        <w:ind w:left="370" w:hanging="1"/>
        <w:rPr>
          <w:sz w:val="20"/>
        </w:rPr>
      </w:pPr>
      <w:r>
        <w:rPr>
          <w:sz w:val="20"/>
          <w:vertAlign w:val="superscript"/>
        </w:rPr>
        <w:t>1</w:t>
      </w:r>
      <w:r>
        <w:rPr>
          <w:spacing w:val="-1"/>
          <w:sz w:val="20"/>
        </w:rPr>
        <w:t xml:space="preserve"> </w:t>
      </w:r>
      <w:r>
        <w:rPr>
          <w:sz w:val="20"/>
        </w:rPr>
        <w:t>Die</w:t>
      </w:r>
      <w:r>
        <w:rPr>
          <w:spacing w:val="-2"/>
          <w:sz w:val="20"/>
        </w:rPr>
        <w:t xml:space="preserve"> </w:t>
      </w:r>
      <w:r>
        <w:rPr>
          <w:sz w:val="20"/>
        </w:rPr>
        <w:t>Angaben</w:t>
      </w:r>
      <w:r>
        <w:rPr>
          <w:spacing w:val="-3"/>
          <w:sz w:val="20"/>
        </w:rPr>
        <w:t xml:space="preserve"> </w:t>
      </w:r>
      <w:r>
        <w:rPr>
          <w:sz w:val="20"/>
        </w:rPr>
        <w:t>zum</w:t>
      </w:r>
      <w:r>
        <w:rPr>
          <w:spacing w:val="-3"/>
          <w:sz w:val="20"/>
        </w:rPr>
        <w:t xml:space="preserve"> </w:t>
      </w:r>
      <w:r>
        <w:rPr>
          <w:sz w:val="20"/>
        </w:rPr>
        <w:t>Datum</w:t>
      </w:r>
      <w:r>
        <w:rPr>
          <w:spacing w:val="-3"/>
          <w:sz w:val="20"/>
        </w:rPr>
        <w:t xml:space="preserve"> </w:t>
      </w:r>
      <w:r>
        <w:rPr>
          <w:sz w:val="20"/>
        </w:rPr>
        <w:t>des</w:t>
      </w:r>
      <w:r>
        <w:rPr>
          <w:spacing w:val="-1"/>
          <w:sz w:val="20"/>
        </w:rPr>
        <w:t xml:space="preserve"> </w:t>
      </w:r>
      <w:r>
        <w:rPr>
          <w:sz w:val="20"/>
        </w:rPr>
        <w:t>Dienstantritts</w:t>
      </w:r>
      <w:r>
        <w:rPr>
          <w:spacing w:val="-1"/>
          <w:sz w:val="20"/>
        </w:rPr>
        <w:t xml:space="preserve"> </w:t>
      </w:r>
      <w:r>
        <w:rPr>
          <w:sz w:val="20"/>
        </w:rPr>
        <w:t>und</w:t>
      </w:r>
      <w:r>
        <w:rPr>
          <w:spacing w:val="-2"/>
          <w:sz w:val="20"/>
        </w:rPr>
        <w:t xml:space="preserve"> </w:t>
      </w:r>
      <w:r>
        <w:rPr>
          <w:sz w:val="20"/>
        </w:rPr>
        <w:t>zur</w:t>
      </w:r>
      <w:r>
        <w:rPr>
          <w:spacing w:val="-2"/>
          <w:sz w:val="20"/>
        </w:rPr>
        <w:t xml:space="preserve"> </w:t>
      </w:r>
      <w:r>
        <w:rPr>
          <w:sz w:val="20"/>
        </w:rPr>
        <w:t>Dauer</w:t>
      </w:r>
      <w:r>
        <w:rPr>
          <w:spacing w:val="-2"/>
          <w:sz w:val="20"/>
        </w:rPr>
        <w:t xml:space="preserve"> </w:t>
      </w:r>
      <w:r>
        <w:rPr>
          <w:sz w:val="20"/>
        </w:rPr>
        <w:t>der</w:t>
      </w:r>
      <w:r>
        <w:rPr>
          <w:spacing w:val="-2"/>
          <w:sz w:val="20"/>
        </w:rPr>
        <w:t xml:space="preserve"> </w:t>
      </w:r>
      <w:r>
        <w:rPr>
          <w:sz w:val="20"/>
        </w:rPr>
        <w:t>Abordnung sind</w:t>
      </w:r>
      <w:r>
        <w:rPr>
          <w:spacing w:val="-2"/>
          <w:sz w:val="20"/>
        </w:rPr>
        <w:t xml:space="preserve"> </w:t>
      </w:r>
      <w:r>
        <w:rPr>
          <w:sz w:val="20"/>
        </w:rPr>
        <w:t>vorläufig</w:t>
      </w:r>
      <w:r>
        <w:rPr>
          <w:spacing w:val="-2"/>
          <w:sz w:val="20"/>
        </w:rPr>
        <w:t xml:space="preserve"> </w:t>
      </w:r>
      <w:r>
        <w:rPr>
          <w:sz w:val="20"/>
        </w:rPr>
        <w:t>(Art.</w:t>
      </w:r>
      <w:r>
        <w:rPr>
          <w:spacing w:val="-2"/>
          <w:sz w:val="20"/>
        </w:rPr>
        <w:t xml:space="preserve"> </w:t>
      </w:r>
      <w:r>
        <w:rPr>
          <w:sz w:val="20"/>
        </w:rPr>
        <w:t>4</w:t>
      </w:r>
      <w:r>
        <w:rPr>
          <w:spacing w:val="-2"/>
          <w:sz w:val="20"/>
        </w:rPr>
        <w:t xml:space="preserve"> </w:t>
      </w:r>
      <w:r>
        <w:rPr>
          <w:sz w:val="20"/>
        </w:rPr>
        <w:t>des</w:t>
      </w:r>
      <w:r>
        <w:rPr>
          <w:spacing w:val="-1"/>
          <w:sz w:val="20"/>
        </w:rPr>
        <w:t xml:space="preserve"> </w:t>
      </w:r>
      <w:r>
        <w:rPr>
          <w:sz w:val="20"/>
        </w:rPr>
        <w:t>Beschlusses</w:t>
      </w:r>
      <w:r>
        <w:rPr>
          <w:spacing w:val="-2"/>
          <w:sz w:val="20"/>
        </w:rPr>
        <w:t xml:space="preserve"> </w:t>
      </w:r>
      <w:r>
        <w:rPr>
          <w:sz w:val="20"/>
        </w:rPr>
        <w:t>über abgeordnete nationale Sachverständige (ANS)).</w:t>
      </w:r>
    </w:p>
    <w:p w:rsidR="00F332FD" w:rsidRDefault="00F332FD">
      <w:pPr>
        <w:rPr>
          <w:sz w:val="20"/>
        </w:rPr>
        <w:sectPr w:rsidR="00F332FD">
          <w:footerReference w:type="default" r:id="rId9"/>
          <w:type w:val="continuous"/>
          <w:pgSz w:w="11910" w:h="16840"/>
          <w:pgMar w:top="520" w:right="740" w:bottom="880" w:left="480" w:header="0" w:footer="690" w:gutter="0"/>
          <w:pgNumType w:start="1"/>
          <w:cols w:space="720"/>
        </w:sectPr>
      </w:pPr>
    </w:p>
    <w:p w:rsidR="00F332FD" w:rsidRDefault="00560835">
      <w:pPr>
        <w:spacing w:before="73"/>
        <w:ind w:left="370" w:right="215"/>
        <w:jc w:val="both"/>
        <w:rPr>
          <w:sz w:val="24"/>
        </w:rPr>
      </w:pPr>
      <w:r>
        <w:rPr>
          <w:sz w:val="24"/>
        </w:rPr>
        <w:lastRenderedPageBreak/>
        <w:t>Visualisierung und Berichterstattung beinhalten. Die HERA hat</w:t>
      </w:r>
      <w:r>
        <w:rPr>
          <w:spacing w:val="-1"/>
          <w:sz w:val="24"/>
        </w:rPr>
        <w:t xml:space="preserve"> </w:t>
      </w:r>
      <w:r>
        <w:rPr>
          <w:sz w:val="24"/>
        </w:rPr>
        <w:t>eine</w:t>
      </w:r>
      <w:r>
        <w:rPr>
          <w:spacing w:val="-1"/>
          <w:sz w:val="24"/>
        </w:rPr>
        <w:t xml:space="preserve"> </w:t>
      </w:r>
      <w:r>
        <w:rPr>
          <w:sz w:val="24"/>
        </w:rPr>
        <w:t>Ausschreibung</w:t>
      </w:r>
      <w:r>
        <w:rPr>
          <w:spacing w:val="-1"/>
          <w:sz w:val="24"/>
        </w:rPr>
        <w:t xml:space="preserve"> </w:t>
      </w:r>
      <w:r>
        <w:rPr>
          <w:sz w:val="24"/>
        </w:rPr>
        <w:t>für die Entwicklung des „Rückgrats“ und zwei Modulen sowie für eine weitere Analyse der verbleibenden Module, die noch nicht für die Entwicklungsphase bereit sind, veröffentlicht. Die Verträge werden bis Ende 2023</w:t>
      </w:r>
      <w:r>
        <w:rPr>
          <w:spacing w:val="40"/>
          <w:sz w:val="24"/>
        </w:rPr>
        <w:t xml:space="preserve"> </w:t>
      </w:r>
      <w:r>
        <w:rPr>
          <w:spacing w:val="-2"/>
          <w:sz w:val="24"/>
        </w:rPr>
        <w:t>vergeben.</w:t>
      </w:r>
    </w:p>
    <w:p w:rsidR="00F332FD" w:rsidRDefault="00F332FD">
      <w:pPr>
        <w:pStyle w:val="BodyText"/>
        <w:rPr>
          <w:sz w:val="24"/>
        </w:rPr>
      </w:pPr>
    </w:p>
    <w:p w:rsidR="00F332FD" w:rsidRDefault="00560835">
      <w:pPr>
        <w:ind w:left="370" w:right="214"/>
        <w:jc w:val="both"/>
        <w:rPr>
          <w:sz w:val="24"/>
        </w:rPr>
      </w:pPr>
      <w:r>
        <w:rPr>
          <w:sz w:val="24"/>
        </w:rPr>
        <w:t>Das Referat „</w:t>
      </w:r>
      <w:proofErr w:type="spellStart"/>
      <w:r>
        <w:rPr>
          <w:sz w:val="24"/>
        </w:rPr>
        <w:t>Intelligence</w:t>
      </w:r>
      <w:proofErr w:type="spellEnd"/>
      <w:r>
        <w:rPr>
          <w:sz w:val="24"/>
        </w:rPr>
        <w:t xml:space="preserve"> </w:t>
      </w:r>
      <w:proofErr w:type="spellStart"/>
      <w:r>
        <w:rPr>
          <w:sz w:val="24"/>
        </w:rPr>
        <w:t>Gathering</w:t>
      </w:r>
      <w:proofErr w:type="spellEnd"/>
      <w:r>
        <w:rPr>
          <w:sz w:val="24"/>
        </w:rPr>
        <w:t>, Analysis and Innovation“ sucht zwei IT-Experten, die mit dem ausgewählten Bewerber bei der Durchführung des Vertrags zusammenarbeiten werden, einschließlich der Überwachung des Projekts und der Überprüfung und Bewertung der Leistungen, um sicherzustellen, dass die durchgeführten Arbeiten angemessen sind und ATHINA rechtzeitig entwickelt und analysiert wird,</w:t>
      </w:r>
      <w:r>
        <w:rPr>
          <w:spacing w:val="-2"/>
          <w:sz w:val="24"/>
        </w:rPr>
        <w:t xml:space="preserve"> </w:t>
      </w:r>
      <w:r>
        <w:rPr>
          <w:sz w:val="24"/>
        </w:rPr>
        <w:t>um</w:t>
      </w:r>
      <w:r>
        <w:rPr>
          <w:spacing w:val="-3"/>
          <w:sz w:val="24"/>
        </w:rPr>
        <w:t xml:space="preserve"> </w:t>
      </w:r>
      <w:r>
        <w:rPr>
          <w:sz w:val="24"/>
        </w:rPr>
        <w:t>die</w:t>
      </w:r>
      <w:r>
        <w:rPr>
          <w:spacing w:val="-2"/>
          <w:sz w:val="24"/>
        </w:rPr>
        <w:t xml:space="preserve"> </w:t>
      </w:r>
      <w:r>
        <w:rPr>
          <w:sz w:val="24"/>
        </w:rPr>
        <w:t>erforderlichen</w:t>
      </w:r>
      <w:r>
        <w:rPr>
          <w:spacing w:val="-2"/>
          <w:sz w:val="24"/>
        </w:rPr>
        <w:t xml:space="preserve"> </w:t>
      </w:r>
      <w:r>
        <w:rPr>
          <w:sz w:val="24"/>
        </w:rPr>
        <w:t>Geschäftsanforderungen</w:t>
      </w:r>
      <w:r>
        <w:rPr>
          <w:spacing w:val="-2"/>
          <w:sz w:val="24"/>
        </w:rPr>
        <w:t xml:space="preserve"> </w:t>
      </w:r>
      <w:r>
        <w:rPr>
          <w:sz w:val="24"/>
        </w:rPr>
        <w:t>zu</w:t>
      </w:r>
      <w:r>
        <w:rPr>
          <w:spacing w:val="-2"/>
          <w:sz w:val="24"/>
        </w:rPr>
        <w:t xml:space="preserve"> </w:t>
      </w:r>
      <w:r>
        <w:rPr>
          <w:sz w:val="24"/>
        </w:rPr>
        <w:t>erfüllen.</w:t>
      </w:r>
      <w:r>
        <w:rPr>
          <w:spacing w:val="-2"/>
          <w:sz w:val="24"/>
        </w:rPr>
        <w:t xml:space="preserve"> </w:t>
      </w:r>
      <w:r>
        <w:rPr>
          <w:sz w:val="24"/>
        </w:rPr>
        <w:t>Darüber</w:t>
      </w:r>
      <w:r>
        <w:rPr>
          <w:spacing w:val="-3"/>
          <w:sz w:val="24"/>
        </w:rPr>
        <w:t xml:space="preserve"> </w:t>
      </w:r>
      <w:r>
        <w:rPr>
          <w:sz w:val="24"/>
        </w:rPr>
        <w:t>hinaus</w:t>
      </w:r>
      <w:r>
        <w:rPr>
          <w:spacing w:val="-2"/>
          <w:sz w:val="24"/>
        </w:rPr>
        <w:t xml:space="preserve"> </w:t>
      </w:r>
      <w:r>
        <w:rPr>
          <w:sz w:val="24"/>
        </w:rPr>
        <w:t>werden</w:t>
      </w:r>
      <w:r>
        <w:rPr>
          <w:spacing w:val="-2"/>
          <w:sz w:val="24"/>
        </w:rPr>
        <w:t xml:space="preserve"> </w:t>
      </w:r>
      <w:r>
        <w:rPr>
          <w:sz w:val="24"/>
        </w:rPr>
        <w:t>die</w:t>
      </w:r>
      <w:r>
        <w:rPr>
          <w:spacing w:val="-2"/>
          <w:sz w:val="24"/>
        </w:rPr>
        <w:t xml:space="preserve"> </w:t>
      </w:r>
      <w:r>
        <w:rPr>
          <w:sz w:val="24"/>
        </w:rPr>
        <w:t xml:space="preserve">IT-Experten in die Vorbereitung künftiger Beschaffungstätigkeiten für die Entwicklung der ausstehenden Module </w:t>
      </w:r>
      <w:r>
        <w:rPr>
          <w:spacing w:val="-2"/>
          <w:sz w:val="24"/>
        </w:rPr>
        <w:t>einbezogen.</w:t>
      </w:r>
    </w:p>
    <w:p w:rsidR="00F332FD" w:rsidRDefault="00F332FD">
      <w:pPr>
        <w:pStyle w:val="BodyText"/>
        <w:rPr>
          <w:sz w:val="24"/>
        </w:rPr>
      </w:pPr>
    </w:p>
    <w:p w:rsidR="00F332FD" w:rsidRDefault="00560835">
      <w:pPr>
        <w:spacing w:before="1" w:line="276" w:lineRule="auto"/>
        <w:ind w:left="370" w:right="108"/>
        <w:jc w:val="both"/>
        <w:rPr>
          <w:sz w:val="24"/>
        </w:rPr>
      </w:pPr>
      <w:r>
        <w:rPr>
          <w:sz w:val="24"/>
        </w:rPr>
        <w:t>Die nationalen Sachverständigen werden beim Einsatz von Hardware und Software und bei der Konfiguration des Systems Unterstützung leisten. Im Idealfall würden sie fachliche Beratung und Unterstützung bei bestimmten Technologien wie der Massendatenanalyse und der Anwendung von Methoden der künstlichen Intelligenz anbieten.</w:t>
      </w:r>
    </w:p>
    <w:p w:rsidR="00F332FD" w:rsidRDefault="00F332FD">
      <w:pPr>
        <w:pStyle w:val="BodyText"/>
        <w:rPr>
          <w:sz w:val="26"/>
        </w:rPr>
      </w:pPr>
    </w:p>
    <w:p w:rsidR="00F332FD" w:rsidRDefault="00F332FD">
      <w:pPr>
        <w:pStyle w:val="BodyText"/>
        <w:rPr>
          <w:sz w:val="26"/>
        </w:rPr>
      </w:pPr>
    </w:p>
    <w:p w:rsidR="00F332FD" w:rsidRDefault="00560835">
      <w:pPr>
        <w:pStyle w:val="ListParagraph"/>
        <w:numPr>
          <w:ilvl w:val="0"/>
          <w:numId w:val="3"/>
        </w:numPr>
        <w:tabs>
          <w:tab w:val="left" w:pos="796"/>
          <w:tab w:val="left" w:pos="797"/>
        </w:tabs>
        <w:spacing w:before="155"/>
        <w:ind w:hanging="427"/>
        <w:rPr>
          <w:b/>
          <w:sz w:val="24"/>
        </w:rPr>
      </w:pPr>
      <w:r>
        <w:rPr>
          <w:b/>
          <w:sz w:val="24"/>
          <w:u w:val="single"/>
        </w:rPr>
        <w:t>Wichtigste</w:t>
      </w:r>
      <w:r>
        <w:rPr>
          <w:b/>
          <w:spacing w:val="-3"/>
          <w:sz w:val="24"/>
          <w:u w:val="single"/>
        </w:rPr>
        <w:t xml:space="preserve"> </w:t>
      </w:r>
      <w:r>
        <w:rPr>
          <w:b/>
          <w:spacing w:val="-2"/>
          <w:sz w:val="24"/>
          <w:u w:val="single"/>
        </w:rPr>
        <w:t>Qualifikationen:</w:t>
      </w:r>
    </w:p>
    <w:p w:rsidR="00F332FD" w:rsidRDefault="00F332FD">
      <w:pPr>
        <w:pStyle w:val="BodyText"/>
        <w:spacing w:before="1"/>
        <w:rPr>
          <w:b/>
          <w:sz w:val="16"/>
        </w:rPr>
      </w:pPr>
    </w:p>
    <w:p w:rsidR="00F332FD" w:rsidRDefault="00560835">
      <w:pPr>
        <w:pStyle w:val="Heading1"/>
        <w:spacing w:before="91"/>
      </w:pPr>
      <w:r>
        <w:rPr>
          <w:spacing w:val="-2"/>
        </w:rPr>
        <w:t>Zulassungskriterien</w:t>
      </w:r>
    </w:p>
    <w:p w:rsidR="00F332FD" w:rsidRDefault="00F332FD">
      <w:pPr>
        <w:pStyle w:val="BodyText"/>
        <w:spacing w:before="10"/>
        <w:rPr>
          <w:b/>
          <w:sz w:val="21"/>
        </w:rPr>
      </w:pPr>
    </w:p>
    <w:p w:rsidR="00F332FD" w:rsidRDefault="00560835">
      <w:pPr>
        <w:pStyle w:val="BodyText"/>
        <w:spacing w:before="1"/>
        <w:ind w:left="796" w:right="106"/>
        <w:jc w:val="both"/>
      </w:pPr>
      <w:r>
        <w:t>Um zur Kommission abgeordnet zu werden, muss der Bewerber/die Bewerberin folgende Zulassungskriterien erfüllen: Bewerberinnen und Bewerber, die nicht alle dieser Kriterien erfüllen, werden automatisch vom Auswahlverfahren ausgeschlossen.</w:t>
      </w:r>
    </w:p>
    <w:p w:rsidR="00F332FD" w:rsidRDefault="00F332FD">
      <w:pPr>
        <w:pStyle w:val="BodyText"/>
        <w:spacing w:before="11"/>
        <w:rPr>
          <w:sz w:val="21"/>
        </w:rPr>
      </w:pPr>
    </w:p>
    <w:p w:rsidR="00F332FD" w:rsidRDefault="00560835">
      <w:pPr>
        <w:pStyle w:val="ListParagraph"/>
        <w:numPr>
          <w:ilvl w:val="1"/>
          <w:numId w:val="3"/>
        </w:numPr>
        <w:tabs>
          <w:tab w:val="left" w:pos="1081"/>
        </w:tabs>
        <w:ind w:right="108"/>
      </w:pPr>
      <w:r>
        <w:rPr>
          <w:u w:val="single"/>
        </w:rPr>
        <w:t>Berufserfahrung</w:t>
      </w:r>
      <w:r>
        <w:t>: mindestens dreijährige Berufserfahrung in administrativen, juristischen, naturwissenschaftlichen, technischen Bereichen, Beratungs- oder Aufsichtsfunktionen, die mit den Aufgaben der Funktionsgruppe AD der EU-Bediensteten vergleichbar sind.</w:t>
      </w:r>
    </w:p>
    <w:p w:rsidR="00F332FD" w:rsidRDefault="00F332FD">
      <w:pPr>
        <w:pStyle w:val="BodyText"/>
        <w:spacing w:before="11"/>
        <w:rPr>
          <w:sz w:val="21"/>
        </w:rPr>
      </w:pPr>
    </w:p>
    <w:p w:rsidR="00F332FD" w:rsidRDefault="00560835">
      <w:pPr>
        <w:pStyle w:val="ListParagraph"/>
        <w:numPr>
          <w:ilvl w:val="1"/>
          <w:numId w:val="3"/>
        </w:numPr>
        <w:tabs>
          <w:tab w:val="left" w:pos="1081"/>
        </w:tabs>
        <w:ind w:right="108"/>
      </w:pPr>
      <w:r>
        <w:rPr>
          <w:u w:val="single"/>
        </w:rPr>
        <w:t>Dienstalter</w:t>
      </w:r>
      <w:r>
        <w:t>: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rsidR="00F332FD" w:rsidRDefault="00F332FD">
      <w:pPr>
        <w:pStyle w:val="BodyText"/>
        <w:spacing w:before="11"/>
        <w:rPr>
          <w:sz w:val="21"/>
        </w:rPr>
      </w:pPr>
    </w:p>
    <w:p w:rsidR="00F332FD" w:rsidRDefault="00560835">
      <w:pPr>
        <w:pStyle w:val="ListParagraph"/>
        <w:numPr>
          <w:ilvl w:val="1"/>
          <w:numId w:val="3"/>
        </w:numPr>
        <w:tabs>
          <w:tab w:val="left" w:pos="1081"/>
        </w:tabs>
        <w:ind w:right="107"/>
      </w:pPr>
      <w:r>
        <w:rPr>
          <w:u w:val="single"/>
        </w:rPr>
        <w:t>Sprachkenntnisse</w:t>
      </w:r>
      <w:r>
        <w:t>: gründliche Kenntnisse in einer Sprache der Europäischen Union und Kenntnisse in einer weiteren Sprache der Europäischen Union, die für die Wahrnehmung der beschriebenen Aufgaben ausreichen. ANS aus einem Drittland müssen nachweisen, dass sie gründliche Kenntnisse einer für die Ausübung ihrer Tätigkeit erforderlichen EU-Amtssprache besitzen.</w:t>
      </w:r>
    </w:p>
    <w:p w:rsidR="00F332FD" w:rsidRDefault="00F332FD">
      <w:pPr>
        <w:pStyle w:val="BodyText"/>
        <w:spacing w:before="2"/>
        <w:rPr>
          <w:sz w:val="24"/>
        </w:rPr>
      </w:pPr>
    </w:p>
    <w:p w:rsidR="00F332FD" w:rsidRDefault="00560835">
      <w:pPr>
        <w:pStyle w:val="Heading1"/>
      </w:pPr>
      <w:r>
        <w:t>B)</w:t>
      </w:r>
      <w:r>
        <w:rPr>
          <w:spacing w:val="4"/>
        </w:rPr>
        <w:t xml:space="preserve"> </w:t>
      </w:r>
      <w:r>
        <w:rPr>
          <w:spacing w:val="-2"/>
          <w:u w:val="single"/>
        </w:rPr>
        <w:t>Auswahlkriterien</w:t>
      </w:r>
    </w:p>
    <w:p w:rsidR="00F332FD" w:rsidRDefault="00F332FD">
      <w:pPr>
        <w:pStyle w:val="BodyText"/>
        <w:spacing w:before="1"/>
        <w:rPr>
          <w:b/>
          <w:sz w:val="16"/>
        </w:rPr>
      </w:pPr>
    </w:p>
    <w:p w:rsidR="00F332FD" w:rsidRDefault="00560835">
      <w:pPr>
        <w:pStyle w:val="BodyText"/>
        <w:spacing w:before="90"/>
        <w:ind w:left="1080" w:right="7373"/>
      </w:pPr>
      <w:r>
        <w:rPr>
          <w:spacing w:val="-2"/>
          <w:u w:val="single"/>
        </w:rPr>
        <w:t>Hochschulabschluss</w:t>
      </w:r>
      <w:r>
        <w:rPr>
          <w:spacing w:val="-2"/>
        </w:rPr>
        <w:t xml:space="preserve"> </w:t>
      </w:r>
      <w:proofErr w:type="spellStart"/>
      <w:r>
        <w:t>Hochschulabschluss</w:t>
      </w:r>
      <w:proofErr w:type="spellEnd"/>
      <w:r>
        <w:rPr>
          <w:spacing w:val="-14"/>
        </w:rPr>
        <w:t xml:space="preserve"> </w:t>
      </w:r>
      <w:r>
        <w:t>oder</w:t>
      </w:r>
    </w:p>
    <w:p w:rsidR="00F332FD" w:rsidRDefault="00560835">
      <w:pPr>
        <w:pStyle w:val="BodyText"/>
        <w:spacing w:line="252" w:lineRule="exact"/>
        <w:ind w:left="1080"/>
      </w:pPr>
      <w:r>
        <w:rPr>
          <w:spacing w:val="-2"/>
        </w:rPr>
        <w:t>Berufsausbildung</w:t>
      </w:r>
      <w:r>
        <w:rPr>
          <w:spacing w:val="6"/>
        </w:rPr>
        <w:t xml:space="preserve"> </w:t>
      </w:r>
      <w:r>
        <w:rPr>
          <w:spacing w:val="-2"/>
        </w:rPr>
        <w:t>oder</w:t>
      </w:r>
      <w:r>
        <w:rPr>
          <w:spacing w:val="8"/>
        </w:rPr>
        <w:t xml:space="preserve"> </w:t>
      </w:r>
      <w:r>
        <w:rPr>
          <w:spacing w:val="-2"/>
        </w:rPr>
        <w:t>gleichwertige</w:t>
      </w:r>
      <w:r>
        <w:rPr>
          <w:spacing w:val="6"/>
        </w:rPr>
        <w:t xml:space="preserve"> </w:t>
      </w:r>
      <w:r>
        <w:rPr>
          <w:spacing w:val="-2"/>
        </w:rPr>
        <w:t>Berufserfahrung</w:t>
      </w:r>
    </w:p>
    <w:p w:rsidR="00F332FD" w:rsidRDefault="00F332FD">
      <w:pPr>
        <w:pStyle w:val="BodyText"/>
        <w:spacing w:before="1"/>
      </w:pPr>
    </w:p>
    <w:p w:rsidR="00F332FD" w:rsidRDefault="00560835">
      <w:pPr>
        <w:pStyle w:val="BodyText"/>
        <w:spacing w:line="253" w:lineRule="exact"/>
        <w:ind w:left="1190"/>
      </w:pPr>
      <w:r>
        <w:t>in</w:t>
      </w:r>
      <w:r>
        <w:rPr>
          <w:spacing w:val="-8"/>
        </w:rPr>
        <w:t xml:space="preserve"> </w:t>
      </w:r>
      <w:r>
        <w:t>folgenden</w:t>
      </w:r>
      <w:r>
        <w:rPr>
          <w:spacing w:val="-8"/>
        </w:rPr>
        <w:t xml:space="preserve"> </w:t>
      </w:r>
      <w:r>
        <w:rPr>
          <w:spacing w:val="-2"/>
        </w:rPr>
        <w:t>Bereichen:</w:t>
      </w:r>
    </w:p>
    <w:p w:rsidR="00F332FD" w:rsidRDefault="00560835">
      <w:pPr>
        <w:ind w:left="1079"/>
        <w:rPr>
          <w:sz w:val="24"/>
        </w:rPr>
      </w:pPr>
      <w:r w:rsidRPr="00EC34B9">
        <w:t>Ingenieur für Kommunikationsinformationssysteme und/oder Informationssysteme und/oder Informationstechnologie.</w:t>
      </w:r>
    </w:p>
    <w:p w:rsidR="00EC34B9" w:rsidRDefault="00EC34B9" w:rsidP="00EC34B9">
      <w:pPr>
        <w:pStyle w:val="BodyText"/>
        <w:spacing w:before="10"/>
        <w:rPr>
          <w:sz w:val="21"/>
        </w:rPr>
      </w:pPr>
    </w:p>
    <w:p w:rsidR="00F332FD" w:rsidRDefault="00560835">
      <w:pPr>
        <w:pStyle w:val="BodyText"/>
        <w:ind w:left="1080"/>
      </w:pPr>
      <w:r>
        <w:rPr>
          <w:spacing w:val="-2"/>
          <w:u w:val="single"/>
        </w:rPr>
        <w:t>Berufserfahrung</w:t>
      </w:r>
    </w:p>
    <w:p w:rsidR="00F332FD" w:rsidRDefault="00560835">
      <w:pPr>
        <w:ind w:left="1080"/>
        <w:rPr>
          <w:sz w:val="24"/>
        </w:rPr>
      </w:pPr>
      <w:r w:rsidRPr="00EC34B9">
        <w:t>Vernetzung, Konzeption, Entwicklung und Erprobung von Informationssystemen.</w:t>
      </w:r>
    </w:p>
    <w:p w:rsidR="00F332FD" w:rsidRDefault="00F332FD">
      <w:pPr>
        <w:rPr>
          <w:sz w:val="24"/>
        </w:rPr>
        <w:sectPr w:rsidR="00F332FD">
          <w:pgSz w:w="11910" w:h="16840"/>
          <w:pgMar w:top="1040" w:right="740" w:bottom="880" w:left="480" w:header="0" w:footer="690" w:gutter="0"/>
          <w:cols w:space="720"/>
        </w:sectPr>
      </w:pPr>
    </w:p>
    <w:p w:rsidR="00F332FD" w:rsidRDefault="00560835">
      <w:pPr>
        <w:pStyle w:val="BodyText"/>
        <w:spacing w:before="74"/>
        <w:ind w:left="1080"/>
      </w:pPr>
      <w:r>
        <w:rPr>
          <w:u w:val="single"/>
        </w:rPr>
        <w:lastRenderedPageBreak/>
        <w:t>Für</w:t>
      </w:r>
      <w:r>
        <w:rPr>
          <w:spacing w:val="-8"/>
          <w:u w:val="single"/>
        </w:rPr>
        <w:t xml:space="preserve"> </w:t>
      </w:r>
      <w:r>
        <w:rPr>
          <w:u w:val="single"/>
        </w:rPr>
        <w:t>die</w:t>
      </w:r>
      <w:r>
        <w:rPr>
          <w:spacing w:val="-9"/>
          <w:u w:val="single"/>
        </w:rPr>
        <w:t xml:space="preserve"> </w:t>
      </w:r>
      <w:r>
        <w:rPr>
          <w:u w:val="single"/>
        </w:rPr>
        <w:t>Ausübung</w:t>
      </w:r>
      <w:r>
        <w:rPr>
          <w:spacing w:val="-8"/>
          <w:u w:val="single"/>
        </w:rPr>
        <w:t xml:space="preserve"> </w:t>
      </w:r>
      <w:r>
        <w:rPr>
          <w:u w:val="single"/>
        </w:rPr>
        <w:t>der</w:t>
      </w:r>
      <w:r>
        <w:rPr>
          <w:spacing w:val="-8"/>
          <w:u w:val="single"/>
        </w:rPr>
        <w:t xml:space="preserve"> </w:t>
      </w:r>
      <w:r>
        <w:rPr>
          <w:u w:val="single"/>
        </w:rPr>
        <w:t>Tätigkeit</w:t>
      </w:r>
      <w:r>
        <w:rPr>
          <w:spacing w:val="-8"/>
          <w:u w:val="single"/>
        </w:rPr>
        <w:t xml:space="preserve"> </w:t>
      </w:r>
      <w:r>
        <w:rPr>
          <w:u w:val="single"/>
        </w:rPr>
        <w:t>erforderliche</w:t>
      </w:r>
      <w:r>
        <w:rPr>
          <w:spacing w:val="-8"/>
          <w:u w:val="single"/>
        </w:rPr>
        <w:t xml:space="preserve"> </w:t>
      </w:r>
      <w:r>
        <w:rPr>
          <w:spacing w:val="-2"/>
          <w:u w:val="single"/>
        </w:rPr>
        <w:t>Sprachkenntnisse:</w:t>
      </w:r>
    </w:p>
    <w:p w:rsidR="00F332FD" w:rsidRDefault="00F332FD">
      <w:pPr>
        <w:pStyle w:val="BodyText"/>
        <w:spacing w:before="11"/>
        <w:rPr>
          <w:sz w:val="21"/>
        </w:rPr>
      </w:pPr>
    </w:p>
    <w:p w:rsidR="00F332FD" w:rsidRDefault="00560835">
      <w:pPr>
        <w:ind w:left="1080"/>
        <w:rPr>
          <w:sz w:val="24"/>
        </w:rPr>
      </w:pPr>
      <w:r>
        <w:rPr>
          <w:sz w:val="24"/>
        </w:rPr>
        <w:t>Eine</w:t>
      </w:r>
      <w:r>
        <w:rPr>
          <w:spacing w:val="40"/>
          <w:sz w:val="24"/>
        </w:rPr>
        <w:t xml:space="preserve"> </w:t>
      </w:r>
      <w:r>
        <w:rPr>
          <w:sz w:val="24"/>
        </w:rPr>
        <w:t>gute</w:t>
      </w:r>
      <w:r>
        <w:rPr>
          <w:spacing w:val="40"/>
          <w:sz w:val="24"/>
        </w:rPr>
        <w:t xml:space="preserve"> </w:t>
      </w:r>
      <w:r>
        <w:rPr>
          <w:sz w:val="24"/>
        </w:rPr>
        <w:t>Fähigkeit,</w:t>
      </w:r>
      <w:r>
        <w:rPr>
          <w:spacing w:val="40"/>
          <w:sz w:val="24"/>
        </w:rPr>
        <w:t xml:space="preserve"> </w:t>
      </w:r>
      <w:r>
        <w:rPr>
          <w:sz w:val="24"/>
        </w:rPr>
        <w:t>mündlich</w:t>
      </w:r>
      <w:r>
        <w:rPr>
          <w:spacing w:val="40"/>
          <w:sz w:val="24"/>
        </w:rPr>
        <w:t xml:space="preserve"> </w:t>
      </w:r>
      <w:r>
        <w:rPr>
          <w:sz w:val="24"/>
        </w:rPr>
        <w:t>und</w:t>
      </w:r>
      <w:r>
        <w:rPr>
          <w:spacing w:val="40"/>
          <w:sz w:val="24"/>
        </w:rPr>
        <w:t xml:space="preserve"> </w:t>
      </w:r>
      <w:r>
        <w:rPr>
          <w:sz w:val="24"/>
        </w:rPr>
        <w:t>schriftlich</w:t>
      </w:r>
      <w:r>
        <w:rPr>
          <w:spacing w:val="40"/>
          <w:sz w:val="24"/>
        </w:rPr>
        <w:t xml:space="preserve"> </w:t>
      </w:r>
      <w:r>
        <w:rPr>
          <w:sz w:val="24"/>
        </w:rPr>
        <w:t>in</w:t>
      </w:r>
      <w:r>
        <w:rPr>
          <w:spacing w:val="40"/>
          <w:sz w:val="24"/>
        </w:rPr>
        <w:t xml:space="preserve"> </w:t>
      </w:r>
      <w:r>
        <w:rPr>
          <w:sz w:val="24"/>
        </w:rPr>
        <w:t>verständlicher</w:t>
      </w:r>
      <w:r>
        <w:rPr>
          <w:spacing w:val="40"/>
          <w:sz w:val="24"/>
        </w:rPr>
        <w:t xml:space="preserve"> </w:t>
      </w:r>
      <w:r>
        <w:rPr>
          <w:sz w:val="24"/>
        </w:rPr>
        <w:t>und</w:t>
      </w:r>
      <w:r>
        <w:rPr>
          <w:spacing w:val="40"/>
          <w:sz w:val="24"/>
        </w:rPr>
        <w:t xml:space="preserve"> </w:t>
      </w:r>
      <w:r>
        <w:rPr>
          <w:sz w:val="24"/>
        </w:rPr>
        <w:t>strukturierter</w:t>
      </w:r>
      <w:r>
        <w:rPr>
          <w:spacing w:val="40"/>
          <w:sz w:val="24"/>
        </w:rPr>
        <w:t xml:space="preserve"> </w:t>
      </w:r>
      <w:r>
        <w:rPr>
          <w:sz w:val="24"/>
        </w:rPr>
        <w:t>Weise</w:t>
      </w:r>
      <w:r>
        <w:rPr>
          <w:spacing w:val="40"/>
          <w:sz w:val="24"/>
        </w:rPr>
        <w:t xml:space="preserve"> </w:t>
      </w:r>
      <w:r>
        <w:rPr>
          <w:sz w:val="24"/>
        </w:rPr>
        <w:t>in</w:t>
      </w:r>
      <w:r>
        <w:rPr>
          <w:spacing w:val="80"/>
          <w:w w:val="150"/>
          <w:sz w:val="24"/>
        </w:rPr>
        <w:t xml:space="preserve"> </w:t>
      </w:r>
      <w:r>
        <w:rPr>
          <w:sz w:val="24"/>
        </w:rPr>
        <w:t>englischer Sprache zu kommunizieren, ist von entscheidender Bedeutung.</w:t>
      </w:r>
    </w:p>
    <w:p w:rsidR="00F332FD" w:rsidRDefault="00560835">
      <w:pPr>
        <w:pStyle w:val="ListParagraph"/>
        <w:numPr>
          <w:ilvl w:val="0"/>
          <w:numId w:val="3"/>
        </w:numPr>
        <w:tabs>
          <w:tab w:val="left" w:pos="796"/>
          <w:tab w:val="left" w:pos="797"/>
        </w:tabs>
        <w:spacing w:before="3"/>
        <w:ind w:hanging="427"/>
        <w:rPr>
          <w:b/>
          <w:sz w:val="24"/>
        </w:rPr>
      </w:pPr>
      <w:r>
        <w:rPr>
          <w:b/>
          <w:sz w:val="24"/>
          <w:u w:val="single"/>
        </w:rPr>
        <w:t>Bewerbung</w:t>
      </w:r>
      <w:r>
        <w:rPr>
          <w:b/>
          <w:spacing w:val="-3"/>
          <w:sz w:val="24"/>
          <w:u w:val="single"/>
        </w:rPr>
        <w:t xml:space="preserve"> </w:t>
      </w:r>
      <w:r>
        <w:rPr>
          <w:b/>
          <w:sz w:val="24"/>
          <w:u w:val="single"/>
        </w:rPr>
        <w:t>und</w:t>
      </w:r>
      <w:r>
        <w:rPr>
          <w:b/>
          <w:spacing w:val="-4"/>
          <w:sz w:val="24"/>
          <w:u w:val="single"/>
        </w:rPr>
        <w:t xml:space="preserve"> </w:t>
      </w:r>
      <w:r>
        <w:rPr>
          <w:b/>
          <w:spacing w:val="-2"/>
          <w:sz w:val="24"/>
          <w:u w:val="single"/>
        </w:rPr>
        <w:t>Auswahlverfahren</w:t>
      </w:r>
    </w:p>
    <w:p w:rsidR="00F332FD" w:rsidRDefault="00F332FD">
      <w:pPr>
        <w:pStyle w:val="BodyText"/>
        <w:spacing w:before="10"/>
        <w:rPr>
          <w:b/>
          <w:sz w:val="15"/>
        </w:rPr>
      </w:pPr>
    </w:p>
    <w:p w:rsidR="00F332FD" w:rsidRDefault="00844DC9">
      <w:pPr>
        <w:tabs>
          <w:tab w:val="left" w:pos="1787"/>
          <w:tab w:val="left" w:pos="3869"/>
          <w:tab w:val="left" w:pos="5129"/>
          <w:tab w:val="left" w:pos="6145"/>
          <w:tab w:val="left" w:pos="7832"/>
          <w:tab w:val="left" w:pos="8738"/>
        </w:tabs>
        <w:spacing w:before="90"/>
        <w:ind w:left="796" w:right="282"/>
        <w:jc w:val="both"/>
        <w:rPr>
          <w:b/>
        </w:rPr>
      </w:pPr>
      <w:r>
        <w:pict>
          <v:rect id="docshape3" o:spid="_x0000_s1027" style="position:absolute;left:0;text-align:left;margin-left:356.15pt;margin-top:28.65pt;width:3.7pt;height:.55pt;z-index:-15819264;mso-position-horizontal-relative:page" fillcolor="blue" stroked="f">
            <w10:wrap anchorx="page"/>
          </v:rect>
        </w:pict>
      </w:r>
      <w:r w:rsidR="00560835">
        <w:rPr>
          <w:spacing w:val="-4"/>
        </w:rPr>
        <w:t>Die</w:t>
      </w:r>
      <w:r w:rsidR="00560835">
        <w:tab/>
      </w:r>
      <w:r w:rsidR="00560835">
        <w:rPr>
          <w:spacing w:val="-2"/>
        </w:rPr>
        <w:t>Bewerber/innen</w:t>
      </w:r>
      <w:r w:rsidR="00560835">
        <w:tab/>
      </w:r>
      <w:r w:rsidR="00560835">
        <w:rPr>
          <w:spacing w:val="-2"/>
        </w:rPr>
        <w:t>sollten</w:t>
      </w:r>
      <w:r w:rsidR="00560835">
        <w:tab/>
      </w:r>
      <w:r w:rsidR="00560835">
        <w:rPr>
          <w:spacing w:val="-4"/>
        </w:rPr>
        <w:t>ihre</w:t>
      </w:r>
      <w:r w:rsidR="00560835">
        <w:tab/>
      </w:r>
      <w:r w:rsidR="00560835">
        <w:rPr>
          <w:spacing w:val="-2"/>
        </w:rPr>
        <w:t>Bewerbung</w:t>
      </w:r>
      <w:r w:rsidR="00560835">
        <w:tab/>
      </w:r>
      <w:r w:rsidR="00560835">
        <w:rPr>
          <w:spacing w:val="-6"/>
        </w:rPr>
        <w:t>im</w:t>
      </w:r>
      <w:r w:rsidR="00560835">
        <w:tab/>
      </w:r>
      <w:r w:rsidR="00560835">
        <w:rPr>
          <w:b/>
          <w:spacing w:val="-2"/>
        </w:rPr>
        <w:t xml:space="preserve">Europass-Format </w:t>
      </w:r>
      <w:r w:rsidR="00560835">
        <w:t>(</w:t>
      </w:r>
      <w:hyperlink r:id="rId10">
        <w:r w:rsidR="00560835">
          <w:t>http://europass.cedefop.europa.eu/en/documents/curriculum-vitae</w:t>
        </w:r>
      </w:hyperlink>
      <w:hyperlink r:id="rId11">
        <w:r w:rsidR="00560835">
          <w:rPr>
            <w:color w:val="0000FF"/>
          </w:rPr>
          <w:t>)</w:t>
        </w:r>
      </w:hyperlink>
      <w:r w:rsidR="00560835">
        <w:rPr>
          <w:color w:val="0000FF"/>
        </w:rPr>
        <w:t xml:space="preserve"> </w:t>
      </w:r>
      <w:r w:rsidR="00560835">
        <w:rPr>
          <w:b/>
          <w:u w:val="single"/>
        </w:rPr>
        <w:t>ausschließlich in englischer,</w:t>
      </w:r>
      <w:r w:rsidR="00560835">
        <w:rPr>
          <w:b/>
        </w:rPr>
        <w:t xml:space="preserve"> </w:t>
      </w:r>
      <w:r w:rsidR="00560835">
        <w:rPr>
          <w:b/>
          <w:u w:val="single"/>
        </w:rPr>
        <w:t>französischer</w:t>
      </w:r>
      <w:r w:rsidR="00560835">
        <w:rPr>
          <w:b/>
          <w:spacing w:val="-3"/>
          <w:u w:val="single"/>
        </w:rPr>
        <w:t xml:space="preserve"> </w:t>
      </w:r>
      <w:r w:rsidR="00560835">
        <w:rPr>
          <w:b/>
          <w:u w:val="single"/>
        </w:rPr>
        <w:t>oder</w:t>
      </w:r>
      <w:r w:rsidR="00560835">
        <w:rPr>
          <w:b/>
          <w:spacing w:val="-3"/>
          <w:u w:val="single"/>
        </w:rPr>
        <w:t xml:space="preserve"> </w:t>
      </w:r>
      <w:r w:rsidR="00560835">
        <w:rPr>
          <w:b/>
          <w:u w:val="single"/>
        </w:rPr>
        <w:t>deutscher</w:t>
      </w:r>
      <w:r w:rsidR="00560835">
        <w:rPr>
          <w:b/>
          <w:spacing w:val="-3"/>
          <w:u w:val="single"/>
        </w:rPr>
        <w:t xml:space="preserve"> </w:t>
      </w:r>
      <w:r w:rsidR="00560835">
        <w:rPr>
          <w:b/>
          <w:u w:val="single"/>
        </w:rPr>
        <w:t>Sprache</w:t>
      </w:r>
      <w:r w:rsidR="00560835">
        <w:rPr>
          <w:b/>
          <w:spacing w:val="-3"/>
          <w:u w:val="single"/>
        </w:rPr>
        <w:t xml:space="preserve"> </w:t>
      </w:r>
      <w:r w:rsidR="00560835">
        <w:rPr>
          <w:b/>
          <w:u w:val="single"/>
        </w:rPr>
        <w:t>an</w:t>
      </w:r>
      <w:r w:rsidR="00560835">
        <w:rPr>
          <w:b/>
          <w:spacing w:val="-2"/>
          <w:u w:val="single"/>
        </w:rPr>
        <w:t xml:space="preserve"> </w:t>
      </w:r>
      <w:r w:rsidR="00560835">
        <w:rPr>
          <w:b/>
          <w:u w:val="single"/>
        </w:rPr>
        <w:t>die</w:t>
      </w:r>
      <w:r w:rsidR="00560835">
        <w:rPr>
          <w:b/>
          <w:spacing w:val="-3"/>
          <w:u w:val="single"/>
        </w:rPr>
        <w:t xml:space="preserve"> </w:t>
      </w:r>
      <w:r w:rsidR="00560835">
        <w:rPr>
          <w:b/>
          <w:u w:val="single"/>
        </w:rPr>
        <w:t>Ständige</w:t>
      </w:r>
      <w:r w:rsidR="00560835">
        <w:rPr>
          <w:b/>
          <w:spacing w:val="-3"/>
          <w:u w:val="single"/>
        </w:rPr>
        <w:t xml:space="preserve"> </w:t>
      </w:r>
      <w:r w:rsidR="00560835">
        <w:rPr>
          <w:b/>
          <w:u w:val="single"/>
        </w:rPr>
        <w:t>Vertretung/Diplomatenmission</w:t>
      </w:r>
      <w:r w:rsidR="00560835">
        <w:rPr>
          <w:b/>
          <w:spacing w:val="-2"/>
          <w:u w:val="single"/>
        </w:rPr>
        <w:t xml:space="preserve"> </w:t>
      </w:r>
      <w:r w:rsidR="00560835">
        <w:rPr>
          <w:b/>
          <w:u w:val="single"/>
        </w:rPr>
        <w:t>bei</w:t>
      </w:r>
      <w:r w:rsidR="00560835">
        <w:rPr>
          <w:b/>
          <w:spacing w:val="-2"/>
          <w:u w:val="single"/>
        </w:rPr>
        <w:t xml:space="preserve"> </w:t>
      </w:r>
      <w:r w:rsidR="00560835">
        <w:rPr>
          <w:b/>
          <w:u w:val="single"/>
        </w:rPr>
        <w:t>der</w:t>
      </w:r>
      <w:r w:rsidR="00560835">
        <w:rPr>
          <w:b/>
          <w:spacing w:val="-3"/>
          <w:u w:val="single"/>
        </w:rPr>
        <w:t xml:space="preserve"> </w:t>
      </w:r>
      <w:r w:rsidR="00560835">
        <w:rPr>
          <w:b/>
          <w:u w:val="single"/>
        </w:rPr>
        <w:t>EU</w:t>
      </w:r>
      <w:r w:rsidR="00560835">
        <w:rPr>
          <w:b/>
          <w:spacing w:val="-3"/>
          <w:u w:val="single"/>
        </w:rPr>
        <w:t xml:space="preserve"> </w:t>
      </w:r>
      <w:r w:rsidR="00560835">
        <w:rPr>
          <w:b/>
          <w:u w:val="single"/>
        </w:rPr>
        <w:t>ihres</w:t>
      </w:r>
      <w:r w:rsidR="00560835">
        <w:rPr>
          <w:b/>
        </w:rPr>
        <w:t xml:space="preserve"> </w:t>
      </w:r>
      <w:r w:rsidR="00560835">
        <w:rPr>
          <w:b/>
          <w:u w:val="single"/>
        </w:rPr>
        <w:t>Landes</w:t>
      </w:r>
      <w:r w:rsidR="00560835">
        <w:rPr>
          <w:b/>
        </w:rPr>
        <w:t xml:space="preserve"> </w:t>
      </w:r>
      <w:r w:rsidR="00560835">
        <w:t xml:space="preserve">schicken, die sie innerhalb der von diesen festgelegten Frist an die zuständigen Dienststellen der Kommission weiterleitet. Im Lebenslauf müssen Ihr Geburtsdatum und Ihre Staatsangehörigkeit angegeben sein. </w:t>
      </w:r>
      <w:r w:rsidR="00560835">
        <w:rPr>
          <w:b/>
        </w:rPr>
        <w:t xml:space="preserve">Bei Nichteinhaltung dieses Verfahrens oder der Fristen wird die Bewerbung automatisch </w:t>
      </w:r>
      <w:r w:rsidR="00560835">
        <w:rPr>
          <w:b/>
          <w:spacing w:val="-2"/>
        </w:rPr>
        <w:t>ungültig.</w:t>
      </w:r>
    </w:p>
    <w:p w:rsidR="00F332FD" w:rsidRDefault="00F332FD">
      <w:pPr>
        <w:pStyle w:val="BodyText"/>
        <w:spacing w:before="1"/>
        <w:rPr>
          <w:b/>
        </w:rPr>
      </w:pPr>
    </w:p>
    <w:p w:rsidR="00F332FD" w:rsidRDefault="00560835">
      <w:pPr>
        <w:pStyle w:val="BodyText"/>
        <w:ind w:left="796" w:right="270"/>
        <w:jc w:val="both"/>
      </w:pPr>
      <w:r>
        <w:t>Bitte fügen Sie Ihrer Bewerbung keine anderen Unterlagen bei (wie Kopien des Personalausweises oder von Abschlusszeugnissen, Nachweise der Berufserfahrung usw.). Diese werden erforderlichenfalls in einem späteren Stadium des Auswahlverfahrens angefordert.</w:t>
      </w:r>
    </w:p>
    <w:p w:rsidR="00F332FD" w:rsidRDefault="00560835">
      <w:pPr>
        <w:pStyle w:val="BodyText"/>
        <w:spacing w:line="253" w:lineRule="exact"/>
        <w:ind w:left="796"/>
        <w:jc w:val="both"/>
      </w:pPr>
      <w:r>
        <w:t>Sie</w:t>
      </w:r>
      <w:r>
        <w:rPr>
          <w:spacing w:val="-9"/>
        </w:rPr>
        <w:t xml:space="preserve"> </w:t>
      </w:r>
      <w:r>
        <w:t>werden</w:t>
      </w:r>
      <w:r>
        <w:rPr>
          <w:spacing w:val="-7"/>
        </w:rPr>
        <w:t xml:space="preserve"> </w:t>
      </w:r>
      <w:r>
        <w:t>vom</w:t>
      </w:r>
      <w:r>
        <w:rPr>
          <w:spacing w:val="-10"/>
        </w:rPr>
        <w:t xml:space="preserve"> </w:t>
      </w:r>
      <w:r>
        <w:t>einstellenden</w:t>
      </w:r>
      <w:r>
        <w:rPr>
          <w:spacing w:val="-7"/>
        </w:rPr>
        <w:t xml:space="preserve"> </w:t>
      </w:r>
      <w:r>
        <w:t>Referat</w:t>
      </w:r>
      <w:r>
        <w:rPr>
          <w:spacing w:val="-8"/>
        </w:rPr>
        <w:t xml:space="preserve"> </w:t>
      </w:r>
      <w:r>
        <w:t>über</w:t>
      </w:r>
      <w:r>
        <w:rPr>
          <w:spacing w:val="-7"/>
        </w:rPr>
        <w:t xml:space="preserve"> </w:t>
      </w:r>
      <w:r>
        <w:t>den</w:t>
      </w:r>
      <w:r>
        <w:rPr>
          <w:spacing w:val="-8"/>
        </w:rPr>
        <w:t xml:space="preserve"> </w:t>
      </w:r>
      <w:r>
        <w:t>Stand</w:t>
      </w:r>
      <w:r>
        <w:rPr>
          <w:spacing w:val="-8"/>
        </w:rPr>
        <w:t xml:space="preserve"> </w:t>
      </w:r>
      <w:r>
        <w:t>Ihrer</w:t>
      </w:r>
      <w:r>
        <w:rPr>
          <w:spacing w:val="-8"/>
        </w:rPr>
        <w:t xml:space="preserve"> </w:t>
      </w:r>
      <w:r>
        <w:t>Bewerbung</w:t>
      </w:r>
      <w:r>
        <w:rPr>
          <w:spacing w:val="-8"/>
        </w:rPr>
        <w:t xml:space="preserve"> </w:t>
      </w:r>
      <w:r>
        <w:rPr>
          <w:spacing w:val="-2"/>
        </w:rPr>
        <w:t>unterrichtet.</w:t>
      </w:r>
    </w:p>
    <w:p w:rsidR="00F332FD" w:rsidRDefault="00560835">
      <w:pPr>
        <w:pStyle w:val="ListParagraph"/>
        <w:numPr>
          <w:ilvl w:val="0"/>
          <w:numId w:val="3"/>
        </w:numPr>
        <w:tabs>
          <w:tab w:val="left" w:pos="797"/>
        </w:tabs>
        <w:spacing w:before="2"/>
        <w:ind w:hanging="427"/>
        <w:jc w:val="both"/>
        <w:rPr>
          <w:b/>
          <w:sz w:val="24"/>
        </w:rPr>
      </w:pPr>
      <w:r>
        <w:rPr>
          <w:b/>
          <w:sz w:val="24"/>
          <w:u w:val="single"/>
        </w:rPr>
        <w:t>Bedingungen</w:t>
      </w:r>
      <w:r>
        <w:rPr>
          <w:b/>
          <w:spacing w:val="-4"/>
          <w:sz w:val="24"/>
          <w:u w:val="single"/>
        </w:rPr>
        <w:t xml:space="preserve"> </w:t>
      </w:r>
      <w:r>
        <w:rPr>
          <w:b/>
          <w:sz w:val="24"/>
          <w:u w:val="single"/>
        </w:rPr>
        <w:t>für</w:t>
      </w:r>
      <w:r>
        <w:rPr>
          <w:b/>
          <w:spacing w:val="-3"/>
          <w:sz w:val="24"/>
          <w:u w:val="single"/>
        </w:rPr>
        <w:t xml:space="preserve"> </w:t>
      </w:r>
      <w:r>
        <w:rPr>
          <w:b/>
          <w:sz w:val="24"/>
          <w:u w:val="single"/>
        </w:rPr>
        <w:t>die</w:t>
      </w:r>
      <w:r>
        <w:rPr>
          <w:b/>
          <w:spacing w:val="-3"/>
          <w:sz w:val="24"/>
          <w:u w:val="single"/>
        </w:rPr>
        <w:t xml:space="preserve"> </w:t>
      </w:r>
      <w:r>
        <w:rPr>
          <w:b/>
          <w:spacing w:val="-2"/>
          <w:sz w:val="24"/>
          <w:u w:val="single"/>
        </w:rPr>
        <w:t>Abordnung</w:t>
      </w:r>
    </w:p>
    <w:p w:rsidR="00F332FD" w:rsidRDefault="00F332FD">
      <w:pPr>
        <w:pStyle w:val="BodyText"/>
        <w:spacing w:before="11"/>
        <w:rPr>
          <w:b/>
          <w:sz w:val="15"/>
        </w:rPr>
      </w:pPr>
    </w:p>
    <w:p w:rsidR="00F332FD" w:rsidRDefault="00560835">
      <w:pPr>
        <w:pStyle w:val="BodyText"/>
        <w:spacing w:before="90"/>
        <w:ind w:left="796" w:right="281"/>
        <w:jc w:val="both"/>
      </w:pPr>
      <w:r>
        <w:t xml:space="preserve">Abordnungen fallen unter den </w:t>
      </w:r>
      <w:r>
        <w:rPr>
          <w:b/>
        </w:rPr>
        <w:t xml:space="preserve">Beschluss </w:t>
      </w:r>
      <w:proofErr w:type="gramStart"/>
      <w:r>
        <w:rPr>
          <w:b/>
        </w:rPr>
        <w:t>C(</w:t>
      </w:r>
      <w:proofErr w:type="gramEnd"/>
      <w:r>
        <w:rPr>
          <w:b/>
        </w:rPr>
        <w:t xml:space="preserve">2008) 6866 der Kommission vom 12.11.2008 über die </w:t>
      </w:r>
      <w:r>
        <w:t xml:space="preserve">Regelung für zur Kommission abgeordnete oder sich zu Zwecken der beruflichen Weiterbildung bei der Kommission aufhaltende nationale Sachverständige (ANS-Beschluss). Dieser Beschluss ist abrufbar unter </w:t>
      </w:r>
      <w:hyperlink r:id="rId12">
        <w:r>
          <w:rPr>
            <w:color w:val="0000FF"/>
            <w:spacing w:val="-2"/>
            <w:u w:val="single" w:color="0000FF"/>
          </w:rPr>
          <w:t>http://ec.europa.eu/civil_service/job/sne/index_en.htm</w:t>
        </w:r>
        <w:r>
          <w:rPr>
            <w:spacing w:val="-2"/>
          </w:rPr>
          <w:t>.</w:t>
        </w:r>
      </w:hyperlink>
    </w:p>
    <w:p w:rsidR="00F332FD" w:rsidRDefault="00560835">
      <w:pPr>
        <w:pStyle w:val="BodyText"/>
        <w:ind w:left="796" w:right="284"/>
        <w:jc w:val="both"/>
      </w:pPr>
      <w:r>
        <w:t>Die ANS bleiben während der Dauer der Abordnung bei ihrem Arbeitgeber angestellt und erhalten ihre Bezüge von diesem. Zudem bleiben sie während der Abordnung ihrem nationalen</w:t>
      </w:r>
      <w:r>
        <w:rPr>
          <w:spacing w:val="40"/>
        </w:rPr>
        <w:t xml:space="preserve"> </w:t>
      </w:r>
      <w:r>
        <w:t>Sozialversicherungssystem angeschlossen.</w:t>
      </w:r>
    </w:p>
    <w:p w:rsidR="00F332FD" w:rsidRDefault="00560835">
      <w:pPr>
        <w:pStyle w:val="BodyText"/>
        <w:spacing w:before="1"/>
        <w:ind w:left="796" w:right="285"/>
        <w:jc w:val="both"/>
      </w:pPr>
      <w:r>
        <w:t>Mit Ausnahme der unentgeltlich abgeordneten Sachverständigen können den ANS, die die Bedingungen nach Artikel 17 des ANS-Beschlusses erfüllen, Tagegelder gezahlt werden.</w:t>
      </w:r>
    </w:p>
    <w:p w:rsidR="00F332FD" w:rsidRDefault="00F332FD">
      <w:pPr>
        <w:pStyle w:val="BodyText"/>
        <w:spacing w:before="11"/>
        <w:rPr>
          <w:sz w:val="21"/>
        </w:rPr>
      </w:pPr>
    </w:p>
    <w:p w:rsidR="00F332FD" w:rsidRDefault="00560835">
      <w:pPr>
        <w:pStyle w:val="BodyText"/>
        <w:ind w:left="796" w:right="282"/>
        <w:jc w:val="both"/>
      </w:pPr>
      <w:r>
        <w:t xml:space="preserve">Während der Abordnung unterliegen die ANS den in den Artikeln 6 und 7 des ANS-Beschlusses vorgesehenen Verpflichtungen zur Vertraulichkeit, zur Loyalität und zum Ausschluss von </w:t>
      </w:r>
      <w:r>
        <w:rPr>
          <w:spacing w:val="-2"/>
        </w:rPr>
        <w:t>Interessenkonflikten.</w:t>
      </w:r>
    </w:p>
    <w:p w:rsidR="00F332FD" w:rsidRDefault="00560835">
      <w:pPr>
        <w:pStyle w:val="BodyText"/>
        <w:spacing w:before="1"/>
        <w:ind w:left="796"/>
        <w:jc w:val="both"/>
      </w:pPr>
      <w:r>
        <w:t>Bei</w:t>
      </w:r>
      <w:r>
        <w:rPr>
          <w:spacing w:val="-10"/>
        </w:rPr>
        <w:t xml:space="preserve"> </w:t>
      </w:r>
      <w:r>
        <w:t>unvollständigen</w:t>
      </w:r>
      <w:r>
        <w:rPr>
          <w:spacing w:val="-10"/>
        </w:rPr>
        <w:t xml:space="preserve"> </w:t>
      </w:r>
      <w:r>
        <w:t>oder</w:t>
      </w:r>
      <w:r>
        <w:rPr>
          <w:spacing w:val="-9"/>
        </w:rPr>
        <w:t xml:space="preserve"> </w:t>
      </w:r>
      <w:r>
        <w:t>falschen</w:t>
      </w:r>
      <w:r>
        <w:rPr>
          <w:spacing w:val="-10"/>
        </w:rPr>
        <w:t xml:space="preserve"> </w:t>
      </w:r>
      <w:r>
        <w:t>Angaben</w:t>
      </w:r>
      <w:r>
        <w:rPr>
          <w:spacing w:val="-9"/>
        </w:rPr>
        <w:t xml:space="preserve"> </w:t>
      </w:r>
      <w:r>
        <w:t>kann</w:t>
      </w:r>
      <w:r>
        <w:rPr>
          <w:spacing w:val="-10"/>
        </w:rPr>
        <w:t xml:space="preserve"> </w:t>
      </w:r>
      <w:r>
        <w:t>die</w:t>
      </w:r>
      <w:r>
        <w:rPr>
          <w:spacing w:val="-11"/>
        </w:rPr>
        <w:t xml:space="preserve"> </w:t>
      </w:r>
      <w:r>
        <w:t>Bewerbung</w:t>
      </w:r>
      <w:r>
        <w:rPr>
          <w:spacing w:val="-9"/>
        </w:rPr>
        <w:t xml:space="preserve"> </w:t>
      </w:r>
      <w:r>
        <w:t>abgelehnt</w:t>
      </w:r>
      <w:r>
        <w:rPr>
          <w:spacing w:val="-9"/>
        </w:rPr>
        <w:t xml:space="preserve"> </w:t>
      </w:r>
      <w:r>
        <w:rPr>
          <w:spacing w:val="-2"/>
        </w:rPr>
        <w:t>werden.</w:t>
      </w:r>
    </w:p>
    <w:p w:rsidR="00F332FD" w:rsidRDefault="00F332FD">
      <w:pPr>
        <w:pStyle w:val="BodyText"/>
        <w:spacing w:before="10"/>
        <w:rPr>
          <w:sz w:val="21"/>
        </w:rPr>
      </w:pPr>
    </w:p>
    <w:p w:rsidR="00F332FD" w:rsidRDefault="00560835">
      <w:pPr>
        <w:pStyle w:val="BodyText"/>
        <w:ind w:left="796" w:right="285"/>
        <w:jc w:val="both"/>
      </w:pPr>
      <w:r>
        <w:t xml:space="preserve">Bedienstete, die in eine </w:t>
      </w:r>
      <w:r>
        <w:rPr>
          <w:b/>
        </w:rPr>
        <w:t xml:space="preserve">Delegation der Europäischen Union </w:t>
      </w:r>
      <w:r>
        <w:t xml:space="preserve">entsandt werden, benötigen eine Sicherheitsüberprüfung (bis zum Geheimhaltungsgrad SECRET UE/EU SECRET gemäß dem Beschluss (EU, </w:t>
      </w:r>
      <w:proofErr w:type="spellStart"/>
      <w:r>
        <w:t>Euratom</w:t>
      </w:r>
      <w:proofErr w:type="spellEnd"/>
      <w:r>
        <w:t>) 2015/444 der Kommission vom 13. März 2015 (</w:t>
      </w:r>
      <w:proofErr w:type="spellStart"/>
      <w:r>
        <w:t>ABl.</w:t>
      </w:r>
      <w:proofErr w:type="spellEnd"/>
      <w:r>
        <w:t xml:space="preserve"> L 72 vom 17.3.2015, S. 53)).</w:t>
      </w:r>
    </w:p>
    <w:p w:rsidR="00F332FD" w:rsidRDefault="00560835">
      <w:pPr>
        <w:pStyle w:val="BodyText"/>
        <w:spacing w:before="1"/>
        <w:ind w:left="796" w:right="108"/>
        <w:jc w:val="both"/>
      </w:pPr>
      <w:r>
        <w:t>Der ausgewählte Bewerber ist verpflichtet, das Überprüfungsverfahren einzuleiten, bevor die Abordnung bestätigt wird.</w:t>
      </w:r>
    </w:p>
    <w:p w:rsidR="00F332FD" w:rsidRDefault="00F332FD">
      <w:pPr>
        <w:pStyle w:val="BodyText"/>
        <w:spacing w:before="2"/>
        <w:rPr>
          <w:sz w:val="24"/>
        </w:rPr>
      </w:pPr>
    </w:p>
    <w:p w:rsidR="00F332FD" w:rsidRDefault="00560835">
      <w:pPr>
        <w:pStyle w:val="ListParagraph"/>
        <w:numPr>
          <w:ilvl w:val="0"/>
          <w:numId w:val="3"/>
        </w:numPr>
        <w:tabs>
          <w:tab w:val="left" w:pos="796"/>
          <w:tab w:val="left" w:pos="797"/>
        </w:tabs>
        <w:ind w:hanging="427"/>
        <w:rPr>
          <w:b/>
          <w:sz w:val="24"/>
        </w:rPr>
      </w:pPr>
      <w:r>
        <w:rPr>
          <w:b/>
          <w:sz w:val="24"/>
          <w:u w:val="single"/>
        </w:rPr>
        <w:t>Verarbeitung</w:t>
      </w:r>
      <w:r>
        <w:rPr>
          <w:b/>
          <w:spacing w:val="-6"/>
          <w:sz w:val="24"/>
          <w:u w:val="single"/>
        </w:rPr>
        <w:t xml:space="preserve"> </w:t>
      </w:r>
      <w:r>
        <w:rPr>
          <w:b/>
          <w:sz w:val="24"/>
          <w:u w:val="single"/>
        </w:rPr>
        <w:t>personenbezogener</w:t>
      </w:r>
      <w:r>
        <w:rPr>
          <w:b/>
          <w:spacing w:val="-5"/>
          <w:sz w:val="24"/>
          <w:u w:val="single"/>
        </w:rPr>
        <w:t xml:space="preserve"> </w:t>
      </w:r>
      <w:r>
        <w:rPr>
          <w:b/>
          <w:spacing w:val="-4"/>
          <w:sz w:val="24"/>
          <w:u w:val="single"/>
        </w:rPr>
        <w:t>Daten</w:t>
      </w:r>
    </w:p>
    <w:p w:rsidR="00F332FD" w:rsidRDefault="00F332FD">
      <w:pPr>
        <w:pStyle w:val="BodyText"/>
        <w:spacing w:before="10"/>
        <w:rPr>
          <w:b/>
          <w:sz w:val="15"/>
        </w:rPr>
      </w:pPr>
    </w:p>
    <w:p w:rsidR="00F332FD" w:rsidRDefault="00560835">
      <w:pPr>
        <w:pStyle w:val="BodyText"/>
        <w:spacing w:before="91"/>
        <w:ind w:left="796" w:right="283"/>
        <w:jc w:val="both"/>
      </w:pPr>
      <w:r>
        <w:t>Für das Auslesen, die Abordnung und die Beendigung der Abordnung eines nationalen Sachverständigen müssen die Kommission (die zuständigen Dienststellen der GD HR, die GD BUDG, das PMO und die betreffende GD) personenbezogene Daten der zu entsendenden Person unter der Verantwortung des Referatsleiters der GD HR.DDG.B4 verarbeiten. Die Datenverarbeitung unterliegt dem ANS-Beschluss sowie der Verordnung (EU) 2018/1725.</w:t>
      </w:r>
    </w:p>
    <w:p w:rsidR="00F332FD" w:rsidRDefault="00560835">
      <w:pPr>
        <w:pStyle w:val="BodyText"/>
        <w:ind w:left="796" w:right="283"/>
        <w:jc w:val="both"/>
      </w:pPr>
      <w:r>
        <w:t>Die Daten werden von den zuständigen Dienststellen nach der Abordnung zehn Jahre lang aufbewahrt (2 Jahre bei nicht ausgewählten oder nicht abgeordneten Sachverständigen).</w:t>
      </w:r>
    </w:p>
    <w:p w:rsidR="00F332FD" w:rsidRDefault="00560835">
      <w:pPr>
        <w:pStyle w:val="BodyText"/>
        <w:ind w:left="796" w:right="282"/>
        <w:jc w:val="both"/>
      </w:pPr>
      <w:r>
        <w:t>Als „betroffene Person“ gemäß Kapitel III (Artikel 14–25) der Verordnung (EU) 2018/1725 genießen Sie besondere Rechte, insbesondere das Recht auf Einsicht, Berichtigung oder Löschung Ihrer personenbezogenen Daten, sowie das Recht, die Verarbeitung Ihrer personenbezogenen Daten zu beschränken. Gegebenenfalls haben Sie auch das Recht auf Widerspruch gegen die Verarbeitung oder das Recht auf Datenübertragbarkeit.</w:t>
      </w:r>
    </w:p>
    <w:p w:rsidR="00F332FD" w:rsidRDefault="00F332FD">
      <w:pPr>
        <w:jc w:val="both"/>
        <w:sectPr w:rsidR="00F332FD">
          <w:pgSz w:w="11910" w:h="16840"/>
          <w:pgMar w:top="1040" w:right="740" w:bottom="880" w:left="480" w:header="0" w:footer="690" w:gutter="0"/>
          <w:cols w:space="720"/>
        </w:sectPr>
      </w:pPr>
    </w:p>
    <w:p w:rsidR="00F332FD" w:rsidRDefault="00560835">
      <w:pPr>
        <w:pStyle w:val="BodyText"/>
        <w:spacing w:before="74"/>
        <w:ind w:left="796" w:right="283"/>
        <w:jc w:val="both"/>
      </w:pPr>
      <w:r>
        <w:lastRenderedPageBreak/>
        <w:t>Zur Wahrnehmung Ihrer Rechte können Sie sich an den Datenverantwortlichen bzw. im Konfliktfall an den Datenschutzbeauftragten Erforderlichenfalls können Sie sich auch an den Europäischen Datenschutzbeauftragten wenden. Ihre Kontaktdaten sind nachstehend aufgeführt.</w:t>
      </w:r>
    </w:p>
    <w:p w:rsidR="00F332FD" w:rsidRDefault="00F332FD">
      <w:pPr>
        <w:pStyle w:val="BodyText"/>
        <w:spacing w:before="1"/>
      </w:pPr>
    </w:p>
    <w:p w:rsidR="00F332FD" w:rsidRDefault="00560835">
      <w:pPr>
        <w:pStyle w:val="Heading1"/>
      </w:pPr>
      <w:r>
        <w:rPr>
          <w:spacing w:val="-2"/>
          <w:u w:val="single"/>
        </w:rPr>
        <w:t>Kontaktdaten</w:t>
      </w:r>
    </w:p>
    <w:p w:rsidR="00F332FD" w:rsidRDefault="00F332FD">
      <w:pPr>
        <w:pStyle w:val="BodyText"/>
        <w:rPr>
          <w:b/>
        </w:rPr>
      </w:pPr>
    </w:p>
    <w:p w:rsidR="00F332FD" w:rsidRDefault="00560835">
      <w:pPr>
        <w:pStyle w:val="ListParagraph"/>
        <w:numPr>
          <w:ilvl w:val="0"/>
          <w:numId w:val="1"/>
        </w:numPr>
        <w:tabs>
          <w:tab w:val="left" w:pos="1079"/>
        </w:tabs>
        <w:rPr>
          <w:b/>
        </w:rPr>
      </w:pPr>
      <w:r>
        <w:rPr>
          <w:b/>
          <w:spacing w:val="-2"/>
        </w:rPr>
        <w:t>Datenverantwortlicher</w:t>
      </w:r>
    </w:p>
    <w:p w:rsidR="00F332FD" w:rsidRDefault="00844DC9">
      <w:pPr>
        <w:pStyle w:val="BodyText"/>
        <w:spacing w:before="36"/>
        <w:ind w:left="1080" w:right="283"/>
        <w:jc w:val="both"/>
      </w:pPr>
      <w:r>
        <w:pict>
          <v:rect id="docshape4" o:spid="_x0000_s1026" style="position:absolute;left:0;text-align:left;margin-left:138.2pt;margin-top:51.25pt;width:2.75pt;height:.55pt;z-index:15729664;mso-position-horizontal-relative:page" fillcolor="blue" stroked="f">
            <w10:wrap anchorx="page"/>
          </v:rect>
        </w:pict>
      </w:r>
      <w:r w:rsidR="00560835">
        <w:t>Wenn Sie Ihre Rechte gemäß der Verordnung (EU) 2018/1725 ausüben, Kommentare, Fragen oder Bedenken mitteilen oder eine Beschwerde bezüglich der Erhebung und Verwendung Ihrer personenbezogenen Daten vorbringen möchten, wenden Sie sich bitte an den Datenverantwortlichen HR.DDG.B.4</w:t>
      </w:r>
      <w:hyperlink r:id="rId13">
        <w:r w:rsidR="00560835">
          <w:rPr>
            <w:color w:val="0000FF"/>
          </w:rPr>
          <w:t>,</w:t>
        </w:r>
      </w:hyperlink>
      <w:r w:rsidR="00560835">
        <w:rPr>
          <w:color w:val="0000FF"/>
        </w:rPr>
        <w:t xml:space="preserve"> </w:t>
      </w:r>
      <w:hyperlink r:id="rId14">
        <w:r w:rsidR="00560835">
          <w:t>HR-MAIL-B4@ec.europa.eu.</w:t>
        </w:r>
      </w:hyperlink>
    </w:p>
    <w:p w:rsidR="00F332FD" w:rsidRDefault="00F332FD">
      <w:pPr>
        <w:pStyle w:val="BodyText"/>
        <w:spacing w:before="2"/>
      </w:pPr>
    </w:p>
    <w:p w:rsidR="00F332FD" w:rsidRDefault="00560835">
      <w:pPr>
        <w:pStyle w:val="Heading1"/>
        <w:numPr>
          <w:ilvl w:val="0"/>
          <w:numId w:val="1"/>
        </w:numPr>
        <w:tabs>
          <w:tab w:val="left" w:pos="1079"/>
        </w:tabs>
        <w:ind w:hanging="284"/>
        <w:jc w:val="both"/>
      </w:pPr>
      <w:r>
        <w:t>Der</w:t>
      </w:r>
      <w:r>
        <w:rPr>
          <w:spacing w:val="-12"/>
        </w:rPr>
        <w:t xml:space="preserve"> </w:t>
      </w:r>
      <w:r>
        <w:t>Datenschutzbeauftragte</w:t>
      </w:r>
      <w:r>
        <w:rPr>
          <w:spacing w:val="-12"/>
        </w:rPr>
        <w:t xml:space="preserve"> </w:t>
      </w:r>
      <w:r>
        <w:t>(DSB)</w:t>
      </w:r>
      <w:r>
        <w:rPr>
          <w:spacing w:val="-12"/>
        </w:rPr>
        <w:t xml:space="preserve"> </w:t>
      </w:r>
      <w:r>
        <w:t>der</w:t>
      </w:r>
      <w:r>
        <w:rPr>
          <w:spacing w:val="-11"/>
        </w:rPr>
        <w:t xml:space="preserve"> </w:t>
      </w:r>
      <w:r>
        <w:rPr>
          <w:spacing w:val="-2"/>
        </w:rPr>
        <w:t>Kommission</w:t>
      </w:r>
    </w:p>
    <w:p w:rsidR="00F332FD" w:rsidRDefault="00560835">
      <w:pPr>
        <w:pStyle w:val="BodyText"/>
        <w:spacing w:before="37"/>
        <w:ind w:left="1080" w:right="285"/>
        <w:jc w:val="both"/>
      </w:pPr>
      <w:r>
        <w:t>Für Fragen im Zusammenhang mit der Verarbeitung Ihrer personenbezogenen Daten gemäß der Verordnung (EU</w:t>
      </w:r>
      <w:r>
        <w:rPr>
          <w:u w:val="single"/>
        </w:rPr>
        <w:t xml:space="preserve">) </w:t>
      </w:r>
      <w:r>
        <w:t>2018/1725 können Sie sich an den Datenschutzbeauftragten (</w:t>
      </w:r>
      <w:hyperlink r:id="rId15">
        <w:r>
          <w:rPr>
            <w:color w:val="0000FF"/>
            <w:u w:val="single" w:color="0000FF"/>
          </w:rPr>
          <w:t>DATA-PROTECTION-</w:t>
        </w:r>
      </w:hyperlink>
      <w:r>
        <w:rPr>
          <w:color w:val="0000FF"/>
        </w:rPr>
        <w:t xml:space="preserve"> </w:t>
      </w:r>
      <w:hyperlink r:id="rId16">
        <w:r>
          <w:rPr>
            <w:color w:val="0000FF"/>
            <w:u w:val="single" w:color="0000FF"/>
          </w:rPr>
          <w:t>OFFICER@ec.europa.eu</w:t>
        </w:r>
      </w:hyperlink>
      <w:r>
        <w:t>) wenden.</w:t>
      </w:r>
    </w:p>
    <w:p w:rsidR="00F332FD" w:rsidRDefault="00F332FD">
      <w:pPr>
        <w:pStyle w:val="BodyText"/>
      </w:pPr>
    </w:p>
    <w:p w:rsidR="00F332FD" w:rsidRDefault="00560835">
      <w:pPr>
        <w:pStyle w:val="Heading1"/>
        <w:numPr>
          <w:ilvl w:val="0"/>
          <w:numId w:val="1"/>
        </w:numPr>
        <w:tabs>
          <w:tab w:val="left" w:pos="1079"/>
        </w:tabs>
        <w:ind w:hanging="284"/>
        <w:jc w:val="both"/>
      </w:pPr>
      <w:r>
        <w:rPr>
          <w:spacing w:val="-2"/>
        </w:rPr>
        <w:t>Europäischer</w:t>
      </w:r>
      <w:r>
        <w:rPr>
          <w:spacing w:val="6"/>
        </w:rPr>
        <w:t xml:space="preserve"> </w:t>
      </w:r>
      <w:r>
        <w:rPr>
          <w:spacing w:val="-2"/>
        </w:rPr>
        <w:t>Datenschutzbeauftragter</w:t>
      </w:r>
    </w:p>
    <w:p w:rsidR="00F332FD" w:rsidRDefault="00560835">
      <w:pPr>
        <w:pStyle w:val="BodyText"/>
        <w:spacing w:before="38"/>
        <w:ind w:left="1080" w:right="284"/>
        <w:jc w:val="both"/>
      </w:pPr>
      <w:r>
        <w:t>Wenn Sie der Auffassung sind, dass Ihre Rechte gemäß der Verordnung (EU)</w:t>
      </w:r>
      <w:r>
        <w:rPr>
          <w:u w:val="single"/>
        </w:rPr>
        <w:t xml:space="preserve"> 2018/1725 bei der</w:t>
      </w:r>
      <w:r>
        <w:t xml:space="preserve"> </w:t>
      </w:r>
      <w:r>
        <w:rPr>
          <w:u w:val="single"/>
        </w:rPr>
        <w:t>Verarbeitung Ihrer personenbezogenen Daten durch den Datenverantwortlichen nicht gewahrt wurden,</w:t>
      </w:r>
      <w:r>
        <w:t xml:space="preserve"> </w:t>
      </w:r>
      <w:r>
        <w:rPr>
          <w:u w:val="single"/>
        </w:rPr>
        <w:t>können Sie beim Europäischen Datenschutzbeauftragten (</w:t>
      </w:r>
      <w:hyperlink r:id="rId17">
        <w:r>
          <w:rPr>
            <w:color w:val="0000FF"/>
            <w:u w:val="single" w:color="000000"/>
          </w:rPr>
          <w:t>edps@edps.europa.eu</w:t>
        </w:r>
      </w:hyperlink>
      <w:r>
        <w:t>) Beschwerde einlegen.</w:t>
      </w:r>
    </w:p>
    <w:p w:rsidR="00F332FD" w:rsidRDefault="00560835">
      <w:pPr>
        <w:pStyle w:val="BodyText"/>
        <w:ind w:left="1079" w:right="110"/>
        <w:jc w:val="both"/>
      </w:pPr>
      <w:r>
        <w:t>Hinweis für Bewerberinnen und Bewerber aus Drittländern: die Angaben zur Person können bei Bedarf überprüft werden.</w:t>
      </w:r>
    </w:p>
    <w:sectPr w:rsidR="00F332FD">
      <w:pgSz w:w="11910" w:h="16840"/>
      <w:pgMar w:top="1040" w:right="740" w:bottom="880" w:left="48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96F" w:rsidRDefault="00560835">
      <w:r>
        <w:separator/>
      </w:r>
    </w:p>
  </w:endnote>
  <w:endnote w:type="continuationSeparator" w:id="0">
    <w:p w:rsidR="00FA296F" w:rsidRDefault="00560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altName w:val="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2FD" w:rsidRDefault="00844DC9">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7pt;margin-top:796.45pt;width:56.1pt;height:10.85pt;z-index:-251658752;mso-position-horizontal-relative:page;mso-position-vertical-relative:page" filled="f" stroked="f">
          <v:textbox inset="0,0,0,0">
            <w:txbxContent>
              <w:p w:rsidR="00F332FD" w:rsidRDefault="00560835">
                <w:pPr>
                  <w:spacing w:before="13"/>
                  <w:ind w:left="20"/>
                  <w:rPr>
                    <w:sz w:val="16"/>
                  </w:rPr>
                </w:pPr>
                <w:r>
                  <w:rPr>
                    <w:spacing w:val="-2"/>
                    <w:sz w:val="16"/>
                  </w:rPr>
                  <w:t>Version</w:t>
                </w:r>
                <w:r>
                  <w:rPr>
                    <w:spacing w:val="8"/>
                    <w:sz w:val="16"/>
                  </w:rPr>
                  <w:t xml:space="preserve"> </w:t>
                </w:r>
                <w:r>
                  <w:rPr>
                    <w:spacing w:val="-2"/>
                    <w:sz w:val="16"/>
                  </w:rPr>
                  <w:t>09-</w:t>
                </w:r>
                <w:r>
                  <w:rPr>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96F" w:rsidRDefault="00560835">
      <w:r>
        <w:separator/>
      </w:r>
    </w:p>
  </w:footnote>
  <w:footnote w:type="continuationSeparator" w:id="0">
    <w:p w:rsidR="00FA296F" w:rsidRDefault="005608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E474A"/>
    <w:multiLevelType w:val="hybridMultilevel"/>
    <w:tmpl w:val="250C8CB0"/>
    <w:lvl w:ilvl="0" w:tplc="9F9E2124">
      <w:numFmt w:val="bullet"/>
      <w:lvlText w:val=""/>
      <w:lvlJc w:val="left"/>
      <w:pPr>
        <w:ind w:left="322" w:hanging="215"/>
      </w:pPr>
      <w:rPr>
        <w:rFonts w:ascii="Wingdings 2" w:eastAsia="Wingdings 2" w:hAnsi="Wingdings 2" w:cs="Wingdings 2" w:hint="default"/>
        <w:b/>
        <w:bCs/>
        <w:i w:val="0"/>
        <w:iCs w:val="0"/>
        <w:w w:val="99"/>
        <w:sz w:val="22"/>
        <w:szCs w:val="22"/>
        <w:lang w:val="de-DE" w:eastAsia="en-US" w:bidi="ar-SA"/>
      </w:rPr>
    </w:lvl>
    <w:lvl w:ilvl="1" w:tplc="AD10E592">
      <w:numFmt w:val="bullet"/>
      <w:lvlText w:val=""/>
      <w:lvlJc w:val="left"/>
      <w:pPr>
        <w:ind w:left="1066" w:hanging="251"/>
      </w:pPr>
      <w:rPr>
        <w:rFonts w:ascii="Wingdings 2" w:eastAsia="Wingdings 2" w:hAnsi="Wingdings 2" w:cs="Wingdings 2" w:hint="default"/>
        <w:b w:val="0"/>
        <w:bCs w:val="0"/>
        <w:i w:val="0"/>
        <w:iCs w:val="0"/>
        <w:w w:val="99"/>
        <w:sz w:val="22"/>
        <w:szCs w:val="22"/>
        <w:lang w:val="de-DE" w:eastAsia="en-US" w:bidi="ar-SA"/>
      </w:rPr>
    </w:lvl>
    <w:lvl w:ilvl="2" w:tplc="9DE87CAA">
      <w:numFmt w:val="bullet"/>
      <w:lvlText w:val="•"/>
      <w:lvlJc w:val="left"/>
      <w:pPr>
        <w:ind w:left="2047" w:hanging="251"/>
      </w:pPr>
      <w:rPr>
        <w:rFonts w:hint="default"/>
        <w:lang w:val="de-DE" w:eastAsia="en-US" w:bidi="ar-SA"/>
      </w:rPr>
    </w:lvl>
    <w:lvl w:ilvl="3" w:tplc="1E481042">
      <w:numFmt w:val="bullet"/>
      <w:lvlText w:val="•"/>
      <w:lvlJc w:val="left"/>
      <w:pPr>
        <w:ind w:left="3034" w:hanging="251"/>
      </w:pPr>
      <w:rPr>
        <w:rFonts w:hint="default"/>
        <w:lang w:val="de-DE" w:eastAsia="en-US" w:bidi="ar-SA"/>
      </w:rPr>
    </w:lvl>
    <w:lvl w:ilvl="4" w:tplc="20165792">
      <w:numFmt w:val="bullet"/>
      <w:lvlText w:val="•"/>
      <w:lvlJc w:val="left"/>
      <w:pPr>
        <w:ind w:left="4022" w:hanging="251"/>
      </w:pPr>
      <w:rPr>
        <w:rFonts w:hint="default"/>
        <w:lang w:val="de-DE" w:eastAsia="en-US" w:bidi="ar-SA"/>
      </w:rPr>
    </w:lvl>
    <w:lvl w:ilvl="5" w:tplc="D6E6D310">
      <w:numFmt w:val="bullet"/>
      <w:lvlText w:val="•"/>
      <w:lvlJc w:val="left"/>
      <w:pPr>
        <w:ind w:left="5009" w:hanging="251"/>
      </w:pPr>
      <w:rPr>
        <w:rFonts w:hint="default"/>
        <w:lang w:val="de-DE" w:eastAsia="en-US" w:bidi="ar-SA"/>
      </w:rPr>
    </w:lvl>
    <w:lvl w:ilvl="6" w:tplc="979499BC">
      <w:numFmt w:val="bullet"/>
      <w:lvlText w:val="•"/>
      <w:lvlJc w:val="left"/>
      <w:pPr>
        <w:ind w:left="5997" w:hanging="251"/>
      </w:pPr>
      <w:rPr>
        <w:rFonts w:hint="default"/>
        <w:lang w:val="de-DE" w:eastAsia="en-US" w:bidi="ar-SA"/>
      </w:rPr>
    </w:lvl>
    <w:lvl w:ilvl="7" w:tplc="5408080C">
      <w:numFmt w:val="bullet"/>
      <w:lvlText w:val="•"/>
      <w:lvlJc w:val="left"/>
      <w:pPr>
        <w:ind w:left="6984" w:hanging="251"/>
      </w:pPr>
      <w:rPr>
        <w:rFonts w:hint="default"/>
        <w:lang w:val="de-DE" w:eastAsia="en-US" w:bidi="ar-SA"/>
      </w:rPr>
    </w:lvl>
    <w:lvl w:ilvl="8" w:tplc="2DD25826">
      <w:numFmt w:val="bullet"/>
      <w:lvlText w:val="•"/>
      <w:lvlJc w:val="left"/>
      <w:pPr>
        <w:ind w:left="7972" w:hanging="251"/>
      </w:pPr>
      <w:rPr>
        <w:rFonts w:hint="default"/>
        <w:lang w:val="de-DE" w:eastAsia="en-US" w:bidi="ar-SA"/>
      </w:rPr>
    </w:lvl>
  </w:abstractNum>
  <w:abstractNum w:abstractNumId="1" w15:restartNumberingAfterBreak="0">
    <w:nsid w:val="16DE759C"/>
    <w:multiLevelType w:val="hybridMultilevel"/>
    <w:tmpl w:val="79B0DA7C"/>
    <w:lvl w:ilvl="0" w:tplc="3F565A82">
      <w:start w:val="1"/>
      <w:numFmt w:val="decimal"/>
      <w:lvlText w:val="%1."/>
      <w:lvlJc w:val="left"/>
      <w:pPr>
        <w:ind w:left="796" w:hanging="426"/>
        <w:jc w:val="left"/>
      </w:pPr>
      <w:rPr>
        <w:rFonts w:ascii="Times New Roman" w:eastAsia="Times New Roman" w:hAnsi="Times New Roman" w:cs="Times New Roman" w:hint="default"/>
        <w:b/>
        <w:bCs/>
        <w:i w:val="0"/>
        <w:iCs w:val="0"/>
        <w:w w:val="100"/>
        <w:sz w:val="24"/>
        <w:szCs w:val="24"/>
        <w:lang w:val="de-DE" w:eastAsia="en-US" w:bidi="ar-SA"/>
      </w:rPr>
    </w:lvl>
    <w:lvl w:ilvl="1" w:tplc="C23C254A">
      <w:numFmt w:val="bullet"/>
      <w:lvlText w:val="•"/>
      <w:lvlJc w:val="left"/>
      <w:pPr>
        <w:ind w:left="1080" w:hanging="284"/>
      </w:pPr>
      <w:rPr>
        <w:rFonts w:ascii="Times New Roman" w:eastAsia="Times New Roman" w:hAnsi="Times New Roman" w:cs="Times New Roman" w:hint="default"/>
        <w:b w:val="0"/>
        <w:bCs w:val="0"/>
        <w:i w:val="0"/>
        <w:iCs w:val="0"/>
        <w:w w:val="99"/>
        <w:sz w:val="22"/>
        <w:szCs w:val="22"/>
        <w:lang w:val="de-DE" w:eastAsia="en-US" w:bidi="ar-SA"/>
      </w:rPr>
    </w:lvl>
    <w:lvl w:ilvl="2" w:tplc="F0B0177E">
      <w:numFmt w:val="bullet"/>
      <w:lvlText w:val="•"/>
      <w:lvlJc w:val="left"/>
      <w:pPr>
        <w:ind w:left="2147" w:hanging="284"/>
      </w:pPr>
      <w:rPr>
        <w:rFonts w:hint="default"/>
        <w:lang w:val="de-DE" w:eastAsia="en-US" w:bidi="ar-SA"/>
      </w:rPr>
    </w:lvl>
    <w:lvl w:ilvl="3" w:tplc="BB70279A">
      <w:numFmt w:val="bullet"/>
      <w:lvlText w:val="•"/>
      <w:lvlJc w:val="left"/>
      <w:pPr>
        <w:ind w:left="3214" w:hanging="284"/>
      </w:pPr>
      <w:rPr>
        <w:rFonts w:hint="default"/>
        <w:lang w:val="de-DE" w:eastAsia="en-US" w:bidi="ar-SA"/>
      </w:rPr>
    </w:lvl>
    <w:lvl w:ilvl="4" w:tplc="AFF25D60">
      <w:numFmt w:val="bullet"/>
      <w:lvlText w:val="•"/>
      <w:lvlJc w:val="left"/>
      <w:pPr>
        <w:ind w:left="4282" w:hanging="284"/>
      </w:pPr>
      <w:rPr>
        <w:rFonts w:hint="default"/>
        <w:lang w:val="de-DE" w:eastAsia="en-US" w:bidi="ar-SA"/>
      </w:rPr>
    </w:lvl>
    <w:lvl w:ilvl="5" w:tplc="9D881834">
      <w:numFmt w:val="bullet"/>
      <w:lvlText w:val="•"/>
      <w:lvlJc w:val="left"/>
      <w:pPr>
        <w:ind w:left="5349" w:hanging="284"/>
      </w:pPr>
      <w:rPr>
        <w:rFonts w:hint="default"/>
        <w:lang w:val="de-DE" w:eastAsia="en-US" w:bidi="ar-SA"/>
      </w:rPr>
    </w:lvl>
    <w:lvl w:ilvl="6" w:tplc="EB769A84">
      <w:numFmt w:val="bullet"/>
      <w:lvlText w:val="•"/>
      <w:lvlJc w:val="left"/>
      <w:pPr>
        <w:ind w:left="6416" w:hanging="284"/>
      </w:pPr>
      <w:rPr>
        <w:rFonts w:hint="default"/>
        <w:lang w:val="de-DE" w:eastAsia="en-US" w:bidi="ar-SA"/>
      </w:rPr>
    </w:lvl>
    <w:lvl w:ilvl="7" w:tplc="621076E4">
      <w:numFmt w:val="bullet"/>
      <w:lvlText w:val="•"/>
      <w:lvlJc w:val="left"/>
      <w:pPr>
        <w:ind w:left="7484" w:hanging="284"/>
      </w:pPr>
      <w:rPr>
        <w:rFonts w:hint="default"/>
        <w:lang w:val="de-DE" w:eastAsia="en-US" w:bidi="ar-SA"/>
      </w:rPr>
    </w:lvl>
    <w:lvl w:ilvl="8" w:tplc="9B18959C">
      <w:numFmt w:val="bullet"/>
      <w:lvlText w:val="•"/>
      <w:lvlJc w:val="left"/>
      <w:pPr>
        <w:ind w:left="8551" w:hanging="284"/>
      </w:pPr>
      <w:rPr>
        <w:rFonts w:hint="default"/>
        <w:lang w:val="de-DE" w:eastAsia="en-US" w:bidi="ar-SA"/>
      </w:rPr>
    </w:lvl>
  </w:abstractNum>
  <w:abstractNum w:abstractNumId="2" w15:restartNumberingAfterBreak="0">
    <w:nsid w:val="699D0517"/>
    <w:multiLevelType w:val="hybridMultilevel"/>
    <w:tmpl w:val="E5EE6EB6"/>
    <w:lvl w:ilvl="0" w:tplc="96F8174A">
      <w:numFmt w:val="bullet"/>
      <w:lvlText w:val="-"/>
      <w:lvlJc w:val="left"/>
      <w:pPr>
        <w:ind w:left="1078" w:hanging="283"/>
      </w:pPr>
      <w:rPr>
        <w:rFonts w:ascii="Verdana" w:eastAsia="Verdana" w:hAnsi="Verdana" w:cs="Verdana" w:hint="default"/>
        <w:b w:val="0"/>
        <w:bCs w:val="0"/>
        <w:i w:val="0"/>
        <w:iCs w:val="0"/>
        <w:w w:val="99"/>
        <w:sz w:val="22"/>
        <w:szCs w:val="22"/>
        <w:lang w:val="de-DE" w:eastAsia="en-US" w:bidi="ar-SA"/>
      </w:rPr>
    </w:lvl>
    <w:lvl w:ilvl="1" w:tplc="E13ECD8A">
      <w:numFmt w:val="bullet"/>
      <w:lvlText w:val="•"/>
      <w:lvlJc w:val="left"/>
      <w:pPr>
        <w:ind w:left="2040" w:hanging="283"/>
      </w:pPr>
      <w:rPr>
        <w:rFonts w:hint="default"/>
        <w:lang w:val="de-DE" w:eastAsia="en-US" w:bidi="ar-SA"/>
      </w:rPr>
    </w:lvl>
    <w:lvl w:ilvl="2" w:tplc="9B0A7AB4">
      <w:numFmt w:val="bullet"/>
      <w:lvlText w:val="•"/>
      <w:lvlJc w:val="left"/>
      <w:pPr>
        <w:ind w:left="3001" w:hanging="283"/>
      </w:pPr>
      <w:rPr>
        <w:rFonts w:hint="default"/>
        <w:lang w:val="de-DE" w:eastAsia="en-US" w:bidi="ar-SA"/>
      </w:rPr>
    </w:lvl>
    <w:lvl w:ilvl="3" w:tplc="B04ABC02">
      <w:numFmt w:val="bullet"/>
      <w:lvlText w:val="•"/>
      <w:lvlJc w:val="left"/>
      <w:pPr>
        <w:ind w:left="3961" w:hanging="283"/>
      </w:pPr>
      <w:rPr>
        <w:rFonts w:hint="default"/>
        <w:lang w:val="de-DE" w:eastAsia="en-US" w:bidi="ar-SA"/>
      </w:rPr>
    </w:lvl>
    <w:lvl w:ilvl="4" w:tplc="0BB21474">
      <w:numFmt w:val="bullet"/>
      <w:lvlText w:val="•"/>
      <w:lvlJc w:val="left"/>
      <w:pPr>
        <w:ind w:left="4922" w:hanging="283"/>
      </w:pPr>
      <w:rPr>
        <w:rFonts w:hint="default"/>
        <w:lang w:val="de-DE" w:eastAsia="en-US" w:bidi="ar-SA"/>
      </w:rPr>
    </w:lvl>
    <w:lvl w:ilvl="5" w:tplc="15407D86">
      <w:numFmt w:val="bullet"/>
      <w:lvlText w:val="•"/>
      <w:lvlJc w:val="left"/>
      <w:pPr>
        <w:ind w:left="5883" w:hanging="283"/>
      </w:pPr>
      <w:rPr>
        <w:rFonts w:hint="default"/>
        <w:lang w:val="de-DE" w:eastAsia="en-US" w:bidi="ar-SA"/>
      </w:rPr>
    </w:lvl>
    <w:lvl w:ilvl="6" w:tplc="FB68471C">
      <w:numFmt w:val="bullet"/>
      <w:lvlText w:val="•"/>
      <w:lvlJc w:val="left"/>
      <w:pPr>
        <w:ind w:left="6843" w:hanging="283"/>
      </w:pPr>
      <w:rPr>
        <w:rFonts w:hint="default"/>
        <w:lang w:val="de-DE" w:eastAsia="en-US" w:bidi="ar-SA"/>
      </w:rPr>
    </w:lvl>
    <w:lvl w:ilvl="7" w:tplc="7DEAFE96">
      <w:numFmt w:val="bullet"/>
      <w:lvlText w:val="•"/>
      <w:lvlJc w:val="left"/>
      <w:pPr>
        <w:ind w:left="7804" w:hanging="283"/>
      </w:pPr>
      <w:rPr>
        <w:rFonts w:hint="default"/>
        <w:lang w:val="de-DE" w:eastAsia="en-US" w:bidi="ar-SA"/>
      </w:rPr>
    </w:lvl>
    <w:lvl w:ilvl="8" w:tplc="51BE6DC8">
      <w:numFmt w:val="bullet"/>
      <w:lvlText w:val="•"/>
      <w:lvlJc w:val="left"/>
      <w:pPr>
        <w:ind w:left="8765" w:hanging="283"/>
      </w:pPr>
      <w:rPr>
        <w:rFonts w:hint="default"/>
        <w:lang w:val="de-DE" w:eastAsia="en-US" w:bidi="ar-S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F332FD"/>
    <w:rsid w:val="00560835"/>
    <w:rsid w:val="00844DC9"/>
    <w:rsid w:val="00EC34B9"/>
    <w:rsid w:val="00F332FD"/>
    <w:rsid w:val="00FA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0614A0E9-57A4-4231-896B-9F44C1F33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de-DE"/>
    </w:rPr>
  </w:style>
  <w:style w:type="paragraph" w:styleId="Heading1">
    <w:name w:val="heading 1"/>
    <w:basedOn w:val="Normal"/>
    <w:uiPriority w:val="1"/>
    <w:qFormat/>
    <w:pPr>
      <w:ind w:left="796"/>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796" w:hanging="427"/>
      <w:jc w:val="both"/>
    </w:pPr>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Wolfgang.Philipp@ec.europa.eu" TargetMode="External"/><Relationship Id="rId13" Type="http://schemas.openxmlformats.org/officeDocument/2006/relationships/hyperlink" Target="mailto:HR-MAIL-B4@ec.europa.e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ec.europa.eu/civil_service/job/sne/index_en.htm" TargetMode="External"/><Relationship Id="rId17" Type="http://schemas.openxmlformats.org/officeDocument/2006/relationships/hyperlink" Target="mailto:edps@edps.europa.eu" TargetMode="External"/><Relationship Id="rId2" Type="http://schemas.openxmlformats.org/officeDocument/2006/relationships/styles" Target="styles.xml"/><Relationship Id="rId16" Type="http://schemas.openxmlformats.org/officeDocument/2006/relationships/hyperlink" Target="mailto:DATA-PROTECTION-OFFICER@ec.europa.e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opass.cedefop.europa.eu/en/documents/curriculum-vitae" TargetMode="External"/><Relationship Id="rId5" Type="http://schemas.openxmlformats.org/officeDocument/2006/relationships/footnotes" Target="footnotes.xml"/><Relationship Id="rId15" Type="http://schemas.openxmlformats.org/officeDocument/2006/relationships/hyperlink" Target="mailto:DATA-PROTECTION-OFFICER@ec.europa.eu" TargetMode="External"/><Relationship Id="rId10" Type="http://schemas.openxmlformats.org/officeDocument/2006/relationships/hyperlink" Target="http://europass.cedefop.europa.eu/en/documents/curriculum-vita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HR-MAIL-B4@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1299</Words>
  <Characters>9525</Characters>
  <Application>Microsoft Office Word</Application>
  <DocSecurity>0</DocSecurity>
  <Lines>207</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JADOT Catherine (HR)</cp:lastModifiedBy>
  <cp:revision>3</cp:revision>
  <dcterms:created xsi:type="dcterms:W3CDTF">2023-04-12T12:08:00Z</dcterms:created>
  <dcterms:modified xsi:type="dcterms:W3CDTF">2023-04-14T12:42:00Z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2023-04-12T00:00:00Z</vt:filetime>
  </property>
  <property fmtid="{D5CDD505-2E9C-101B-9397-08002B2CF9AE}" pid="3" name="Creator">
    <vt:lpwstr>Acrobat PDFMaker 23 for Word</vt:lpwstr>
  </property>
  <property fmtid="{D5CDD505-2E9C-101B-9397-08002B2CF9AE}" pid="4" name="LastSaved">
    <vt:filetime>2023-04-12T00:00:00Z</vt:filetime>
  </property>
  <property fmtid="{D5CDD505-2E9C-101B-9397-08002B2CF9AE}" pid="5" name="MSIP_Label_6bd9ddd1-4d20-43f6-abfa-fc3c07406f94_ActionId">
    <vt:lpwstr>5f8c07dc-76fd-4f8b-934d-7ee6e993c653</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2022-08-04T09:27:05Z</vt:lpwstr>
  </property>
  <property fmtid="{D5CDD505-2E9C-101B-9397-08002B2CF9AE}" pid="11" name="MSIP_Label_6bd9ddd1-4d20-43f6-abfa-fc3c07406f94_SiteId">
    <vt:lpwstr>b24c8b06-522c-46fe-9080-70926f8dddb1</vt:lpwstr>
  </property>
  <property fmtid="{D5CDD505-2E9C-101B-9397-08002B2CF9AE}" pid="12" name="Producer">
    <vt:lpwstr>Adobe PDF Library 23.1.125</vt:lpwstr>
  </property>
  <property fmtid="{D5CDD505-2E9C-101B-9397-08002B2CF9AE}" pid="13" name="SourceModified">
    <vt:lpwstr>D:20230405123200</vt:lpwstr>
  </property>
</Properties>
</file>