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descr="P1#y1"/>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27"/>
              <w:ind w:right="620"/>
              <w:rPr>
                <w:sz w:val="24"/>
              </w:rPr>
            </w:pPr>
            <w:r>
              <w:rPr>
                <w:sz w:val="24"/>
              </w:rPr>
              <w:t>Dienst</w:t>
            </w:r>
            <w:r>
              <w:rPr>
                <w:spacing w:val="-8"/>
                <w:sz w:val="24"/>
              </w:rPr>
              <w:t> </w:t>
            </w:r>
            <w:r>
              <w:rPr>
                <w:sz w:val="24"/>
              </w:rPr>
              <w:t>für</w:t>
            </w:r>
            <w:r>
              <w:rPr>
                <w:spacing w:val="-8"/>
                <w:sz w:val="24"/>
              </w:rPr>
              <w:t> </w:t>
            </w:r>
            <w:r>
              <w:rPr>
                <w:sz w:val="24"/>
              </w:rPr>
              <w:t>außenpolitische</w:t>
            </w:r>
            <w:r>
              <w:rPr>
                <w:spacing w:val="-8"/>
                <w:sz w:val="24"/>
              </w:rPr>
              <w:t> </w:t>
            </w:r>
            <w:r>
              <w:rPr>
                <w:sz w:val="24"/>
              </w:rPr>
              <w:t>Instrumente</w:t>
            </w:r>
            <w:r>
              <w:rPr>
                <w:spacing w:val="-8"/>
                <w:sz w:val="24"/>
              </w:rPr>
              <w:t> </w:t>
            </w:r>
            <w:r>
              <w:rPr>
                <w:sz w:val="24"/>
              </w:rPr>
              <w:t>–</w:t>
            </w:r>
            <w:r>
              <w:rPr>
                <w:spacing w:val="-8"/>
                <w:sz w:val="24"/>
              </w:rPr>
              <w:t> </w:t>
            </w:r>
            <w:r>
              <w:rPr>
                <w:sz w:val="24"/>
              </w:rPr>
              <w:t>Rasche Reaktion – Europa, Asien, Amerika (FPI.3)</w:t>
            </w:r>
          </w:p>
        </w:tc>
      </w:tr>
      <w:tr>
        <w:trPr>
          <w:trHeight w:val="2116"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ind w:right="620"/>
              <w:rPr>
                <w:sz w:val="24"/>
              </w:rPr>
            </w:pPr>
            <w:r>
              <w:rPr>
                <w:sz w:val="24"/>
              </w:rPr>
              <w:t>Stefan Schleuning </w:t>
            </w:r>
            <w:hyperlink r:id="rId7">
              <w:r>
                <w:rPr>
                  <w:spacing w:val="-2"/>
                  <w:sz w:val="24"/>
                </w:rPr>
                <w:t>Stefan.Schleuning@ec.europa.eu</w:t>
              </w:r>
            </w:hyperlink>
          </w:p>
          <w:p>
            <w:pPr>
              <w:pStyle w:val="TableParagraph"/>
              <w:spacing w:before="10"/>
              <w:ind w:left="0"/>
              <w:rPr>
                <w:b/>
                <w:sz w:val="23"/>
              </w:rPr>
            </w:pPr>
          </w:p>
          <w:p>
            <w:pPr>
              <w:pStyle w:val="TableParagraph"/>
              <w:rPr>
                <w:sz w:val="24"/>
              </w:rPr>
            </w:pPr>
            <w:r>
              <w:rPr>
                <w:sz w:val="24"/>
              </w:rPr>
              <w:t>1</w:t>
            </w:r>
          </w:p>
          <w:p>
            <w:pPr>
              <w:pStyle w:val="TableParagraph"/>
              <w:spacing w:before="1"/>
              <w:ind w:left="140"/>
              <w:rPr>
                <w:b/>
                <w:sz w:val="22"/>
              </w:rPr>
            </w:pPr>
            <w:r>
              <w:rPr>
                <w:b/>
                <w:sz w:val="22"/>
              </w:rPr>
              <w:t>3.</w:t>
            </w:r>
            <w:r>
              <w:rPr>
                <w:b/>
                <w:spacing w:val="-6"/>
                <w:sz w:val="22"/>
              </w:rPr>
              <w:t> </w:t>
            </w:r>
            <w:r>
              <w:rPr>
                <w:b/>
                <w:sz w:val="22"/>
              </w:rPr>
              <w:t>Quartal</w:t>
            </w:r>
            <w:r>
              <w:rPr>
                <w:b/>
                <w:spacing w:val="-6"/>
                <w:sz w:val="22"/>
              </w:rPr>
              <w:t> </w:t>
            </w:r>
            <w:r>
              <w:rPr>
                <w:b/>
                <w:spacing w:val="-4"/>
                <w:sz w:val="22"/>
              </w:rPr>
              <w:t>2023</w:t>
            </w:r>
            <w:r>
              <w:rPr>
                <w:b/>
                <w:spacing w:val="-4"/>
                <w:sz w:val="22"/>
                <w:vertAlign w:val="superscript"/>
              </w:rPr>
              <w:t>1</w:t>
            </w:r>
          </w:p>
          <w:p>
            <w:pPr>
              <w:pStyle w:val="TableParagraph"/>
              <w:rPr>
                <w:b/>
                <w:sz w:val="22"/>
              </w:rPr>
            </w:pPr>
            <w:r>
              <w:rPr>
                <w:b/>
                <w:sz w:val="22"/>
              </w:rPr>
              <w:t>1</w:t>
            </w:r>
            <w:r>
              <w:rPr>
                <w:b/>
                <w:spacing w:val="-2"/>
                <w:sz w:val="22"/>
              </w:rPr>
              <w:t> Jahr(e)</w:t>
            </w:r>
            <w:r>
              <w:rPr>
                <w:b/>
                <w:spacing w:val="-2"/>
                <w:sz w:val="22"/>
                <w:vertAlign w:val="superscript"/>
              </w:rPr>
              <w:t>1</w:t>
            </w:r>
          </w:p>
          <w:p>
            <w:pPr>
              <w:pStyle w:val="TableParagraph"/>
              <w:ind w:left="0"/>
              <w:rPr>
                <w:b/>
                <w:sz w:val="22"/>
              </w:rPr>
            </w:pPr>
          </w:p>
          <w:p>
            <w:pPr>
              <w:pStyle w:val="TableParagraph"/>
              <w:tabs>
                <w:tab w:pos="1523" w:val="left" w:leader="none"/>
              </w:tabs>
              <w:spacing w:line="233" w:lineRule="exact" w:before="1"/>
              <w:rPr>
                <w:b/>
                <w:sz w:val="22"/>
              </w:rPr>
            </w:pPr>
            <w:r>
              <w:rPr>
                <w:rFonts w:ascii="Wingdings 2" w:hAnsi="Wingdings 2"/>
                <w:sz w:val="22"/>
              </w:rPr>
              <w:t></w:t>
            </w:r>
            <w:r>
              <w:rPr>
                <w:spacing w:val="26"/>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numPr>
                <w:ilvl w:val="0"/>
                <w:numId w:val="1"/>
              </w:numPr>
              <w:tabs>
                <w:tab w:pos="414" w:val="left" w:leader="none"/>
              </w:tabs>
              <w:spacing w:line="240" w:lineRule="auto" w:before="146" w:after="0"/>
              <w:ind w:left="413" w:right="0" w:hanging="307"/>
              <w:jc w:val="left"/>
              <w:rPr>
                <w:b/>
                <w:sz w:val="22"/>
              </w:rPr>
            </w:pPr>
            <w:r>
              <w:rPr>
                <w:b/>
                <w:sz w:val="22"/>
              </w:rPr>
              <w:t>Mit</w:t>
            </w:r>
            <w:r>
              <w:rPr>
                <w:b/>
                <w:spacing w:val="-6"/>
                <w:sz w:val="22"/>
              </w:rPr>
              <w:t> </w:t>
            </w:r>
            <w:r>
              <w:rPr>
                <w:b/>
                <w:sz w:val="22"/>
              </w:rPr>
              <w:t>Vergütungen</w:t>
            </w:r>
            <w:r>
              <w:rPr>
                <w:b/>
                <w:spacing w:val="67"/>
                <w:w w:val="150"/>
                <w:sz w:val="22"/>
              </w:rPr>
              <w:t> </w:t>
            </w:r>
            <w:r>
              <w:rPr>
                <w:rFonts w:ascii="Wingdings 2" w:hAnsi="Wingdings 2"/>
                <w:sz w:val="22"/>
              </w:rPr>
              <w:t></w:t>
            </w:r>
            <w:r>
              <w:rPr>
                <w:spacing w:val="45"/>
                <w:sz w:val="22"/>
              </w:rPr>
              <w:t> </w:t>
            </w:r>
            <w:r>
              <w:rPr>
                <w:b/>
                <w:sz w:val="22"/>
              </w:rPr>
              <w:t>Unentgeltlich</w:t>
            </w:r>
            <w:r>
              <w:rPr>
                <w:b/>
                <w:spacing w:val="-5"/>
                <w:sz w:val="22"/>
              </w:rPr>
              <w:t> </w:t>
            </w:r>
            <w:r>
              <w:rPr>
                <w:b/>
                <w:spacing w:val="-2"/>
                <w:sz w:val="22"/>
              </w:rPr>
              <w:t>Abgeordnet</w:t>
            </w:r>
          </w:p>
        </w:tc>
      </w:tr>
      <w:tr>
        <w:trPr>
          <w:trHeight w:val="2112" w:hRule="atLeast"/>
        </w:trPr>
        <w:tc>
          <w:tcPr>
            <w:tcW w:w="9957" w:type="dxa"/>
            <w:gridSpan w:val="2"/>
          </w:tcPr>
          <w:p>
            <w:pPr>
              <w:pStyle w:val="TableParagraph"/>
              <w:spacing w:before="171"/>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spacing w:before="11"/>
              <w:ind w:left="0"/>
              <w:rPr>
                <w:b/>
                <w:sz w:val="21"/>
              </w:rPr>
            </w:pP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2"/>
              </w:numPr>
              <w:tabs>
                <w:tab w:pos="817" w:val="left" w:leader="none"/>
              </w:tabs>
              <w:spacing w:line="240" w:lineRule="auto"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2"/>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spacing w:before="11"/>
        <w:rPr>
          <w:b/>
          <w:sz w:val="15"/>
        </w:rPr>
      </w:pPr>
    </w:p>
    <w:p>
      <w:pPr>
        <w:pStyle w:val="BodyText"/>
        <w:spacing w:before="90"/>
        <w:ind w:left="370" w:right="108"/>
        <w:jc w:val="both"/>
      </w:pPr>
      <w:r>
        <w:rPr/>
        <w:t>Der allgemeine Zweck dieser Stelle besteht darin, einen Beitrag zur Koordination sowie zu den politischen und operationellen Entwicklungen im Bereich der humanitären </w:t>
      </w:r>
      <w:r>
        <w:rPr>
          <w:b/>
        </w:rPr>
        <w:t>Minenräumung in Ukraine </w:t>
      </w:r>
      <w:r>
        <w:rPr/>
        <w:t>zu leisten. Dies betrifft insbesondere die Aufgabe des </w:t>
      </w:r>
      <w:r>
        <w:rPr>
          <w:sz w:val="24"/>
        </w:rPr>
        <w:t>Dienstes für außenpolitische Instrumente (FPI), </w:t>
      </w:r>
      <w:r>
        <w:rPr/>
        <w:t>EU-interne Koordinationsprozesse zur Minenräumung in Ukraine zu leiten, zur Koordinierung zwischen EU-Mitgliedstaaten und der G7+ Gruppe in diesem Bereich beizutragen, und diese auch weiter zu stärken, um damit die Sichtbarkeit der EU und ihrer Mitgliedsstaaten im Sektor der Minenräumung in Ukraine zu verbessern.</w:t>
      </w:r>
    </w:p>
    <w:p>
      <w:pPr>
        <w:pStyle w:val="BodyText"/>
      </w:pPr>
    </w:p>
    <w:p>
      <w:pPr>
        <w:pStyle w:val="BodyText"/>
        <w:spacing w:before="1"/>
        <w:ind w:left="369" w:right="108"/>
        <w:jc w:val="both"/>
      </w:pPr>
      <w:r>
        <w:rPr/>
        <w:t>Der abgeordnete nationale Sachverständige (ANS) wird in der Rolle des Beauftragten für internationale Beziehungen dabei helfen, einen laufenden Überblick zur internationalen Unterstützung und zu allen relevanten Entwicklungen im Sektor der Minenräumung in Ukraine bereitzustellen, Koordinationssitzungen zu organisieren und vorzubereiten, und angemessene EU-Repräsentation darin sicherzustellen. Zusätzlich erfordert die Rolle es, Maßnahmen im Rahmen der Säule Krisenreaktion des Instruments für Nachbarschaft, Entwicklungszusammenarbeit und internationale Zusammenarbeit (NDICI) – Europa in der Welt zu vermitteln, auszugestalten und deren Umsetzung zu begleiten. Der/die abgeordnete nationale Sachverständige arbeitet unter</w:t>
      </w:r>
      <w:r>
        <w:rPr>
          <w:spacing w:val="80"/>
        </w:rPr>
        <w:t> </w:t>
      </w:r>
      <w:r>
        <w:rPr/>
        <w:t>der Aufsicht eines Administrators. Unbeschadet des Grundsatzes der loyalen Zusammenarbeit zwischen den nationalen/regionalen und europäischen Verwaltungen wird der oder die ANS nicht an Einzelfällen arbeiten, die Auswirkungen auf Dossiers haben, welche er/sie in den zwei Jahren vor seinem/ihrem Eintritt in die Kommission</w:t>
      </w:r>
      <w:r>
        <w:rPr>
          <w:spacing w:val="40"/>
        </w:rPr>
        <w:t> </w:t>
      </w:r>
      <w:r>
        <w:rPr/>
        <w:t>in seiner nationalen Verwaltung hätte bearbeiten müssen, oder unmittelbar damit zusammenhängende Fälle. In keinem Fall vertritt er/sie die Kommission, um finanzielle oder sonstige Verpflichtungen einzugehen oder im Namen der Kommission Verhandlungen zu führen.</w:t>
      </w:r>
    </w:p>
    <w:p>
      <w:pPr>
        <w:pStyle w:val="BodyText"/>
        <w:rPr>
          <w:sz w:val="20"/>
        </w:rPr>
      </w:pPr>
    </w:p>
    <w:p>
      <w:pPr>
        <w:pStyle w:val="BodyText"/>
        <w:rPr>
          <w:sz w:val="20"/>
        </w:rPr>
      </w:pPr>
    </w:p>
    <w:p>
      <w:pPr>
        <w:pStyle w:val="BodyText"/>
        <w:spacing w:before="4"/>
        <w:rPr>
          <w:sz w:val="20"/>
        </w:rPr>
      </w:pPr>
      <w:r>
        <w:rPr/>
        <w:pict>
          <v:rect style="position:absolute;margin-left:42.540001pt;margin-top:12.911612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3"/>
        </w:numPr>
        <w:tabs>
          <w:tab w:pos="502" w:val="left" w:leader="none"/>
        </w:tabs>
        <w:spacing w:line="240" w:lineRule="auto" w:before="74" w:after="0"/>
        <w:ind w:left="370" w:right="785" w:firstLine="0"/>
        <w:jc w:val="left"/>
        <w:rPr>
          <w:sz w:val="22"/>
        </w:rPr>
      </w:pPr>
      <w:r>
        <w:rPr>
          <w:sz w:val="22"/>
        </w:rPr>
        <w:t>Beitrag</w:t>
      </w:r>
      <w:r>
        <w:rPr>
          <w:spacing w:val="-3"/>
          <w:sz w:val="22"/>
        </w:rPr>
        <w:t> </w:t>
      </w:r>
      <w:r>
        <w:rPr>
          <w:sz w:val="22"/>
        </w:rPr>
        <w:t>zur</w:t>
      </w:r>
      <w:r>
        <w:rPr>
          <w:spacing w:val="-3"/>
          <w:sz w:val="22"/>
        </w:rPr>
        <w:t> </w:t>
      </w:r>
      <w:r>
        <w:rPr>
          <w:sz w:val="22"/>
        </w:rPr>
        <w:t>Gestaltung</w:t>
      </w:r>
      <w:r>
        <w:rPr>
          <w:spacing w:val="-3"/>
          <w:sz w:val="22"/>
        </w:rPr>
        <w:t> </w:t>
      </w:r>
      <w:r>
        <w:rPr>
          <w:sz w:val="22"/>
        </w:rPr>
        <w:t>der</w:t>
      </w:r>
      <w:r>
        <w:rPr>
          <w:spacing w:val="-3"/>
          <w:sz w:val="22"/>
        </w:rPr>
        <w:t> </w:t>
      </w:r>
      <w:r>
        <w:rPr>
          <w:sz w:val="22"/>
        </w:rPr>
        <w:t>allgemeinen</w:t>
      </w:r>
      <w:r>
        <w:rPr>
          <w:spacing w:val="-2"/>
          <w:sz w:val="22"/>
        </w:rPr>
        <w:t> </w:t>
      </w:r>
      <w:r>
        <w:rPr>
          <w:sz w:val="22"/>
        </w:rPr>
        <w:t>EU-Politik</w:t>
      </w:r>
      <w:r>
        <w:rPr>
          <w:spacing w:val="-3"/>
          <w:sz w:val="22"/>
        </w:rPr>
        <w:t> </w:t>
      </w:r>
      <w:r>
        <w:rPr>
          <w:sz w:val="22"/>
        </w:rPr>
        <w:t>in</w:t>
      </w:r>
      <w:r>
        <w:rPr>
          <w:spacing w:val="-3"/>
          <w:sz w:val="22"/>
        </w:rPr>
        <w:t> </w:t>
      </w:r>
      <w:r>
        <w:rPr>
          <w:sz w:val="22"/>
        </w:rPr>
        <w:t>den</w:t>
      </w:r>
      <w:r>
        <w:rPr>
          <w:spacing w:val="-3"/>
          <w:sz w:val="22"/>
        </w:rPr>
        <w:t> </w:t>
      </w:r>
      <w:r>
        <w:rPr>
          <w:sz w:val="22"/>
        </w:rPr>
        <w:t>Bereichen</w:t>
      </w:r>
      <w:r>
        <w:rPr>
          <w:spacing w:val="-3"/>
          <w:sz w:val="22"/>
        </w:rPr>
        <w:t> </w:t>
      </w:r>
      <w:r>
        <w:rPr>
          <w:sz w:val="22"/>
        </w:rPr>
        <w:t>Minenräumung</w:t>
      </w:r>
      <w:r>
        <w:rPr>
          <w:spacing w:val="-3"/>
          <w:sz w:val="22"/>
        </w:rPr>
        <w:t> </w:t>
      </w:r>
      <w:r>
        <w:rPr>
          <w:sz w:val="22"/>
        </w:rPr>
        <w:t>und</w:t>
      </w:r>
      <w:r>
        <w:rPr>
          <w:spacing w:val="-3"/>
          <w:sz w:val="22"/>
        </w:rPr>
        <w:t> </w:t>
      </w:r>
      <w:r>
        <w:rPr>
          <w:sz w:val="22"/>
        </w:rPr>
        <w:t>Wiederaufbau</w:t>
      </w:r>
      <w:r>
        <w:rPr>
          <w:spacing w:val="-3"/>
          <w:sz w:val="22"/>
        </w:rPr>
        <w:t> </w:t>
      </w:r>
      <w:r>
        <w:rPr>
          <w:sz w:val="22"/>
        </w:rPr>
        <w:t>im Rahmen der außenpolitischen Erfordernisse und Möglichkeiten.</w:t>
      </w:r>
    </w:p>
    <w:p>
      <w:pPr>
        <w:pStyle w:val="ListParagraph"/>
        <w:numPr>
          <w:ilvl w:val="1"/>
          <w:numId w:val="3"/>
        </w:numPr>
        <w:tabs>
          <w:tab w:pos="502" w:val="left" w:leader="none"/>
        </w:tabs>
        <w:spacing w:line="240" w:lineRule="auto" w:before="0" w:after="0"/>
        <w:ind w:left="370" w:right="309" w:hanging="1"/>
        <w:jc w:val="left"/>
        <w:rPr>
          <w:sz w:val="22"/>
        </w:rPr>
      </w:pPr>
      <w:r>
        <w:rPr>
          <w:sz w:val="22"/>
        </w:rPr>
        <w:t>Unter der Aufsicht eines Administrators, Koordinierung der Beziehungen im Bereich der Minenräumung zu anderen</w:t>
      </w:r>
      <w:r>
        <w:rPr>
          <w:spacing w:val="-3"/>
          <w:sz w:val="22"/>
        </w:rPr>
        <w:t> </w:t>
      </w:r>
      <w:r>
        <w:rPr>
          <w:sz w:val="22"/>
        </w:rPr>
        <w:t>EU</w:t>
      </w:r>
      <w:r>
        <w:rPr>
          <w:spacing w:val="-4"/>
          <w:sz w:val="22"/>
        </w:rPr>
        <w:t> </w:t>
      </w:r>
      <w:r>
        <w:rPr>
          <w:sz w:val="22"/>
        </w:rPr>
        <w:t>Diensten,</w:t>
      </w:r>
      <w:r>
        <w:rPr>
          <w:spacing w:val="-3"/>
          <w:sz w:val="22"/>
        </w:rPr>
        <w:t> </w:t>
      </w:r>
      <w:r>
        <w:rPr>
          <w:sz w:val="22"/>
        </w:rPr>
        <w:t>EU</w:t>
      </w:r>
      <w:r>
        <w:rPr>
          <w:spacing w:val="-2"/>
          <w:sz w:val="22"/>
        </w:rPr>
        <w:t> </w:t>
      </w:r>
      <w:r>
        <w:rPr>
          <w:sz w:val="22"/>
        </w:rPr>
        <w:t>Mitgliedsstaaten,</w:t>
      </w:r>
      <w:r>
        <w:rPr>
          <w:spacing w:val="-3"/>
          <w:sz w:val="22"/>
        </w:rPr>
        <w:t> </w:t>
      </w:r>
      <w:r>
        <w:rPr>
          <w:sz w:val="22"/>
        </w:rPr>
        <w:t>der</w:t>
      </w:r>
      <w:r>
        <w:rPr>
          <w:spacing w:val="-3"/>
          <w:sz w:val="22"/>
        </w:rPr>
        <w:t> </w:t>
      </w:r>
      <w:r>
        <w:rPr>
          <w:sz w:val="22"/>
        </w:rPr>
        <w:t>G7+</w:t>
      </w:r>
      <w:r>
        <w:rPr>
          <w:spacing w:val="-4"/>
          <w:sz w:val="22"/>
        </w:rPr>
        <w:t> </w:t>
      </w:r>
      <w:r>
        <w:rPr>
          <w:sz w:val="22"/>
        </w:rPr>
        <w:t>Gruppe,</w:t>
      </w:r>
      <w:r>
        <w:rPr>
          <w:spacing w:val="-3"/>
          <w:sz w:val="22"/>
        </w:rPr>
        <w:t> </w:t>
      </w:r>
      <w:r>
        <w:rPr>
          <w:sz w:val="22"/>
        </w:rPr>
        <w:t>und</w:t>
      </w:r>
      <w:r>
        <w:rPr>
          <w:spacing w:val="-4"/>
          <w:sz w:val="22"/>
        </w:rPr>
        <w:t> </w:t>
      </w:r>
      <w:r>
        <w:rPr>
          <w:sz w:val="22"/>
        </w:rPr>
        <w:t>internationalen,</w:t>
      </w:r>
      <w:r>
        <w:rPr>
          <w:spacing w:val="-3"/>
          <w:sz w:val="22"/>
        </w:rPr>
        <w:t> </w:t>
      </w:r>
      <w:r>
        <w:rPr>
          <w:sz w:val="22"/>
        </w:rPr>
        <w:t>regionalen,</w:t>
      </w:r>
      <w:r>
        <w:rPr>
          <w:spacing w:val="-4"/>
          <w:sz w:val="22"/>
        </w:rPr>
        <w:t> </w:t>
      </w:r>
      <w:r>
        <w:rPr>
          <w:sz w:val="22"/>
        </w:rPr>
        <w:t>sub-regionalen</w:t>
      </w:r>
      <w:r>
        <w:rPr>
          <w:spacing w:val="-3"/>
          <w:sz w:val="22"/>
        </w:rPr>
        <w:t> </w:t>
      </w:r>
      <w:r>
        <w:rPr>
          <w:sz w:val="22"/>
        </w:rPr>
        <w:t>und lokalen Partnern sowie Organisationen der Zivilgesellschaft und die Bereitstellung geeigneter Informationen.</w:t>
      </w:r>
    </w:p>
    <w:p>
      <w:pPr>
        <w:pStyle w:val="ListParagraph"/>
        <w:numPr>
          <w:ilvl w:val="1"/>
          <w:numId w:val="3"/>
        </w:numPr>
        <w:tabs>
          <w:tab w:pos="502" w:val="left" w:leader="none"/>
        </w:tabs>
        <w:spacing w:line="240" w:lineRule="auto" w:before="0" w:after="0"/>
        <w:ind w:left="370" w:right="200" w:firstLine="0"/>
        <w:jc w:val="left"/>
        <w:rPr>
          <w:sz w:val="22"/>
        </w:rPr>
      </w:pPr>
      <w:r>
        <w:rPr>
          <w:sz w:val="22"/>
        </w:rPr>
        <w:t>Beitrag</w:t>
      </w:r>
      <w:r>
        <w:rPr>
          <w:spacing w:val="-4"/>
          <w:sz w:val="22"/>
        </w:rPr>
        <w:t> </w:t>
      </w:r>
      <w:r>
        <w:rPr>
          <w:sz w:val="22"/>
        </w:rPr>
        <w:t>zur</w:t>
      </w:r>
      <w:r>
        <w:rPr>
          <w:spacing w:val="-4"/>
          <w:sz w:val="22"/>
        </w:rPr>
        <w:t> </w:t>
      </w:r>
      <w:r>
        <w:rPr>
          <w:sz w:val="22"/>
        </w:rPr>
        <w:t>wirksamen</w:t>
      </w:r>
      <w:r>
        <w:rPr>
          <w:spacing w:val="-4"/>
          <w:sz w:val="22"/>
        </w:rPr>
        <w:t> </w:t>
      </w:r>
      <w:r>
        <w:rPr>
          <w:sz w:val="22"/>
        </w:rPr>
        <w:t>Vermittlung,</w:t>
      </w:r>
      <w:r>
        <w:rPr>
          <w:spacing w:val="-4"/>
          <w:sz w:val="22"/>
        </w:rPr>
        <w:t> </w:t>
      </w:r>
      <w:r>
        <w:rPr>
          <w:sz w:val="22"/>
        </w:rPr>
        <w:t>Ausarbeitung</w:t>
      </w:r>
      <w:r>
        <w:rPr>
          <w:spacing w:val="-4"/>
          <w:sz w:val="22"/>
        </w:rPr>
        <w:t> </w:t>
      </w:r>
      <w:r>
        <w:rPr>
          <w:sz w:val="22"/>
        </w:rPr>
        <w:t>und</w:t>
      </w:r>
      <w:r>
        <w:rPr>
          <w:spacing w:val="-4"/>
          <w:sz w:val="22"/>
        </w:rPr>
        <w:t> </w:t>
      </w:r>
      <w:r>
        <w:rPr>
          <w:sz w:val="22"/>
        </w:rPr>
        <w:t>Umsetzung</w:t>
      </w:r>
      <w:r>
        <w:rPr>
          <w:spacing w:val="-4"/>
          <w:sz w:val="22"/>
        </w:rPr>
        <w:t> </w:t>
      </w:r>
      <w:r>
        <w:rPr>
          <w:sz w:val="22"/>
        </w:rPr>
        <w:t>von</w:t>
      </w:r>
      <w:r>
        <w:rPr>
          <w:spacing w:val="-4"/>
          <w:sz w:val="22"/>
        </w:rPr>
        <w:t> </w:t>
      </w:r>
      <w:r>
        <w:rPr>
          <w:sz w:val="22"/>
        </w:rPr>
        <w:t>außenpolitischen</w:t>
      </w:r>
      <w:r>
        <w:rPr>
          <w:spacing w:val="-4"/>
          <w:sz w:val="22"/>
        </w:rPr>
        <w:t> </w:t>
      </w:r>
      <w:r>
        <w:rPr>
          <w:sz w:val="22"/>
        </w:rPr>
        <w:t>Maßnahmen</w:t>
      </w:r>
      <w:r>
        <w:rPr>
          <w:spacing w:val="-4"/>
          <w:sz w:val="22"/>
        </w:rPr>
        <w:t> </w:t>
      </w:r>
      <w:r>
        <w:rPr>
          <w:sz w:val="22"/>
        </w:rPr>
        <w:t>im</w:t>
      </w:r>
      <w:r>
        <w:rPr>
          <w:spacing w:val="-5"/>
          <w:sz w:val="22"/>
        </w:rPr>
        <w:t> </w:t>
      </w:r>
      <w:r>
        <w:rPr>
          <w:sz w:val="22"/>
        </w:rPr>
        <w:t>Bereich Minenräumung und Wiederaufbau im Rahmen der Säule Krisenreaktion des Instruments für Nachbarschaft, Entwicklungszusammenarbeit und internationale Zusammenarbeit (NDICI) – Europa in der Welt bei Einhaltung der massgeblichen Kriterien zur politischen Relevanz, rechtlichen Zulässigkeit und Machbarkeit</w:t>
      </w:r>
    </w:p>
    <w:p>
      <w:pPr>
        <w:pStyle w:val="ListParagraph"/>
        <w:numPr>
          <w:ilvl w:val="1"/>
          <w:numId w:val="3"/>
        </w:numPr>
        <w:tabs>
          <w:tab w:pos="502" w:val="left" w:leader="none"/>
        </w:tabs>
        <w:spacing w:line="240" w:lineRule="auto" w:before="0" w:after="0"/>
        <w:ind w:left="370" w:right="1101" w:firstLine="0"/>
        <w:jc w:val="left"/>
        <w:rPr>
          <w:sz w:val="22"/>
        </w:rPr>
      </w:pPr>
      <w:r>
        <w:rPr>
          <w:sz w:val="22"/>
        </w:rPr>
        <w:t>Unter</w:t>
      </w:r>
      <w:r>
        <w:rPr>
          <w:spacing w:val="-4"/>
          <w:sz w:val="22"/>
        </w:rPr>
        <w:t> </w:t>
      </w:r>
      <w:r>
        <w:rPr>
          <w:sz w:val="22"/>
        </w:rPr>
        <w:t>der</w:t>
      </w:r>
      <w:r>
        <w:rPr>
          <w:spacing w:val="-3"/>
          <w:sz w:val="22"/>
        </w:rPr>
        <w:t> </w:t>
      </w:r>
      <w:r>
        <w:rPr>
          <w:sz w:val="22"/>
        </w:rPr>
        <w:t>Aufsicht</w:t>
      </w:r>
      <w:r>
        <w:rPr>
          <w:spacing w:val="-4"/>
          <w:sz w:val="22"/>
        </w:rPr>
        <w:t> </w:t>
      </w:r>
      <w:r>
        <w:rPr>
          <w:sz w:val="22"/>
        </w:rPr>
        <w:t>eines</w:t>
      </w:r>
      <w:r>
        <w:rPr>
          <w:spacing w:val="-5"/>
          <w:sz w:val="22"/>
        </w:rPr>
        <w:t> </w:t>
      </w:r>
      <w:r>
        <w:rPr>
          <w:sz w:val="22"/>
        </w:rPr>
        <w:t>Administrators,</w:t>
      </w:r>
      <w:r>
        <w:rPr>
          <w:spacing w:val="-5"/>
          <w:sz w:val="22"/>
        </w:rPr>
        <w:t> </w:t>
      </w:r>
      <w:r>
        <w:rPr>
          <w:sz w:val="22"/>
        </w:rPr>
        <w:t>Vorbereitung</w:t>
      </w:r>
      <w:r>
        <w:rPr>
          <w:spacing w:val="-4"/>
          <w:sz w:val="22"/>
        </w:rPr>
        <w:t> </w:t>
      </w:r>
      <w:r>
        <w:rPr>
          <w:sz w:val="22"/>
        </w:rPr>
        <w:t>von</w:t>
      </w:r>
      <w:r>
        <w:rPr>
          <w:spacing w:val="-4"/>
          <w:sz w:val="22"/>
        </w:rPr>
        <w:t> </w:t>
      </w:r>
      <w:r>
        <w:rPr>
          <w:sz w:val="22"/>
        </w:rPr>
        <w:t>Finanzierungsbeschlüssen</w:t>
      </w:r>
      <w:r>
        <w:rPr>
          <w:spacing w:val="-4"/>
          <w:sz w:val="22"/>
        </w:rPr>
        <w:t> </w:t>
      </w:r>
      <w:r>
        <w:rPr>
          <w:sz w:val="22"/>
        </w:rPr>
        <w:t>und</w:t>
      </w:r>
      <w:r>
        <w:rPr>
          <w:spacing w:val="-4"/>
          <w:sz w:val="22"/>
        </w:rPr>
        <w:t> </w:t>
      </w:r>
      <w:r>
        <w:rPr>
          <w:sz w:val="22"/>
        </w:rPr>
        <w:t>zugehörigen Dokumenten zur rechtzeitigen Annahme.</w:t>
      </w:r>
    </w:p>
    <w:p>
      <w:pPr>
        <w:pStyle w:val="BodyText"/>
        <w:rPr>
          <w:sz w:val="24"/>
        </w:rPr>
      </w:pPr>
    </w:p>
    <w:p>
      <w:pPr>
        <w:pStyle w:val="BodyText"/>
        <w:spacing w:before="2"/>
        <w:rPr>
          <w:sz w:val="20"/>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rPr>
          <w:b/>
          <w:sz w:val="16"/>
        </w:rPr>
      </w:pPr>
    </w:p>
    <w:p>
      <w:pPr>
        <w:pStyle w:val="Heading1"/>
        <w:numPr>
          <w:ilvl w:val="0"/>
          <w:numId w:val="4"/>
        </w:numPr>
        <w:tabs>
          <w:tab w:pos="1037" w:val="left" w:leader="none"/>
        </w:tabs>
        <w:spacing w:line="240" w:lineRule="auto" w:before="90" w:after="0"/>
        <w:ind w:left="1036" w:right="0" w:hanging="241"/>
        <w:jc w:val="left"/>
      </w:pPr>
      <w:r>
        <w:rPr>
          <w:spacing w:val="-2"/>
          <w:u w:val="single"/>
        </w:rPr>
        <w:t>Zulassungskriterien</w:t>
      </w:r>
    </w:p>
    <w:p>
      <w:pPr>
        <w:pStyle w:val="BodyText"/>
        <w:spacing w:before="1"/>
        <w:rPr>
          <w:b/>
          <w:sz w:val="14"/>
        </w:rPr>
      </w:pPr>
    </w:p>
    <w:p>
      <w:pPr>
        <w:pStyle w:val="BodyText"/>
        <w:spacing w:before="91"/>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1"/>
        <w:rPr>
          <w:sz w:val="21"/>
        </w:rPr>
      </w:pPr>
    </w:p>
    <w:p>
      <w:pPr>
        <w:pStyle w:val="ListParagraph"/>
        <w:numPr>
          <w:ilvl w:val="1"/>
          <w:numId w:val="3"/>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3"/>
        </w:numPr>
        <w:tabs>
          <w:tab w:pos="1081" w:val="left" w:leader="none"/>
        </w:tabs>
        <w:spacing w:line="240" w:lineRule="auto" w:before="0" w:after="0"/>
        <w:ind w:left="1079"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1"/>
          <w:numId w:val="3"/>
        </w:numPr>
        <w:tabs>
          <w:tab w:pos="1081" w:val="left" w:leader="none"/>
        </w:tabs>
        <w:spacing w:line="240" w:lineRule="auto" w:before="1" w:after="0"/>
        <w:ind w:left="1080" w:right="108"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0"/>
          <w:numId w:val="4"/>
        </w:numPr>
        <w:tabs>
          <w:tab w:pos="1079" w:val="left" w:leader="none"/>
        </w:tabs>
        <w:spacing w:line="240" w:lineRule="auto" w:before="0" w:after="0"/>
        <w:ind w:left="1078" w:right="0" w:hanging="283"/>
        <w:jc w:val="left"/>
      </w:pPr>
      <w:r>
        <w:rPr>
          <w:spacing w:val="-2"/>
          <w:u w:val="single"/>
        </w:rPr>
        <w:t>Auswahlkriterien</w:t>
      </w:r>
    </w:p>
    <w:p>
      <w:pPr>
        <w:pStyle w:val="BodyText"/>
        <w:spacing w:before="11"/>
        <w:rPr>
          <w:b/>
          <w:sz w:val="15"/>
        </w:rPr>
      </w:pPr>
    </w:p>
    <w:p>
      <w:pPr>
        <w:pStyle w:val="BodyText"/>
        <w:spacing w:before="90"/>
        <w:ind w:left="1080"/>
      </w:pPr>
      <w:r>
        <w:rPr>
          <w:spacing w:val="-2"/>
          <w:u w:val="single"/>
        </w:rPr>
        <w:t>Bildungsabschluss</w:t>
      </w:r>
    </w:p>
    <w:p>
      <w:pPr>
        <w:pStyle w:val="ListParagraph"/>
        <w:numPr>
          <w:ilvl w:val="1"/>
          <w:numId w:val="4"/>
        </w:numPr>
        <w:tabs>
          <w:tab w:pos="1209" w:val="left" w:leader="none"/>
        </w:tabs>
        <w:spacing w:line="240" w:lineRule="auto"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1"/>
          <w:numId w:val="4"/>
        </w:numPr>
        <w:tabs>
          <w:tab w:pos="1209" w:val="left" w:leader="none"/>
        </w:tabs>
        <w:spacing w:line="240" w:lineRule="auto" w:before="1"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pPr>
    </w:p>
    <w:p>
      <w:pPr>
        <w:pStyle w:val="BodyText"/>
        <w:ind w:left="1190"/>
      </w:pPr>
      <w:r>
        <w:rPr/>
        <w:t>im</w:t>
      </w:r>
      <w:r>
        <w:rPr>
          <w:spacing w:val="-5"/>
        </w:rPr>
        <w:t> </w:t>
      </w:r>
      <w:r>
        <w:rPr>
          <w:spacing w:val="-2"/>
        </w:rPr>
        <w:t>Bereich:</w:t>
      </w:r>
    </w:p>
    <w:p>
      <w:pPr>
        <w:pStyle w:val="BodyText"/>
        <w:spacing w:line="480" w:lineRule="auto"/>
        <w:ind w:left="1080"/>
      </w:pPr>
      <w:r>
        <w:rPr/>
        <w:t>Internationalen</w:t>
      </w:r>
      <w:r>
        <w:rPr>
          <w:spacing w:val="-6"/>
        </w:rPr>
        <w:t> </w:t>
      </w:r>
      <w:r>
        <w:rPr/>
        <w:t>Beziehungen;</w:t>
      </w:r>
      <w:r>
        <w:rPr>
          <w:spacing w:val="-6"/>
        </w:rPr>
        <w:t> </w:t>
      </w:r>
      <w:r>
        <w:rPr/>
        <w:t>Krisenreaktion;</w:t>
      </w:r>
      <w:r>
        <w:rPr>
          <w:spacing w:val="-6"/>
        </w:rPr>
        <w:t> </w:t>
      </w:r>
      <w:r>
        <w:rPr/>
        <w:t>Vermittlung</w:t>
      </w:r>
      <w:r>
        <w:rPr>
          <w:spacing w:val="-7"/>
        </w:rPr>
        <w:t> </w:t>
      </w:r>
      <w:r>
        <w:rPr/>
        <w:t>und</w:t>
      </w:r>
      <w:r>
        <w:rPr>
          <w:spacing w:val="-6"/>
        </w:rPr>
        <w:t> </w:t>
      </w:r>
      <w:r>
        <w:rPr/>
        <w:t>Friedenskonsolidierung</w:t>
      </w:r>
      <w:r>
        <w:rPr>
          <w:spacing w:val="-6"/>
        </w:rPr>
        <w:t> </w:t>
      </w:r>
      <w:r>
        <w:rPr/>
        <w:t>(erwünscht). </w:t>
      </w:r>
      <w:r>
        <w:rPr>
          <w:spacing w:val="-2"/>
          <w:u w:val="single"/>
        </w:rPr>
        <w:t>Berufserfahrung</w:t>
      </w:r>
    </w:p>
    <w:p>
      <w:pPr>
        <w:pStyle w:val="BodyText"/>
        <w:ind w:left="1080" w:right="169"/>
        <w:jc w:val="both"/>
      </w:pPr>
      <w:r>
        <w:rPr>
          <w:u w:val="single"/>
        </w:rPr>
        <w:t>Erfahrung in der politischen Koordination als geografischer oder thematischer Referent. Erfahrung im</w:t>
      </w:r>
      <w:r>
        <w:rPr/>
        <w:t> </w:t>
      </w:r>
      <w:r>
        <w:rPr>
          <w:u w:val="single"/>
        </w:rPr>
        <w:t>Sektor Minenräumung und Projektmanagement ist ein Vorteil. Eine Kombination beider Arten von</w:t>
      </w:r>
      <w:r>
        <w:rPr/>
        <w:t> </w:t>
      </w:r>
      <w:r>
        <w:rPr>
          <w:u w:val="single"/>
        </w:rPr>
        <w:t>Erfahrungen und thematischer Expertise wäre wünschenswert.</w:t>
      </w:r>
    </w:p>
    <w:p>
      <w:pPr>
        <w:pStyle w:val="BodyText"/>
        <w:spacing w:before="1"/>
        <w:rPr>
          <w:sz w:val="14"/>
        </w:rPr>
      </w:pPr>
    </w:p>
    <w:p>
      <w:pPr>
        <w:pStyle w:val="BodyText"/>
        <w:spacing w:before="91"/>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2"/>
        <w:rPr>
          <w:sz w:val="14"/>
        </w:rPr>
      </w:pPr>
    </w:p>
    <w:p>
      <w:pPr>
        <w:pStyle w:val="BodyText"/>
        <w:spacing w:before="90"/>
        <w:ind w:left="1080"/>
      </w:pPr>
      <w:r>
        <w:rPr>
          <w:u w:val="single"/>
        </w:rPr>
        <w:t>Englisch</w:t>
      </w:r>
      <w:r>
        <w:rPr>
          <w:spacing w:val="-10"/>
          <w:u w:val="single"/>
        </w:rPr>
        <w:t> </w:t>
      </w:r>
      <w:r>
        <w:rPr>
          <w:u w:val="single"/>
        </w:rPr>
        <w:t>C2;</w:t>
      </w:r>
      <w:r>
        <w:rPr>
          <w:spacing w:val="-10"/>
          <w:u w:val="single"/>
        </w:rPr>
        <w:t> </w:t>
      </w:r>
      <w:r>
        <w:rPr>
          <w:u w:val="single"/>
        </w:rPr>
        <w:t>Französisch</w:t>
      </w:r>
      <w:r>
        <w:rPr>
          <w:spacing w:val="-8"/>
          <w:u w:val="single"/>
        </w:rPr>
        <w:t> </w:t>
      </w:r>
      <w:r>
        <w:rPr>
          <w:u w:val="single"/>
        </w:rPr>
        <w:t>A1,</w:t>
      </w:r>
      <w:r>
        <w:rPr>
          <w:spacing w:val="-9"/>
          <w:u w:val="single"/>
        </w:rPr>
        <w:t> </w:t>
      </w:r>
      <w:r>
        <w:rPr>
          <w:u w:val="single"/>
        </w:rPr>
        <w:t>Kenntnisse</w:t>
      </w:r>
      <w:r>
        <w:rPr>
          <w:spacing w:val="-10"/>
          <w:u w:val="single"/>
        </w:rPr>
        <w:t> </w:t>
      </w:r>
      <w:r>
        <w:rPr>
          <w:u w:val="single"/>
        </w:rPr>
        <w:t>in</w:t>
      </w:r>
      <w:r>
        <w:rPr>
          <w:spacing w:val="-10"/>
          <w:u w:val="single"/>
        </w:rPr>
        <w:t> </w:t>
      </w:r>
      <w:r>
        <w:rPr>
          <w:u w:val="single"/>
        </w:rPr>
        <w:t>Ukrainisch</w:t>
      </w:r>
      <w:r>
        <w:rPr>
          <w:spacing w:val="-9"/>
          <w:u w:val="single"/>
        </w:rPr>
        <w:t> </w:t>
      </w:r>
      <w:r>
        <w:rPr>
          <w:u w:val="single"/>
        </w:rPr>
        <w:t>und/oder</w:t>
      </w:r>
      <w:r>
        <w:rPr>
          <w:spacing w:val="-11"/>
          <w:u w:val="single"/>
        </w:rPr>
        <w:t> </w:t>
      </w:r>
      <w:r>
        <w:rPr>
          <w:u w:val="single"/>
        </w:rPr>
        <w:t>Russisch</w:t>
      </w:r>
      <w:r>
        <w:rPr>
          <w:spacing w:val="-9"/>
          <w:u w:val="single"/>
        </w:rPr>
        <w:t> </w:t>
      </w:r>
      <w:r>
        <w:rPr>
          <w:u w:val="single"/>
        </w:rPr>
        <w:t>wären</w:t>
      </w:r>
      <w:r>
        <w:rPr>
          <w:spacing w:val="-9"/>
          <w:u w:val="single"/>
        </w:rPr>
        <w:t> </w:t>
      </w:r>
      <w:r>
        <w:rPr>
          <w:spacing w:val="-2"/>
          <w:u w:val="single"/>
        </w:rPr>
        <w:t>vorteilhaft</w:t>
      </w:r>
    </w:p>
    <w:p>
      <w:pPr>
        <w:pStyle w:val="BodyText"/>
        <w:rPr>
          <w:sz w:val="20"/>
        </w:rPr>
      </w:pPr>
    </w:p>
    <w:p>
      <w:pPr>
        <w:pStyle w:val="BodyText"/>
        <w:spacing w:before="3"/>
        <w:rPr>
          <w:sz w:val="16"/>
        </w:rPr>
      </w:pPr>
    </w:p>
    <w:p>
      <w:pPr>
        <w:pStyle w:val="ListParagraph"/>
        <w:numPr>
          <w:ilvl w:val="0"/>
          <w:numId w:val="3"/>
        </w:numPr>
        <w:tabs>
          <w:tab w:pos="796" w:val="left" w:leader="none"/>
          <w:tab w:pos="797" w:val="left" w:leader="none"/>
        </w:tabs>
        <w:spacing w:line="240" w:lineRule="auto" w:before="9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spacing w:after="0" w:line="240" w:lineRule="auto"/>
        <w:jc w:val="left"/>
        <w:rPr>
          <w:sz w:val="24"/>
        </w:rPr>
        <w:sectPr>
          <w:pgSz w:w="11910" w:h="16840"/>
          <w:pgMar w:header="0" w:footer="690" w:top="1040" w:bottom="880" w:left="480" w:right="740"/>
        </w:sectPr>
      </w:pPr>
    </w:p>
    <w:p>
      <w:pPr>
        <w:spacing w:before="70"/>
        <w:ind w:left="796" w:right="283"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5"/>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spacing w:before="10"/>
        <w:rPr>
          <w:b/>
          <w:sz w:val="15"/>
        </w:rPr>
      </w:pPr>
    </w:p>
    <w:p>
      <w:pPr>
        <w:pStyle w:val="BodyText"/>
        <w:spacing w:before="91"/>
        <w:ind w:left="796" w:right="283"/>
        <w:jc w:val="both"/>
      </w:pPr>
      <w:r>
        <w:rPr/>
        <w:t>Abordnungen fallen unter den </w:t>
      </w:r>
      <w:r>
        <w:rPr>
          <w:b/>
        </w:rPr>
        <w:t>Beschluss C(2008)</w:t>
      </w:r>
      <w:r>
        <w:rPr>
          <w:b/>
          <w:spacing w:val="-3"/>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r>
          <w:rPr/>
          <w:t>.</w:t>
        </w:r>
      </w:hyperlink>
    </w:p>
    <w:p>
      <w:pPr>
        <w:pStyle w:val="BodyText"/>
        <w:spacing w:before="1"/>
        <w:ind w:left="796"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1"/>
        <w:rPr>
          <w:sz w:val="21"/>
        </w:rPr>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3"/>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9"/>
        </w:rPr>
        <w:t> </w:t>
      </w:r>
      <w:r>
        <w:rPr/>
        <w:t>Angaben</w:t>
      </w:r>
      <w:r>
        <w:rPr>
          <w:spacing w:val="-10"/>
        </w:rPr>
        <w:t> </w:t>
      </w:r>
      <w:r>
        <w:rPr/>
        <w:t>kann</w:t>
      </w:r>
      <w:r>
        <w:rPr>
          <w:spacing w:val="-10"/>
        </w:rPr>
        <w:t> </w:t>
      </w:r>
      <w:r>
        <w:rPr/>
        <w:t>die</w:t>
      </w:r>
      <w:r>
        <w:rPr>
          <w:spacing w:val="-10"/>
        </w:rPr>
        <w:t> </w:t>
      </w:r>
      <w:r>
        <w:rPr/>
        <w:t>Bewerbung</w:t>
      </w:r>
      <w:r>
        <w:rPr>
          <w:spacing w:val="-9"/>
        </w:rPr>
        <w:t> </w:t>
      </w:r>
      <w:r>
        <w:rPr/>
        <w:t>abgelehnt</w:t>
      </w:r>
      <w:r>
        <w:rPr>
          <w:spacing w:val="-9"/>
        </w:rPr>
        <w:t> </w:t>
      </w:r>
      <w:r>
        <w:rPr>
          <w:spacing w:val="-2"/>
        </w:rPr>
        <w:t>werden.</w:t>
      </w:r>
    </w:p>
    <w:p>
      <w:pPr>
        <w:pStyle w:val="BodyText"/>
        <w:spacing w:before="11"/>
        <w:rPr>
          <w:sz w:val="21"/>
        </w:rPr>
      </w:pPr>
    </w:p>
    <w:p>
      <w:pPr>
        <w:pStyle w:val="BodyText"/>
        <w:ind w:left="796"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2"/>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rPr>
          <w:b/>
          <w:sz w:val="16"/>
        </w:rPr>
      </w:pPr>
    </w:p>
    <w:p>
      <w:pPr>
        <w:pStyle w:val="BodyText"/>
        <w:spacing w:before="91"/>
        <w:ind w:left="796" w:right="108"/>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87"/>
        <w:jc w:val="both"/>
      </w:pPr>
      <w:r>
        <w:rPr/>
        <w:t>Die Daten der ANS werden für die Dauer von zehn Jahren ab dem Ende der Abordnung aufbewahrt (zwei Jahre bei ANS, deren Bewerbung zurückgezogen oder nicht berücksichtigt wurde).</w:t>
      </w:r>
    </w:p>
    <w:p>
      <w:pPr>
        <w:pStyle w:val="BodyText"/>
        <w:ind w:left="796" w:right="107"/>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pPr>
    </w:p>
    <w:p>
      <w:pPr>
        <w:pStyle w:val="Heading1"/>
        <w:spacing w:line="252" w:lineRule="exact" w:before="1"/>
        <w:ind w:left="796" w:firstLine="0"/>
      </w:pPr>
      <w:r>
        <w:rPr>
          <w:spacing w:val="-2"/>
          <w:u w:val="single"/>
        </w:rPr>
        <w:t>Kontaktinformationen</w:t>
      </w:r>
    </w:p>
    <w:p>
      <w:pPr>
        <w:pStyle w:val="ListParagraph"/>
        <w:numPr>
          <w:ilvl w:val="0"/>
          <w:numId w:val="5"/>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spacing w:after="0" w:line="252" w:lineRule="exact"/>
        <w:jc w:val="left"/>
        <w:rPr>
          <w:sz w:val="22"/>
        </w:rPr>
        <w:sectPr>
          <w:pgSz w:w="11910" w:h="16840"/>
          <w:pgMar w:header="0" w:footer="690" w:top="1320" w:bottom="880" w:left="480" w:right="740"/>
        </w:sectPr>
      </w:pPr>
    </w:p>
    <w:p>
      <w:pPr>
        <w:pStyle w:val="BodyText"/>
        <w:spacing w:before="74"/>
        <w:ind w:left="1080" w:right="185"/>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1"/>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5"/>
        </w:numPr>
        <w:tabs>
          <w:tab w:pos="1078" w:val="left" w:leader="none"/>
          <w:tab w:pos="1079" w:val="left" w:leader="none"/>
        </w:tabs>
        <w:spacing w:line="240" w:lineRule="auto" w:before="91" w:after="0"/>
        <w:ind w:left="1078" w:right="0" w:hanging="283"/>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85" w:hanging="1"/>
      </w:pPr>
      <w:r>
        <w:rPr/>
        <w:t>Sie können sich an den Datenschutzbeauftragten (</w:t>
      </w:r>
      <w:hyperlink r:id="rId11">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4"/>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pPr>
    </w:p>
    <w:p>
      <w:pPr>
        <w:pStyle w:val="Heading1"/>
        <w:numPr>
          <w:ilvl w:val="0"/>
          <w:numId w:val="5"/>
        </w:numPr>
        <w:tabs>
          <w:tab w:pos="1078" w:val="left" w:leader="none"/>
          <w:tab w:pos="1079" w:val="left" w:leader="none"/>
        </w:tabs>
        <w:spacing w:line="240" w:lineRule="auto" w:before="0" w:after="0"/>
        <w:ind w:left="1078" w:right="0" w:hanging="283"/>
        <w:jc w:val="left"/>
      </w:pPr>
      <w:r>
        <w:rPr>
          <w:spacing w:val="-2"/>
        </w:rPr>
        <w:t>Europäische</w:t>
      </w:r>
      <w:r>
        <w:rPr>
          <w:spacing w:val="12"/>
        </w:rPr>
        <w:t> </w:t>
      </w:r>
      <w:r>
        <w:rPr>
          <w:spacing w:val="-2"/>
        </w:rPr>
        <w:t>Datenschutzbeauftragte</w:t>
      </w:r>
      <w:r>
        <w:rPr>
          <w:spacing w:val="9"/>
        </w:rPr>
        <w:t> </w:t>
      </w:r>
      <w:r>
        <w:rPr>
          <w:spacing w:val="-2"/>
        </w:rPr>
        <w:t>(EDSB)</w:t>
      </w:r>
    </w:p>
    <w:p>
      <w:pPr>
        <w:pStyle w:val="BodyText"/>
        <w:ind w:left="1079" w:right="185"/>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1772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1"/>
      <w:numFmt w:val="lowerLetter"/>
      <w:lvlText w:val="%1)"/>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0">
    <w:multiLevelType w:val="hybridMultilevel"/>
    <w:lvl w:ilvl="0">
      <w:start w:val="0"/>
      <w:numFmt w:val="bullet"/>
      <w:lvlText w:val=""/>
      <w:lvlJc w:val="left"/>
      <w:pPr>
        <w:ind w:left="413" w:hanging="306"/>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36" w:hanging="306"/>
      </w:pPr>
      <w:rPr>
        <w:rFonts w:hint="default"/>
        <w:lang w:val="de-DE" w:eastAsia="en-US" w:bidi="ar-SA"/>
      </w:rPr>
    </w:lvl>
    <w:lvl w:ilvl="2">
      <w:start w:val="0"/>
      <w:numFmt w:val="bullet"/>
      <w:lvlText w:val="•"/>
      <w:lvlJc w:val="left"/>
      <w:pPr>
        <w:ind w:left="1453" w:hanging="306"/>
      </w:pPr>
      <w:rPr>
        <w:rFonts w:hint="default"/>
        <w:lang w:val="de-DE" w:eastAsia="en-US" w:bidi="ar-SA"/>
      </w:rPr>
    </w:lvl>
    <w:lvl w:ilvl="3">
      <w:start w:val="0"/>
      <w:numFmt w:val="bullet"/>
      <w:lvlText w:val="•"/>
      <w:lvlJc w:val="left"/>
      <w:pPr>
        <w:ind w:left="1970" w:hanging="306"/>
      </w:pPr>
      <w:rPr>
        <w:rFonts w:hint="default"/>
        <w:lang w:val="de-DE" w:eastAsia="en-US" w:bidi="ar-SA"/>
      </w:rPr>
    </w:lvl>
    <w:lvl w:ilvl="4">
      <w:start w:val="0"/>
      <w:numFmt w:val="bullet"/>
      <w:lvlText w:val="•"/>
      <w:lvlJc w:val="left"/>
      <w:pPr>
        <w:ind w:left="2486" w:hanging="306"/>
      </w:pPr>
      <w:rPr>
        <w:rFonts w:hint="default"/>
        <w:lang w:val="de-DE" w:eastAsia="en-US" w:bidi="ar-SA"/>
      </w:rPr>
    </w:lvl>
    <w:lvl w:ilvl="5">
      <w:start w:val="0"/>
      <w:numFmt w:val="bullet"/>
      <w:lvlText w:val="•"/>
      <w:lvlJc w:val="left"/>
      <w:pPr>
        <w:ind w:left="3003" w:hanging="306"/>
      </w:pPr>
      <w:rPr>
        <w:rFonts w:hint="default"/>
        <w:lang w:val="de-DE" w:eastAsia="en-US" w:bidi="ar-SA"/>
      </w:rPr>
    </w:lvl>
    <w:lvl w:ilvl="6">
      <w:start w:val="0"/>
      <w:numFmt w:val="bullet"/>
      <w:lvlText w:val="•"/>
      <w:lvlJc w:val="left"/>
      <w:pPr>
        <w:ind w:left="3520" w:hanging="306"/>
      </w:pPr>
      <w:rPr>
        <w:rFonts w:hint="default"/>
        <w:lang w:val="de-DE" w:eastAsia="en-US" w:bidi="ar-SA"/>
      </w:rPr>
    </w:lvl>
    <w:lvl w:ilvl="7">
      <w:start w:val="0"/>
      <w:numFmt w:val="bullet"/>
      <w:lvlText w:val="•"/>
      <w:lvlJc w:val="left"/>
      <w:pPr>
        <w:ind w:left="4036" w:hanging="306"/>
      </w:pPr>
      <w:rPr>
        <w:rFonts w:hint="default"/>
        <w:lang w:val="de-DE" w:eastAsia="en-US" w:bidi="ar-SA"/>
      </w:rPr>
    </w:lvl>
    <w:lvl w:ilvl="8">
      <w:start w:val="0"/>
      <w:numFmt w:val="bullet"/>
      <w:lvlText w:val="•"/>
      <w:lvlJc w:val="left"/>
      <w:pPr>
        <w:ind w:left="4553" w:hanging="306"/>
      </w:pPr>
      <w:rPr>
        <w:rFonts w:hint="default"/>
        <w:lang w:val="de-DE"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70" w:hanging="131"/>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1080" w:hanging="131"/>
      </w:pPr>
      <w:rPr>
        <w:rFonts w:hint="default"/>
        <w:lang w:val="de-DE" w:eastAsia="en-US" w:bidi="ar-SA"/>
      </w:rPr>
    </w:lvl>
    <w:lvl w:ilvl="3">
      <w:start w:val="0"/>
      <w:numFmt w:val="bullet"/>
      <w:lvlText w:val="•"/>
      <w:lvlJc w:val="left"/>
      <w:pPr>
        <w:ind w:left="2280" w:hanging="131"/>
      </w:pPr>
      <w:rPr>
        <w:rFonts w:hint="default"/>
        <w:lang w:val="de-DE" w:eastAsia="en-US" w:bidi="ar-SA"/>
      </w:rPr>
    </w:lvl>
    <w:lvl w:ilvl="4">
      <w:start w:val="0"/>
      <w:numFmt w:val="bullet"/>
      <w:lvlText w:val="•"/>
      <w:lvlJc w:val="left"/>
      <w:pPr>
        <w:ind w:left="3481" w:hanging="131"/>
      </w:pPr>
      <w:rPr>
        <w:rFonts w:hint="default"/>
        <w:lang w:val="de-DE" w:eastAsia="en-US" w:bidi="ar-SA"/>
      </w:rPr>
    </w:lvl>
    <w:lvl w:ilvl="5">
      <w:start w:val="0"/>
      <w:numFmt w:val="bullet"/>
      <w:lvlText w:val="•"/>
      <w:lvlJc w:val="left"/>
      <w:pPr>
        <w:ind w:left="4682" w:hanging="131"/>
      </w:pPr>
      <w:rPr>
        <w:rFonts w:hint="default"/>
        <w:lang w:val="de-DE" w:eastAsia="en-US" w:bidi="ar-SA"/>
      </w:rPr>
    </w:lvl>
    <w:lvl w:ilvl="6">
      <w:start w:val="0"/>
      <w:numFmt w:val="bullet"/>
      <w:lvlText w:val="•"/>
      <w:lvlJc w:val="left"/>
      <w:pPr>
        <w:ind w:left="5883" w:hanging="131"/>
      </w:pPr>
      <w:rPr>
        <w:rFonts w:hint="default"/>
        <w:lang w:val="de-DE" w:eastAsia="en-US" w:bidi="ar-SA"/>
      </w:rPr>
    </w:lvl>
    <w:lvl w:ilvl="7">
      <w:start w:val="0"/>
      <w:numFmt w:val="bullet"/>
      <w:lvlText w:val="•"/>
      <w:lvlJc w:val="left"/>
      <w:pPr>
        <w:ind w:left="7084" w:hanging="131"/>
      </w:pPr>
      <w:rPr>
        <w:rFonts w:hint="default"/>
        <w:lang w:val="de-DE" w:eastAsia="en-US" w:bidi="ar-SA"/>
      </w:rPr>
    </w:lvl>
    <w:lvl w:ilvl="8">
      <w:start w:val="0"/>
      <w:numFmt w:val="bullet"/>
      <w:lvlText w:val="•"/>
      <w:lvlJc w:val="left"/>
      <w:pPr>
        <w:ind w:left="8284" w:hanging="131"/>
      </w:pPr>
      <w:rPr>
        <w:rFonts w:hint="default"/>
        <w:lang w:val="de-DE"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tefan.Schleuning@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2023-03-31T13:59:16Z</dcterms:created>
  <dcterms:modified xsi:type="dcterms:W3CDTF">2023-03-31T13:59:16Z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Acrobat PDFMaker 22 for Word</vt:lpwstr>
  </property>
  <property fmtid="{D5CDD505-2E9C-101B-9397-08002B2CF9AE}" pid="4" name="LastSaved">
    <vt:filetime>2023-03-31T00:00:00Z</vt:filetime>
  </property>
  <property fmtid="{D5CDD505-2E9C-101B-9397-08002B2CF9AE}" pid="5" name="MSIP_Label_6bd9ddd1-4d20-43f6-abfa-fc3c07406f94_ActionId">
    <vt:lpwstr>45af18a8-b4a5-4d15-8cbe-46797d7fab02</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2023-02-28T08:30:13Z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22.3.90</vt:lpwstr>
  </property>
  <property fmtid="{D5CDD505-2E9C-101B-9397-08002B2CF9AE}" pid="13" name="SourceModified">
    <vt:lpwstr>D:20230331135509</vt:lpwstr>
  </property>
</Properties>
</file>