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8"/>
              <w:rPr>
                <w:b/>
                <w:sz w:val="24"/>
              </w:rPr>
            </w:pPr>
            <w:r>
              <w:rPr>
                <w:b/>
                <w:spacing w:val="-2"/>
                <w:sz w:val="24"/>
              </w:rPr>
              <w:t>REFORM-B-</w:t>
            </w:r>
            <w:r>
              <w:rPr>
                <w:b/>
                <w:spacing w:val="-10"/>
                <w:sz w:val="24"/>
              </w:rPr>
              <w:t>1</w:t>
            </w:r>
          </w:p>
        </w:tc>
      </w:tr>
      <w:tr>
        <w:trPr>
          <w:trHeight w:val="2024"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spacing w:before="1"/>
              <w:rPr>
                <w:b/>
                <w:sz w:val="22"/>
              </w:rPr>
            </w:pPr>
            <w:r>
              <w:rPr>
                <w:b/>
                <w:sz w:val="22"/>
              </w:rPr>
              <w:t>Christoph SCHWIERZ </w:t>
            </w:r>
            <w:hyperlink r:id="rId7">
              <w:r>
                <w:rPr>
                  <w:b/>
                  <w:color w:val="0000FF"/>
                  <w:spacing w:val="-2"/>
                  <w:sz w:val="22"/>
                  <w:u w:val="single" w:color="0000FF"/>
                </w:rPr>
                <w:t>Christoph.SCHWIERZ@ec.europa.eu</w:t>
              </w:r>
            </w:hyperlink>
          </w:p>
          <w:p>
            <w:pPr>
              <w:pStyle w:val="TableParagraph"/>
              <w:spacing w:line="252" w:lineRule="exact"/>
              <w:rPr>
                <w:b/>
                <w:sz w:val="22"/>
              </w:rPr>
            </w:pPr>
            <w:r>
              <w:rPr>
                <w:b/>
                <w:sz w:val="22"/>
              </w:rPr>
              <w:t>+32</w:t>
            </w:r>
            <w:r>
              <w:rPr>
                <w:b/>
                <w:spacing w:val="-3"/>
                <w:sz w:val="22"/>
              </w:rPr>
              <w:t> </w:t>
            </w:r>
            <w:r>
              <w:rPr>
                <w:b/>
                <w:sz w:val="22"/>
              </w:rPr>
              <w:t>2</w:t>
            </w:r>
            <w:r>
              <w:rPr>
                <w:b/>
                <w:spacing w:val="-3"/>
                <w:sz w:val="22"/>
              </w:rPr>
              <w:t> </w:t>
            </w:r>
            <w:r>
              <w:rPr>
                <w:b/>
                <w:spacing w:val="-2"/>
                <w:sz w:val="22"/>
              </w:rPr>
              <w:t>29607521</w:t>
            </w:r>
          </w:p>
          <w:p>
            <w:pPr>
              <w:pStyle w:val="TableParagraph"/>
              <w:ind w:left="140"/>
              <w:rPr>
                <w:b/>
                <w:sz w:val="22"/>
              </w:rPr>
            </w:pPr>
            <w:r>
              <w:rPr>
                <w:b/>
                <w:w w:val="99"/>
                <w:sz w:val="22"/>
              </w:rPr>
              <w:t>1</w:t>
            </w:r>
          </w:p>
          <w:p>
            <w:pPr>
              <w:pStyle w:val="TableParagraph"/>
              <w:ind w:left="140"/>
              <w:rPr>
                <w:b/>
                <w:sz w:val="22"/>
              </w:rPr>
            </w:pPr>
            <w:r>
              <w:rPr>
                <w:b/>
                <w:sz w:val="22"/>
              </w:rPr>
              <w:t>1</w:t>
            </w:r>
            <w:r>
              <w:rPr>
                <w:b/>
                <w:spacing w:val="-5"/>
                <w:sz w:val="22"/>
              </w:rPr>
              <w:t> </w:t>
            </w:r>
            <w:r>
              <w:rPr>
                <w:b/>
                <w:sz w:val="22"/>
              </w:rPr>
              <w:t>Januar</w:t>
            </w:r>
            <w:r>
              <w:rPr>
                <w:b/>
                <w:spacing w:val="-5"/>
                <w:sz w:val="22"/>
              </w:rPr>
              <w:t> </w:t>
            </w:r>
            <w:r>
              <w:rPr>
                <w:b/>
                <w:spacing w:val="-2"/>
                <w:sz w:val="22"/>
              </w:rPr>
              <w:t>2024</w:t>
            </w:r>
            <w:hyperlink w:history="true" w:anchor="_bookmark0">
              <w:r>
                <w:rPr>
                  <w:b/>
                  <w:spacing w:val="-2"/>
                  <w:sz w:val="22"/>
                  <w:vertAlign w:val="superscript"/>
                </w:rPr>
                <w:t>1</w:t>
              </w:r>
            </w:hyperlink>
          </w:p>
          <w:p>
            <w:pPr>
              <w:pStyle w:val="TableParagraph"/>
              <w:rPr>
                <w:b/>
                <w:sz w:val="22"/>
              </w:rPr>
            </w:pPr>
            <w:r>
              <w:rPr>
                <w:b/>
                <w:sz w:val="22"/>
              </w:rPr>
              <w:t>2</w:t>
            </w:r>
            <w:r>
              <w:rPr>
                <w:b/>
                <w:spacing w:val="-2"/>
                <w:sz w:val="22"/>
              </w:rPr>
              <w:t> Jahre</w:t>
            </w:r>
            <w:r>
              <w:rPr>
                <w:b/>
                <w:spacing w:val="-2"/>
                <w:sz w:val="22"/>
                <w:vertAlign w:val="superscript"/>
              </w:rPr>
              <w:t>1</w:t>
            </w:r>
          </w:p>
          <w:p>
            <w:pPr>
              <w:pStyle w:val="TableParagraph"/>
              <w:spacing w:before="11"/>
              <w:ind w:left="0"/>
              <w:rPr>
                <w:b/>
                <w:sz w:val="21"/>
              </w:rPr>
            </w:pPr>
          </w:p>
          <w:p>
            <w:pPr>
              <w:pStyle w:val="TableParagraph"/>
              <w:tabs>
                <w:tab w:pos="1523" w:val="left" w:leader="none"/>
              </w:tabs>
              <w:spacing w:line="233" w:lineRule="exact"/>
              <w:rPr>
                <w:b/>
                <w:sz w:val="22"/>
              </w:rPr>
            </w:pPr>
            <w:r>
              <w:rPr>
                <w:rFonts w:ascii="Wingdings 2" w:hAnsi="Wingdings 2"/>
                <w:b/>
                <w:sz w:val="22"/>
              </w:rPr>
              <w:t></w:t>
            </w:r>
            <w:r>
              <w:rPr>
                <w:spacing w:val="27"/>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b/>
                <w:sz w:val="22"/>
              </w:rPr>
              <w:t></w:t>
            </w:r>
            <w:r>
              <w:rPr>
                <w:spacing w:val="47"/>
                <w:sz w:val="22"/>
              </w:rPr>
              <w:t> </w:t>
            </w:r>
            <w:r>
              <w:rPr>
                <w:b/>
                <w:sz w:val="22"/>
              </w:rPr>
              <w:t>Mit</w:t>
            </w:r>
            <w:r>
              <w:rPr>
                <w:b/>
                <w:spacing w:val="-5"/>
                <w:sz w:val="22"/>
              </w:rPr>
              <w:t> </w:t>
            </w:r>
            <w:r>
              <w:rPr>
                <w:b/>
                <w:sz w:val="22"/>
              </w:rPr>
              <w:t>Vergütungen</w:t>
            </w:r>
            <w:r>
              <w:rPr>
                <w:b/>
                <w:spacing w:val="70"/>
                <w:w w:val="150"/>
                <w:sz w:val="22"/>
              </w:rPr>
              <w:t> </w:t>
            </w:r>
            <w:r>
              <w:rPr>
                <w:rFonts w:ascii="Wingdings 2" w:hAnsi="Wingdings 2"/>
                <w:sz w:val="22"/>
              </w:rPr>
              <w:t></w:t>
            </w:r>
            <w:r>
              <w:rPr>
                <w:spacing w:val="46"/>
                <w:sz w:val="22"/>
              </w:rPr>
              <w:t> </w:t>
            </w:r>
            <w:r>
              <w:rPr>
                <w:b/>
                <w:sz w:val="22"/>
              </w:rPr>
              <w:t>Unentgeltlich</w:t>
            </w:r>
            <w:r>
              <w:rPr>
                <w:b/>
                <w:spacing w:val="-4"/>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53" w:lineRule="exact"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tabs>
                <w:tab w:pos="525" w:val="left" w:leader="none"/>
              </w:tabs>
              <w:rPr>
                <w:b/>
                <w:sz w:val="22"/>
              </w:rPr>
            </w:pPr>
            <w:r>
              <w:rPr>
                <w:rFonts w:ascii="Wingdings 2" w:hAnsi="Wingdings 2"/>
                <w:b/>
                <w:spacing w:val="-10"/>
                <w:sz w:val="22"/>
              </w:rPr>
              <w:t></w:t>
            </w:r>
            <w:r>
              <w:rPr>
                <w:sz w:val="22"/>
              </w:rPr>
              <w:tab/>
            </w:r>
            <w:r>
              <w:rPr>
                <w:b/>
                <w:spacing w:val="-2"/>
                <w:sz w:val="22"/>
              </w:rPr>
              <w:t>Bedienstete</w:t>
            </w:r>
            <w:r>
              <w:rPr>
                <w:b/>
                <w:spacing w:val="5"/>
                <w:sz w:val="22"/>
              </w:rPr>
              <w:t> </w:t>
            </w:r>
            <w:r>
              <w:rPr>
                <w:b/>
                <w:spacing w:val="-2"/>
                <w:sz w:val="22"/>
              </w:rPr>
              <w:t>folgender</w:t>
            </w:r>
            <w:r>
              <w:rPr>
                <w:b/>
                <w:spacing w:val="7"/>
                <w:sz w:val="22"/>
              </w:rPr>
              <w:t> </w:t>
            </w:r>
            <w:r>
              <w:rPr>
                <w:b/>
                <w:spacing w:val="-2"/>
                <w:sz w:val="22"/>
              </w:rPr>
              <w:t>zwischenstaatlicher</w:t>
            </w:r>
            <w:r>
              <w:rPr>
                <w:b/>
                <w:spacing w:val="6"/>
                <w:sz w:val="22"/>
              </w:rPr>
              <w:t> </w:t>
            </w:r>
            <w:r>
              <w:rPr>
                <w:b/>
                <w:spacing w:val="-2"/>
                <w:sz w:val="22"/>
              </w:rPr>
              <w:t>Organisationen</w:t>
            </w:r>
            <w:r>
              <w:rPr>
                <w:b/>
                <w:spacing w:val="5"/>
                <w:sz w:val="22"/>
              </w:rPr>
              <w:t> </w:t>
            </w:r>
            <w:r>
              <w:rPr>
                <w:b/>
                <w:spacing w:val="-2"/>
                <w:sz w:val="22"/>
              </w:rPr>
              <w:t>bewerben:</w:t>
            </w:r>
            <w:r>
              <w:rPr>
                <w:b/>
                <w:spacing w:val="4"/>
                <w:sz w:val="22"/>
              </w:rPr>
              <w:t> </w:t>
            </w:r>
            <w:r>
              <w:rPr>
                <w:b/>
                <w:spacing w:val="-2"/>
                <w:sz w:val="22"/>
              </w:rPr>
              <w:t>OECD,</w:t>
            </w:r>
            <w:r>
              <w:rPr>
                <w:b/>
                <w:spacing w:val="7"/>
                <w:sz w:val="22"/>
              </w:rPr>
              <w:t> </w:t>
            </w:r>
            <w:r>
              <w:rPr>
                <w:b/>
                <w:spacing w:val="-2"/>
                <w:sz w:val="22"/>
              </w:rPr>
              <w:t>WB,</w:t>
            </w:r>
            <w:r>
              <w:rPr>
                <w:b/>
                <w:spacing w:val="6"/>
                <w:sz w:val="22"/>
              </w:rPr>
              <w:t> </w:t>
            </w:r>
            <w:r>
              <w:rPr>
                <w:b/>
                <w:spacing w:val="-5"/>
                <w:sz w:val="22"/>
              </w:rPr>
              <w:t>IWF</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16"/>
        </w:rPr>
      </w:pPr>
    </w:p>
    <w:p>
      <w:pPr>
        <w:pStyle w:val="BodyText"/>
        <w:spacing w:before="91"/>
        <w:ind w:left="796" w:right="108"/>
        <w:jc w:val="both"/>
      </w:pPr>
      <w:r>
        <w:rPr/>
        <w:t>Die Generaldirektion Unterstützung von Strukturreformen (GD REFORM) wird koordiniert von Kommissarin Ferreira. Die Mission von GD REFORM ist die Bereitstellung und Koordinierung von technischer Unterstützung für Mitgliedsstaaten zur Vorbereitung und Implementierung von Strukturreformen – insbesondere im Kontext des wirtschaftlichen Steuerungsprozesses – wie auch für die effiziente und effektive Nutzung von Finanzmitteln der Europäischen Union. Die Unterstützung steht allen Mitgliedsstaaten offen, auf deren Anfrage.</w:t>
      </w:r>
    </w:p>
    <w:p>
      <w:pPr>
        <w:pStyle w:val="BodyText"/>
      </w:pPr>
    </w:p>
    <w:p>
      <w:pPr>
        <w:pStyle w:val="BodyText"/>
        <w:ind w:left="796" w:right="107"/>
        <w:jc w:val="both"/>
      </w:pPr>
      <w:r>
        <w:rPr/>
        <w:t>Die GD REFORM stellt derzeit in allen 27 Mitgliedsstaaten Unterstützung zur Verfügung. Sie hat in etwa 200 Mitarbeiter in Brüssel, Athen, Nikosia, Zagreb und Bukarest.</w:t>
      </w:r>
    </w:p>
    <w:p>
      <w:pPr>
        <w:pStyle w:val="BodyText"/>
        <w:rPr>
          <w:sz w:val="24"/>
        </w:rPr>
      </w:pPr>
    </w:p>
    <w:p>
      <w:pPr>
        <w:pStyle w:val="BodyText"/>
        <w:rPr>
          <w:sz w:val="20"/>
        </w:rPr>
      </w:pPr>
    </w:p>
    <w:p>
      <w:pPr>
        <w:pStyle w:val="BodyText"/>
        <w:ind w:left="796" w:right="106"/>
        <w:jc w:val="both"/>
      </w:pPr>
      <w:r>
        <w:rPr/>
        <w:t>Es besteht aus einem Managementteam, horizontalen Richtlinieneinheit und zwei Direktionen. Die Direktion</w:t>
      </w:r>
      <w:r>
        <w:rPr>
          <w:spacing w:val="40"/>
        </w:rPr>
        <w:t> </w:t>
      </w:r>
      <w:r>
        <w:rPr/>
        <w:t>A besteht aus 3 Referaten, die für Haushalt und Finanzen zuständig sind, als auch für Planung, Bewertung und Koordinierung der Unterstützung; und zypriotische Siedlungsunterstützung. Die Direktion B besteht aus 5 Referaten, die für die Verwaltung der Einnahmen und das öffentliche Finanzmanagement zuständig sind. Governance und öffentliche Verwaltung; nachhaltiges Wachstum und Geschäftsumfeld; Arbeitsmarkt, Bildung, Gesundheits- und Sozialdienste; und Finanzsektor und Zugang zu Finanzmitteln.</w:t>
      </w:r>
    </w:p>
    <w:p>
      <w:pPr>
        <w:pStyle w:val="BodyText"/>
      </w:pPr>
    </w:p>
    <w:p>
      <w:pPr>
        <w:pStyle w:val="BodyText"/>
        <w:ind w:left="797" w:right="107"/>
        <w:jc w:val="both"/>
      </w:pPr>
      <w:r>
        <w:rPr/>
        <w:t>Die GD REFORM verwaltet das Programm zur Unterstützung von Strukturreformen (SRSP) und sein Nachfolgeprogramm, das Instrument für technische Unterstützung (TSI). Das TSI ist das wichtigste</w:t>
      </w:r>
      <w:r>
        <w:rPr>
          <w:spacing w:val="40"/>
        </w:rPr>
        <w:t> </w:t>
      </w:r>
      <w:r>
        <w:rPr/>
        <w:t>Instrument der Europäischen Kommission zur Unterstützung der Mitgliedstaaten bei der Gestaltung und Umsetzung wachstumsfördernder und integrativer Reformen, das den Mitgliedstaaten auch Unterstützung bei</w:t>
      </w:r>
    </w:p>
    <w:p>
      <w:pPr>
        <w:pStyle w:val="BodyText"/>
        <w:spacing w:before="7"/>
        <w:rPr>
          <w:sz w:val="26"/>
        </w:rPr>
      </w:pPr>
      <w:r>
        <w:rPr/>
        <w:pict>
          <v:rect style="position:absolute;margin-left:42.540001pt;margin-top:16.506758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firstLine="0"/>
        <w:jc w:val="left"/>
        <w:rPr>
          <w:sz w:val="20"/>
        </w:rPr>
      </w:pPr>
      <w:bookmarkStart w:name="_bookmark0" w:id="1"/>
      <w:bookmarkEnd w:id="1"/>
      <w:r>
        <w:rPr/>
      </w: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796" w:right="108"/>
        <w:jc w:val="both"/>
      </w:pPr>
      <w:r>
        <w:rPr/>
        <w:t>der Vorbereitung und Umsetzung ihres Aufbau- und Resilienzplans bieten kann. Sowohl SRSP als auch TSI verfügen über ein eigenes Budget und einen Rechtsrahmen für die Bereitstellung technischer Unterstützung</w:t>
      </w:r>
      <w:r>
        <w:rPr>
          <w:spacing w:val="80"/>
        </w:rPr>
        <w:t> </w:t>
      </w:r>
      <w:r>
        <w:rPr/>
        <w:t>für die Mitgliedstaaten. Die GD REFORM verwaltet auch das Hilfsprogramm für die türkisch-zypriotische </w:t>
      </w:r>
      <w:r>
        <w:rPr>
          <w:spacing w:val="-2"/>
        </w:rPr>
        <w:t>Gemeinschaft.</w:t>
      </w:r>
    </w:p>
    <w:p>
      <w:pPr>
        <w:pStyle w:val="BodyText"/>
      </w:pPr>
    </w:p>
    <w:p>
      <w:pPr>
        <w:pStyle w:val="BodyText"/>
        <w:ind w:left="796" w:right="107"/>
        <w:jc w:val="both"/>
      </w:pPr>
      <w:r>
        <w:rPr/>
        <w:t>Die Stelle befindet sich in der Abteilung für Finanzverwaltung und öffentliches Finanzmanagement (REFORM.B1), deren Aufgabe es ist, die Unterstützung der Mitgliedstaaten (Konzeption, Design, Durchführung und Überwachung von Programmen und Projekten für technische Unterstützung) in den folgenden Hauptbereichen zu koordinieren: Öffentlichkeit Finanzmanagement und Ausgabenpolitik, Einnahmenverwaltung, Steuerpolitik. Das Referat besteht aus 15 Mitarbeitern mit Sitz in Brüssel (14) und Athen (1).</w:t>
      </w:r>
    </w:p>
    <w:p>
      <w:pPr>
        <w:pStyle w:val="BodyText"/>
      </w:pPr>
    </w:p>
    <w:p>
      <w:pPr>
        <w:pStyle w:val="BodyText"/>
        <w:spacing w:line="480" w:lineRule="auto"/>
        <w:ind w:left="796" w:right="558"/>
        <w:jc w:val="both"/>
      </w:pPr>
      <w:r>
        <w:rPr/>
        <w:t>Der</w:t>
      </w:r>
      <w:r>
        <w:rPr>
          <w:spacing w:val="-3"/>
        </w:rPr>
        <w:t> </w:t>
      </w:r>
      <w:r>
        <w:rPr/>
        <w:t>endsandte</w:t>
      </w:r>
      <w:r>
        <w:rPr>
          <w:spacing w:val="-4"/>
        </w:rPr>
        <w:t> </w:t>
      </w:r>
      <w:r>
        <w:rPr/>
        <w:t>Sachverständige</w:t>
      </w:r>
      <w:r>
        <w:rPr>
          <w:spacing w:val="-4"/>
        </w:rPr>
        <w:t> </w:t>
      </w:r>
      <w:r>
        <w:rPr/>
        <w:t>wird</w:t>
      </w:r>
      <w:r>
        <w:rPr>
          <w:spacing w:val="-3"/>
        </w:rPr>
        <w:t> </w:t>
      </w:r>
      <w:r>
        <w:rPr/>
        <w:t>im</w:t>
      </w:r>
      <w:r>
        <w:rPr>
          <w:spacing w:val="-4"/>
        </w:rPr>
        <w:t> </w:t>
      </w:r>
      <w:r>
        <w:rPr/>
        <w:t>Bereich</w:t>
      </w:r>
      <w:r>
        <w:rPr>
          <w:spacing w:val="-3"/>
        </w:rPr>
        <w:t> </w:t>
      </w:r>
      <w:r>
        <w:rPr/>
        <w:t>der</w:t>
      </w:r>
      <w:r>
        <w:rPr>
          <w:spacing w:val="-3"/>
        </w:rPr>
        <w:t> </w:t>
      </w:r>
      <w:r>
        <w:rPr/>
        <w:t>öffentlichen</w:t>
      </w:r>
      <w:r>
        <w:rPr>
          <w:spacing w:val="-3"/>
        </w:rPr>
        <w:t> </w:t>
      </w:r>
      <w:r>
        <w:rPr/>
        <w:t>Finanzverwaltung</w:t>
      </w:r>
      <w:r>
        <w:rPr>
          <w:spacing w:val="-3"/>
        </w:rPr>
        <w:t> </w:t>
      </w:r>
      <w:r>
        <w:rPr/>
        <w:t>Unterstützung</w:t>
      </w:r>
      <w:r>
        <w:rPr>
          <w:spacing w:val="-3"/>
        </w:rPr>
        <w:t> </w:t>
      </w:r>
      <w:r>
        <w:rPr/>
        <w:t>leisten. Im Tätigkeitsbereich ist der abgeordnete Sachverständige für folgende Aufgaben verantwortlich:</w:t>
      </w:r>
    </w:p>
    <w:p>
      <w:pPr>
        <w:pStyle w:val="ListParagraph"/>
        <w:numPr>
          <w:ilvl w:val="0"/>
          <w:numId w:val="3"/>
        </w:numPr>
        <w:tabs>
          <w:tab w:pos="1080" w:val="left" w:leader="none"/>
        </w:tabs>
        <w:spacing w:line="240" w:lineRule="auto" w:before="0" w:after="0"/>
        <w:ind w:left="1079" w:right="107" w:hanging="284"/>
        <w:jc w:val="both"/>
        <w:rPr>
          <w:sz w:val="22"/>
        </w:rPr>
      </w:pPr>
      <w:r>
        <w:rPr>
          <w:sz w:val="22"/>
        </w:rPr>
        <w:t>Konzeption, Umsetzung und Überwachung von Projekten zur technischen Unterstützung im Bereich des öffentlichen Finanzmanagements in den EU-Mitgliedstaaten, die Bereiche wie die Vorbereitung und Durchführung des Haushalts abdecken; Ausgabenpolitik; Schulden- und Cash-Management; öffentliche Buchhaltung und Statistik; Aufsicht über die öffentlichen Finanzen; makrofiskalischer Rahmen. Darüber hinaus umfasst es auch die Überwachung der Umsetzung der Projekte, um die Qualität zu fördern und die Nachhaltigkeit der wichtigsten Strukturreformen zu unterstützen. Dies beinhaltet eine enge</w:t>
      </w:r>
      <w:r>
        <w:rPr>
          <w:spacing w:val="40"/>
          <w:sz w:val="22"/>
        </w:rPr>
        <w:t> </w:t>
      </w:r>
      <w:r>
        <w:rPr>
          <w:sz w:val="22"/>
        </w:rPr>
        <w:t>Zusammenarbeit mit den Mitgliedstaaten, anderen Kommissionsdienststellen und Anbietern technischer Unterstützung (Mitgliedstaaten, internationale Organisationen, öffentliche Stellen und private </w:t>
      </w:r>
      <w:r>
        <w:rPr>
          <w:spacing w:val="-2"/>
          <w:sz w:val="22"/>
        </w:rPr>
        <w:t>Sachverständige).</w:t>
      </w:r>
    </w:p>
    <w:p>
      <w:pPr>
        <w:pStyle w:val="ListParagraph"/>
        <w:numPr>
          <w:ilvl w:val="0"/>
          <w:numId w:val="3"/>
        </w:numPr>
        <w:tabs>
          <w:tab w:pos="1080" w:val="left" w:leader="none"/>
        </w:tabs>
        <w:spacing w:line="240" w:lineRule="auto" w:before="0" w:after="0"/>
        <w:ind w:left="1079" w:right="107" w:hanging="284"/>
        <w:jc w:val="both"/>
        <w:rPr>
          <w:sz w:val="22"/>
        </w:rPr>
      </w:pPr>
      <w:r>
        <w:rPr>
          <w:sz w:val="22"/>
        </w:rPr>
        <w:t>Verfolgung und Lösung von Problemen im Zusammenhang mit der Implementierung der technischen Unterstützung; Dazu gehören die Ermittlung von Reformengpässen und der Vorschlag von Mitteln zu</w:t>
      </w:r>
      <w:r>
        <w:rPr>
          <w:spacing w:val="40"/>
          <w:sz w:val="22"/>
        </w:rPr>
        <w:t> </w:t>
      </w:r>
      <w:r>
        <w:rPr>
          <w:sz w:val="22"/>
        </w:rPr>
        <w:t>deren Überwindung durch Bereitstellung technischer Unterstützung in Abstimmung mit den zuständigen Kommissionsdienststellen und den einzelnen Mitgliedstaaten, die technische Unterstützung im Bereich der öffentlichen Finanzverwaltung anfordern.</w:t>
      </w:r>
    </w:p>
    <w:p>
      <w:pPr>
        <w:pStyle w:val="ListParagraph"/>
        <w:numPr>
          <w:ilvl w:val="0"/>
          <w:numId w:val="3"/>
        </w:numPr>
        <w:tabs>
          <w:tab w:pos="1081" w:val="left" w:leader="none"/>
        </w:tabs>
        <w:spacing w:line="240" w:lineRule="auto" w:before="0" w:after="0"/>
        <w:ind w:left="1080" w:right="108" w:hanging="284"/>
        <w:jc w:val="both"/>
        <w:rPr>
          <w:sz w:val="22"/>
        </w:rPr>
      </w:pPr>
      <w:r>
        <w:rPr>
          <w:sz w:val="22"/>
        </w:rPr>
        <w:t>Teilnahme an Dienstreisen im Zusammenhang mit der technischen Unterstützung im Bereich der </w:t>
      </w:r>
      <w:r>
        <w:rPr>
          <w:spacing w:val="-2"/>
          <w:sz w:val="22"/>
        </w:rPr>
        <w:t>Finanzverwaltung;</w:t>
      </w:r>
    </w:p>
    <w:p>
      <w:pPr>
        <w:pStyle w:val="ListParagraph"/>
        <w:numPr>
          <w:ilvl w:val="0"/>
          <w:numId w:val="3"/>
        </w:numPr>
        <w:tabs>
          <w:tab w:pos="1081" w:val="left" w:leader="none"/>
        </w:tabs>
        <w:spacing w:line="240" w:lineRule="auto" w:before="0" w:after="0"/>
        <w:ind w:left="1080" w:right="108" w:hanging="284"/>
        <w:jc w:val="both"/>
        <w:rPr>
          <w:sz w:val="22"/>
        </w:rPr>
      </w:pPr>
      <w:r>
        <w:rPr>
          <w:sz w:val="22"/>
        </w:rPr>
        <w:t>Verbreitung bewährter Verfahren für die Umsetzung von Strukturreformen durch Vermittlung von Unterstützung und Erfahrungsaustausch; und</w:t>
      </w:r>
    </w:p>
    <w:p>
      <w:pPr>
        <w:pStyle w:val="ListParagraph"/>
        <w:numPr>
          <w:ilvl w:val="0"/>
          <w:numId w:val="3"/>
        </w:numPr>
        <w:tabs>
          <w:tab w:pos="1081" w:val="left" w:leader="none"/>
        </w:tabs>
        <w:spacing w:line="240" w:lineRule="auto" w:before="1" w:after="0"/>
        <w:ind w:left="1080" w:right="107" w:hanging="284"/>
        <w:jc w:val="both"/>
        <w:rPr>
          <w:sz w:val="22"/>
        </w:rPr>
      </w:pPr>
      <w:r>
        <w:rPr>
          <w:sz w:val="22"/>
        </w:rPr>
        <w:t>Unterstützung bei der Ermittlung des Reformbedarfs und bei der Formulierung vorgeschlagener Mittel zu dessen Überwindung durch Bereitstellung technischer Unterstützung in Abstimmung mit den zuständigen Kommissionsdienststellen und dem einzelnen Mitgliedstaat, der technische Unterstützung anfordert. Dies beinhaltet die Zusammenarbeit mit den anfragenden Mitgliedstaaten bei der Ermittlung von Problemen / Hindernissen / Problemen in ihren derzeitigen Finanzverwaltungssystemen und bei der Entwicklung politischer Empfehlungen zur Verbesserung dieses Rahmens auf der Grundlage der besten europäischen und internationalen Praxis.</w:t>
      </w:r>
    </w:p>
    <w:p>
      <w:pPr>
        <w:pStyle w:val="BodyText"/>
        <w:spacing w:before="11"/>
        <w:rPr>
          <w:sz w:val="21"/>
        </w:rPr>
      </w:pPr>
    </w:p>
    <w:p>
      <w:pPr>
        <w:pStyle w:val="BodyText"/>
        <w:ind w:left="797" w:right="107"/>
        <w:jc w:val="both"/>
      </w:pPr>
      <w:r>
        <w:rPr/>
        <w:t>Angesichts dieser Aufgaben erfordert die Stelle regelmäßige Dienstreisen in die Mitgliedstaaten, sowohl zur Koordinierung / Bereitstellung / Überwachung der technischen Unterstützung in den Empfängerländern als auch zur Stärkung der Verbindungen zu möglichen Anbietern technischer Unterstützung in den Mitgliedstaaten. Dies kann auch die Teilnahme an Missionen mit dem IWF, der OECD oder der Weltbank </w:t>
      </w:r>
      <w:r>
        <w:rPr>
          <w:spacing w:val="-2"/>
        </w:rPr>
        <w:t>beinhalten.</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1"/>
          <w:numId w:val="2"/>
        </w:numPr>
        <w:tabs>
          <w:tab w:pos="1037" w:val="left" w:leader="none"/>
        </w:tabs>
        <w:spacing w:line="240" w:lineRule="auto" w:before="90" w:after="0"/>
        <w:ind w:left="1036" w:right="0" w:hanging="241"/>
        <w:jc w:val="left"/>
      </w:pPr>
      <w:r>
        <w:rPr>
          <w:spacing w:val="-2"/>
          <w:u w:val="single"/>
        </w:rPr>
        <w:t>Zulassungskriterien</w:t>
      </w:r>
    </w:p>
    <w:p>
      <w:pPr>
        <w:pStyle w:val="BodyText"/>
        <w:spacing w:before="1"/>
        <w:rPr>
          <w:b/>
          <w:sz w:val="14"/>
        </w:rPr>
      </w:pPr>
    </w:p>
    <w:p>
      <w:pPr>
        <w:pStyle w:val="BodyText"/>
        <w:spacing w:before="91"/>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spacing w:after="0"/>
        <w:jc w:val="both"/>
        <w:sectPr>
          <w:pgSz w:w="11910" w:h="16840"/>
          <w:pgMar w:header="0" w:footer="690" w:top="1040" w:bottom="880" w:left="480" w:right="740"/>
        </w:sectPr>
      </w:pPr>
    </w:p>
    <w:p>
      <w:pPr>
        <w:pStyle w:val="ListParagraph"/>
        <w:numPr>
          <w:ilvl w:val="2"/>
          <w:numId w:val="2"/>
        </w:numPr>
        <w:tabs>
          <w:tab w:pos="1081" w:val="left" w:leader="none"/>
        </w:tabs>
        <w:spacing w:line="240" w:lineRule="auto" w:before="74"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2"/>
          <w:numId w:val="2"/>
        </w:numPr>
        <w:tabs>
          <w:tab w:pos="1081" w:val="left" w:leader="none"/>
        </w:tabs>
        <w:spacing w:line="240" w:lineRule="auto" w:before="0" w:after="0"/>
        <w:ind w:left="1080" w:right="109"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rPr>
          <w:sz w:val="24"/>
        </w:rPr>
      </w:pP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0"/>
          <w:numId w:val="4"/>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0"/>
          <w:numId w:val="4"/>
        </w:numPr>
        <w:tabs>
          <w:tab w:pos="1209" w:val="left" w:leader="none"/>
        </w:tabs>
        <w:spacing w:line="240" w:lineRule="auto" w:before="1"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spacing w:before="10"/>
        <w:rPr>
          <w:sz w:val="21"/>
        </w:rPr>
      </w:pPr>
    </w:p>
    <w:p>
      <w:pPr>
        <w:pStyle w:val="BodyText"/>
        <w:tabs>
          <w:tab w:pos="1687" w:val="left" w:leader="none"/>
          <w:tab w:pos="2694" w:val="left" w:leader="none"/>
          <w:tab w:pos="3944" w:val="left" w:leader="none"/>
          <w:tab w:pos="5791" w:val="left" w:leader="none"/>
          <w:tab w:pos="7011" w:val="left" w:leader="none"/>
          <w:tab w:pos="8315" w:val="left" w:leader="none"/>
          <w:tab w:pos="8642" w:val="left" w:leader="none"/>
          <w:tab w:pos="9946" w:val="left" w:leader="none"/>
        </w:tabs>
        <w:ind w:left="1221" w:right="168" w:hanging="32"/>
      </w:pPr>
      <w:r>
        <w:rPr>
          <w:spacing w:val="-6"/>
        </w:rPr>
        <w:t>im</w:t>
      </w:r>
      <w:r>
        <w:rPr/>
        <w:tab/>
      </w:r>
      <w:r>
        <w:rPr>
          <w:spacing w:val="-2"/>
        </w:rPr>
        <w:t>Bereich:</w:t>
      </w:r>
      <w:r>
        <w:rPr/>
        <w:tab/>
      </w:r>
      <w:r>
        <w:rPr>
          <w:spacing w:val="-2"/>
        </w:rPr>
        <w:t>Wirtschaft,</w:t>
      </w:r>
      <w:r>
        <w:rPr/>
        <w:tab/>
      </w:r>
      <w:r>
        <w:rPr>
          <w:spacing w:val="-2"/>
        </w:rPr>
        <w:t>Rechnungswesen,</w:t>
      </w:r>
      <w:r>
        <w:rPr/>
        <w:tab/>
      </w:r>
      <w:r>
        <w:rPr>
          <w:spacing w:val="-2"/>
        </w:rPr>
        <w:t>öffentliche</w:t>
      </w:r>
      <w:r>
        <w:rPr/>
        <w:tab/>
      </w:r>
      <w:r>
        <w:rPr>
          <w:spacing w:val="-2"/>
        </w:rPr>
        <w:t>Verwaltung</w:t>
      </w:r>
      <w:r>
        <w:rPr/>
        <w:tab/>
      </w:r>
      <w:r>
        <w:rPr>
          <w:spacing w:val="-10"/>
        </w:rPr>
        <w:t>/</w:t>
      </w:r>
      <w:r>
        <w:rPr/>
        <w:tab/>
      </w:r>
      <w:r>
        <w:rPr>
          <w:spacing w:val="-2"/>
        </w:rPr>
        <w:t>öffentliches</w:t>
      </w:r>
      <w:r>
        <w:rPr/>
        <w:tab/>
      </w:r>
      <w:r>
        <w:rPr>
          <w:spacing w:val="-2"/>
        </w:rPr>
        <w:t>Recht, </w:t>
      </w:r>
      <w:r>
        <w:rPr/>
        <w:t>Wirtschaftsprüfung, Politikwissenschaft.</w:t>
      </w:r>
    </w:p>
    <w:p>
      <w:pPr>
        <w:pStyle w:val="BodyText"/>
        <w:spacing w:before="1"/>
      </w:pPr>
    </w:p>
    <w:p>
      <w:pPr>
        <w:pStyle w:val="BodyText"/>
        <w:ind w:left="1080"/>
      </w:pPr>
      <w:r>
        <w:rPr>
          <w:spacing w:val="-2"/>
          <w:u w:val="single"/>
        </w:rPr>
        <w:t>Berufserfahrung</w:t>
      </w:r>
    </w:p>
    <w:p>
      <w:pPr>
        <w:pStyle w:val="BodyText"/>
        <w:spacing w:before="1"/>
        <w:rPr>
          <w:sz w:val="14"/>
        </w:rPr>
      </w:pPr>
    </w:p>
    <w:p>
      <w:pPr>
        <w:pStyle w:val="BodyText"/>
        <w:spacing w:before="90"/>
        <w:ind w:left="1079" w:right="166"/>
        <w:jc w:val="both"/>
      </w:pPr>
      <w:r>
        <w:rPr/>
        <w:t>Der Sachverständige sollte nachweislich in der Lage sein, ein hohes Maß an Verantwortung zu übernehmen, und über fundierte Kenntnisse in einer Reihe von Themen im Bereich der Finanzverwaltung verfügen, einschließlich der periodengerechten Rechnungslegung und der Überprüfung der Ausgaben. Mindestens 6 Jahre Erfahrung im Bereich der Finanzverwaltung in Bereichen der Einhaltung von Steuervorschriften, aggressive Steuerplanung, Steuerbetrug und Steuerhinterziehung. Vorerfahrungen als Anbieter von technischem Support, insbesondere in Zusammenarbeit mit internationalen Organisationen, wären für einen Kandidaten ein starkes Plus. Der Experte sollte auch scharfe analytische Fähigkeiten und nachweisbare</w:t>
      </w:r>
      <w:r>
        <w:rPr>
          <w:spacing w:val="-2"/>
        </w:rPr>
        <w:t> </w:t>
      </w:r>
      <w:r>
        <w:rPr/>
        <w:t>Fähigkeiten</w:t>
      </w:r>
      <w:r>
        <w:rPr>
          <w:spacing w:val="-2"/>
        </w:rPr>
        <w:t> </w:t>
      </w:r>
      <w:r>
        <w:rPr/>
        <w:t>nachweisen,</w:t>
      </w:r>
      <w:r>
        <w:rPr>
          <w:spacing w:val="-2"/>
        </w:rPr>
        <w:t> </w:t>
      </w:r>
      <w:r>
        <w:rPr/>
        <w:t>einschließlich</w:t>
      </w:r>
      <w:r>
        <w:rPr>
          <w:spacing w:val="-2"/>
        </w:rPr>
        <w:t> </w:t>
      </w:r>
      <w:r>
        <w:rPr/>
        <w:t>der</w:t>
      </w:r>
      <w:r>
        <w:rPr>
          <w:spacing w:val="-3"/>
        </w:rPr>
        <w:t> </w:t>
      </w:r>
      <w:r>
        <w:rPr/>
        <w:t>Fähigkeit</w:t>
      </w:r>
      <w:r>
        <w:rPr>
          <w:spacing w:val="-3"/>
        </w:rPr>
        <w:t> </w:t>
      </w:r>
      <w:r>
        <w:rPr/>
        <w:t>verfahrenstechnische</w:t>
      </w:r>
      <w:r>
        <w:rPr>
          <w:spacing w:val="-3"/>
        </w:rPr>
        <w:t> </w:t>
      </w:r>
      <w:r>
        <w:rPr/>
        <w:t>Aspekte</w:t>
      </w:r>
      <w:r>
        <w:rPr>
          <w:spacing w:val="-3"/>
        </w:rPr>
        <w:t> </w:t>
      </w:r>
      <w:r>
        <w:rPr/>
        <w:t>von</w:t>
      </w:r>
      <w:r>
        <w:rPr>
          <w:spacing w:val="-2"/>
        </w:rPr>
        <w:t> </w:t>
      </w:r>
      <w:r>
        <w:rPr/>
        <w:t>EU- finanzierter technischer Unterstützung zugunsten der Mitgliedstaaten zu beherrschen, um schnell zu lernen und in neuen Themen operativ zu werden. Hervorragende Entwurfs- und Präsentationsfähigkeiten in Englisch sind erforderlich. Die Fähigkeit, die Arbeit mit fundiertem Urteilsvermögen schnell voranzutreiben und sich effektiv mit internen und externen Kollegen zu vernetzen, ist von entscheidender Bedeutung. Vorerfahrungen als Manager von technischen Supportprojekten wären von Vorteil.</w:t>
      </w:r>
    </w:p>
    <w:p>
      <w:pPr>
        <w:pStyle w:val="BodyText"/>
        <w:spacing w:before="1"/>
      </w:pPr>
    </w:p>
    <w:p>
      <w:pPr>
        <w:pStyle w:val="BodyText"/>
        <w:ind w:left="1080"/>
        <w:jc w:val="both"/>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1"/>
        <w:rPr>
          <w:sz w:val="14"/>
        </w:rPr>
      </w:pPr>
    </w:p>
    <w:p>
      <w:pPr>
        <w:pStyle w:val="BodyText"/>
        <w:spacing w:before="90"/>
        <w:ind w:left="1080"/>
      </w:pPr>
      <w:r>
        <w:rPr/>
        <w:t>Der abgeordnete nationale Experte wird hauptsächlich in Englisch arbeiten. Hervorragende Entwurfs- und Präsentationsfähigkeiten in Englisch sind unerlässlich.</w:t>
      </w:r>
    </w:p>
    <w:p>
      <w:pPr>
        <w:pStyle w:val="BodyText"/>
        <w:spacing w:before="2"/>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spacing w:before="11"/>
        <w:rPr>
          <w:b/>
          <w:sz w:val="15"/>
        </w:rPr>
      </w:pPr>
    </w:p>
    <w:p>
      <w:pPr>
        <w:spacing w:before="90"/>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w:t>
      </w:r>
      <w:r>
        <w:rPr>
          <w:spacing w:val="80"/>
          <w:sz w:val="22"/>
        </w:rPr>
        <w:t> </w:t>
      </w:r>
      <w:r>
        <w:rPr>
          <w:sz w:val="22"/>
        </w:rPr>
        <w:t>(wie</w:t>
      </w:r>
      <w:r>
        <w:rPr>
          <w:spacing w:val="80"/>
          <w:sz w:val="22"/>
        </w:rPr>
        <w:t> </w:t>
      </w:r>
      <w:r>
        <w:rPr>
          <w:sz w:val="22"/>
        </w:rPr>
        <w:t>Kopien</w:t>
      </w:r>
      <w:r>
        <w:rPr>
          <w:spacing w:val="80"/>
          <w:sz w:val="22"/>
        </w:rPr>
        <w:t> </w:t>
      </w:r>
      <w:r>
        <w:rPr>
          <w:sz w:val="22"/>
        </w:rPr>
        <w:t>des</w:t>
      </w:r>
      <w:r>
        <w:rPr>
          <w:spacing w:val="80"/>
          <w:sz w:val="22"/>
        </w:rPr>
        <w:t> </w:t>
      </w:r>
      <w:r>
        <w:rPr>
          <w:sz w:val="22"/>
        </w:rPr>
        <w:t>Personalausweises,</w:t>
      </w:r>
      <w:r>
        <w:rPr>
          <w:spacing w:val="80"/>
          <w:sz w:val="22"/>
        </w:rPr>
        <w:t> </w:t>
      </w:r>
      <w:r>
        <w:rPr>
          <w:sz w:val="22"/>
        </w:rPr>
        <w:t>Kopien</w:t>
      </w:r>
      <w:r>
        <w:rPr>
          <w:spacing w:val="80"/>
          <w:sz w:val="22"/>
        </w:rPr>
        <w:t> </w:t>
      </w:r>
      <w:r>
        <w:rPr>
          <w:sz w:val="22"/>
        </w:rPr>
        <w:t>von</w:t>
      </w:r>
      <w:r>
        <w:rPr>
          <w:spacing w:val="80"/>
          <w:sz w:val="22"/>
        </w:rPr>
        <w:t> </w:t>
      </w:r>
      <w:r>
        <w:rPr>
          <w:sz w:val="22"/>
        </w:rPr>
        <w:t>Abschlusszeugnissen,</w:t>
      </w:r>
      <w:r>
        <w:rPr>
          <w:spacing w:val="80"/>
          <w:sz w:val="22"/>
        </w:rPr>
        <w:t> </w:t>
      </w:r>
      <w:r>
        <w:rPr>
          <w:sz w:val="22"/>
        </w:rPr>
        <w:t>Nachweise</w:t>
      </w:r>
      <w:r>
        <w:rPr>
          <w:spacing w:val="80"/>
          <w:sz w:val="22"/>
        </w:rPr>
        <w:t> </w:t>
      </w:r>
      <w:r>
        <w:rPr>
          <w:sz w:val="22"/>
        </w:rPr>
        <w:t>der</w:t>
      </w:r>
    </w:p>
    <w:p>
      <w:pPr>
        <w:spacing w:after="0"/>
        <w:jc w:val="both"/>
        <w:rPr>
          <w:sz w:val="22"/>
        </w:rPr>
        <w:sectPr>
          <w:pgSz w:w="11910" w:h="16840"/>
          <w:pgMar w:header="0" w:footer="690" w:top="1040" w:bottom="880" w:left="480" w:right="740"/>
        </w:sectPr>
      </w:pPr>
    </w:p>
    <w:p>
      <w:pPr>
        <w:pStyle w:val="BodyText"/>
        <w:spacing w:before="74"/>
        <w:ind w:left="796"/>
      </w:pPr>
      <w:r>
        <w:rPr/>
        <w:t>Berufserfahrung</w:t>
      </w:r>
      <w:r>
        <w:rPr>
          <w:spacing w:val="30"/>
        </w:rPr>
        <w:t> </w:t>
      </w:r>
      <w:r>
        <w:rPr/>
        <w:t>usw.)</w:t>
      </w:r>
      <w:r>
        <w:rPr>
          <w:spacing w:val="29"/>
        </w:rPr>
        <w:t> </w:t>
      </w:r>
      <w:r>
        <w:rPr/>
        <w:t>beizufügen.</w:t>
      </w:r>
      <w:r>
        <w:rPr>
          <w:spacing w:val="29"/>
        </w:rPr>
        <w:t> </w:t>
      </w:r>
      <w:r>
        <w:rPr/>
        <w:t>Diese</w:t>
      </w:r>
      <w:r>
        <w:rPr>
          <w:spacing w:val="29"/>
        </w:rPr>
        <w:t> </w:t>
      </w:r>
      <w:r>
        <w:rPr/>
        <w:t>Dokumente</w:t>
      </w:r>
      <w:r>
        <w:rPr>
          <w:spacing w:val="29"/>
        </w:rPr>
        <w:t> </w:t>
      </w:r>
      <w:r>
        <w:rPr/>
        <w:t>sind</w:t>
      </w:r>
      <w:r>
        <w:rPr>
          <w:spacing w:val="30"/>
        </w:rPr>
        <w:t> </w:t>
      </w:r>
      <w:r>
        <w:rPr/>
        <w:t>gegebenenfalls</w:t>
      </w:r>
      <w:r>
        <w:rPr>
          <w:spacing w:val="29"/>
        </w:rPr>
        <w:t> </w:t>
      </w:r>
      <w:r>
        <w:rPr/>
        <w:t>in</w:t>
      </w:r>
      <w:r>
        <w:rPr>
          <w:spacing w:val="30"/>
        </w:rPr>
        <w:t> </w:t>
      </w:r>
      <w:r>
        <w:rPr/>
        <w:t>einem</w:t>
      </w:r>
      <w:r>
        <w:rPr>
          <w:spacing w:val="28"/>
        </w:rPr>
        <w:t> </w:t>
      </w:r>
      <w:r>
        <w:rPr/>
        <w:t>späteren</w:t>
      </w:r>
      <w:r>
        <w:rPr>
          <w:spacing w:val="30"/>
        </w:rPr>
        <w:t> </w:t>
      </w:r>
      <w:r>
        <w:rPr/>
        <w:t>Stadium</w:t>
      </w:r>
      <w:r>
        <w:rPr>
          <w:spacing w:val="28"/>
        </w:rPr>
        <w:t> </w:t>
      </w:r>
      <w:r>
        <w:rPr/>
        <w:t>des Auswahlverfahrens vorzulegen.</w:t>
      </w:r>
    </w:p>
    <w:p>
      <w:pPr>
        <w:pStyle w:val="BodyText"/>
        <w:ind w:left="796"/>
      </w:pPr>
      <w:r>
        <w:rPr/>
        <w:t>Die Bewerberinnen und Bewerber werden von dem einstellenden Referat über den Stand ihrer Bewerbung </w:t>
      </w:r>
      <w:r>
        <w:rPr>
          <w:spacing w:val="-2"/>
        </w:rPr>
        <w:t>informiert.</w:t>
      </w:r>
    </w:p>
    <w:p>
      <w:pPr>
        <w:pStyle w:val="BodyText"/>
        <w:spacing w:before="1"/>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1"/>
        <w:rPr>
          <w:b/>
          <w:sz w:val="15"/>
        </w:rPr>
      </w:pPr>
    </w:p>
    <w:p>
      <w:pPr>
        <w:spacing w:before="90"/>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4"/>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0"/>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6"/>
        <w:jc w:val="both"/>
      </w:pPr>
      <w:r>
        <w:rPr/>
        <w:t>Die Daten der ANS werden für die Dauer von zehn Jahren ab dem Ende der Abordnung aufbewahrt (zwei Jahre bei ANS, deren Bewerbung zurückgezogen oder nicht berücksichtigt wurde).</w:t>
      </w:r>
    </w:p>
    <w:p>
      <w:pPr>
        <w:pStyle w:val="BodyText"/>
        <w:spacing w:before="1"/>
        <w:ind w:left="796"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7"/>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spacing w:before="1"/>
        <w:ind w:left="1080" w:right="168"/>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HR-MAIL-B1@ec.europa.eu</w:t>
        </w:r>
      </w:hyperlink>
      <w:r>
        <w:rPr>
          <w:color w:val="0000FF"/>
        </w:rPr>
        <w:t> </w:t>
      </w:r>
      <w:r>
        <w:rPr/>
        <w:t>wenden.</w:t>
      </w:r>
    </w:p>
    <w:p>
      <w:pPr>
        <w:pStyle w:val="BodyText"/>
        <w:spacing w:before="1"/>
        <w:rPr>
          <w:sz w:val="14"/>
        </w:rPr>
      </w:pPr>
    </w:p>
    <w:p>
      <w:pPr>
        <w:pStyle w:val="Heading1"/>
        <w:numPr>
          <w:ilvl w:val="0"/>
          <w:numId w:val="5"/>
        </w:numPr>
        <w:tabs>
          <w:tab w:pos="1078" w:val="left" w:leader="none"/>
          <w:tab w:pos="1079" w:val="left" w:leader="none"/>
        </w:tabs>
        <w:spacing w:line="240" w:lineRule="auto" w:before="91"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68" w:hanging="1"/>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spacing w:before="11"/>
        <w:rPr>
          <w:sz w:val="21"/>
        </w:rPr>
      </w:pPr>
    </w:p>
    <w:p>
      <w:pPr>
        <w:pStyle w:val="Heading1"/>
        <w:numPr>
          <w:ilvl w:val="0"/>
          <w:numId w:val="5"/>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spacing w:after="0" w:line="240" w:lineRule="auto"/>
        <w:jc w:val="left"/>
        <w:sectPr>
          <w:pgSz w:w="11910" w:h="16840"/>
          <w:pgMar w:header="0" w:footer="690" w:top="1040" w:bottom="880" w:left="480" w:right="740"/>
        </w:sectPr>
      </w:pPr>
    </w:p>
    <w:p>
      <w:pPr>
        <w:pStyle w:val="BodyText"/>
        <w:spacing w:before="74"/>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643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148" w:hanging="129"/>
      </w:pPr>
      <w:rPr>
        <w:rFonts w:hint="default"/>
        <w:lang w:val="de-DE" w:eastAsia="en-US" w:bidi="ar-SA"/>
      </w:rPr>
    </w:lvl>
    <w:lvl w:ilvl="2">
      <w:start w:val="0"/>
      <w:numFmt w:val="bullet"/>
      <w:lvlText w:val="•"/>
      <w:lvlJc w:val="left"/>
      <w:pPr>
        <w:ind w:left="3097" w:hanging="129"/>
      </w:pPr>
      <w:rPr>
        <w:rFonts w:hint="default"/>
        <w:lang w:val="de-DE" w:eastAsia="en-US" w:bidi="ar-SA"/>
      </w:rPr>
    </w:lvl>
    <w:lvl w:ilvl="3">
      <w:start w:val="0"/>
      <w:numFmt w:val="bullet"/>
      <w:lvlText w:val="•"/>
      <w:lvlJc w:val="left"/>
      <w:pPr>
        <w:ind w:left="4045" w:hanging="129"/>
      </w:pPr>
      <w:rPr>
        <w:rFonts w:hint="default"/>
        <w:lang w:val="de-DE" w:eastAsia="en-US" w:bidi="ar-SA"/>
      </w:rPr>
    </w:lvl>
    <w:lvl w:ilvl="4">
      <w:start w:val="0"/>
      <w:numFmt w:val="bullet"/>
      <w:lvlText w:val="•"/>
      <w:lvlJc w:val="left"/>
      <w:pPr>
        <w:ind w:left="4994" w:hanging="129"/>
      </w:pPr>
      <w:rPr>
        <w:rFonts w:hint="default"/>
        <w:lang w:val="de-DE" w:eastAsia="en-US" w:bidi="ar-SA"/>
      </w:rPr>
    </w:lvl>
    <w:lvl w:ilvl="5">
      <w:start w:val="0"/>
      <w:numFmt w:val="bullet"/>
      <w:lvlText w:val="•"/>
      <w:lvlJc w:val="left"/>
      <w:pPr>
        <w:ind w:left="5943" w:hanging="129"/>
      </w:pPr>
      <w:rPr>
        <w:rFonts w:hint="default"/>
        <w:lang w:val="de-DE" w:eastAsia="en-US" w:bidi="ar-SA"/>
      </w:rPr>
    </w:lvl>
    <w:lvl w:ilvl="6">
      <w:start w:val="0"/>
      <w:numFmt w:val="bullet"/>
      <w:lvlText w:val="•"/>
      <w:lvlJc w:val="left"/>
      <w:pPr>
        <w:ind w:left="6891" w:hanging="129"/>
      </w:pPr>
      <w:rPr>
        <w:rFonts w:hint="default"/>
        <w:lang w:val="de-DE" w:eastAsia="en-US" w:bidi="ar-SA"/>
      </w:rPr>
    </w:lvl>
    <w:lvl w:ilvl="7">
      <w:start w:val="0"/>
      <w:numFmt w:val="bullet"/>
      <w:lvlText w:val="•"/>
      <w:lvlJc w:val="left"/>
      <w:pPr>
        <w:ind w:left="7840" w:hanging="129"/>
      </w:pPr>
      <w:rPr>
        <w:rFonts w:hint="default"/>
        <w:lang w:val="de-DE" w:eastAsia="en-US" w:bidi="ar-SA"/>
      </w:rPr>
    </w:lvl>
    <w:lvl w:ilvl="8">
      <w:start w:val="0"/>
      <w:numFmt w:val="bullet"/>
      <w:lvlText w:val="•"/>
      <w:lvlJc w:val="left"/>
      <w:pPr>
        <w:ind w:left="8789" w:hanging="129"/>
      </w:pPr>
      <w:rPr>
        <w:rFonts w:hint="default"/>
        <w:lang w:val="de-DE" w:eastAsia="en-US" w:bidi="ar-SA"/>
      </w:rPr>
    </w:lvl>
  </w:abstractNum>
  <w:abstractNum w:abstractNumId="2">
    <w:multiLevelType w:val="hybridMultilevel"/>
    <w:lvl w:ilvl="0">
      <w:start w:val="0"/>
      <w:numFmt w:val="bullet"/>
      <w:lvlText w:val="-"/>
      <w:lvlJc w:val="left"/>
      <w:pPr>
        <w:ind w:left="1079"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284"/>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oph.SCHWIERZ@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1@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2023-04-02T21:23:39Z</dcterms:created>
  <dcterms:modified xsi:type="dcterms:W3CDTF">2023-04-02T21:23:39Z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MSIP_Label_f4cdc456-5864-460f-beda-883d23b78bbb_ActionId">
    <vt:lpwstr>c76262dc-bb89-4967-96b0-d87dc43c5271</vt:lpwstr>
  </property>
  <property fmtid="{D5CDD505-2E9C-101B-9397-08002B2CF9AE}" pid="6" name="MSIP_Label_f4cdc456-5864-460f-beda-883d23b78bbb_ContentBits">
    <vt:lpwstr>0</vt:lpwstr>
  </property>
  <property fmtid="{D5CDD505-2E9C-101B-9397-08002B2CF9AE}" pid="7" name="MSIP_Label_f4cdc456-5864-460f-beda-883d23b78bbb_Enabled">
    <vt:lpwstr>true</vt:lpwstr>
  </property>
  <property fmtid="{D5CDD505-2E9C-101B-9397-08002B2CF9AE}" pid="8" name="MSIP_Label_f4cdc456-5864-460f-beda-883d23b78bbb_Method">
    <vt:lpwstr>Privileged</vt:lpwstr>
  </property>
  <property fmtid="{D5CDD505-2E9C-101B-9397-08002B2CF9AE}" pid="9" name="MSIP_Label_f4cdc456-5864-460f-beda-883d23b78bbb_Name">
    <vt:lpwstr>Publicly Available</vt:lpwstr>
  </property>
  <property fmtid="{D5CDD505-2E9C-101B-9397-08002B2CF9AE}" pid="10" name="MSIP_Label_f4cdc456-5864-460f-beda-883d23b78bbb_SetDate">
    <vt:lpwstr>2022-12-16T09:44:14Z</vt:lpwstr>
  </property>
  <property fmtid="{D5CDD505-2E9C-101B-9397-08002B2CF9AE}" pid="11" name="MSIP_Label_f4cdc456-5864-460f-beda-883d23b78bbb_SiteId">
    <vt:lpwstr>b24c8b06-522c-46fe-9080-70926f8dddb1</vt:lpwstr>
  </property>
  <property fmtid="{D5CDD505-2E9C-101B-9397-08002B2CF9AE}" pid="12" name="Producer">
    <vt:lpwstr>Adobe PDF Library 22.3.90</vt:lpwstr>
  </property>
  <property fmtid="{D5CDD505-2E9C-101B-9397-08002B2CF9AE}" pid="13" name="SourceModified">
    <vt:lpwstr>D:20230310161800</vt:lpwstr>
  </property>
</Properties>
</file>