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MOVE-D-</w:t>
            </w:r>
            <w:r>
              <w:rPr>
                <w:spacing w:val="-10"/>
                <w:sz w:val="24"/>
              </w:rPr>
              <w:t>1</w:t>
            </w:r>
          </w:p>
        </w:tc>
      </w:tr>
      <w:tr>
        <w:trPr>
          <w:trHeight w:val="2162"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right="1116"/>
              <w:rPr>
                <w:sz w:val="24"/>
              </w:rPr>
            </w:pPr>
            <w:r>
              <w:rPr>
                <w:sz w:val="24"/>
              </w:rPr>
              <w:t>Annika Kroon </w:t>
            </w:r>
            <w:hyperlink r:id="rId7">
              <w:r>
                <w:rPr>
                  <w:color w:val="0000FF"/>
                  <w:spacing w:val="-2"/>
                  <w:sz w:val="24"/>
                  <w:u w:val="single" w:color="0000FF"/>
                </w:rPr>
                <w:t>Annika.KROON@ec.europa.eu</w:t>
              </w:r>
            </w:hyperlink>
          </w:p>
          <w:p>
            <w:pPr>
              <w:pStyle w:val="TableParagraph"/>
              <w:rPr>
                <w:sz w:val="24"/>
              </w:rPr>
            </w:pPr>
            <w:r>
              <w:rPr>
                <w:sz w:val="24"/>
              </w:rPr>
              <w:t>+32 229 </w:t>
            </w:r>
            <w:r>
              <w:rPr>
                <w:spacing w:val="-2"/>
                <w:sz w:val="24"/>
              </w:rPr>
              <w:t>64493</w:t>
            </w:r>
          </w:p>
          <w:p>
            <w:pPr>
              <w:pStyle w:val="TableParagraph"/>
              <w:rPr>
                <w:sz w:val="24"/>
              </w:rPr>
            </w:pPr>
            <w:r>
              <w:rPr>
                <w:sz w:val="24"/>
              </w:rPr>
              <w:t>1</w:t>
            </w:r>
          </w:p>
          <w:p>
            <w:pPr>
              <w:pStyle w:val="TableParagraph"/>
              <w:rPr>
                <w:sz w:val="22"/>
              </w:rPr>
            </w:pPr>
            <w:r>
              <w:rPr>
                <w:sz w:val="24"/>
              </w:rPr>
              <w:t>4</w:t>
            </w:r>
            <w:r>
              <w:rPr>
                <w:spacing w:val="-10"/>
                <w:sz w:val="24"/>
              </w:rPr>
              <w:t> </w:t>
            </w:r>
            <w:r>
              <w:rPr>
                <w:sz w:val="22"/>
              </w:rPr>
              <w:t>Quartal</w:t>
            </w:r>
            <w:r>
              <w:rPr>
                <w:spacing w:val="-5"/>
                <w:sz w:val="22"/>
              </w:rPr>
              <w:t> </w:t>
            </w:r>
            <w:r>
              <w:rPr>
                <w:spacing w:val="-2"/>
                <w:sz w:val="22"/>
              </w:rPr>
              <w:t>2019</w:t>
            </w:r>
            <w:r>
              <w:rPr>
                <w:spacing w:val="-2"/>
                <w:sz w:val="22"/>
                <w:vertAlign w:val="superscript"/>
              </w:rPr>
              <w:t>1</w:t>
            </w:r>
          </w:p>
          <w:p>
            <w:pPr>
              <w:pStyle w:val="TableParagraph"/>
              <w:rPr>
                <w:sz w:val="22"/>
              </w:rPr>
            </w:pPr>
            <w:r>
              <w:rPr>
                <w:sz w:val="24"/>
              </w:rPr>
              <w:t>2</w:t>
            </w:r>
            <w:r>
              <w:rPr>
                <w:spacing w:val="-5"/>
                <w:sz w:val="24"/>
              </w:rPr>
              <w:t> </w:t>
            </w:r>
            <w:r>
              <w:rPr>
                <w:spacing w:val="-2"/>
                <w:sz w:val="22"/>
              </w:rPr>
              <w:t>Jahr(e)</w:t>
            </w:r>
            <w:r>
              <w:rPr>
                <w:spacing w:val="-2"/>
                <w:sz w:val="22"/>
                <w:vertAlign w:val="superscript"/>
              </w:rPr>
              <w:t>1</w:t>
            </w:r>
          </w:p>
          <w:p>
            <w:pPr>
              <w:pStyle w:val="TableParagraph"/>
              <w:spacing w:before="11"/>
              <w:ind w:left="0"/>
              <w:rPr>
                <w:b/>
                <w:sz w:val="21"/>
              </w:rPr>
            </w:pPr>
          </w:p>
          <w:p>
            <w:pPr>
              <w:pStyle w:val="TableParagraph"/>
              <w:tabs>
                <w:tab w:pos="1523" w:val="left" w:leader="none"/>
              </w:tabs>
              <w:spacing w:line="233" w:lineRule="exact"/>
              <w:rPr>
                <w:b/>
                <w:sz w:val="22"/>
              </w:rPr>
            </w:pPr>
            <w:r>
              <w:rPr>
                <w:rFonts w:ascii="Wingdings" w:hAnsi="Wingdings"/>
                <w:sz w:val="20"/>
              </w:rPr>
              <w:t></w:t>
            </w:r>
            <w:r>
              <w:rPr>
                <w:spacing w:val="32"/>
                <w:sz w:val="20"/>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w:hAnsi="Wingdings"/>
                <w:sz w:val="20"/>
              </w:rPr>
              <w:t></w:t>
            </w:r>
            <w:r>
              <w:rPr>
                <w:spacing w:val="51"/>
                <w:sz w:val="20"/>
              </w:rPr>
              <w:t> </w:t>
            </w:r>
            <w:r>
              <w:rPr>
                <w:b/>
                <w:sz w:val="22"/>
              </w:rPr>
              <w:t>Mit</w:t>
            </w:r>
            <w:r>
              <w:rPr>
                <w:b/>
                <w:spacing w:val="-4"/>
                <w:sz w:val="22"/>
              </w:rPr>
              <w:t> </w:t>
            </w:r>
            <w:r>
              <w:rPr>
                <w:b/>
                <w:sz w:val="22"/>
              </w:rPr>
              <w:t>Vergütungen</w:t>
            </w:r>
            <w:r>
              <w:rPr>
                <w:b/>
                <w:spacing w:val="70"/>
                <w:w w:val="150"/>
                <w:sz w:val="22"/>
              </w:rPr>
              <w:t> </w:t>
            </w:r>
            <w:r>
              <w:rPr>
                <w:rFonts w:ascii="Wingdings 2" w:hAnsi="Wingdings 2"/>
                <w:sz w:val="22"/>
              </w:rPr>
              <w:t></w:t>
            </w:r>
            <w:r>
              <w:rPr>
                <w:spacing w:val="47"/>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spacing w:before="90"/>
        <w:ind w:left="370" w:right="107" w:firstLine="0"/>
        <w:jc w:val="both"/>
        <w:rPr>
          <w:sz w:val="24"/>
        </w:rPr>
      </w:pPr>
      <w:r>
        <w:rPr>
          <w:sz w:val="24"/>
        </w:rPr>
        <w:t>Der/die Nationale Sachverständige unterstützt die Beamten der Kommission bei Maßnahmen zur Förderung und Unterstützung der Umsetzung der elektronischen Güterverkehrsinformation (eFTI), einem Bereich, der sich rasch weiterentwickelt und im Mittelpunkt der verkehrspolitischen Prioritäten der Kommission steht. Der/die Experte/in wird für spezifische Aspekte der Umsetzung der eFTI-Verordnung zuständig sein, deren vollständige Anwendung bis Ende 2025 angestrebt wird. Zu seinen/ihren Aufgaben gehört die Unterstützung bei der Überwachung und Verwaltung von Tätigkeiten und Projekten im</w:t>
      </w:r>
      <w:r>
        <w:rPr>
          <w:spacing w:val="40"/>
          <w:sz w:val="24"/>
        </w:rPr>
        <w:t> </w:t>
      </w:r>
      <w:r>
        <w:rPr>
          <w:sz w:val="24"/>
        </w:rPr>
        <w:t>Bereich der Digitalisierung der Logistik und insbesondere im Zusammenhang mit der Ausarbeitung, Annahme und Übermittlung der Durchführungsspezifikationen für die eFTI-Verordnung.</w:t>
      </w:r>
    </w:p>
    <w:p>
      <w:pPr>
        <w:pStyle w:val="BodyText"/>
        <w:rPr>
          <w:sz w:val="24"/>
        </w:rPr>
      </w:pPr>
    </w:p>
    <w:p>
      <w:pPr>
        <w:spacing w:before="0"/>
        <w:ind w:left="370" w:right="108" w:firstLine="0"/>
        <w:jc w:val="both"/>
        <w:rPr>
          <w:sz w:val="24"/>
        </w:rPr>
      </w:pPr>
      <w:r>
        <w:rPr>
          <w:sz w:val="24"/>
        </w:rPr>
        <w:t>Zu den geplanten Aufgaben gehören technische Beratung, Bewertung und Integration der Ergebnisse der Konsultation der Interessenträger oder technischer Berichte von Ausschüssen und Expertengruppen, Erstellung von Briefings und anderen Dokumenten zur Umsetzung der Politik und zu technischen Fragen sowie Beitrag zur Ausarbeitung von Rechtsakten (Durchführungs- und delegierte Verordnungen).</w:t>
      </w:r>
    </w:p>
    <w:p>
      <w:pPr>
        <w:pStyle w:val="BodyText"/>
        <w:rPr>
          <w:sz w:val="24"/>
        </w:rPr>
      </w:pPr>
    </w:p>
    <w:p>
      <w:pPr>
        <w:spacing w:before="0"/>
        <w:ind w:left="370" w:right="108" w:firstLine="0"/>
        <w:jc w:val="both"/>
        <w:rPr>
          <w:sz w:val="24"/>
        </w:rPr>
      </w:pPr>
      <w:r>
        <w:rPr>
          <w:sz w:val="24"/>
        </w:rPr>
        <w:t>Bei der Wahrnehmung seiner/ihrer Aufgaben unterhält der/die Nationale Sachverständige mit Unterstützung eines/r Beamten/in der Kommission Beziehungen zu anderen EU-Organen (Europäisches Parlament, Europäischer Rat usw.) und unterhält auch Kontakte und Informationsaustausch mit öffentlichen Stellen und Berufsverbänden in den Mitgliedstaaten und anderen Ländern. Darüber hinaus wird der/die Nationale Sachverständige an mehreren Sitzungen, Seminaren und offiziellen Veranstaltungen teilnehmen.</w:t>
      </w:r>
    </w:p>
    <w:p>
      <w:pPr>
        <w:pStyle w:val="BodyText"/>
        <w:spacing w:before="5"/>
        <w:rPr>
          <w:sz w:val="18"/>
        </w:rPr>
      </w:pPr>
      <w:r>
        <w:rPr/>
        <w:pict>
          <v:rect style="position:absolute;margin-left:42.540001pt;margin-top:11.837063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2"/>
        </w:numPr>
        <w:tabs>
          <w:tab w:pos="796" w:val="left" w:leader="none"/>
          <w:tab w:pos="797" w:val="left" w:leader="none"/>
        </w:tabs>
        <w:spacing w:line="240" w:lineRule="auto" w:before="76"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37" w:val="left" w:leader="none"/>
        </w:tabs>
        <w:spacing w:line="240" w:lineRule="auto" w:before="90" w:after="0"/>
        <w:ind w:left="1036" w:right="0" w:hanging="241"/>
        <w:jc w:val="left"/>
      </w:pPr>
      <w:r>
        <w:rPr>
          <w:spacing w:val="-2"/>
          <w:u w:val="single"/>
        </w:rPr>
        <w:t>Zulassungskriterien</w:t>
      </w:r>
    </w:p>
    <w:p>
      <w:pPr>
        <w:pStyle w:val="BodyText"/>
        <w:rPr>
          <w:b/>
          <w:sz w:val="14"/>
        </w:rPr>
      </w:pPr>
    </w:p>
    <w:p>
      <w:pPr>
        <w:pStyle w:val="BodyText"/>
        <w:spacing w:before="90"/>
        <w:ind w:left="796" w:right="108"/>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0"/>
          <w:numId w:val="3"/>
        </w:numPr>
        <w:tabs>
          <w:tab w:pos="1209" w:val="left" w:leader="none"/>
        </w:tabs>
        <w:spacing w:line="253" w:lineRule="exact" w:before="1"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3"/>
        </w:numPr>
        <w:tabs>
          <w:tab w:pos="1209" w:val="left" w:leader="none"/>
        </w:tabs>
        <w:spacing w:line="253" w:lineRule="exact"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spacing w:line="253" w:lineRule="exact"/>
        <w:ind w:left="1190"/>
      </w:pPr>
      <w:r>
        <w:rPr/>
        <w:t>im</w:t>
      </w:r>
      <w:r>
        <w:rPr>
          <w:spacing w:val="-5"/>
        </w:rPr>
        <w:t> </w:t>
      </w:r>
      <w:r>
        <w:rPr>
          <w:spacing w:val="-2"/>
        </w:rPr>
        <w:t>Bereich:</w:t>
      </w:r>
    </w:p>
    <w:p>
      <w:pPr>
        <w:spacing w:line="276" w:lineRule="exact" w:before="0"/>
        <w:ind w:left="1080" w:right="0" w:firstLine="0"/>
        <w:jc w:val="left"/>
        <w:rPr>
          <w:sz w:val="24"/>
        </w:rPr>
      </w:pPr>
      <w:r>
        <w:rPr>
          <w:sz w:val="24"/>
        </w:rPr>
        <w:t>Recht,</w:t>
      </w:r>
      <w:r>
        <w:rPr>
          <w:spacing w:val="-7"/>
          <w:sz w:val="24"/>
        </w:rPr>
        <w:t> </w:t>
      </w:r>
      <w:r>
        <w:rPr>
          <w:sz w:val="24"/>
        </w:rPr>
        <w:t>Politikwissenschaften,</w:t>
      </w:r>
      <w:r>
        <w:rPr>
          <w:spacing w:val="-4"/>
          <w:sz w:val="24"/>
        </w:rPr>
        <w:t> </w:t>
      </w:r>
      <w:r>
        <w:rPr>
          <w:sz w:val="24"/>
        </w:rPr>
        <w:t>Betriebswirtschaft</w:t>
      </w:r>
      <w:r>
        <w:rPr>
          <w:spacing w:val="-4"/>
          <w:sz w:val="24"/>
        </w:rPr>
        <w:t> </w:t>
      </w:r>
      <w:r>
        <w:rPr>
          <w:sz w:val="24"/>
        </w:rPr>
        <w:t>oder</w:t>
      </w:r>
      <w:r>
        <w:rPr>
          <w:spacing w:val="-4"/>
          <w:sz w:val="24"/>
        </w:rPr>
        <w:t> </w:t>
      </w:r>
      <w:r>
        <w:rPr>
          <w:spacing w:val="-2"/>
          <w:sz w:val="24"/>
        </w:rPr>
        <w:t>Ingenieurwesen</w:t>
      </w:r>
    </w:p>
    <w:p>
      <w:pPr>
        <w:pStyle w:val="BodyText"/>
        <w:rPr>
          <w:sz w:val="26"/>
        </w:rPr>
      </w:pPr>
    </w:p>
    <w:p>
      <w:pPr>
        <w:pStyle w:val="BodyText"/>
        <w:spacing w:before="208"/>
        <w:ind w:left="1080"/>
      </w:pPr>
      <w:r>
        <w:rPr>
          <w:spacing w:val="-2"/>
          <w:u w:val="single"/>
        </w:rPr>
        <w:t>Berufserfahrung</w:t>
      </w:r>
    </w:p>
    <w:p>
      <w:pPr>
        <w:pStyle w:val="BodyText"/>
        <w:spacing w:before="9"/>
        <w:rPr>
          <w:sz w:val="13"/>
        </w:rPr>
      </w:pPr>
    </w:p>
    <w:p>
      <w:pPr>
        <w:pStyle w:val="ListParagraph"/>
        <w:numPr>
          <w:ilvl w:val="0"/>
          <w:numId w:val="4"/>
        </w:numPr>
        <w:tabs>
          <w:tab w:pos="1439" w:val="left" w:leader="none"/>
        </w:tabs>
        <w:spacing w:line="240" w:lineRule="auto" w:before="93" w:after="0"/>
        <w:ind w:left="1438" w:right="0" w:hanging="361"/>
        <w:jc w:val="both"/>
        <w:rPr>
          <w:sz w:val="22"/>
        </w:rPr>
      </w:pPr>
      <w:r>
        <w:rPr>
          <w:sz w:val="22"/>
        </w:rPr>
        <w:t>Erfahrung</w:t>
      </w:r>
      <w:r>
        <w:rPr>
          <w:spacing w:val="-9"/>
          <w:sz w:val="22"/>
        </w:rPr>
        <w:t> </w:t>
      </w:r>
      <w:r>
        <w:rPr>
          <w:sz w:val="22"/>
        </w:rPr>
        <w:t>im</w:t>
      </w:r>
      <w:r>
        <w:rPr>
          <w:spacing w:val="-9"/>
          <w:sz w:val="22"/>
        </w:rPr>
        <w:t> </w:t>
      </w:r>
      <w:r>
        <w:rPr>
          <w:sz w:val="22"/>
        </w:rPr>
        <w:t>Güterverkehrs-</w:t>
      </w:r>
      <w:r>
        <w:rPr>
          <w:spacing w:val="-9"/>
          <w:sz w:val="22"/>
        </w:rPr>
        <w:t> </w:t>
      </w:r>
      <w:r>
        <w:rPr>
          <w:sz w:val="22"/>
        </w:rPr>
        <w:t>und</w:t>
      </w:r>
      <w:r>
        <w:rPr>
          <w:spacing w:val="-8"/>
          <w:sz w:val="22"/>
        </w:rPr>
        <w:t> </w:t>
      </w:r>
      <w:r>
        <w:rPr>
          <w:spacing w:val="-2"/>
          <w:sz w:val="22"/>
        </w:rPr>
        <w:t>Logistikbereich;</w:t>
      </w:r>
    </w:p>
    <w:p>
      <w:pPr>
        <w:pStyle w:val="ListParagraph"/>
        <w:numPr>
          <w:ilvl w:val="0"/>
          <w:numId w:val="4"/>
        </w:numPr>
        <w:tabs>
          <w:tab w:pos="1439" w:val="left" w:leader="none"/>
        </w:tabs>
        <w:spacing w:line="276" w:lineRule="auto" w:before="39" w:after="0"/>
        <w:ind w:left="1438" w:right="403" w:hanging="360"/>
        <w:jc w:val="both"/>
        <w:rPr>
          <w:sz w:val="22"/>
        </w:rPr>
      </w:pPr>
      <w:r>
        <w:rPr>
          <w:sz w:val="22"/>
        </w:rPr>
        <w:t>Erfahrung mit der Politikentwicklung, der Ausarbeitung von Strategiepapieren und der Umsetzung politischer Maßnahmen, Erfahrung im Projektmanagement wäre ein zusätzlicher Vorteil;</w:t>
      </w:r>
    </w:p>
    <w:p>
      <w:pPr>
        <w:pStyle w:val="ListParagraph"/>
        <w:numPr>
          <w:ilvl w:val="0"/>
          <w:numId w:val="4"/>
        </w:numPr>
        <w:tabs>
          <w:tab w:pos="1439" w:val="left" w:leader="none"/>
        </w:tabs>
        <w:spacing w:line="276" w:lineRule="auto" w:before="0" w:after="0"/>
        <w:ind w:left="1438" w:right="404" w:hanging="360"/>
        <w:jc w:val="both"/>
        <w:rPr>
          <w:sz w:val="22"/>
        </w:rPr>
      </w:pPr>
      <w:r>
        <w:rPr>
          <w:sz w:val="22"/>
        </w:rPr>
        <w:t>Gute Kenntnis der Rechtsvorschriften und Strategien der EU und internationaler Organisationen im Bereich des Güterverkehrs und der Logistik, insbesondere der eFTI-Verordnung und anderer Rechtsakte im Verkehrsbereich;</w:t>
      </w:r>
    </w:p>
    <w:p>
      <w:pPr>
        <w:pStyle w:val="ListParagraph"/>
        <w:numPr>
          <w:ilvl w:val="0"/>
          <w:numId w:val="4"/>
        </w:numPr>
        <w:tabs>
          <w:tab w:pos="1439" w:val="left" w:leader="none"/>
        </w:tabs>
        <w:spacing w:line="276" w:lineRule="auto" w:before="0" w:after="0"/>
        <w:ind w:left="1438" w:right="404" w:hanging="360"/>
        <w:jc w:val="both"/>
        <w:rPr>
          <w:sz w:val="22"/>
        </w:rPr>
      </w:pPr>
      <w:r>
        <w:rPr>
          <w:sz w:val="22"/>
        </w:rPr>
        <w:t>Erfahrung in einem oder mehreren der folgenden Bereiche wäre von Vorteil: Digitalisierung von Geschäftsprozessen, Datenaustausch, einschließlich der Entwicklung und Umsetzung von</w:t>
      </w:r>
      <w:r>
        <w:rPr>
          <w:spacing w:val="80"/>
          <w:sz w:val="22"/>
        </w:rPr>
        <w:t> </w:t>
      </w:r>
      <w:r>
        <w:rPr>
          <w:sz w:val="22"/>
        </w:rPr>
        <w:t>Strategien zur Förderung des digitalen Wandels der Wirtschaft und/oder Gesellschaft;</w:t>
      </w:r>
    </w:p>
    <w:p>
      <w:pPr>
        <w:pStyle w:val="ListParagraph"/>
        <w:numPr>
          <w:ilvl w:val="0"/>
          <w:numId w:val="4"/>
        </w:numPr>
        <w:tabs>
          <w:tab w:pos="1439" w:val="left" w:leader="none"/>
        </w:tabs>
        <w:spacing w:line="276" w:lineRule="auto" w:before="0" w:after="0"/>
        <w:ind w:left="1438" w:right="405" w:hanging="361"/>
        <w:jc w:val="both"/>
        <w:rPr>
          <w:sz w:val="22"/>
        </w:rPr>
      </w:pPr>
      <w:r>
        <w:rPr>
          <w:sz w:val="22"/>
        </w:rPr>
        <w:t>Erfahrungen im Verhandlungs- und Entscheidungsprozess der EU und anderer internationaler Organisationen sind wünschenswert;</w:t>
      </w:r>
    </w:p>
    <w:p>
      <w:pPr>
        <w:pStyle w:val="ListParagraph"/>
        <w:numPr>
          <w:ilvl w:val="0"/>
          <w:numId w:val="4"/>
        </w:numPr>
        <w:tabs>
          <w:tab w:pos="1439" w:val="left" w:leader="none"/>
        </w:tabs>
        <w:spacing w:line="276" w:lineRule="auto" w:before="0" w:after="0"/>
        <w:ind w:left="1438" w:right="405" w:hanging="360"/>
        <w:jc w:val="both"/>
        <w:rPr>
          <w:sz w:val="22"/>
        </w:rPr>
      </w:pPr>
      <w:r>
        <w:rPr>
          <w:sz w:val="22"/>
        </w:rPr>
        <w:t>Ausgezeichnete Kommunikationsfähigkeit und Fähigkeit, im Team und in einem multikulturellen Umfeld zu arbeiten.</w:t>
      </w:r>
    </w:p>
    <w:p>
      <w:pPr>
        <w:spacing w:before="200"/>
        <w:ind w:left="370" w:right="0" w:firstLine="0"/>
        <w:jc w:val="left"/>
        <w:rPr>
          <w:sz w:val="24"/>
        </w:rPr>
      </w:pPr>
      <w:r>
        <w:rPr>
          <w:sz w:val="24"/>
        </w:rPr>
        <w:t>Der/die</w:t>
      </w:r>
      <w:r>
        <w:rPr>
          <w:spacing w:val="-4"/>
          <w:sz w:val="24"/>
        </w:rPr>
        <w:t> </w:t>
      </w:r>
      <w:r>
        <w:rPr>
          <w:sz w:val="24"/>
        </w:rPr>
        <w:t>Nationale</w:t>
      </w:r>
      <w:r>
        <w:rPr>
          <w:spacing w:val="-2"/>
          <w:sz w:val="24"/>
        </w:rPr>
        <w:t> </w:t>
      </w:r>
      <w:r>
        <w:rPr>
          <w:sz w:val="24"/>
        </w:rPr>
        <w:t>Sachverständige</w:t>
      </w:r>
      <w:r>
        <w:rPr>
          <w:spacing w:val="-2"/>
          <w:sz w:val="24"/>
        </w:rPr>
        <w:t> </w:t>
      </w:r>
      <w:r>
        <w:rPr>
          <w:sz w:val="24"/>
        </w:rPr>
        <w:t>muss</w:t>
      </w:r>
      <w:r>
        <w:rPr>
          <w:spacing w:val="-2"/>
          <w:sz w:val="24"/>
        </w:rPr>
        <w:t> </w:t>
      </w:r>
      <w:r>
        <w:rPr>
          <w:sz w:val="24"/>
        </w:rPr>
        <w:t>in</w:t>
      </w:r>
      <w:r>
        <w:rPr>
          <w:spacing w:val="-2"/>
          <w:sz w:val="24"/>
        </w:rPr>
        <w:t> </w:t>
      </w:r>
      <w:r>
        <w:rPr>
          <w:sz w:val="24"/>
        </w:rPr>
        <w:t>der</w:t>
      </w:r>
      <w:r>
        <w:rPr>
          <w:spacing w:val="-2"/>
          <w:sz w:val="24"/>
        </w:rPr>
        <w:t> </w:t>
      </w:r>
      <w:r>
        <w:rPr>
          <w:sz w:val="24"/>
        </w:rPr>
        <w:t>Lage</w:t>
      </w:r>
      <w:r>
        <w:rPr>
          <w:spacing w:val="-2"/>
          <w:sz w:val="24"/>
        </w:rPr>
        <w:t> </w:t>
      </w:r>
      <w:r>
        <w:rPr>
          <w:sz w:val="24"/>
        </w:rPr>
        <w:t>sein,</w:t>
      </w:r>
      <w:r>
        <w:rPr>
          <w:spacing w:val="-2"/>
          <w:sz w:val="24"/>
        </w:rPr>
        <w:t> </w:t>
      </w:r>
      <w:r>
        <w:rPr>
          <w:sz w:val="24"/>
        </w:rPr>
        <w:t>komplexe</w:t>
      </w:r>
      <w:r>
        <w:rPr>
          <w:spacing w:val="-1"/>
          <w:sz w:val="24"/>
        </w:rPr>
        <w:t> </w:t>
      </w:r>
      <w:r>
        <w:rPr>
          <w:sz w:val="24"/>
        </w:rPr>
        <w:t>Dossiers</w:t>
      </w:r>
      <w:r>
        <w:rPr>
          <w:spacing w:val="-2"/>
          <w:sz w:val="24"/>
        </w:rPr>
        <w:t> </w:t>
      </w:r>
      <w:r>
        <w:rPr>
          <w:sz w:val="24"/>
        </w:rPr>
        <w:t>zu</w:t>
      </w:r>
      <w:r>
        <w:rPr>
          <w:spacing w:val="-1"/>
          <w:sz w:val="24"/>
        </w:rPr>
        <w:t> </w:t>
      </w:r>
      <w:r>
        <w:rPr>
          <w:spacing w:val="-2"/>
          <w:sz w:val="24"/>
        </w:rPr>
        <w:t>bearbeiten.</w:t>
      </w:r>
    </w:p>
    <w:p>
      <w:pPr>
        <w:pStyle w:val="BodyText"/>
        <w:rPr>
          <w:sz w:val="26"/>
        </w:rPr>
      </w:pPr>
    </w:p>
    <w:p>
      <w:pPr>
        <w:pStyle w:val="BodyText"/>
        <w:spacing w:before="207"/>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pPr>
    </w:p>
    <w:p>
      <w:pPr>
        <w:spacing w:before="0"/>
        <w:ind w:left="370" w:right="0" w:firstLine="0"/>
        <w:jc w:val="left"/>
        <w:rPr>
          <w:sz w:val="24"/>
        </w:rPr>
      </w:pPr>
      <w:r>
        <w:rPr>
          <w:sz w:val="24"/>
        </w:rPr>
        <w:t>Eine</w:t>
      </w:r>
      <w:r>
        <w:rPr>
          <w:spacing w:val="-2"/>
          <w:sz w:val="24"/>
        </w:rPr>
        <w:t> </w:t>
      </w:r>
      <w:r>
        <w:rPr>
          <w:sz w:val="24"/>
        </w:rPr>
        <w:t>sehr</w:t>
      </w:r>
      <w:r>
        <w:rPr>
          <w:spacing w:val="-1"/>
          <w:sz w:val="24"/>
        </w:rPr>
        <w:t> </w:t>
      </w:r>
      <w:r>
        <w:rPr>
          <w:sz w:val="24"/>
        </w:rPr>
        <w:t>gute</w:t>
      </w:r>
      <w:r>
        <w:rPr>
          <w:spacing w:val="-2"/>
          <w:sz w:val="24"/>
        </w:rPr>
        <w:t> </w:t>
      </w:r>
      <w:r>
        <w:rPr>
          <w:sz w:val="24"/>
        </w:rPr>
        <w:t>Beherrschung</w:t>
      </w:r>
      <w:r>
        <w:rPr>
          <w:spacing w:val="-1"/>
          <w:sz w:val="24"/>
        </w:rPr>
        <w:t> </w:t>
      </w:r>
      <w:r>
        <w:rPr>
          <w:sz w:val="24"/>
        </w:rPr>
        <w:t>der</w:t>
      </w:r>
      <w:r>
        <w:rPr>
          <w:spacing w:val="-2"/>
          <w:sz w:val="24"/>
        </w:rPr>
        <w:t> </w:t>
      </w:r>
      <w:r>
        <w:rPr>
          <w:sz w:val="24"/>
        </w:rPr>
        <w:t>englischen</w:t>
      </w:r>
      <w:r>
        <w:rPr>
          <w:spacing w:val="-1"/>
          <w:sz w:val="24"/>
        </w:rPr>
        <w:t> </w:t>
      </w:r>
      <w:r>
        <w:rPr>
          <w:sz w:val="24"/>
        </w:rPr>
        <w:t>Sprache</w:t>
      </w:r>
      <w:r>
        <w:rPr>
          <w:spacing w:val="-1"/>
          <w:sz w:val="24"/>
        </w:rPr>
        <w:t> </w:t>
      </w:r>
      <w:r>
        <w:rPr>
          <w:sz w:val="24"/>
        </w:rPr>
        <w:t>in</w:t>
      </w:r>
      <w:r>
        <w:rPr>
          <w:spacing w:val="-2"/>
          <w:sz w:val="24"/>
        </w:rPr>
        <w:t> </w:t>
      </w:r>
      <w:r>
        <w:rPr>
          <w:sz w:val="24"/>
        </w:rPr>
        <w:t>Wort</w:t>
      </w:r>
      <w:r>
        <w:rPr>
          <w:spacing w:val="-1"/>
          <w:sz w:val="24"/>
        </w:rPr>
        <w:t> </w:t>
      </w:r>
      <w:r>
        <w:rPr>
          <w:sz w:val="24"/>
        </w:rPr>
        <w:t>und</w:t>
      </w:r>
      <w:r>
        <w:rPr>
          <w:spacing w:val="-2"/>
          <w:sz w:val="24"/>
        </w:rPr>
        <w:t> </w:t>
      </w:r>
      <w:r>
        <w:rPr>
          <w:sz w:val="24"/>
        </w:rPr>
        <w:t>Schrift</w:t>
      </w:r>
      <w:r>
        <w:rPr>
          <w:spacing w:val="-1"/>
          <w:sz w:val="24"/>
        </w:rPr>
        <w:t> </w:t>
      </w:r>
      <w:r>
        <w:rPr>
          <w:sz w:val="24"/>
        </w:rPr>
        <w:t>wird</w:t>
      </w:r>
      <w:r>
        <w:rPr>
          <w:spacing w:val="-1"/>
          <w:sz w:val="24"/>
        </w:rPr>
        <w:t> </w:t>
      </w:r>
      <w:r>
        <w:rPr>
          <w:spacing w:val="-2"/>
          <w:sz w:val="24"/>
        </w:rPr>
        <w:t>vorausgesetzt.</w:t>
      </w:r>
    </w:p>
    <w:p>
      <w:pPr>
        <w:spacing w:after="0"/>
        <w:jc w:val="left"/>
        <w:rPr>
          <w:sz w:val="24"/>
        </w:rPr>
        <w:sectPr>
          <w:pgSz w:w="11910" w:h="16840"/>
          <w:pgMar w:header="0" w:footer="690" w:top="1040" w:bottom="880" w:left="480" w:right="740"/>
        </w:sectPr>
      </w:pPr>
    </w:p>
    <w:p>
      <w:pPr>
        <w:pStyle w:val="ListParagraph"/>
        <w:numPr>
          <w:ilvl w:val="0"/>
          <w:numId w:val="2"/>
        </w:numPr>
        <w:tabs>
          <w:tab w:pos="796" w:val="left" w:leader="none"/>
          <w:tab w:pos="797" w:val="left" w:leader="none"/>
        </w:tabs>
        <w:spacing w:line="240" w:lineRule="auto" w:before="76"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1"/>
        <w:rPr>
          <w:b/>
          <w:sz w:val="15"/>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0"/>
        <w:rPr>
          <w:b/>
          <w:sz w:val="15"/>
        </w:rPr>
      </w:pPr>
    </w:p>
    <w:p>
      <w:pPr>
        <w:pStyle w:val="BodyText"/>
        <w:spacing w:before="90"/>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spacing w:before="1"/>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1"/>
        <w:rPr>
          <w:sz w:val="21"/>
        </w:rPr>
      </w:pPr>
    </w:p>
    <w:p>
      <w:pPr>
        <w:pStyle w:val="BodyText"/>
        <w:ind w:left="796"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1"/>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8"/>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before="1"/>
        <w:ind w:left="796" w:firstLine="0"/>
      </w:pPr>
      <w:r>
        <w:rPr>
          <w:spacing w:val="-2"/>
          <w:u w:val="single"/>
        </w:rPr>
        <w:t>Kontaktinformationen</w:t>
      </w:r>
    </w:p>
    <w:p>
      <w:pPr>
        <w:spacing w:after="0"/>
        <w:sectPr>
          <w:pgSz w:w="11910" w:h="16840"/>
          <w:pgMar w:header="0" w:footer="690" w:top="1040" w:bottom="880" w:left="480" w:right="740"/>
        </w:sectPr>
      </w:pPr>
    </w:p>
    <w:p>
      <w:pPr>
        <w:pStyle w:val="ListParagraph"/>
        <w:numPr>
          <w:ilvl w:val="0"/>
          <w:numId w:val="5"/>
        </w:numPr>
        <w:tabs>
          <w:tab w:pos="1078" w:val="left" w:leader="none"/>
          <w:tab w:pos="1079" w:val="left" w:leader="none"/>
        </w:tabs>
        <w:spacing w:line="240" w:lineRule="auto" w:before="74"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2"/>
        <w:rPr>
          <w:sz w:val="14"/>
        </w:rPr>
      </w:pPr>
    </w:p>
    <w:p>
      <w:pPr>
        <w:pStyle w:val="Heading1"/>
        <w:numPr>
          <w:ilvl w:val="0"/>
          <w:numId w:val="5"/>
        </w:numPr>
        <w:tabs>
          <w:tab w:pos="1078" w:val="left" w:leader="none"/>
          <w:tab w:pos="1079" w:val="left" w:leader="none"/>
        </w:tabs>
        <w:spacing w:line="240" w:lineRule="auto"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4"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977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438" w:hanging="360"/>
      </w:pPr>
      <w:rPr>
        <w:rFonts w:hint="default" w:ascii="Arial" w:hAnsi="Arial" w:eastAsia="Arial" w:cs="Arial"/>
        <w:b w:val="0"/>
        <w:bCs w:val="0"/>
        <w:i w:val="0"/>
        <w:iCs w:val="0"/>
        <w:w w:val="99"/>
        <w:sz w:val="22"/>
        <w:szCs w:val="22"/>
        <w:lang w:val="de-DE" w:eastAsia="en-US" w:bidi="ar-SA"/>
      </w:rPr>
    </w:lvl>
    <w:lvl w:ilvl="1">
      <w:start w:val="0"/>
      <w:numFmt w:val="bullet"/>
      <w:lvlText w:val="•"/>
      <w:lvlJc w:val="left"/>
      <w:pPr>
        <w:ind w:left="2364" w:hanging="360"/>
      </w:pPr>
      <w:rPr>
        <w:rFonts w:hint="default"/>
        <w:lang w:val="de-DE" w:eastAsia="en-US" w:bidi="ar-SA"/>
      </w:rPr>
    </w:lvl>
    <w:lvl w:ilvl="2">
      <w:start w:val="0"/>
      <w:numFmt w:val="bullet"/>
      <w:lvlText w:val="•"/>
      <w:lvlJc w:val="left"/>
      <w:pPr>
        <w:ind w:left="3289" w:hanging="360"/>
      </w:pPr>
      <w:rPr>
        <w:rFonts w:hint="default"/>
        <w:lang w:val="de-DE" w:eastAsia="en-US" w:bidi="ar-SA"/>
      </w:rPr>
    </w:lvl>
    <w:lvl w:ilvl="3">
      <w:start w:val="0"/>
      <w:numFmt w:val="bullet"/>
      <w:lvlText w:val="•"/>
      <w:lvlJc w:val="left"/>
      <w:pPr>
        <w:ind w:left="4213" w:hanging="360"/>
      </w:pPr>
      <w:rPr>
        <w:rFonts w:hint="default"/>
        <w:lang w:val="de-DE" w:eastAsia="en-US" w:bidi="ar-SA"/>
      </w:rPr>
    </w:lvl>
    <w:lvl w:ilvl="4">
      <w:start w:val="0"/>
      <w:numFmt w:val="bullet"/>
      <w:lvlText w:val="•"/>
      <w:lvlJc w:val="left"/>
      <w:pPr>
        <w:ind w:left="5138" w:hanging="360"/>
      </w:pPr>
      <w:rPr>
        <w:rFonts w:hint="default"/>
        <w:lang w:val="de-DE" w:eastAsia="en-US" w:bidi="ar-SA"/>
      </w:rPr>
    </w:lvl>
    <w:lvl w:ilvl="5">
      <w:start w:val="0"/>
      <w:numFmt w:val="bullet"/>
      <w:lvlText w:val="•"/>
      <w:lvlJc w:val="left"/>
      <w:pPr>
        <w:ind w:left="6063" w:hanging="360"/>
      </w:pPr>
      <w:rPr>
        <w:rFonts w:hint="default"/>
        <w:lang w:val="de-DE" w:eastAsia="en-US" w:bidi="ar-SA"/>
      </w:rPr>
    </w:lvl>
    <w:lvl w:ilvl="6">
      <w:start w:val="0"/>
      <w:numFmt w:val="bullet"/>
      <w:lvlText w:val="•"/>
      <w:lvlJc w:val="left"/>
      <w:pPr>
        <w:ind w:left="6987" w:hanging="360"/>
      </w:pPr>
      <w:rPr>
        <w:rFonts w:hint="default"/>
        <w:lang w:val="de-DE" w:eastAsia="en-US" w:bidi="ar-SA"/>
      </w:rPr>
    </w:lvl>
    <w:lvl w:ilvl="7">
      <w:start w:val="0"/>
      <w:numFmt w:val="bullet"/>
      <w:lvlText w:val="•"/>
      <w:lvlJc w:val="left"/>
      <w:pPr>
        <w:ind w:left="7912" w:hanging="360"/>
      </w:pPr>
      <w:rPr>
        <w:rFonts w:hint="default"/>
        <w:lang w:val="de-DE" w:eastAsia="en-US" w:bidi="ar-SA"/>
      </w:rPr>
    </w:lvl>
    <w:lvl w:ilvl="8">
      <w:start w:val="0"/>
      <w:numFmt w:val="bullet"/>
      <w:lvlText w:val="•"/>
      <w:lvlJc w:val="left"/>
      <w:pPr>
        <w:ind w:left="8837" w:hanging="360"/>
      </w:pPr>
      <w:rPr>
        <w:rFonts w:hint="default"/>
        <w:lang w:val="de-DE"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438"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nika.KROO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2023-04-02T21:35:34Z</dcterms:created>
  <dcterms:modified xsi:type="dcterms:W3CDTF">2023-04-02T21:35:34Z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0x010100836906E65DA2AC4482C9E7959275A153</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Producer">
    <vt:lpwstr>Adobe PDF Library 22.3.90</vt:lpwstr>
  </property>
  <property fmtid="{D5CDD505-2E9C-101B-9397-08002B2CF9AE}" pid="7" name="SourceModified">
    <vt:lpwstr>D:20230322141400</vt:lpwstr>
  </property>
</Properties>
</file>