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737" w:rsidRDefault="00527871" w:rsidP="0069244E">
      <w:pPr>
        <w:ind w:right="1317"/>
        <w:jc w:val="center"/>
        <w:rPr>
          <w:b/>
          <w:lang w:val="de-DE"/>
        </w:rPr>
      </w:pPr>
      <w:bookmarkStart w:id="0" w:name="_GoBack"/>
      <w:bookmarkEnd w:id="0"/>
      <w:r>
        <w:rPr>
          <w:b/>
          <w:noProof/>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32.25pt;width:108.75pt;height:54pt;z-index:-251658752" wrapcoords="-149 0 -149 21000 21600 21000 21600 0 -149 0">
            <v:imagedata r:id="rId7" o:title=""/>
            <w10:wrap type="tight"/>
          </v:shape>
        </w:pict>
      </w:r>
    </w:p>
    <w:p w:rsidR="00CA54D9" w:rsidRDefault="006643E5" w:rsidP="00527871">
      <w:pPr>
        <w:spacing w:before="240"/>
        <w:ind w:left="720" w:right="1315"/>
        <w:jc w:val="center"/>
        <w:rPr>
          <w:b/>
          <w:lang w:val="de-DE"/>
        </w:rPr>
      </w:pPr>
      <w:r w:rsidRPr="009222CC">
        <w:rPr>
          <w:b/>
          <w:lang w:val="de-DE"/>
        </w:rPr>
        <w:t>STELLENAUSSCHREIBUNG</w:t>
      </w:r>
    </w:p>
    <w:p w:rsidR="00527871" w:rsidRPr="009222CC" w:rsidRDefault="00527871" w:rsidP="00527871">
      <w:pPr>
        <w:ind w:left="720" w:right="1315"/>
        <w:jc w:val="center"/>
        <w:rPr>
          <w:b/>
          <w:lang w:val="de-DE"/>
        </w:rPr>
      </w:pPr>
    </w:p>
    <w:p w:rsidR="00CC152B" w:rsidRDefault="00CC152B" w:rsidP="00527871">
      <w:pPr>
        <w:tabs>
          <w:tab w:val="left" w:pos="10065"/>
        </w:tabs>
        <w:ind w:left="720" w:right="1317"/>
        <w:jc w:val="center"/>
        <w:rPr>
          <w:b/>
          <w:lang w:val="de-DE"/>
        </w:rPr>
      </w:pPr>
      <w:r>
        <w:rPr>
          <w:b/>
          <w:lang w:val="de-DE"/>
        </w:rPr>
        <w:t>ZU</w:t>
      </w:r>
      <w:r w:rsidRPr="009222CC">
        <w:rPr>
          <w:b/>
          <w:lang w:val="de-DE"/>
        </w:rPr>
        <w:t xml:space="preserve">R EUROPÄISCHEN KOMMISSION </w:t>
      </w:r>
    </w:p>
    <w:p w:rsidR="006643E5" w:rsidRPr="009222CC" w:rsidRDefault="006643E5" w:rsidP="00527871">
      <w:pPr>
        <w:tabs>
          <w:tab w:val="left" w:pos="10065"/>
        </w:tabs>
        <w:ind w:left="720"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p w:rsidR="006643E5" w:rsidRPr="009222CC" w:rsidRDefault="006643E5" w:rsidP="0069244E">
      <w:pPr>
        <w:ind w:right="1317"/>
        <w:jc w:val="center"/>
        <w:rPr>
          <w:b/>
          <w:lang w:val="de-DE"/>
        </w:rPr>
      </w:pPr>
    </w:p>
    <w:tbl>
      <w:tblPr>
        <w:tblW w:w="9322" w:type="dxa"/>
        <w:jc w:val="center"/>
        <w:tblLayout w:type="fixed"/>
        <w:tblLook w:val="01E0" w:firstRow="1" w:lastRow="1" w:firstColumn="1" w:lastColumn="1" w:noHBand="0" w:noVBand="0"/>
      </w:tblPr>
      <w:tblGrid>
        <w:gridCol w:w="392"/>
        <w:gridCol w:w="3271"/>
        <w:gridCol w:w="5645"/>
        <w:gridCol w:w="14"/>
      </w:tblGrid>
      <w:tr w:rsidR="008F4989" w:rsidRPr="00E80983" w:rsidTr="00527871">
        <w:trPr>
          <w:gridAfter w:val="1"/>
          <w:wAfter w:w="14" w:type="dxa"/>
          <w:jc w:val="center"/>
        </w:trPr>
        <w:tc>
          <w:tcPr>
            <w:tcW w:w="3663" w:type="dxa"/>
            <w:gridSpan w:val="2"/>
            <w:tcBorders>
              <w:top w:val="single" w:sz="4" w:space="0" w:color="auto"/>
              <w:left w:val="single" w:sz="4" w:space="0" w:color="auto"/>
              <w:bottom w:val="single" w:sz="4" w:space="0" w:color="auto"/>
              <w:right w:val="single" w:sz="4" w:space="0" w:color="auto"/>
            </w:tcBorders>
          </w:tcPr>
          <w:p w:rsidR="008F4989" w:rsidRPr="00E80983" w:rsidRDefault="00FA6FD6" w:rsidP="00FA6FD6">
            <w:pPr>
              <w:ind w:right="-1881"/>
              <w:rPr>
                <w:b/>
                <w:sz w:val="22"/>
                <w:szCs w:val="22"/>
                <w:lang w:val="de-DE"/>
              </w:rPr>
            </w:pPr>
            <w:r w:rsidRPr="00E80983">
              <w:rPr>
                <w:b/>
                <w:sz w:val="22"/>
                <w:szCs w:val="22"/>
                <w:lang w:val="de-DE"/>
              </w:rPr>
              <w:t>Identifizi</w:t>
            </w:r>
            <w:r w:rsidR="00146FE7" w:rsidRPr="00E80983">
              <w:rPr>
                <w:b/>
                <w:sz w:val="22"/>
                <w:szCs w:val="22"/>
                <w:lang w:val="de-DE"/>
              </w:rPr>
              <w:t>e</w:t>
            </w:r>
            <w:r w:rsidRPr="00E80983">
              <w:rPr>
                <w:b/>
                <w:sz w:val="22"/>
                <w:szCs w:val="22"/>
                <w:lang w:val="de-DE"/>
              </w:rPr>
              <w:t>rung de</w:t>
            </w:r>
            <w:r w:rsidR="000548FD" w:rsidRPr="00E80983">
              <w:rPr>
                <w:b/>
                <w:sz w:val="22"/>
                <w:szCs w:val="22"/>
                <w:lang w:val="de-DE"/>
              </w:rPr>
              <w:t>r Stelle</w:t>
            </w:r>
            <w:r w:rsidRPr="00E80983">
              <w:rPr>
                <w:b/>
                <w:sz w:val="22"/>
                <w:szCs w:val="22"/>
                <w:lang w:val="de-DE"/>
              </w:rPr>
              <w:t>:</w:t>
            </w:r>
          </w:p>
          <w:p w:rsidR="00FA6FD6" w:rsidRPr="00E80983" w:rsidRDefault="00FA6FD6" w:rsidP="0069244E">
            <w:pPr>
              <w:ind w:right="-1881"/>
              <w:jc w:val="both"/>
              <w:rPr>
                <w:sz w:val="22"/>
                <w:szCs w:val="22"/>
                <w:lang w:val="de-DE"/>
              </w:rPr>
            </w:pPr>
            <w:r w:rsidRPr="00E80983">
              <w:rPr>
                <w:sz w:val="22"/>
                <w:szCs w:val="22"/>
                <w:lang w:val="de-DE"/>
              </w:rPr>
              <w:t>(GD-DIR-REF)</w:t>
            </w:r>
          </w:p>
        </w:tc>
        <w:tc>
          <w:tcPr>
            <w:tcW w:w="5645" w:type="dxa"/>
            <w:tcBorders>
              <w:top w:val="single" w:sz="4" w:space="0" w:color="auto"/>
              <w:left w:val="single" w:sz="4" w:space="0" w:color="auto"/>
              <w:bottom w:val="single" w:sz="4" w:space="0" w:color="auto"/>
              <w:right w:val="single" w:sz="4" w:space="0" w:color="auto"/>
            </w:tcBorders>
          </w:tcPr>
          <w:p w:rsidR="008F4989" w:rsidRPr="00E80983" w:rsidRDefault="00F50965" w:rsidP="00FA6FD6">
            <w:pPr>
              <w:spacing w:before="120"/>
              <w:ind w:right="1315"/>
              <w:jc w:val="both"/>
              <w:rPr>
                <w:b/>
                <w:sz w:val="22"/>
                <w:szCs w:val="22"/>
                <w:lang w:val="de-DE"/>
              </w:rPr>
            </w:pPr>
            <w:r w:rsidRPr="00E80983">
              <w:rPr>
                <w:b/>
                <w:sz w:val="22"/>
                <w:szCs w:val="22"/>
                <w:lang w:val="de-DE"/>
              </w:rPr>
              <w:t>HOME.A3</w:t>
            </w:r>
          </w:p>
        </w:tc>
      </w:tr>
      <w:tr w:rsidR="00DF1D3A" w:rsidRPr="00E80983" w:rsidTr="00DF1D3A">
        <w:trPr>
          <w:gridAfter w:val="1"/>
          <w:wAfter w:w="14" w:type="dxa"/>
          <w:trHeight w:val="2150"/>
          <w:jc w:val="center"/>
        </w:trPr>
        <w:tc>
          <w:tcPr>
            <w:tcW w:w="3663" w:type="dxa"/>
            <w:gridSpan w:val="2"/>
            <w:vMerge w:val="restart"/>
            <w:tcBorders>
              <w:top w:val="single" w:sz="4" w:space="0" w:color="auto"/>
              <w:left w:val="single" w:sz="4" w:space="0" w:color="auto"/>
              <w:bottom w:val="nil"/>
              <w:right w:val="single" w:sz="4" w:space="0" w:color="auto"/>
            </w:tcBorders>
          </w:tcPr>
          <w:p w:rsidR="00DF1D3A" w:rsidRPr="00E80983" w:rsidRDefault="00DF1D3A" w:rsidP="0069244E">
            <w:pPr>
              <w:tabs>
                <w:tab w:val="left" w:pos="1697"/>
              </w:tabs>
              <w:ind w:right="-1739"/>
              <w:jc w:val="both"/>
              <w:rPr>
                <w:b/>
                <w:sz w:val="22"/>
                <w:szCs w:val="22"/>
                <w:lang w:val="de-DE"/>
              </w:rPr>
            </w:pPr>
            <w:r w:rsidRPr="00E80983">
              <w:rPr>
                <w:b/>
                <w:sz w:val="22"/>
                <w:szCs w:val="22"/>
                <w:lang w:val="de-DE"/>
              </w:rPr>
              <w:t>Referatsleiter:</w:t>
            </w:r>
          </w:p>
          <w:p w:rsidR="00DF1D3A" w:rsidRPr="00E80983" w:rsidRDefault="00DF1D3A" w:rsidP="0069244E">
            <w:pPr>
              <w:tabs>
                <w:tab w:val="left" w:pos="1697"/>
              </w:tabs>
              <w:ind w:right="-1739"/>
              <w:jc w:val="both"/>
              <w:rPr>
                <w:b/>
                <w:sz w:val="22"/>
                <w:szCs w:val="22"/>
                <w:lang w:val="de-DE"/>
              </w:rPr>
            </w:pPr>
            <w:r w:rsidRPr="00E80983">
              <w:rPr>
                <w:b/>
                <w:sz w:val="22"/>
                <w:szCs w:val="22"/>
                <w:lang w:val="de-DE"/>
              </w:rPr>
              <w:t>E-Mail-Adresse:</w:t>
            </w:r>
          </w:p>
          <w:p w:rsidR="00DF1D3A" w:rsidRPr="00E80983" w:rsidRDefault="00DF1D3A" w:rsidP="0069244E">
            <w:pPr>
              <w:tabs>
                <w:tab w:val="left" w:pos="1697"/>
              </w:tabs>
              <w:ind w:right="-1739"/>
              <w:jc w:val="both"/>
              <w:rPr>
                <w:b/>
                <w:sz w:val="22"/>
                <w:szCs w:val="22"/>
                <w:lang w:val="de-DE"/>
              </w:rPr>
            </w:pPr>
            <w:r w:rsidRPr="00E80983">
              <w:rPr>
                <w:b/>
                <w:sz w:val="22"/>
                <w:szCs w:val="22"/>
                <w:lang w:val="de-DE"/>
              </w:rPr>
              <w:t>Telefon:</w:t>
            </w:r>
          </w:p>
          <w:p w:rsidR="00DF1D3A" w:rsidRPr="00E80983" w:rsidRDefault="00DF1D3A" w:rsidP="0069244E">
            <w:pPr>
              <w:tabs>
                <w:tab w:val="left" w:pos="1697"/>
              </w:tabs>
              <w:ind w:right="-1739"/>
              <w:jc w:val="both"/>
              <w:rPr>
                <w:sz w:val="22"/>
                <w:szCs w:val="22"/>
                <w:lang w:val="de-DE"/>
              </w:rPr>
            </w:pPr>
            <w:r w:rsidRPr="00E80983">
              <w:rPr>
                <w:b/>
                <w:sz w:val="22"/>
                <w:szCs w:val="22"/>
                <w:lang w:val="de-DE"/>
              </w:rPr>
              <w:t>Anzahl der zu besetzenden Stellen:</w:t>
            </w:r>
          </w:p>
          <w:p w:rsidR="00DF1D3A" w:rsidRPr="00E80983" w:rsidRDefault="00DF1D3A" w:rsidP="0069244E">
            <w:pPr>
              <w:tabs>
                <w:tab w:val="left" w:pos="1697"/>
              </w:tabs>
              <w:ind w:right="-1739"/>
              <w:jc w:val="both"/>
              <w:rPr>
                <w:b/>
                <w:sz w:val="22"/>
                <w:szCs w:val="22"/>
                <w:lang w:val="de-DE"/>
              </w:rPr>
            </w:pPr>
            <w:r w:rsidRPr="00E80983">
              <w:rPr>
                <w:b/>
                <w:sz w:val="22"/>
                <w:szCs w:val="22"/>
                <w:lang w:val="de-DE"/>
              </w:rPr>
              <w:t>Gewünschter Dienstantritt:</w:t>
            </w:r>
          </w:p>
          <w:p w:rsidR="00DF1D3A" w:rsidRPr="00E80983" w:rsidRDefault="00DF1D3A" w:rsidP="0069244E">
            <w:pPr>
              <w:tabs>
                <w:tab w:val="left" w:pos="1697"/>
              </w:tabs>
              <w:ind w:right="-1739"/>
              <w:jc w:val="both"/>
              <w:rPr>
                <w:b/>
                <w:sz w:val="22"/>
                <w:szCs w:val="22"/>
                <w:lang w:val="de-DE"/>
              </w:rPr>
            </w:pPr>
            <w:r w:rsidRPr="00E80983">
              <w:rPr>
                <w:b/>
                <w:sz w:val="22"/>
                <w:szCs w:val="22"/>
                <w:lang w:val="de-DE"/>
              </w:rPr>
              <w:t>Gewünschte Dauer der</w:t>
            </w:r>
          </w:p>
          <w:p w:rsidR="00DF1D3A" w:rsidRPr="00E80983" w:rsidRDefault="00DF1D3A" w:rsidP="0069244E">
            <w:pPr>
              <w:tabs>
                <w:tab w:val="left" w:pos="1697"/>
              </w:tabs>
              <w:ind w:right="-1739"/>
              <w:jc w:val="both"/>
              <w:rPr>
                <w:sz w:val="22"/>
                <w:szCs w:val="22"/>
                <w:lang w:val="de-DE"/>
              </w:rPr>
            </w:pPr>
            <w:r w:rsidRPr="00E80983">
              <w:rPr>
                <w:b/>
                <w:sz w:val="22"/>
                <w:szCs w:val="22"/>
                <w:lang w:val="de-DE"/>
              </w:rPr>
              <w:t>1. Abordnung:</w:t>
            </w:r>
          </w:p>
          <w:p w:rsidR="00DF1D3A" w:rsidRPr="00E80983" w:rsidRDefault="00DF1D3A" w:rsidP="00DF1D3A">
            <w:pPr>
              <w:tabs>
                <w:tab w:val="left" w:pos="1697"/>
              </w:tabs>
              <w:ind w:right="-1739"/>
              <w:jc w:val="both"/>
              <w:rPr>
                <w:sz w:val="22"/>
                <w:szCs w:val="22"/>
                <w:lang w:val="de-DE"/>
              </w:rPr>
            </w:pPr>
            <w:r w:rsidRPr="00E80983">
              <w:rPr>
                <w:b/>
                <w:sz w:val="22"/>
                <w:szCs w:val="22"/>
                <w:lang w:val="de-DE"/>
              </w:rPr>
              <w:t>Dienstort:</w:t>
            </w:r>
          </w:p>
        </w:tc>
        <w:tc>
          <w:tcPr>
            <w:tcW w:w="5645" w:type="dxa"/>
            <w:tcBorders>
              <w:top w:val="single" w:sz="4" w:space="0" w:color="auto"/>
              <w:left w:val="single" w:sz="4" w:space="0" w:color="auto"/>
              <w:right w:val="single" w:sz="4" w:space="0" w:color="auto"/>
            </w:tcBorders>
          </w:tcPr>
          <w:p w:rsidR="00DF1D3A" w:rsidRPr="00E80983" w:rsidRDefault="001E61C3" w:rsidP="0069244E">
            <w:pPr>
              <w:ind w:right="1317"/>
              <w:jc w:val="both"/>
              <w:rPr>
                <w:b/>
                <w:sz w:val="22"/>
                <w:szCs w:val="22"/>
                <w:lang w:val="de-DE"/>
              </w:rPr>
            </w:pPr>
            <w:r w:rsidRPr="00E80983">
              <w:rPr>
                <w:b/>
                <w:sz w:val="22"/>
                <w:szCs w:val="22"/>
                <w:lang w:val="de-DE"/>
              </w:rPr>
              <w:t>Pawel Busiakiewicz</w:t>
            </w:r>
          </w:p>
          <w:p w:rsidR="00DF1D3A" w:rsidRPr="00E80983" w:rsidRDefault="001E61C3" w:rsidP="0069244E">
            <w:pPr>
              <w:ind w:right="1317"/>
              <w:jc w:val="both"/>
              <w:rPr>
                <w:b/>
                <w:sz w:val="22"/>
                <w:szCs w:val="22"/>
                <w:lang w:val="de-DE"/>
              </w:rPr>
            </w:pPr>
            <w:r w:rsidRPr="00E80983">
              <w:rPr>
                <w:b/>
                <w:sz w:val="22"/>
                <w:szCs w:val="22"/>
                <w:lang w:val="de-DE"/>
              </w:rPr>
              <w:t>Pawel.busiakiewicz</w:t>
            </w:r>
            <w:r w:rsidR="00F50965" w:rsidRPr="00E80983">
              <w:rPr>
                <w:b/>
                <w:sz w:val="22"/>
                <w:szCs w:val="22"/>
                <w:lang w:val="de-DE"/>
              </w:rPr>
              <w:t>@ec.europa.eu</w:t>
            </w:r>
          </w:p>
          <w:p w:rsidR="00DF1D3A" w:rsidRPr="00E80983" w:rsidRDefault="00F50965" w:rsidP="0069244E">
            <w:pPr>
              <w:ind w:right="1317"/>
              <w:jc w:val="both"/>
              <w:rPr>
                <w:b/>
                <w:sz w:val="22"/>
                <w:szCs w:val="22"/>
                <w:lang w:val="de-DE"/>
              </w:rPr>
            </w:pPr>
            <w:r w:rsidRPr="00E80983">
              <w:rPr>
                <w:b/>
                <w:sz w:val="22"/>
                <w:szCs w:val="22"/>
                <w:lang w:val="de-DE"/>
              </w:rPr>
              <w:t>+32 2 295 10 17</w:t>
            </w:r>
          </w:p>
          <w:p w:rsidR="00DF1D3A" w:rsidRPr="00E80983" w:rsidRDefault="00DF1D3A" w:rsidP="0069244E">
            <w:pPr>
              <w:ind w:left="34" w:right="1317"/>
              <w:jc w:val="both"/>
              <w:rPr>
                <w:b/>
                <w:sz w:val="22"/>
                <w:szCs w:val="22"/>
                <w:lang w:val="de-DE"/>
              </w:rPr>
            </w:pPr>
          </w:p>
          <w:p w:rsidR="00DF1D3A" w:rsidRPr="00E80983" w:rsidRDefault="00D448E9" w:rsidP="00F50965">
            <w:pPr>
              <w:ind w:right="1317"/>
              <w:jc w:val="both"/>
              <w:rPr>
                <w:b/>
                <w:sz w:val="22"/>
                <w:szCs w:val="22"/>
                <w:lang w:val="de-DE"/>
              </w:rPr>
            </w:pPr>
            <w:r>
              <w:rPr>
                <w:b/>
                <w:sz w:val="22"/>
                <w:szCs w:val="22"/>
                <w:lang w:val="de-DE"/>
              </w:rPr>
              <w:t>4</w:t>
            </w:r>
            <w:r w:rsidR="00DF1D3A" w:rsidRPr="00E80983">
              <w:rPr>
                <w:b/>
                <w:sz w:val="22"/>
                <w:szCs w:val="22"/>
                <w:lang w:val="de-DE"/>
              </w:rPr>
              <w:t xml:space="preserve"> Quartal 20</w:t>
            </w:r>
            <w:r w:rsidR="001E61C3" w:rsidRPr="00E80983">
              <w:rPr>
                <w:b/>
                <w:sz w:val="22"/>
                <w:szCs w:val="22"/>
                <w:lang w:val="de-DE"/>
              </w:rPr>
              <w:t>23</w:t>
            </w:r>
            <w:r w:rsidR="00DF1D3A" w:rsidRPr="00E80983">
              <w:rPr>
                <w:rStyle w:val="FootnoteReference"/>
                <w:b/>
                <w:sz w:val="22"/>
                <w:szCs w:val="22"/>
                <w:lang w:val="de-DE"/>
              </w:rPr>
              <w:footnoteReference w:id="1"/>
            </w:r>
          </w:p>
          <w:p w:rsidR="00DF1D3A" w:rsidRPr="00E80983" w:rsidRDefault="00F50965" w:rsidP="00DF1D3A">
            <w:pPr>
              <w:ind w:right="1317"/>
              <w:jc w:val="both"/>
              <w:rPr>
                <w:b/>
                <w:sz w:val="22"/>
                <w:szCs w:val="22"/>
                <w:lang w:val="de-DE"/>
              </w:rPr>
            </w:pPr>
            <w:r w:rsidRPr="00E80983">
              <w:rPr>
                <w:b/>
                <w:sz w:val="22"/>
                <w:szCs w:val="22"/>
                <w:lang w:val="de-DE"/>
              </w:rPr>
              <w:t>2</w:t>
            </w:r>
            <w:r w:rsidR="00DF1D3A" w:rsidRPr="00E80983">
              <w:rPr>
                <w:b/>
                <w:sz w:val="22"/>
                <w:szCs w:val="22"/>
                <w:lang w:val="de-DE"/>
              </w:rPr>
              <w:t xml:space="preserve"> Jahr(e)</w:t>
            </w:r>
            <w:r w:rsidR="00DF1D3A" w:rsidRPr="00E80983">
              <w:rPr>
                <w:rStyle w:val="FootnoteReference"/>
                <w:b/>
                <w:sz w:val="22"/>
                <w:szCs w:val="22"/>
                <w:lang w:val="de-DE"/>
              </w:rPr>
              <w:t>1</w:t>
            </w:r>
          </w:p>
          <w:p w:rsidR="00DF1D3A" w:rsidRPr="00E80983" w:rsidRDefault="00DF1D3A" w:rsidP="00DF1D3A">
            <w:pPr>
              <w:ind w:right="1317"/>
              <w:jc w:val="both"/>
              <w:rPr>
                <w:b/>
                <w:sz w:val="22"/>
                <w:szCs w:val="22"/>
                <w:lang w:val="de-DE"/>
              </w:rPr>
            </w:pPr>
          </w:p>
          <w:p w:rsidR="00DF1D3A" w:rsidRPr="00E80983" w:rsidRDefault="00DF1D3A" w:rsidP="00F50965">
            <w:pPr>
              <w:tabs>
                <w:tab w:val="left" w:pos="317"/>
                <w:tab w:val="left" w:pos="1310"/>
                <w:tab w:val="left" w:pos="1735"/>
                <w:tab w:val="left" w:pos="3011"/>
                <w:tab w:val="left" w:pos="3436"/>
              </w:tabs>
              <w:ind w:right="9"/>
              <w:jc w:val="both"/>
              <w:rPr>
                <w:b/>
                <w:sz w:val="22"/>
                <w:szCs w:val="22"/>
                <w:lang w:val="de-DE"/>
              </w:rPr>
            </w:pPr>
            <w:r w:rsidRPr="00E80983">
              <w:rPr>
                <w:rFonts w:eastAsia="MS Minngs"/>
                <w:bCs/>
                <w:sz w:val="22"/>
                <w:szCs w:val="22"/>
                <w:lang w:val="fr-FR"/>
              </w:rPr>
              <w:sym w:font="Wingdings 2" w:char="F0A3"/>
            </w:r>
            <w:r w:rsidRPr="00E80983">
              <w:rPr>
                <w:rFonts w:eastAsia="MS Minngs"/>
                <w:bCs/>
                <w:sz w:val="22"/>
                <w:szCs w:val="22"/>
                <w:lang w:val="de-DE"/>
              </w:rPr>
              <w:tab/>
            </w:r>
            <w:r w:rsidRPr="00E80983">
              <w:rPr>
                <w:b/>
                <w:sz w:val="22"/>
                <w:szCs w:val="22"/>
                <w:lang w:val="de-DE"/>
              </w:rPr>
              <w:t>Brüssel</w:t>
            </w:r>
            <w:r w:rsidRPr="00E80983">
              <w:rPr>
                <w:b/>
                <w:sz w:val="22"/>
                <w:szCs w:val="22"/>
                <w:lang w:val="de-DE"/>
              </w:rPr>
              <w:tab/>
            </w:r>
            <w:r w:rsidRPr="00E80983">
              <w:rPr>
                <w:rFonts w:eastAsia="MS Minngs"/>
                <w:bCs/>
                <w:sz w:val="22"/>
                <w:szCs w:val="22"/>
                <w:lang w:val="fr-FR"/>
              </w:rPr>
              <w:sym w:font="Wingdings 2" w:char="F0A3"/>
            </w:r>
            <w:r w:rsidRPr="00E80983">
              <w:rPr>
                <w:rFonts w:eastAsia="MS Minngs"/>
                <w:bCs/>
                <w:sz w:val="22"/>
                <w:szCs w:val="22"/>
                <w:lang w:val="de-DE"/>
              </w:rPr>
              <w:tab/>
            </w:r>
            <w:r w:rsidRPr="00E80983">
              <w:rPr>
                <w:b/>
                <w:sz w:val="22"/>
                <w:szCs w:val="22"/>
                <w:lang w:val="de-DE"/>
              </w:rPr>
              <w:t>Luxemburg</w:t>
            </w:r>
            <w:r w:rsidRPr="00E80983">
              <w:rPr>
                <w:b/>
                <w:sz w:val="22"/>
                <w:szCs w:val="22"/>
                <w:lang w:val="de-DE"/>
              </w:rPr>
              <w:tab/>
            </w:r>
            <w:r w:rsidR="00F50965" w:rsidRPr="00E80983">
              <w:rPr>
                <w:rFonts w:eastAsia="MS Minngs"/>
                <w:bCs/>
                <w:sz w:val="22"/>
                <w:szCs w:val="22"/>
                <w:lang w:val="pt-PT"/>
              </w:rPr>
              <w:t>x</w:t>
            </w:r>
            <w:r w:rsidRPr="00E80983">
              <w:rPr>
                <w:rFonts w:eastAsia="MS Minngs"/>
                <w:bCs/>
                <w:sz w:val="22"/>
                <w:szCs w:val="22"/>
                <w:lang w:val="de-DE"/>
              </w:rPr>
              <w:t xml:space="preserve"> </w:t>
            </w:r>
            <w:r w:rsidRPr="00E80983">
              <w:rPr>
                <w:rFonts w:eastAsia="MS Minngs"/>
                <w:bCs/>
                <w:sz w:val="22"/>
                <w:szCs w:val="22"/>
                <w:lang w:val="de-DE"/>
              </w:rPr>
              <w:tab/>
            </w:r>
            <w:r w:rsidRPr="00E80983">
              <w:rPr>
                <w:b/>
                <w:sz w:val="22"/>
                <w:szCs w:val="22"/>
                <w:lang w:val="de-DE"/>
              </w:rPr>
              <w:t>Anderer:</w:t>
            </w:r>
            <w:r w:rsidR="001E61C3" w:rsidRPr="00E80983">
              <w:rPr>
                <w:b/>
                <w:sz w:val="22"/>
                <w:szCs w:val="22"/>
                <w:lang w:val="de-DE"/>
              </w:rPr>
              <w:t xml:space="preserve"> Gambia</w:t>
            </w:r>
          </w:p>
        </w:tc>
      </w:tr>
      <w:tr w:rsidR="00527871" w:rsidRPr="00E80983" w:rsidTr="00527871">
        <w:trPr>
          <w:gridAfter w:val="1"/>
          <w:wAfter w:w="14" w:type="dxa"/>
          <w:jc w:val="center"/>
        </w:trPr>
        <w:tc>
          <w:tcPr>
            <w:tcW w:w="3663" w:type="dxa"/>
            <w:gridSpan w:val="2"/>
            <w:vMerge/>
            <w:tcBorders>
              <w:left w:val="single" w:sz="4" w:space="0" w:color="auto"/>
              <w:right w:val="single" w:sz="4" w:space="0" w:color="auto"/>
            </w:tcBorders>
          </w:tcPr>
          <w:p w:rsidR="00527871" w:rsidRPr="00E80983" w:rsidRDefault="00527871" w:rsidP="0069244E">
            <w:pPr>
              <w:tabs>
                <w:tab w:val="left" w:pos="1697"/>
              </w:tabs>
              <w:ind w:right="-1739"/>
              <w:jc w:val="both"/>
              <w:rPr>
                <w:sz w:val="22"/>
                <w:szCs w:val="22"/>
                <w:lang w:val="de-DE"/>
              </w:rPr>
            </w:pPr>
          </w:p>
        </w:tc>
        <w:tc>
          <w:tcPr>
            <w:tcW w:w="5645" w:type="dxa"/>
            <w:tcBorders>
              <w:top w:val="single" w:sz="4" w:space="0" w:color="auto"/>
              <w:left w:val="single" w:sz="4" w:space="0" w:color="auto"/>
              <w:bottom w:val="single" w:sz="4" w:space="0" w:color="auto"/>
              <w:right w:val="single" w:sz="4" w:space="0" w:color="auto"/>
            </w:tcBorders>
          </w:tcPr>
          <w:p w:rsidR="00527871" w:rsidRPr="00E80983" w:rsidRDefault="00527871" w:rsidP="00F50965">
            <w:pPr>
              <w:tabs>
                <w:tab w:val="left" w:pos="1697"/>
              </w:tabs>
              <w:spacing w:before="100" w:after="100"/>
              <w:ind w:right="-1741"/>
              <w:rPr>
                <w:b/>
                <w:sz w:val="22"/>
                <w:szCs w:val="22"/>
                <w:lang w:val="de-DE"/>
              </w:rPr>
            </w:pPr>
            <w:r w:rsidRPr="00E80983">
              <w:rPr>
                <w:rFonts w:eastAsia="MS Minngs"/>
                <w:bCs/>
                <w:sz w:val="22"/>
                <w:szCs w:val="22"/>
                <w:lang w:val="fr-FR"/>
              </w:rPr>
              <w:sym w:font="Wingdings 2" w:char="F0A3"/>
            </w:r>
            <w:r w:rsidRPr="00E80983">
              <w:rPr>
                <w:rFonts w:eastAsia="MS Minngs"/>
                <w:bCs/>
                <w:sz w:val="22"/>
                <w:szCs w:val="22"/>
                <w:lang w:val="de-DE"/>
              </w:rPr>
              <w:t xml:space="preserve">  </w:t>
            </w:r>
            <w:r w:rsidRPr="00E80983">
              <w:rPr>
                <w:b/>
                <w:sz w:val="22"/>
                <w:szCs w:val="22"/>
                <w:lang w:val="de-DE"/>
              </w:rPr>
              <w:t xml:space="preserve">Mit Vergütungen   </w:t>
            </w:r>
            <w:r w:rsidR="00F50965" w:rsidRPr="00E80983">
              <w:rPr>
                <w:rFonts w:eastAsia="MS Minngs"/>
                <w:bCs/>
                <w:sz w:val="22"/>
                <w:szCs w:val="22"/>
                <w:lang w:val="en-GB"/>
              </w:rPr>
              <w:t>x</w:t>
            </w:r>
            <w:r w:rsidRPr="00E80983">
              <w:rPr>
                <w:b/>
                <w:sz w:val="22"/>
                <w:szCs w:val="22"/>
                <w:lang w:val="de-DE"/>
              </w:rPr>
              <w:t xml:space="preserve">  Unentgeltlich Abgeordnet</w:t>
            </w:r>
          </w:p>
        </w:tc>
      </w:tr>
      <w:tr w:rsidR="00527871" w:rsidRPr="00E80983" w:rsidTr="00527871">
        <w:trPr>
          <w:gridAfter w:val="1"/>
          <w:wAfter w:w="14" w:type="dxa"/>
          <w:trHeight w:val="701"/>
          <w:jc w:val="center"/>
        </w:trPr>
        <w:tc>
          <w:tcPr>
            <w:tcW w:w="3663" w:type="dxa"/>
            <w:gridSpan w:val="2"/>
            <w:vMerge/>
            <w:tcBorders>
              <w:left w:val="single" w:sz="4" w:space="0" w:color="auto"/>
              <w:bottom w:val="single" w:sz="4" w:space="0" w:color="auto"/>
              <w:right w:val="single" w:sz="4" w:space="0" w:color="auto"/>
            </w:tcBorders>
          </w:tcPr>
          <w:p w:rsidR="00527871" w:rsidRPr="00E80983" w:rsidRDefault="00527871" w:rsidP="0069244E">
            <w:pPr>
              <w:tabs>
                <w:tab w:val="left" w:pos="1697"/>
              </w:tabs>
              <w:ind w:right="-1739"/>
              <w:jc w:val="both"/>
              <w:rPr>
                <w:b/>
                <w:sz w:val="22"/>
                <w:szCs w:val="22"/>
                <w:lang w:val="de-DE"/>
              </w:rPr>
            </w:pPr>
          </w:p>
        </w:tc>
        <w:tc>
          <w:tcPr>
            <w:tcW w:w="5645" w:type="dxa"/>
            <w:tcBorders>
              <w:left w:val="single" w:sz="4" w:space="0" w:color="auto"/>
              <w:bottom w:val="single" w:sz="4" w:space="0" w:color="auto"/>
              <w:right w:val="single" w:sz="4" w:space="0" w:color="auto"/>
            </w:tcBorders>
          </w:tcPr>
          <w:p w:rsidR="00527871" w:rsidRPr="00E80983" w:rsidRDefault="00527871" w:rsidP="002747E6">
            <w:pPr>
              <w:rPr>
                <w:b/>
                <w:sz w:val="22"/>
                <w:szCs w:val="22"/>
                <w:lang w:val="de-DE"/>
              </w:rPr>
            </w:pPr>
            <w:r w:rsidRPr="00E80983">
              <w:rPr>
                <w:b/>
                <w:sz w:val="22"/>
                <w:szCs w:val="22"/>
                <w:lang w:val="de-DE"/>
              </w:rPr>
              <w:t>Auf diese Stellenausschreibung können sich auch</w:t>
            </w:r>
          </w:p>
          <w:p w:rsidR="00527871" w:rsidRPr="00E80983" w:rsidRDefault="00527871" w:rsidP="00527871">
            <w:pPr>
              <w:tabs>
                <w:tab w:val="left" w:pos="459"/>
              </w:tabs>
              <w:rPr>
                <w:b/>
                <w:bCs/>
                <w:sz w:val="22"/>
                <w:szCs w:val="22"/>
                <w:lang w:val="de-DE"/>
              </w:rPr>
            </w:pPr>
            <w:r w:rsidRPr="00E80983">
              <w:rPr>
                <w:rFonts w:eastAsia="MS Minngs"/>
                <w:bCs/>
                <w:sz w:val="22"/>
                <w:szCs w:val="22"/>
                <w:lang w:val="fr-FR"/>
              </w:rPr>
              <w:sym w:font="Wingdings 2" w:char="F0A3"/>
            </w:r>
            <w:r w:rsidRPr="00E80983">
              <w:rPr>
                <w:rStyle w:val="Strong"/>
                <w:sz w:val="22"/>
                <w:szCs w:val="22"/>
                <w:lang w:val="de-DE"/>
              </w:rPr>
              <w:t>    Bedienstete der folgenden EFTA-Staaten bewerben:</w:t>
            </w:r>
            <w:r w:rsidRPr="00E80983">
              <w:rPr>
                <w:b/>
                <w:sz w:val="22"/>
                <w:szCs w:val="22"/>
                <w:lang w:val="de-DE"/>
              </w:rPr>
              <w:br/>
            </w:r>
            <w:r w:rsidRPr="00E80983">
              <w:rPr>
                <w:b/>
                <w:sz w:val="22"/>
                <w:szCs w:val="22"/>
                <w:lang w:val="de-DE"/>
              </w:rPr>
              <w:tab/>
            </w:r>
            <w:r w:rsidRPr="00E80983">
              <w:rPr>
                <w:sz w:val="22"/>
                <w:szCs w:val="22"/>
              </w:rPr>
              <w:sym w:font="Wingdings 2" w:char="F0A3"/>
            </w:r>
            <w:r w:rsidRPr="00E80983">
              <w:rPr>
                <w:sz w:val="22"/>
                <w:szCs w:val="22"/>
                <w:lang w:val="de-DE"/>
              </w:rPr>
              <w:t xml:space="preserve"> </w:t>
            </w:r>
            <w:r w:rsidRPr="00E80983">
              <w:rPr>
                <w:b/>
                <w:sz w:val="22"/>
                <w:szCs w:val="22"/>
                <w:lang w:val="de-DE"/>
              </w:rPr>
              <w:t xml:space="preserve">Island </w:t>
            </w:r>
            <w:r w:rsidRPr="00E80983">
              <w:rPr>
                <w:sz w:val="22"/>
                <w:szCs w:val="22"/>
              </w:rPr>
              <w:sym w:font="Wingdings 2" w:char="F0A3"/>
            </w:r>
            <w:r w:rsidRPr="00E80983">
              <w:rPr>
                <w:sz w:val="22"/>
                <w:szCs w:val="22"/>
                <w:lang w:val="de-DE"/>
              </w:rPr>
              <w:t xml:space="preserve"> </w:t>
            </w:r>
            <w:r w:rsidRPr="00E80983">
              <w:rPr>
                <w:b/>
                <w:sz w:val="22"/>
                <w:szCs w:val="22"/>
                <w:lang w:val="de-DE"/>
              </w:rPr>
              <w:t xml:space="preserve">Liechtenstein </w:t>
            </w:r>
            <w:r w:rsidRPr="00E80983">
              <w:rPr>
                <w:sz w:val="22"/>
                <w:szCs w:val="22"/>
              </w:rPr>
              <w:sym w:font="Wingdings 2" w:char="F0A3"/>
            </w:r>
            <w:r w:rsidRPr="00E80983">
              <w:rPr>
                <w:b/>
                <w:sz w:val="22"/>
                <w:szCs w:val="22"/>
                <w:lang w:val="de-DE"/>
              </w:rPr>
              <w:t xml:space="preserve"> Norwegen </w:t>
            </w:r>
            <w:r w:rsidRPr="00E80983">
              <w:rPr>
                <w:sz w:val="22"/>
                <w:szCs w:val="22"/>
              </w:rPr>
              <w:sym w:font="Wingdings 2" w:char="F0A3"/>
            </w:r>
            <w:r w:rsidRPr="00E80983">
              <w:rPr>
                <w:sz w:val="22"/>
                <w:szCs w:val="22"/>
                <w:lang w:val="de-DE"/>
              </w:rPr>
              <w:t xml:space="preserve"> </w:t>
            </w:r>
            <w:r w:rsidRPr="00E80983">
              <w:rPr>
                <w:b/>
                <w:sz w:val="22"/>
                <w:szCs w:val="22"/>
                <w:lang w:val="de-DE"/>
              </w:rPr>
              <w:t xml:space="preserve">die </w:t>
            </w:r>
            <w:r w:rsidRPr="00E80983">
              <w:rPr>
                <w:b/>
                <w:sz w:val="22"/>
                <w:szCs w:val="22"/>
                <w:lang w:val="de-DE"/>
              </w:rPr>
              <w:tab/>
            </w:r>
            <w:r w:rsidRPr="00E80983">
              <w:rPr>
                <w:b/>
                <w:sz w:val="22"/>
                <w:szCs w:val="22"/>
                <w:lang w:val="de-DE"/>
              </w:rPr>
              <w:tab/>
            </w:r>
            <w:r w:rsidRPr="00E80983">
              <w:rPr>
                <w:b/>
                <w:sz w:val="22"/>
                <w:szCs w:val="22"/>
                <w:lang w:val="de-DE"/>
              </w:rPr>
              <w:tab/>
              <w:t>Schweiz</w:t>
            </w:r>
            <w:r w:rsidRPr="00E80983">
              <w:rPr>
                <w:b/>
                <w:sz w:val="22"/>
                <w:szCs w:val="22"/>
                <w:lang w:val="de-DE"/>
              </w:rPr>
              <w:br/>
            </w:r>
            <w:r w:rsidRPr="00E80983">
              <w:rPr>
                <w:b/>
                <w:sz w:val="22"/>
                <w:szCs w:val="22"/>
                <w:lang w:val="de-DE"/>
              </w:rPr>
              <w:tab/>
            </w:r>
            <w:r w:rsidRPr="00E80983">
              <w:rPr>
                <w:sz w:val="22"/>
                <w:szCs w:val="22"/>
              </w:rPr>
              <w:sym w:font="Wingdings 2" w:char="F0A3"/>
            </w:r>
            <w:r w:rsidRPr="00E80983">
              <w:rPr>
                <w:b/>
                <w:sz w:val="22"/>
                <w:szCs w:val="22"/>
                <w:lang w:val="de-DE"/>
              </w:rPr>
              <w:t xml:space="preserve"> EFTA-EEA in Kind Abkommen</w:t>
            </w:r>
            <w:r w:rsidRPr="00E80983">
              <w:rPr>
                <w:b/>
                <w:sz w:val="22"/>
                <w:szCs w:val="22"/>
                <w:lang w:val="de-DE"/>
              </w:rPr>
              <w:br/>
            </w:r>
            <w:r w:rsidRPr="00E80983">
              <w:rPr>
                <w:b/>
                <w:sz w:val="22"/>
                <w:szCs w:val="22"/>
                <w:lang w:val="de-DE"/>
              </w:rPr>
              <w:tab/>
              <w:t xml:space="preserve">     (Island, Liechtenstein, Norwegen)</w:t>
            </w:r>
          </w:p>
          <w:p w:rsidR="00527871" w:rsidRPr="00E80983" w:rsidRDefault="00527871" w:rsidP="002747E6">
            <w:pPr>
              <w:rPr>
                <w:sz w:val="22"/>
                <w:szCs w:val="22"/>
                <w:lang w:val="de-DE"/>
              </w:rPr>
            </w:pPr>
            <w:r w:rsidRPr="00E80983">
              <w:rPr>
                <w:rFonts w:eastAsia="MS Minngs"/>
                <w:bCs/>
                <w:sz w:val="22"/>
                <w:szCs w:val="22"/>
                <w:lang w:val="fr-FR"/>
              </w:rPr>
              <w:sym w:font="Wingdings 2" w:char="F0A3"/>
            </w:r>
            <w:r w:rsidRPr="00E80983">
              <w:rPr>
                <w:rStyle w:val="Strong"/>
                <w:sz w:val="22"/>
                <w:szCs w:val="22"/>
                <w:lang w:val="de-DE"/>
              </w:rPr>
              <w:t>    Bedienstete der folgenden Drittländer bewerben:</w:t>
            </w:r>
          </w:p>
          <w:p w:rsidR="00527871" w:rsidRPr="00E80983" w:rsidRDefault="00527871" w:rsidP="00527871">
            <w:pPr>
              <w:tabs>
                <w:tab w:val="left" w:pos="459"/>
              </w:tabs>
              <w:rPr>
                <w:sz w:val="22"/>
                <w:szCs w:val="22"/>
                <w:lang w:val="de-DE"/>
              </w:rPr>
            </w:pPr>
            <w:r w:rsidRPr="00E80983">
              <w:rPr>
                <w:rFonts w:eastAsia="MS Minngs"/>
                <w:bCs/>
                <w:sz w:val="22"/>
                <w:szCs w:val="22"/>
                <w:lang w:val="fr-FR"/>
              </w:rPr>
              <w:sym w:font="Wingdings 2" w:char="F0A3"/>
            </w:r>
            <w:r w:rsidRPr="00E80983">
              <w:rPr>
                <w:rStyle w:val="Strong"/>
                <w:sz w:val="22"/>
                <w:szCs w:val="22"/>
                <w:lang w:val="de-DE"/>
              </w:rPr>
              <w:t xml:space="preserve">    Bedienstete folgender zwischenstaatlicher </w:t>
            </w:r>
            <w:r w:rsidRPr="00E80983">
              <w:rPr>
                <w:rStyle w:val="Strong"/>
                <w:sz w:val="22"/>
                <w:szCs w:val="22"/>
                <w:lang w:val="de-DE"/>
              </w:rPr>
              <w:tab/>
              <w:t>Organisationen bewerben:</w:t>
            </w:r>
          </w:p>
          <w:p w:rsidR="00527871" w:rsidRPr="00E80983" w:rsidRDefault="00527871" w:rsidP="0069244E">
            <w:pPr>
              <w:tabs>
                <w:tab w:val="left" w:pos="1697"/>
              </w:tabs>
              <w:ind w:right="-1739"/>
              <w:jc w:val="both"/>
              <w:rPr>
                <w:rFonts w:eastAsia="MS Minngs"/>
                <w:bCs/>
                <w:sz w:val="22"/>
                <w:szCs w:val="22"/>
                <w:lang w:val="de-DE"/>
              </w:rPr>
            </w:pPr>
          </w:p>
        </w:tc>
      </w:tr>
      <w:tr w:rsidR="006643E5" w:rsidRPr="00E80983" w:rsidTr="00527871">
        <w:trPr>
          <w:gridAfter w:val="1"/>
          <w:wAfter w:w="14" w:type="dxa"/>
          <w:jc w:val="center"/>
        </w:trPr>
        <w:tc>
          <w:tcPr>
            <w:tcW w:w="392" w:type="dxa"/>
            <w:tcBorders>
              <w:top w:val="single" w:sz="4" w:space="0" w:color="auto"/>
              <w:bottom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top w:val="single" w:sz="4" w:space="0" w:color="auto"/>
              <w:bottom w:val="single" w:sz="4" w:space="0" w:color="auto"/>
            </w:tcBorders>
          </w:tcPr>
          <w:p w:rsidR="006643E5" w:rsidRPr="00E80983" w:rsidRDefault="006643E5" w:rsidP="0069244E">
            <w:pPr>
              <w:ind w:right="1317"/>
              <w:jc w:val="both"/>
              <w:rPr>
                <w:b/>
                <w:sz w:val="22"/>
                <w:szCs w:val="22"/>
                <w:lang w:val="de-DE"/>
              </w:rPr>
            </w:pPr>
          </w:p>
        </w:tc>
      </w:tr>
      <w:tr w:rsidR="006643E5" w:rsidRPr="00E80983"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E80983" w:rsidRDefault="006643E5" w:rsidP="0069244E">
            <w:pPr>
              <w:ind w:right="1317"/>
              <w:jc w:val="both"/>
              <w:rPr>
                <w:b/>
                <w:sz w:val="22"/>
                <w:szCs w:val="22"/>
                <w:lang w:val="de-DE"/>
              </w:rPr>
            </w:pPr>
            <w:r w:rsidRPr="00E80983">
              <w:rPr>
                <w:b/>
                <w:sz w:val="22"/>
                <w:szCs w:val="22"/>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E80983" w:rsidRDefault="006643E5" w:rsidP="0069244E">
            <w:pPr>
              <w:ind w:right="1317"/>
              <w:jc w:val="both"/>
              <w:rPr>
                <w:sz w:val="22"/>
                <w:szCs w:val="22"/>
                <w:lang w:val="de-DE"/>
              </w:rPr>
            </w:pPr>
            <w:r w:rsidRPr="00E80983">
              <w:rPr>
                <w:b/>
                <w:sz w:val="22"/>
                <w:szCs w:val="22"/>
                <w:lang w:val="de-DE"/>
              </w:rPr>
              <w:t>Art der Tätigkeit:</w:t>
            </w:r>
          </w:p>
        </w:tc>
      </w:tr>
      <w:tr w:rsidR="006643E5" w:rsidRPr="00E80983" w:rsidTr="00F50965">
        <w:trPr>
          <w:gridAfter w:val="1"/>
          <w:wAfter w:w="14" w:type="dxa"/>
          <w:jc w:val="center"/>
        </w:trPr>
        <w:tc>
          <w:tcPr>
            <w:tcW w:w="392" w:type="dxa"/>
            <w:tcBorders>
              <w:left w:val="single" w:sz="4" w:space="0" w:color="auto"/>
              <w:bottom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bottom w:val="single" w:sz="4" w:space="0" w:color="auto"/>
              <w:right w:val="single" w:sz="4" w:space="0" w:color="auto"/>
            </w:tcBorders>
          </w:tcPr>
          <w:p w:rsidR="006643E5" w:rsidRPr="00E80983" w:rsidRDefault="006643E5" w:rsidP="00435DA0">
            <w:pPr>
              <w:ind w:right="9"/>
              <w:jc w:val="both"/>
              <w:rPr>
                <w:b/>
                <w:sz w:val="22"/>
                <w:szCs w:val="22"/>
                <w:lang w:val="de-DE"/>
              </w:rPr>
            </w:pPr>
          </w:p>
          <w:p w:rsidR="001E61C3" w:rsidRPr="00E80983" w:rsidRDefault="001E61C3" w:rsidP="001E61C3">
            <w:pPr>
              <w:jc w:val="both"/>
              <w:rPr>
                <w:sz w:val="22"/>
                <w:szCs w:val="22"/>
                <w:lang w:val="de-DE"/>
              </w:rPr>
            </w:pPr>
            <w:r w:rsidRPr="00E80983">
              <w:rPr>
                <w:sz w:val="22"/>
                <w:szCs w:val="22"/>
                <w:lang w:val="de-DE"/>
              </w:rPr>
              <w:t>Zielsetzung: die Koordinierung zu intensivieren, um die Wirkung der EU-Maßnahmen auf die Migration in Drittländern zu maximieren und das Engagement der wichtigsten Herkunfts- und Transitländer für das gesamte Spektrum der Migrationsangelegenheiten zu verbessern. Die EMLO (europäischer Verbindungsbeambter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 werden auch zur Umsetzung der bilateralen und regionalen Kooperationsrahmen im Bereich Migration beitragen.</w:t>
            </w:r>
          </w:p>
          <w:p w:rsidR="001E61C3" w:rsidRPr="00E80983" w:rsidRDefault="001E61C3" w:rsidP="001E61C3">
            <w:pPr>
              <w:ind w:left="426"/>
              <w:jc w:val="both"/>
              <w:rPr>
                <w:sz w:val="22"/>
                <w:szCs w:val="22"/>
                <w:lang w:val="de-DE"/>
              </w:rPr>
            </w:pPr>
          </w:p>
          <w:p w:rsidR="001E61C3" w:rsidRPr="00E80983" w:rsidRDefault="001E61C3" w:rsidP="00E80983">
            <w:pPr>
              <w:widowControl w:val="0"/>
              <w:tabs>
                <w:tab w:val="left" w:pos="4201"/>
              </w:tabs>
              <w:jc w:val="both"/>
              <w:rPr>
                <w:sz w:val="22"/>
                <w:szCs w:val="22"/>
                <w:lang w:val="de-DE"/>
              </w:rPr>
            </w:pPr>
            <w:r w:rsidRPr="00E80983">
              <w:rPr>
                <w:sz w:val="22"/>
                <w:szCs w:val="22"/>
                <w:lang w:val="de-DE"/>
              </w:rPr>
              <w:t xml:space="preserve">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w:t>
            </w:r>
            <w:r w:rsidRPr="00E80983">
              <w:rPr>
                <w:sz w:val="22"/>
                <w:szCs w:val="22"/>
                <w:lang w:val="de-DE"/>
              </w:rPr>
              <w:lastRenderedPageBreak/>
              <w:t xml:space="preserve">Sitz im Land </w:t>
            </w:r>
            <w:r w:rsidR="00E80983" w:rsidRPr="00D1526A">
              <w:rPr>
                <w:sz w:val="22"/>
                <w:szCs w:val="22"/>
                <w:lang w:val="de-DE"/>
              </w:rPr>
              <w:t>(in der EU Delegation)</w:t>
            </w:r>
            <w:r w:rsidR="00E80983" w:rsidRPr="00584991">
              <w:rPr>
                <w:lang w:val="de-DE"/>
              </w:rPr>
              <w:t xml:space="preserve"> </w:t>
            </w:r>
            <w:r w:rsidRPr="00E80983">
              <w:rPr>
                <w:sz w:val="22"/>
                <w:szCs w:val="22"/>
                <w:lang w:val="de-DE"/>
              </w:rPr>
              <w:t xml:space="preserve">und wird erforderlichenfalls im Land und in der Region reisen müssen. </w:t>
            </w:r>
          </w:p>
          <w:p w:rsidR="00E80983" w:rsidRDefault="00E80983" w:rsidP="001E61C3">
            <w:pPr>
              <w:widowControl w:val="0"/>
              <w:tabs>
                <w:tab w:val="left" w:pos="4201"/>
              </w:tabs>
              <w:spacing w:after="213" w:line="190" w:lineRule="exact"/>
              <w:jc w:val="both"/>
              <w:rPr>
                <w:rFonts w:eastAsia="Arial"/>
                <w:color w:val="000000"/>
                <w:sz w:val="22"/>
                <w:szCs w:val="22"/>
                <w:u w:val="single"/>
                <w:lang w:val="de-DE"/>
              </w:rPr>
            </w:pPr>
          </w:p>
          <w:p w:rsidR="00F50965" w:rsidRPr="00E80983" w:rsidRDefault="00F50965" w:rsidP="001E61C3">
            <w:pPr>
              <w:widowControl w:val="0"/>
              <w:tabs>
                <w:tab w:val="left" w:pos="4201"/>
              </w:tabs>
              <w:spacing w:after="213" w:line="190" w:lineRule="exact"/>
              <w:jc w:val="both"/>
              <w:rPr>
                <w:sz w:val="22"/>
                <w:szCs w:val="22"/>
                <w:lang w:val="de-DE"/>
              </w:rPr>
            </w:pPr>
            <w:r w:rsidRPr="00E80983">
              <w:rPr>
                <w:rFonts w:eastAsia="Arial"/>
                <w:color w:val="000000"/>
                <w:sz w:val="22"/>
                <w:szCs w:val="22"/>
                <w:u w:val="single"/>
                <w:lang w:val="de-DE"/>
              </w:rPr>
              <w:t>Funktionen und Aufgaben:</w:t>
            </w:r>
            <w:r w:rsidRPr="00E80983">
              <w:rPr>
                <w:rFonts w:eastAsia="Arial"/>
                <w:color w:val="000000"/>
                <w:sz w:val="22"/>
                <w:szCs w:val="22"/>
                <w:lang w:val="de-DE"/>
              </w:rPr>
              <w:t xml:space="preserve"> </w:t>
            </w:r>
          </w:p>
          <w:p w:rsidR="00F50965" w:rsidRPr="00E80983" w:rsidRDefault="00F50965" w:rsidP="00F50965">
            <w:pPr>
              <w:widowControl w:val="0"/>
              <w:spacing w:after="162" w:line="190" w:lineRule="exact"/>
              <w:jc w:val="both"/>
              <w:rPr>
                <w:sz w:val="22"/>
                <w:szCs w:val="22"/>
                <w:lang w:val="en-IE"/>
              </w:rPr>
            </w:pPr>
            <w:r w:rsidRPr="00E80983">
              <w:rPr>
                <w:rFonts w:eastAsia="Arial"/>
                <w:color w:val="000000"/>
                <w:sz w:val="22"/>
                <w:szCs w:val="22"/>
                <w:lang w:val="en-US"/>
              </w:rPr>
              <w:t>Der Experte wird</w:t>
            </w:r>
            <w:r w:rsidR="00E80983">
              <w:rPr>
                <w:rFonts w:eastAsia="Arial"/>
                <w:color w:val="000000"/>
                <w:sz w:val="22"/>
                <w:szCs w:val="22"/>
                <w:lang w:val="en-US"/>
              </w:rPr>
              <w:t>:</w:t>
            </w:r>
          </w:p>
          <w:p w:rsidR="001E61C3" w:rsidRPr="00E80983" w:rsidRDefault="001E61C3" w:rsidP="001E61C3">
            <w:pPr>
              <w:ind w:left="283" w:hanging="283"/>
              <w:jc w:val="both"/>
              <w:rPr>
                <w:sz w:val="22"/>
                <w:szCs w:val="22"/>
                <w:lang w:val="de-DE"/>
              </w:rPr>
            </w:pPr>
            <w:r w:rsidRPr="00E80983">
              <w:rPr>
                <w:sz w:val="22"/>
                <w:szCs w:val="22"/>
                <w:lang w:val="de-DE"/>
              </w:rPr>
              <w:t>•</w:t>
            </w:r>
            <w:r w:rsidRPr="00E80983">
              <w:rPr>
                <w:sz w:val="22"/>
                <w:szCs w:val="22"/>
                <w:lang w:val="de-DE"/>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rsidR="001E61C3" w:rsidRPr="00E80983" w:rsidRDefault="001E61C3" w:rsidP="001E61C3">
            <w:pPr>
              <w:ind w:left="283" w:hanging="283"/>
              <w:jc w:val="both"/>
              <w:rPr>
                <w:sz w:val="22"/>
                <w:szCs w:val="22"/>
                <w:lang w:val="de-DE"/>
              </w:rPr>
            </w:pPr>
          </w:p>
          <w:p w:rsidR="001E61C3" w:rsidRPr="00E80983" w:rsidRDefault="001E61C3" w:rsidP="001E61C3">
            <w:pPr>
              <w:ind w:left="283" w:hanging="283"/>
              <w:jc w:val="both"/>
              <w:rPr>
                <w:sz w:val="22"/>
                <w:szCs w:val="22"/>
                <w:lang w:val="de-DE"/>
              </w:rPr>
            </w:pPr>
            <w:r w:rsidRPr="00E80983">
              <w:rPr>
                <w:sz w:val="22"/>
                <w:szCs w:val="22"/>
                <w:lang w:val="de-DE"/>
              </w:rPr>
              <w:t>•</w:t>
            </w:r>
            <w:r w:rsidRPr="00E80983">
              <w:rPr>
                <w:sz w:val="22"/>
                <w:szCs w:val="22"/>
                <w:lang w:val="de-DE"/>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rsidR="001E61C3" w:rsidRPr="00E80983" w:rsidRDefault="001E61C3" w:rsidP="001E61C3">
            <w:pPr>
              <w:ind w:left="283" w:hanging="283"/>
              <w:jc w:val="both"/>
              <w:rPr>
                <w:sz w:val="22"/>
                <w:szCs w:val="22"/>
                <w:lang w:val="de-DE"/>
              </w:rPr>
            </w:pPr>
          </w:p>
          <w:p w:rsidR="00E80983" w:rsidRDefault="001E61C3" w:rsidP="00E80983">
            <w:pPr>
              <w:ind w:left="283" w:hanging="283"/>
              <w:jc w:val="both"/>
              <w:rPr>
                <w:sz w:val="22"/>
                <w:szCs w:val="22"/>
                <w:lang w:val="de-DE"/>
              </w:rPr>
            </w:pPr>
            <w:r w:rsidRPr="00E80983">
              <w:rPr>
                <w:sz w:val="22"/>
                <w:szCs w:val="22"/>
                <w:lang w:val="de-DE"/>
              </w:rPr>
              <w:t>•</w:t>
            </w:r>
            <w:r w:rsidRPr="00E80983">
              <w:rPr>
                <w:sz w:val="22"/>
                <w:szCs w:val="22"/>
                <w:lang w:val="de-DE"/>
              </w:rPr>
              <w:tab/>
              <w:t>Den auch strategische und operative Analysen und Empfehlungen liefern und zur Berichterstattung der betreffenden EU-Delegationen beitragen.</w:t>
            </w:r>
          </w:p>
          <w:p w:rsidR="00E80983" w:rsidRDefault="00E80983" w:rsidP="00E80983">
            <w:pPr>
              <w:ind w:left="283" w:hanging="283"/>
              <w:jc w:val="both"/>
              <w:rPr>
                <w:sz w:val="22"/>
                <w:szCs w:val="22"/>
                <w:lang w:val="de-DE"/>
              </w:rPr>
            </w:pPr>
          </w:p>
          <w:p w:rsidR="00E80983" w:rsidRPr="00E80983" w:rsidRDefault="001E61C3" w:rsidP="00E80983">
            <w:pPr>
              <w:numPr>
                <w:ilvl w:val="0"/>
                <w:numId w:val="16"/>
              </w:numPr>
              <w:ind w:left="328" w:hanging="284"/>
              <w:jc w:val="both"/>
              <w:rPr>
                <w:sz w:val="22"/>
                <w:szCs w:val="22"/>
                <w:lang w:val="de-DE"/>
              </w:rPr>
            </w:pPr>
            <w:r w:rsidRPr="00E80983">
              <w:rPr>
                <w:sz w:val="22"/>
                <w:szCs w:val="22"/>
                <w:lang w:val="de-DE"/>
              </w:rPr>
              <w:t>Unter der Aufsicht des Leiters der Politischen Abteilung das Netz der Verbindungsbeamten für Einwanderungsfragen in dem Land oder der Region, in dem/der sie entsandt wurden, koordinieren und unterstützen (im Einklang mit Verordnung Nr. 2019/1240).</w:t>
            </w:r>
            <w:r w:rsidR="00E80983">
              <w:rPr>
                <w:sz w:val="22"/>
                <w:szCs w:val="22"/>
                <w:lang w:val="de-DE"/>
              </w:rPr>
              <w:t xml:space="preserve"> </w:t>
            </w:r>
            <w:r w:rsidR="00E80983" w:rsidRPr="00E80983">
              <w:rPr>
                <w:sz w:val="22"/>
                <w:szCs w:val="22"/>
                <w:lang w:val="de-DE"/>
              </w:rPr>
              <w:t>Aufbau und Leitung eines Netzwerks von Vertretern der MS und der EU-Agenturen, die sich mit Migrationsfragen im Gastland befassen, unter der Aufsicht des Leiters der politischen Sektion.</w:t>
            </w:r>
          </w:p>
          <w:p w:rsidR="001E61C3" w:rsidRPr="00E80983" w:rsidRDefault="001E61C3" w:rsidP="00E80983">
            <w:pPr>
              <w:jc w:val="both"/>
              <w:rPr>
                <w:sz w:val="22"/>
                <w:szCs w:val="22"/>
                <w:lang w:val="de-DE"/>
              </w:rPr>
            </w:pPr>
          </w:p>
          <w:p w:rsidR="001E61C3" w:rsidRPr="00E80983" w:rsidRDefault="001E61C3" w:rsidP="001E61C3">
            <w:pPr>
              <w:pStyle w:val="ListParagraph"/>
              <w:numPr>
                <w:ilvl w:val="0"/>
                <w:numId w:val="14"/>
              </w:numPr>
              <w:ind w:left="283" w:hanging="283"/>
              <w:contextualSpacing/>
              <w:jc w:val="both"/>
              <w:rPr>
                <w:rFonts w:ascii="Times New Roman" w:eastAsia="Times New Roman" w:hAnsi="Times New Roman"/>
                <w:lang w:val="de-DE" w:eastAsia="en-GB"/>
              </w:rPr>
            </w:pPr>
            <w:r w:rsidRPr="00E80983">
              <w:rPr>
                <w:rFonts w:ascii="Times New Roman" w:eastAsia="Times New Roman" w:hAnsi="Times New Roman"/>
                <w:lang w:val="de-DE" w:eastAsia="en-GB"/>
              </w:rPr>
              <w:t xml:space="preserve">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1E61C3" w:rsidRPr="00E80983" w:rsidRDefault="001E61C3" w:rsidP="001E61C3">
            <w:pPr>
              <w:ind w:left="283" w:hanging="283"/>
              <w:jc w:val="both"/>
              <w:rPr>
                <w:sz w:val="22"/>
                <w:szCs w:val="22"/>
                <w:lang w:val="de-DE"/>
              </w:rPr>
            </w:pPr>
          </w:p>
          <w:p w:rsidR="001E61C3" w:rsidRPr="00E80983" w:rsidRDefault="001E61C3" w:rsidP="001E61C3">
            <w:pPr>
              <w:ind w:left="283" w:hanging="283"/>
              <w:jc w:val="both"/>
              <w:rPr>
                <w:sz w:val="22"/>
                <w:szCs w:val="22"/>
                <w:lang w:val="de-DE"/>
              </w:rPr>
            </w:pPr>
            <w:r w:rsidRPr="00E80983">
              <w:rPr>
                <w:sz w:val="22"/>
                <w:szCs w:val="22"/>
                <w:lang w:val="de-DE"/>
              </w:rPr>
              <w:t>•</w:t>
            </w:r>
            <w:r w:rsidRPr="00E80983">
              <w:rPr>
                <w:sz w:val="22"/>
                <w:szCs w:val="22"/>
                <w:lang w:val="de-DE"/>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und Durchführung von migrationsbezogenen Projekten bei und sorgen für die Koordinierung der Politik mit den einschlägigen Finanzierungsinstrumenten (NDICI, AMIF, ISF, BMVI).</w:t>
            </w:r>
          </w:p>
          <w:p w:rsidR="001E61C3" w:rsidRPr="00E80983" w:rsidRDefault="001E61C3" w:rsidP="001E61C3">
            <w:pPr>
              <w:ind w:left="283" w:hanging="283"/>
              <w:jc w:val="both"/>
              <w:rPr>
                <w:sz w:val="22"/>
                <w:szCs w:val="22"/>
                <w:lang w:val="de-DE"/>
              </w:rPr>
            </w:pPr>
          </w:p>
          <w:p w:rsidR="001E61C3" w:rsidRPr="00E80983" w:rsidRDefault="001E61C3" w:rsidP="001E61C3">
            <w:pPr>
              <w:ind w:left="283" w:hanging="283"/>
              <w:jc w:val="both"/>
              <w:rPr>
                <w:sz w:val="22"/>
                <w:szCs w:val="22"/>
                <w:lang w:val="de-DE"/>
              </w:rPr>
            </w:pPr>
            <w:r w:rsidRPr="00E80983">
              <w:rPr>
                <w:sz w:val="22"/>
                <w:szCs w:val="22"/>
                <w:lang w:val="de-DE"/>
              </w:rPr>
              <w:t>•</w:t>
            </w:r>
            <w:r w:rsidRPr="00E80983">
              <w:rPr>
                <w:sz w:val="22"/>
                <w:szCs w:val="22"/>
                <w:lang w:val="de-DE"/>
              </w:rPr>
              <w:tab/>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w:t>
            </w:r>
            <w:r w:rsidRPr="00E80983">
              <w:rPr>
                <w:sz w:val="22"/>
                <w:szCs w:val="22"/>
                <w:lang w:val="de-DE"/>
              </w:rPr>
              <w:lastRenderedPageBreak/>
              <w:t>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rsidR="001E61C3" w:rsidRPr="00E80983" w:rsidRDefault="001E61C3" w:rsidP="001E61C3">
            <w:pPr>
              <w:ind w:left="283" w:hanging="283"/>
              <w:jc w:val="both"/>
              <w:rPr>
                <w:sz w:val="22"/>
                <w:szCs w:val="22"/>
                <w:lang w:val="de-DE"/>
              </w:rPr>
            </w:pPr>
          </w:p>
          <w:p w:rsidR="001E61C3" w:rsidRPr="00E80983" w:rsidRDefault="001E61C3" w:rsidP="001E61C3">
            <w:pPr>
              <w:ind w:left="283" w:hanging="283"/>
              <w:jc w:val="both"/>
              <w:rPr>
                <w:sz w:val="22"/>
                <w:szCs w:val="22"/>
                <w:lang w:val="de-DE"/>
              </w:rPr>
            </w:pPr>
            <w:r w:rsidRPr="00E80983">
              <w:rPr>
                <w:sz w:val="22"/>
                <w:szCs w:val="22"/>
                <w:lang w:val="de-DE"/>
              </w:rPr>
              <w:t>•</w:t>
            </w:r>
            <w:r w:rsidRPr="00E80983">
              <w:rPr>
                <w:sz w:val="22"/>
                <w:szCs w:val="22"/>
                <w:lang w:val="de-DE"/>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w:t>
            </w:r>
            <w:r w:rsidR="00E80983">
              <w:rPr>
                <w:sz w:val="22"/>
                <w:szCs w:val="22"/>
                <w:lang w:val="de-DE"/>
              </w:rPr>
              <w:t xml:space="preserve"> </w:t>
            </w:r>
            <w:r w:rsidR="00E80983" w:rsidRPr="00E80983">
              <w:rPr>
                <w:sz w:val="22"/>
                <w:szCs w:val="22"/>
                <w:lang w:val="de-DE"/>
              </w:rPr>
              <w:t>(mindestens monatlich)</w:t>
            </w:r>
            <w:r w:rsidRPr="00E80983">
              <w:rPr>
                <w:sz w:val="22"/>
                <w:szCs w:val="22"/>
                <w:lang w:val="de-DE"/>
              </w:rPr>
              <w:t xml:space="preserve"> über die Trends, die politische Lage und die politische Entwicklung.</w:t>
            </w:r>
          </w:p>
          <w:p w:rsidR="001E61C3" w:rsidRPr="00E80983" w:rsidRDefault="001E61C3" w:rsidP="001E61C3">
            <w:pPr>
              <w:ind w:left="283" w:hanging="283"/>
              <w:jc w:val="both"/>
              <w:rPr>
                <w:sz w:val="22"/>
                <w:szCs w:val="22"/>
                <w:lang w:val="de-DE"/>
              </w:rPr>
            </w:pPr>
          </w:p>
          <w:p w:rsidR="001E61C3" w:rsidRPr="00E80983" w:rsidRDefault="001E61C3" w:rsidP="001E61C3">
            <w:pPr>
              <w:ind w:left="283" w:hanging="283"/>
              <w:jc w:val="both"/>
              <w:rPr>
                <w:sz w:val="22"/>
                <w:szCs w:val="22"/>
                <w:lang w:val="de-DE"/>
              </w:rPr>
            </w:pPr>
            <w:r w:rsidRPr="00E80983">
              <w:rPr>
                <w:sz w:val="22"/>
                <w:szCs w:val="22"/>
                <w:lang w:val="de-DE"/>
              </w:rPr>
              <w:t>•</w:t>
            </w:r>
            <w:r w:rsidRPr="00E80983">
              <w:rPr>
                <w:sz w:val="22"/>
                <w:szCs w:val="22"/>
                <w:lang w:val="de-DE"/>
              </w:rPr>
              <w:tab/>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p w:rsidR="00EF57C4" w:rsidRPr="00E80983" w:rsidRDefault="00EF57C4" w:rsidP="001E61C3">
            <w:pPr>
              <w:suppressAutoHyphens/>
              <w:ind w:right="9"/>
              <w:jc w:val="both"/>
              <w:rPr>
                <w:b/>
                <w:sz w:val="22"/>
                <w:szCs w:val="22"/>
                <w:lang w:val="de-DE"/>
              </w:rPr>
            </w:pPr>
          </w:p>
        </w:tc>
      </w:tr>
      <w:tr w:rsidR="006643E5" w:rsidRPr="00E80983" w:rsidTr="00527871">
        <w:trPr>
          <w:gridAfter w:val="1"/>
          <w:wAfter w:w="14" w:type="dxa"/>
          <w:jc w:val="center"/>
        </w:trPr>
        <w:tc>
          <w:tcPr>
            <w:tcW w:w="392" w:type="dxa"/>
            <w:tcBorders>
              <w:top w:val="single" w:sz="4" w:space="0" w:color="auto"/>
              <w:bottom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top w:val="single" w:sz="4" w:space="0" w:color="auto"/>
              <w:bottom w:val="single" w:sz="4" w:space="0" w:color="auto"/>
            </w:tcBorders>
          </w:tcPr>
          <w:p w:rsidR="006643E5" w:rsidRPr="00E80983" w:rsidRDefault="006643E5" w:rsidP="0069244E">
            <w:pPr>
              <w:ind w:right="1317"/>
              <w:jc w:val="both"/>
              <w:rPr>
                <w:b/>
                <w:sz w:val="22"/>
                <w:szCs w:val="22"/>
                <w:lang w:val="de-DE"/>
              </w:rPr>
            </w:pPr>
          </w:p>
        </w:tc>
      </w:tr>
      <w:tr w:rsidR="006643E5" w:rsidRPr="00E80983"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E80983" w:rsidRDefault="006643E5" w:rsidP="0069244E">
            <w:pPr>
              <w:ind w:right="1317"/>
              <w:jc w:val="both"/>
              <w:rPr>
                <w:b/>
                <w:sz w:val="22"/>
                <w:szCs w:val="22"/>
                <w:lang w:val="de-DE"/>
              </w:rPr>
            </w:pPr>
            <w:r w:rsidRPr="00E80983">
              <w:rPr>
                <w:b/>
                <w:sz w:val="22"/>
                <w:szCs w:val="22"/>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E80983" w:rsidRDefault="006643E5" w:rsidP="0069244E">
            <w:pPr>
              <w:ind w:right="1317"/>
              <w:jc w:val="both"/>
              <w:rPr>
                <w:sz w:val="22"/>
                <w:szCs w:val="22"/>
                <w:lang w:val="de-DE"/>
              </w:rPr>
            </w:pPr>
            <w:r w:rsidRPr="00E80983">
              <w:rPr>
                <w:b/>
                <w:sz w:val="22"/>
                <w:szCs w:val="22"/>
                <w:lang w:val="de-DE"/>
              </w:rPr>
              <w:t>Erforderliche Qualifikationen:</w:t>
            </w:r>
          </w:p>
        </w:tc>
      </w:tr>
      <w:tr w:rsidR="006643E5" w:rsidRPr="00E80983" w:rsidTr="00527871">
        <w:trPr>
          <w:gridAfter w:val="1"/>
          <w:wAfter w:w="14" w:type="dxa"/>
          <w:jc w:val="center"/>
        </w:trPr>
        <w:tc>
          <w:tcPr>
            <w:tcW w:w="392" w:type="dxa"/>
            <w:tcBorders>
              <w:top w:val="single" w:sz="4" w:space="0" w:color="auto"/>
              <w:left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top w:val="single" w:sz="4" w:space="0" w:color="auto"/>
              <w:left w:val="nil"/>
              <w:right w:val="single" w:sz="4" w:space="0" w:color="auto"/>
            </w:tcBorders>
          </w:tcPr>
          <w:p w:rsidR="006643E5" w:rsidRPr="00E80983" w:rsidRDefault="006643E5" w:rsidP="0069244E">
            <w:pPr>
              <w:ind w:right="1317"/>
              <w:jc w:val="both"/>
              <w:rPr>
                <w:sz w:val="22"/>
                <w:szCs w:val="22"/>
                <w:lang w:val="de-DE"/>
              </w:rPr>
            </w:pPr>
          </w:p>
          <w:p w:rsidR="006643E5" w:rsidRPr="00E80983" w:rsidRDefault="006643E5" w:rsidP="0069244E">
            <w:pPr>
              <w:ind w:right="1317"/>
              <w:jc w:val="both"/>
              <w:rPr>
                <w:sz w:val="22"/>
                <w:szCs w:val="22"/>
                <w:u w:val="single"/>
                <w:lang w:val="de-DE"/>
              </w:rPr>
            </w:pPr>
            <w:r w:rsidRPr="00E80983">
              <w:rPr>
                <w:sz w:val="22"/>
                <w:szCs w:val="22"/>
                <w:lang w:val="de-DE"/>
              </w:rPr>
              <w:t xml:space="preserve">a) </w:t>
            </w:r>
            <w:r w:rsidRPr="00E80983">
              <w:rPr>
                <w:b/>
                <w:sz w:val="22"/>
                <w:szCs w:val="22"/>
                <w:u w:val="single"/>
                <w:lang w:val="de-DE"/>
              </w:rPr>
              <w:t>Zulassungskriterien</w:t>
            </w:r>
          </w:p>
          <w:p w:rsidR="009D5781" w:rsidRPr="00E80983" w:rsidRDefault="009D5781" w:rsidP="0069244E">
            <w:pPr>
              <w:ind w:right="1317"/>
              <w:jc w:val="both"/>
              <w:rPr>
                <w:sz w:val="22"/>
                <w:szCs w:val="22"/>
                <w:lang w:val="de-DE"/>
              </w:rPr>
            </w:pPr>
          </w:p>
        </w:tc>
      </w:tr>
      <w:tr w:rsidR="006643E5" w:rsidRPr="00E80983" w:rsidTr="00527871">
        <w:trPr>
          <w:gridAfter w:val="1"/>
          <w:wAfter w:w="14" w:type="dxa"/>
          <w:jc w:val="center"/>
        </w:trPr>
        <w:tc>
          <w:tcPr>
            <w:tcW w:w="392" w:type="dxa"/>
            <w:tcBorders>
              <w:left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left w:val="nil"/>
              <w:right w:val="single" w:sz="4" w:space="0" w:color="auto"/>
            </w:tcBorders>
          </w:tcPr>
          <w:p w:rsidR="00E97118" w:rsidRPr="00E80983" w:rsidRDefault="00E97118" w:rsidP="00E97118">
            <w:pPr>
              <w:jc w:val="both"/>
              <w:rPr>
                <w:sz w:val="22"/>
                <w:szCs w:val="22"/>
                <w:lang w:val="de-DE"/>
              </w:rPr>
            </w:pPr>
            <w:r w:rsidRPr="00E80983">
              <w:rPr>
                <w:sz w:val="22"/>
                <w:szCs w:val="22"/>
                <w:lang w:val="de-DE"/>
              </w:rPr>
              <w:t>Nationale Sachverständige können zur Kommission abgeordnet werden, wenn sie alle Zulassungskriterien erfüllen. Bewerberinnen und Bewerber, die nicht alle dieser Kriterien erfüllen, werden automatisch vom Auswahlverfahren ausgeschlossen.</w:t>
            </w:r>
          </w:p>
          <w:p w:rsidR="00E97118" w:rsidRPr="00E80983" w:rsidRDefault="00E97118" w:rsidP="00E97118">
            <w:pPr>
              <w:jc w:val="both"/>
              <w:rPr>
                <w:sz w:val="22"/>
                <w:szCs w:val="22"/>
                <w:lang w:val="de-DE"/>
              </w:rPr>
            </w:pPr>
          </w:p>
          <w:p w:rsidR="00E97118" w:rsidRPr="00E80983" w:rsidRDefault="00E97118" w:rsidP="00E97118">
            <w:pPr>
              <w:ind w:left="283" w:hanging="283"/>
              <w:jc w:val="both"/>
              <w:rPr>
                <w:sz w:val="22"/>
                <w:szCs w:val="22"/>
                <w:lang w:val="de-DE"/>
              </w:rPr>
            </w:pPr>
            <w:r w:rsidRPr="00E80983">
              <w:rPr>
                <w:sz w:val="22"/>
                <w:szCs w:val="22"/>
                <w:lang w:val="de-DE"/>
              </w:rPr>
              <w:t>•</w:t>
            </w:r>
            <w:r w:rsidRPr="00E80983">
              <w:rPr>
                <w:sz w:val="22"/>
                <w:szCs w:val="22"/>
                <w:lang w:val="de-DE"/>
              </w:rPr>
              <w:tab/>
            </w:r>
            <w:r w:rsidRPr="00E80983">
              <w:rPr>
                <w:sz w:val="22"/>
                <w:szCs w:val="22"/>
                <w:u w:val="single"/>
                <w:lang w:val="de-DE"/>
              </w:rPr>
              <w:t>Berufserfahrung</w:t>
            </w:r>
            <w:r w:rsidRPr="00E80983">
              <w:rPr>
                <w:sz w:val="22"/>
                <w:szCs w:val="22"/>
                <w:lang w:val="de-DE"/>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E97118" w:rsidRPr="00E80983" w:rsidRDefault="00E97118" w:rsidP="00E97118">
            <w:pPr>
              <w:jc w:val="both"/>
              <w:rPr>
                <w:sz w:val="22"/>
                <w:szCs w:val="22"/>
                <w:lang w:val="de-DE"/>
              </w:rPr>
            </w:pPr>
          </w:p>
          <w:p w:rsidR="00E97118" w:rsidRPr="00E80983" w:rsidRDefault="00E97118" w:rsidP="00E97118">
            <w:pPr>
              <w:ind w:left="283" w:hanging="283"/>
              <w:jc w:val="both"/>
              <w:rPr>
                <w:sz w:val="22"/>
                <w:szCs w:val="22"/>
                <w:lang w:val="de-DE"/>
              </w:rPr>
            </w:pPr>
            <w:r w:rsidRPr="00E80983">
              <w:rPr>
                <w:sz w:val="22"/>
                <w:szCs w:val="22"/>
                <w:lang w:val="de-DE"/>
              </w:rPr>
              <w:t>•</w:t>
            </w:r>
            <w:r w:rsidRPr="00E80983">
              <w:rPr>
                <w:sz w:val="22"/>
                <w:szCs w:val="22"/>
                <w:lang w:val="de-DE"/>
              </w:rPr>
              <w:tab/>
            </w:r>
            <w:r w:rsidRPr="00E80983">
              <w:rPr>
                <w:sz w:val="22"/>
                <w:szCs w:val="22"/>
                <w:u w:val="single"/>
                <w:lang w:val="de-DE"/>
              </w:rPr>
              <w:t>Dienstalter</w:t>
            </w:r>
            <w:r w:rsidRPr="00E80983">
              <w:rPr>
                <w:sz w:val="22"/>
                <w:szCs w:val="22"/>
                <w:lang w:val="de-DE"/>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E97118" w:rsidRPr="00E80983" w:rsidRDefault="00E97118" w:rsidP="00E97118">
            <w:pPr>
              <w:ind w:left="426"/>
              <w:jc w:val="both"/>
              <w:rPr>
                <w:sz w:val="22"/>
                <w:szCs w:val="22"/>
                <w:lang w:val="de-DE"/>
              </w:rPr>
            </w:pPr>
          </w:p>
          <w:p w:rsidR="00E97118" w:rsidRPr="00E80983" w:rsidRDefault="00E97118" w:rsidP="00E80983">
            <w:pPr>
              <w:numPr>
                <w:ilvl w:val="0"/>
                <w:numId w:val="14"/>
              </w:numPr>
              <w:ind w:left="328" w:hanging="284"/>
              <w:jc w:val="both"/>
              <w:rPr>
                <w:sz w:val="22"/>
                <w:szCs w:val="22"/>
                <w:lang w:val="de-DE"/>
              </w:rPr>
            </w:pPr>
            <w:r w:rsidRPr="00E80983">
              <w:rPr>
                <w:sz w:val="22"/>
                <w:szCs w:val="22"/>
                <w:u w:val="single"/>
                <w:lang w:val="de-DE"/>
              </w:rPr>
              <w:t>Sprachkenntnisse</w:t>
            </w:r>
            <w:r w:rsidRPr="00E80983">
              <w:rPr>
                <w:sz w:val="22"/>
                <w:szCs w:val="22"/>
                <w:lang w:val="de-DE"/>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6643E5" w:rsidRPr="00E80983" w:rsidRDefault="006643E5" w:rsidP="0069244E">
            <w:pPr>
              <w:ind w:left="473" w:right="161" w:hanging="473"/>
              <w:jc w:val="both"/>
              <w:rPr>
                <w:sz w:val="22"/>
                <w:szCs w:val="22"/>
                <w:lang w:val="de-DE"/>
              </w:rPr>
            </w:pPr>
          </w:p>
        </w:tc>
      </w:tr>
      <w:tr w:rsidR="006643E5" w:rsidRPr="00E80983" w:rsidTr="00527871">
        <w:trPr>
          <w:gridAfter w:val="1"/>
          <w:wAfter w:w="14" w:type="dxa"/>
          <w:jc w:val="center"/>
        </w:trPr>
        <w:tc>
          <w:tcPr>
            <w:tcW w:w="392" w:type="dxa"/>
            <w:tcBorders>
              <w:left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left w:val="nil"/>
              <w:right w:val="single" w:sz="4" w:space="0" w:color="auto"/>
            </w:tcBorders>
          </w:tcPr>
          <w:p w:rsidR="006643E5" w:rsidRDefault="006643E5" w:rsidP="0069244E">
            <w:pPr>
              <w:ind w:right="1317"/>
              <w:jc w:val="both"/>
              <w:rPr>
                <w:b/>
                <w:sz w:val="22"/>
                <w:szCs w:val="22"/>
                <w:lang w:val="de-DE"/>
              </w:rPr>
            </w:pPr>
          </w:p>
          <w:p w:rsidR="00E80983" w:rsidRPr="00E80983" w:rsidRDefault="00E80983" w:rsidP="0069244E">
            <w:pPr>
              <w:ind w:right="1317"/>
              <w:jc w:val="both"/>
              <w:rPr>
                <w:b/>
                <w:sz w:val="22"/>
                <w:szCs w:val="22"/>
                <w:lang w:val="de-DE"/>
              </w:rPr>
            </w:pPr>
          </w:p>
        </w:tc>
      </w:tr>
      <w:tr w:rsidR="006643E5" w:rsidRPr="00E80983" w:rsidTr="00527871">
        <w:trPr>
          <w:gridAfter w:val="1"/>
          <w:wAfter w:w="14" w:type="dxa"/>
          <w:jc w:val="center"/>
        </w:trPr>
        <w:tc>
          <w:tcPr>
            <w:tcW w:w="392" w:type="dxa"/>
            <w:tcBorders>
              <w:left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left w:val="nil"/>
              <w:right w:val="single" w:sz="4" w:space="0" w:color="auto"/>
            </w:tcBorders>
          </w:tcPr>
          <w:p w:rsidR="006643E5" w:rsidRPr="00E80983" w:rsidRDefault="00E14E5A" w:rsidP="00E14E5A">
            <w:pPr>
              <w:tabs>
                <w:tab w:val="left" w:pos="317"/>
              </w:tabs>
              <w:ind w:right="1317"/>
              <w:jc w:val="both"/>
              <w:rPr>
                <w:sz w:val="22"/>
                <w:szCs w:val="22"/>
                <w:lang w:val="de-DE"/>
              </w:rPr>
            </w:pPr>
            <w:r w:rsidRPr="00E80983">
              <w:rPr>
                <w:sz w:val="22"/>
                <w:szCs w:val="22"/>
                <w:lang w:val="de-DE"/>
              </w:rPr>
              <w:t>b)</w:t>
            </w:r>
            <w:r w:rsidRPr="00E80983">
              <w:rPr>
                <w:sz w:val="22"/>
                <w:szCs w:val="22"/>
                <w:lang w:val="de-DE"/>
              </w:rPr>
              <w:tab/>
            </w:r>
            <w:r w:rsidR="006643E5" w:rsidRPr="00E80983">
              <w:rPr>
                <w:b/>
                <w:sz w:val="22"/>
                <w:szCs w:val="22"/>
                <w:u w:val="single"/>
                <w:lang w:val="de-DE"/>
              </w:rPr>
              <w:t>Auswahlkriterien</w:t>
            </w:r>
            <w:r w:rsidR="00EB2A8F" w:rsidRPr="00E80983">
              <w:rPr>
                <w:b/>
                <w:sz w:val="22"/>
                <w:szCs w:val="22"/>
                <w:u w:val="single"/>
                <w:lang w:val="de-DE"/>
              </w:rPr>
              <w:t xml:space="preserve"> </w:t>
            </w:r>
          </w:p>
          <w:p w:rsidR="00B3363A" w:rsidRPr="00E80983" w:rsidRDefault="00EB2A8F" w:rsidP="0069244E">
            <w:pPr>
              <w:ind w:right="1317"/>
              <w:jc w:val="both"/>
              <w:rPr>
                <w:sz w:val="22"/>
                <w:szCs w:val="22"/>
                <w:lang w:val="de-DE"/>
              </w:rPr>
            </w:pPr>
            <w:r w:rsidRPr="00E80983">
              <w:rPr>
                <w:sz w:val="22"/>
                <w:szCs w:val="22"/>
                <w:lang w:val="de-DE"/>
              </w:rPr>
              <w:t xml:space="preserve"> </w:t>
            </w:r>
          </w:p>
        </w:tc>
      </w:tr>
      <w:tr w:rsidR="006643E5" w:rsidRPr="00E80983" w:rsidTr="00527871">
        <w:trPr>
          <w:gridAfter w:val="1"/>
          <w:wAfter w:w="14" w:type="dxa"/>
          <w:jc w:val="center"/>
        </w:trPr>
        <w:tc>
          <w:tcPr>
            <w:tcW w:w="392" w:type="dxa"/>
            <w:tcBorders>
              <w:left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left w:val="nil"/>
              <w:right w:val="single" w:sz="4" w:space="0" w:color="auto"/>
            </w:tcBorders>
          </w:tcPr>
          <w:p w:rsidR="00E97118" w:rsidRPr="00E80983" w:rsidRDefault="00E97118" w:rsidP="00E97118">
            <w:pPr>
              <w:tabs>
                <w:tab w:val="left" w:pos="709"/>
              </w:tabs>
              <w:ind w:right="60"/>
              <w:jc w:val="both"/>
              <w:rPr>
                <w:sz w:val="22"/>
                <w:szCs w:val="22"/>
                <w:lang w:val="de-DE"/>
              </w:rPr>
            </w:pPr>
            <w:r w:rsidRPr="00E80983">
              <w:rPr>
                <w:sz w:val="22"/>
                <w:szCs w:val="22"/>
                <w:u w:val="single"/>
                <w:lang w:val="de-DE"/>
              </w:rPr>
              <w:t>Bildungsabschluss</w:t>
            </w:r>
            <w:r w:rsidRPr="00E80983">
              <w:rPr>
                <w:sz w:val="22"/>
                <w:szCs w:val="22"/>
                <w:lang w:val="de-DE"/>
              </w:rPr>
              <w:t xml:space="preserve"> </w:t>
            </w:r>
          </w:p>
          <w:p w:rsidR="00E97118" w:rsidRPr="00E80983" w:rsidRDefault="00E97118" w:rsidP="00E97118">
            <w:pPr>
              <w:tabs>
                <w:tab w:val="left" w:pos="709"/>
              </w:tabs>
              <w:ind w:right="60"/>
              <w:jc w:val="both"/>
              <w:rPr>
                <w:sz w:val="22"/>
                <w:szCs w:val="22"/>
                <w:lang w:val="de-DE"/>
              </w:rPr>
            </w:pPr>
          </w:p>
          <w:p w:rsidR="00E97118" w:rsidRPr="00E80983" w:rsidRDefault="00E97118" w:rsidP="00E97118">
            <w:pPr>
              <w:tabs>
                <w:tab w:val="left" w:pos="709"/>
              </w:tabs>
              <w:ind w:right="1317"/>
              <w:jc w:val="both"/>
              <w:rPr>
                <w:sz w:val="22"/>
                <w:szCs w:val="22"/>
                <w:lang w:val="de-DE"/>
              </w:rPr>
            </w:pPr>
            <w:r w:rsidRPr="00E80983">
              <w:rPr>
                <w:sz w:val="22"/>
                <w:szCs w:val="22"/>
                <w:lang w:val="de-DE"/>
              </w:rPr>
              <w:lastRenderedPageBreak/>
              <w:t>- ein Universitätsabschluss oder</w:t>
            </w:r>
          </w:p>
          <w:p w:rsidR="00E97118" w:rsidRPr="00E80983" w:rsidRDefault="00E97118" w:rsidP="00E97118">
            <w:pPr>
              <w:tabs>
                <w:tab w:val="left" w:pos="709"/>
              </w:tabs>
              <w:ind w:right="1317"/>
              <w:jc w:val="both"/>
              <w:rPr>
                <w:sz w:val="22"/>
                <w:szCs w:val="22"/>
                <w:lang w:val="de-DE"/>
              </w:rPr>
            </w:pPr>
            <w:r w:rsidRPr="00E80983">
              <w:rPr>
                <w:sz w:val="22"/>
                <w:szCs w:val="22"/>
                <w:lang w:val="de-DE"/>
              </w:rPr>
              <w:t>- eine gleichwertige Berufsausbildung oder Berufserfahrung</w:t>
            </w:r>
          </w:p>
          <w:p w:rsidR="00E97118" w:rsidRPr="00E80983" w:rsidRDefault="00E97118" w:rsidP="00E97118">
            <w:pPr>
              <w:tabs>
                <w:tab w:val="left" w:pos="709"/>
              </w:tabs>
              <w:ind w:right="1317"/>
              <w:jc w:val="both"/>
              <w:rPr>
                <w:sz w:val="22"/>
                <w:szCs w:val="22"/>
                <w:lang w:val="de-DE"/>
              </w:rPr>
            </w:pPr>
          </w:p>
          <w:p w:rsidR="00E97118" w:rsidRPr="00E80983" w:rsidRDefault="00E97118" w:rsidP="00E97118">
            <w:pPr>
              <w:tabs>
                <w:tab w:val="left" w:pos="1134"/>
              </w:tabs>
              <w:ind w:left="142" w:right="60" w:hanging="142"/>
              <w:jc w:val="both"/>
              <w:rPr>
                <w:sz w:val="22"/>
                <w:szCs w:val="22"/>
                <w:lang w:val="de-DE"/>
              </w:rPr>
            </w:pPr>
            <w:r w:rsidRPr="00E80983">
              <w:rPr>
                <w:sz w:val="22"/>
                <w:szCs w:val="22"/>
                <w:lang w:val="de-DE"/>
              </w:rPr>
              <w:t xml:space="preserve">  im Bereich: Jura, Politikwissenschaft, Wirtschaft, Betriebswirtschaftslehre oder sonstiger verwandter Bereiche.</w:t>
            </w:r>
          </w:p>
          <w:p w:rsidR="00E97118" w:rsidRPr="00E80983" w:rsidRDefault="00E97118" w:rsidP="00E97118">
            <w:pPr>
              <w:tabs>
                <w:tab w:val="left" w:pos="709"/>
              </w:tabs>
              <w:ind w:right="60"/>
              <w:jc w:val="both"/>
              <w:rPr>
                <w:sz w:val="22"/>
                <w:szCs w:val="22"/>
                <w:lang w:val="de-DE"/>
              </w:rPr>
            </w:pPr>
          </w:p>
          <w:p w:rsidR="00E97118" w:rsidRPr="00E80983" w:rsidRDefault="00E97118" w:rsidP="00E97118">
            <w:pPr>
              <w:tabs>
                <w:tab w:val="left" w:pos="709"/>
              </w:tabs>
              <w:ind w:right="60"/>
              <w:jc w:val="both"/>
              <w:rPr>
                <w:sz w:val="22"/>
                <w:szCs w:val="22"/>
                <w:u w:val="single"/>
                <w:lang w:val="de-DE"/>
              </w:rPr>
            </w:pPr>
            <w:r w:rsidRPr="00E80983">
              <w:rPr>
                <w:sz w:val="22"/>
                <w:szCs w:val="22"/>
                <w:u w:val="single"/>
                <w:lang w:val="de-DE"/>
              </w:rPr>
              <w:t>Berufserfahrung</w:t>
            </w:r>
          </w:p>
          <w:p w:rsidR="00E97118" w:rsidRPr="00E80983" w:rsidRDefault="00E97118" w:rsidP="00E97118">
            <w:pPr>
              <w:tabs>
                <w:tab w:val="left" w:pos="709"/>
              </w:tabs>
              <w:ind w:left="709" w:right="60"/>
              <w:jc w:val="both"/>
              <w:rPr>
                <w:sz w:val="22"/>
                <w:szCs w:val="22"/>
                <w:u w:val="single"/>
                <w:lang w:val="de-DE"/>
              </w:rPr>
            </w:pPr>
          </w:p>
          <w:p w:rsidR="00E97118" w:rsidRPr="00E80983" w:rsidRDefault="00E97118" w:rsidP="00E97118">
            <w:pPr>
              <w:tabs>
                <w:tab w:val="left" w:pos="709"/>
              </w:tabs>
              <w:ind w:right="60"/>
              <w:jc w:val="both"/>
              <w:rPr>
                <w:sz w:val="22"/>
                <w:szCs w:val="22"/>
                <w:lang w:val="de-DE"/>
              </w:rPr>
            </w:pPr>
            <w:r w:rsidRPr="00E80983">
              <w:rPr>
                <w:sz w:val="22"/>
                <w:szCs w:val="22"/>
                <w:u w:val="single"/>
                <w:lang w:val="de-DE"/>
              </w:rPr>
              <w:t>Zwingend</w:t>
            </w:r>
            <w:r w:rsidRPr="00E80983">
              <w:rPr>
                <w:sz w:val="22"/>
                <w:szCs w:val="22"/>
                <w:lang w:val="de-DE"/>
              </w:rPr>
              <w:t>: Ein solider Migrationshintergrund und besondere Erfahrung in den Beziehungen zu Drittländern in Migrationsfragen; Fähigkeit zur Erfassung und strategischen Analyse von Informationen über Migrationsfragen; gute Verhandlungsfähigkeiten; Teamplayer.</w:t>
            </w:r>
          </w:p>
          <w:p w:rsidR="00E97118" w:rsidRPr="00E80983" w:rsidRDefault="00E97118" w:rsidP="00E97118">
            <w:pPr>
              <w:tabs>
                <w:tab w:val="left" w:pos="709"/>
              </w:tabs>
              <w:ind w:left="709" w:right="60"/>
              <w:jc w:val="both"/>
              <w:rPr>
                <w:sz w:val="22"/>
                <w:szCs w:val="22"/>
                <w:lang w:val="de-DE"/>
              </w:rPr>
            </w:pPr>
          </w:p>
          <w:p w:rsidR="00E97118" w:rsidRPr="00E80983" w:rsidRDefault="00E97118" w:rsidP="00E97118">
            <w:pPr>
              <w:tabs>
                <w:tab w:val="left" w:pos="709"/>
              </w:tabs>
              <w:ind w:right="60"/>
              <w:jc w:val="both"/>
              <w:rPr>
                <w:sz w:val="22"/>
                <w:szCs w:val="22"/>
                <w:lang w:val="de-DE"/>
              </w:rPr>
            </w:pPr>
            <w:r w:rsidRPr="00E80983">
              <w:rPr>
                <w:sz w:val="22"/>
                <w:szCs w:val="22"/>
                <w:u w:val="single"/>
                <w:lang w:val="de-DE"/>
              </w:rPr>
              <w:t>Erwünscht</w:t>
            </w:r>
            <w:r w:rsidRPr="00E80983">
              <w:rPr>
                <w:sz w:val="22"/>
                <w:szCs w:val="22"/>
                <w:lang w:val="de-DE"/>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E97118" w:rsidRPr="00E80983" w:rsidRDefault="00E97118" w:rsidP="00E97118">
            <w:pPr>
              <w:tabs>
                <w:tab w:val="left" w:pos="709"/>
              </w:tabs>
              <w:ind w:left="709" w:right="60"/>
              <w:jc w:val="both"/>
              <w:rPr>
                <w:sz w:val="22"/>
                <w:szCs w:val="22"/>
                <w:lang w:val="de-DE"/>
              </w:rPr>
            </w:pPr>
          </w:p>
          <w:p w:rsidR="00E97118" w:rsidRPr="00E80983" w:rsidRDefault="00E97118" w:rsidP="00E97118">
            <w:pPr>
              <w:tabs>
                <w:tab w:val="left" w:pos="709"/>
              </w:tabs>
              <w:ind w:right="60"/>
              <w:jc w:val="both"/>
              <w:rPr>
                <w:sz w:val="22"/>
                <w:szCs w:val="22"/>
                <w:u w:val="single"/>
                <w:lang w:val="de-DE"/>
              </w:rPr>
            </w:pPr>
            <w:r w:rsidRPr="00E80983">
              <w:rPr>
                <w:sz w:val="22"/>
                <w:szCs w:val="22"/>
                <w:u w:val="single"/>
                <w:lang w:val="de-DE"/>
              </w:rPr>
              <w:t>Zur Ausübung der Tätigkeit erforderliche Sprachkenntnisse</w:t>
            </w:r>
          </w:p>
          <w:p w:rsidR="00E97118" w:rsidRPr="00E80983" w:rsidRDefault="00E97118" w:rsidP="00E97118">
            <w:pPr>
              <w:tabs>
                <w:tab w:val="left" w:pos="709"/>
              </w:tabs>
              <w:ind w:left="709" w:right="60"/>
              <w:jc w:val="both"/>
              <w:rPr>
                <w:sz w:val="22"/>
                <w:szCs w:val="22"/>
                <w:lang w:val="de-DE"/>
              </w:rPr>
            </w:pPr>
          </w:p>
          <w:p w:rsidR="00B3363A" w:rsidRPr="00E80983" w:rsidRDefault="00E97118" w:rsidP="00E80983">
            <w:pPr>
              <w:tabs>
                <w:tab w:val="left" w:pos="317"/>
              </w:tabs>
              <w:ind w:right="212"/>
              <w:jc w:val="both"/>
              <w:rPr>
                <w:sz w:val="22"/>
                <w:szCs w:val="22"/>
                <w:lang w:val="de-DE"/>
              </w:rPr>
            </w:pPr>
            <w:r w:rsidRPr="00E80983">
              <w:rPr>
                <w:sz w:val="22"/>
                <w:szCs w:val="22"/>
                <w:lang w:val="de-DE"/>
              </w:rPr>
              <w:t>Gründliche Kenntnisse der englischen Sprache in Wort und Schrift. Kenntnisse der Amtssprache des Gastlandes wären von großem Vorteil.</w:t>
            </w:r>
          </w:p>
        </w:tc>
      </w:tr>
      <w:tr w:rsidR="006643E5" w:rsidRPr="00E80983" w:rsidTr="00527871">
        <w:trPr>
          <w:gridAfter w:val="1"/>
          <w:wAfter w:w="14" w:type="dxa"/>
          <w:jc w:val="center"/>
        </w:trPr>
        <w:tc>
          <w:tcPr>
            <w:tcW w:w="392" w:type="dxa"/>
            <w:tcBorders>
              <w:top w:val="single" w:sz="4" w:space="0" w:color="auto"/>
              <w:bottom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top w:val="single" w:sz="4" w:space="0" w:color="auto"/>
              <w:bottom w:val="single" w:sz="4" w:space="0" w:color="auto"/>
            </w:tcBorders>
          </w:tcPr>
          <w:p w:rsidR="006643E5" w:rsidRPr="00E80983" w:rsidRDefault="006643E5" w:rsidP="0069244E">
            <w:pPr>
              <w:ind w:right="1317"/>
              <w:jc w:val="both"/>
              <w:rPr>
                <w:b/>
                <w:sz w:val="22"/>
                <w:szCs w:val="22"/>
                <w:lang w:val="de-DE"/>
              </w:rPr>
            </w:pPr>
          </w:p>
        </w:tc>
      </w:tr>
      <w:tr w:rsidR="006643E5" w:rsidRPr="00E80983"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E80983" w:rsidRDefault="006643E5" w:rsidP="0069244E">
            <w:pPr>
              <w:ind w:right="1317"/>
              <w:jc w:val="both"/>
              <w:rPr>
                <w:b/>
                <w:sz w:val="22"/>
                <w:szCs w:val="22"/>
                <w:lang w:val="de-DE"/>
              </w:rPr>
            </w:pPr>
            <w:r w:rsidRPr="00E80983">
              <w:rPr>
                <w:b/>
                <w:sz w:val="22"/>
                <w:szCs w:val="22"/>
                <w:lang w:val="de-DE"/>
              </w:rPr>
              <w:t>3</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E80983" w:rsidRDefault="006643E5" w:rsidP="0069244E">
            <w:pPr>
              <w:ind w:right="1317"/>
              <w:jc w:val="both"/>
              <w:rPr>
                <w:sz w:val="22"/>
                <w:szCs w:val="22"/>
                <w:lang w:val="de-DE"/>
              </w:rPr>
            </w:pPr>
            <w:r w:rsidRPr="00E80983">
              <w:rPr>
                <w:b/>
                <w:sz w:val="22"/>
                <w:szCs w:val="22"/>
                <w:lang w:val="de-DE"/>
              </w:rPr>
              <w:t>Bewerbung und Auswahlverfahren</w:t>
            </w:r>
          </w:p>
        </w:tc>
      </w:tr>
      <w:tr w:rsidR="006643E5" w:rsidRPr="00E80983" w:rsidTr="00527871">
        <w:trPr>
          <w:gridAfter w:val="1"/>
          <w:wAfter w:w="14" w:type="dxa"/>
          <w:jc w:val="center"/>
        </w:trPr>
        <w:tc>
          <w:tcPr>
            <w:tcW w:w="392" w:type="dxa"/>
            <w:tcBorders>
              <w:top w:val="single" w:sz="4" w:space="0" w:color="auto"/>
              <w:left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top w:val="single" w:sz="4" w:space="0" w:color="auto"/>
              <w:left w:val="nil"/>
              <w:right w:val="single" w:sz="4" w:space="0" w:color="auto"/>
            </w:tcBorders>
          </w:tcPr>
          <w:p w:rsidR="009D5781" w:rsidRPr="00E80983" w:rsidRDefault="009D5781" w:rsidP="00EA222B">
            <w:pPr>
              <w:ind w:right="175"/>
              <w:jc w:val="both"/>
              <w:rPr>
                <w:sz w:val="22"/>
                <w:szCs w:val="22"/>
                <w:lang w:val="de-DE"/>
              </w:rPr>
            </w:pPr>
            <w:bookmarkStart w:id="1" w:name="_Hlt340069415"/>
            <w:bookmarkStart w:id="2" w:name="_Hlt340069416"/>
          </w:p>
          <w:p w:rsidR="006643E5" w:rsidRPr="00E80983" w:rsidRDefault="006643E5" w:rsidP="00EA222B">
            <w:pPr>
              <w:ind w:right="175"/>
              <w:jc w:val="both"/>
              <w:rPr>
                <w:sz w:val="22"/>
                <w:szCs w:val="22"/>
                <w:lang w:val="de-DE"/>
              </w:rPr>
            </w:pPr>
            <w:r w:rsidRPr="00E80983">
              <w:rPr>
                <w:sz w:val="22"/>
                <w:szCs w:val="22"/>
                <w:lang w:val="de-DE"/>
              </w:rPr>
              <w:t>Die Bewerberinnen und Bewerber senden ihren</w:t>
            </w:r>
            <w:r w:rsidRPr="00E80983">
              <w:rPr>
                <w:b/>
                <w:sz w:val="22"/>
                <w:szCs w:val="22"/>
                <w:lang w:val="de-DE"/>
              </w:rPr>
              <w:t xml:space="preserve"> Lebenslauf im Europass-Format </w:t>
            </w:r>
            <w:r w:rsidRPr="00E80983">
              <w:rPr>
                <w:sz w:val="22"/>
                <w:szCs w:val="22"/>
                <w:lang w:val="de-DE"/>
              </w:rPr>
              <w:t>(</w:t>
            </w:r>
            <w:hyperlink r:id="rId8" w:history="1">
              <w:r w:rsidRPr="00E80983">
                <w:rPr>
                  <w:rStyle w:val="Hyperlink"/>
                  <w:sz w:val="22"/>
                  <w:szCs w:val="22"/>
                  <w:lang w:val="de-DE"/>
                </w:rPr>
                <w:t>http://europass.cedefop.europa.eu/de/documents/curriculum-vitae</w:t>
              </w:r>
            </w:hyperlink>
            <w:r w:rsidRPr="00E80983">
              <w:rPr>
                <w:sz w:val="22"/>
                <w:szCs w:val="22"/>
                <w:lang w:val="de-DE"/>
              </w:rPr>
              <w:t>)</w:t>
            </w:r>
            <w:r w:rsidRPr="00E80983">
              <w:rPr>
                <w:b/>
                <w:sz w:val="22"/>
                <w:szCs w:val="22"/>
                <w:lang w:val="de-DE"/>
              </w:rPr>
              <w:t xml:space="preserve"> </w:t>
            </w:r>
            <w:r w:rsidR="00B921A3" w:rsidRPr="00E80983">
              <w:rPr>
                <w:sz w:val="22"/>
                <w:szCs w:val="22"/>
                <w:lang w:val="de-DE"/>
              </w:rPr>
              <w:t>auf deutsch, englisch od</w:t>
            </w:r>
            <w:r w:rsidR="009D5781" w:rsidRPr="00E80983">
              <w:rPr>
                <w:sz w:val="22"/>
                <w:szCs w:val="22"/>
                <w:lang w:val="de-DE"/>
              </w:rPr>
              <w:t>er</w:t>
            </w:r>
            <w:r w:rsidR="00B921A3" w:rsidRPr="00E80983">
              <w:rPr>
                <w:sz w:val="22"/>
                <w:szCs w:val="22"/>
                <w:lang w:val="de-DE"/>
              </w:rPr>
              <w:t xml:space="preserve"> </w:t>
            </w:r>
            <w:r w:rsidR="00EA222B" w:rsidRPr="00E80983">
              <w:rPr>
                <w:sz w:val="22"/>
                <w:szCs w:val="22"/>
                <w:lang w:val="de-DE"/>
              </w:rPr>
              <w:t>französisch</w:t>
            </w:r>
            <w:r w:rsidR="00B921A3" w:rsidRPr="00E80983">
              <w:rPr>
                <w:b/>
                <w:sz w:val="22"/>
                <w:szCs w:val="22"/>
                <w:lang w:val="de-DE"/>
              </w:rPr>
              <w:t xml:space="preserve"> </w:t>
            </w:r>
            <w:r w:rsidRPr="00E80983">
              <w:rPr>
                <w:b/>
                <w:sz w:val="22"/>
                <w:szCs w:val="22"/>
                <w:u w:val="single"/>
                <w:lang w:val="de-DE"/>
              </w:rPr>
              <w:t>ausschließlich an die Ständige Vertretung</w:t>
            </w:r>
            <w:r w:rsidR="00B921A3" w:rsidRPr="00E80983">
              <w:rPr>
                <w:b/>
                <w:sz w:val="22"/>
                <w:szCs w:val="22"/>
                <w:u w:val="single"/>
                <w:lang w:val="de-DE"/>
              </w:rPr>
              <w:t xml:space="preserve"> / diplomatische Mission</w:t>
            </w:r>
            <w:r w:rsidRPr="00E80983">
              <w:rPr>
                <w:b/>
                <w:sz w:val="22"/>
                <w:szCs w:val="22"/>
                <w:u w:val="single"/>
                <w:lang w:val="de-DE"/>
              </w:rPr>
              <w:t xml:space="preserve"> ihres Landes bei der </w:t>
            </w:r>
            <w:r w:rsidR="00EA222B" w:rsidRPr="00E80983">
              <w:rPr>
                <w:b/>
                <w:sz w:val="22"/>
                <w:szCs w:val="22"/>
                <w:u w:val="single"/>
                <w:lang w:val="de-DE"/>
              </w:rPr>
              <w:t>EU</w:t>
            </w:r>
            <w:r w:rsidRPr="00E80983">
              <w:rPr>
                <w:sz w:val="22"/>
                <w:szCs w:val="22"/>
                <w:lang w:val="de-DE"/>
              </w:rPr>
              <w:t>. Diese leitet die Bewerbungen innerhalb der Fristen für das Auswahlverfahren an die zuständigen Kommissionsdienststellen weiter.</w:t>
            </w:r>
            <w:r w:rsidRPr="00E80983">
              <w:rPr>
                <w:b/>
                <w:sz w:val="22"/>
                <w:szCs w:val="22"/>
                <w:lang w:val="de-DE"/>
              </w:rPr>
              <w:t xml:space="preserve"> </w:t>
            </w:r>
            <w:r w:rsidR="00FD0532" w:rsidRPr="00E80983">
              <w:rPr>
                <w:sz w:val="22"/>
                <w:szCs w:val="22"/>
                <w:lang w:val="de-DE"/>
              </w:rPr>
              <w:t>Der Lebenslauf muss das Geburtsdatum und die Staatsangehörigkeit des Kandidaten enthalten.</w:t>
            </w:r>
            <w:r w:rsidR="00FD0532" w:rsidRPr="00E80983">
              <w:rPr>
                <w:b/>
                <w:sz w:val="22"/>
                <w:szCs w:val="22"/>
                <w:lang w:val="de-DE"/>
              </w:rPr>
              <w:t xml:space="preserve"> </w:t>
            </w:r>
            <w:r w:rsidRPr="00E80983">
              <w:rPr>
                <w:b/>
                <w:sz w:val="22"/>
                <w:szCs w:val="22"/>
                <w:lang w:val="de-DE"/>
              </w:rPr>
              <w:t xml:space="preserve">Bei Nichteinhaltung dieses Verfahrens oder der Fristen wird die Bewerbung automatisch ungültig. </w:t>
            </w:r>
            <w:r w:rsidRPr="00E80983">
              <w:rPr>
                <w:sz w:val="22"/>
                <w:szCs w:val="22"/>
                <w:lang w:val="de-DE"/>
              </w:rPr>
              <w:t>Die Bewerberinnen und Bewerber werden gebeten, ihrer B</w:t>
            </w:r>
            <w:r w:rsidR="0069244E" w:rsidRPr="00E80983">
              <w:rPr>
                <w:sz w:val="22"/>
                <w:szCs w:val="22"/>
                <w:lang w:val="de-DE"/>
              </w:rPr>
              <w:t>ewerbung keine anderen</w:t>
            </w:r>
            <w:r w:rsidRPr="00E80983">
              <w:rPr>
                <w:sz w:val="22"/>
                <w:szCs w:val="22"/>
                <w:lang w:val="de-DE"/>
              </w:rPr>
              <w:t xml:space="preserve"> Dokumente (wie Kopien des Personalausweises, Kopien von Abschlusszeugnissen, Nachweise der Berufserfahrung usw.) beizufügen. Diese Dokumente sind gegebenenfalls in einem späteren Stadium des Auswahlverfahrens vorzulegen.</w:t>
            </w:r>
            <w:bookmarkEnd w:id="1"/>
            <w:bookmarkEnd w:id="2"/>
          </w:p>
          <w:p w:rsidR="009D5781" w:rsidRPr="00E80983" w:rsidRDefault="009D5781" w:rsidP="00EA222B">
            <w:pPr>
              <w:ind w:right="175"/>
              <w:jc w:val="both"/>
              <w:rPr>
                <w:sz w:val="22"/>
                <w:szCs w:val="22"/>
                <w:lang w:val="de-DE"/>
              </w:rPr>
            </w:pPr>
            <w:r w:rsidRPr="00E80983">
              <w:rPr>
                <w:sz w:val="22"/>
                <w:szCs w:val="22"/>
                <w:lang w:val="de-DE"/>
              </w:rPr>
              <w:t>Die Bewerberinnen und Bewerber werden von dem einstellenden Referat über den Stand ihrer Bewerbung informiert.</w:t>
            </w:r>
          </w:p>
          <w:p w:rsidR="00BA7067" w:rsidRPr="00E80983" w:rsidRDefault="00BA7067" w:rsidP="00EA222B">
            <w:pPr>
              <w:ind w:right="175"/>
              <w:jc w:val="both"/>
              <w:rPr>
                <w:sz w:val="22"/>
                <w:szCs w:val="22"/>
                <w:lang w:val="de-DE"/>
              </w:rPr>
            </w:pPr>
          </w:p>
        </w:tc>
      </w:tr>
      <w:tr w:rsidR="006643E5" w:rsidRPr="00E80983" w:rsidTr="00527871">
        <w:trPr>
          <w:gridAfter w:val="1"/>
          <w:wAfter w:w="14" w:type="dxa"/>
          <w:jc w:val="center"/>
        </w:trPr>
        <w:tc>
          <w:tcPr>
            <w:tcW w:w="392" w:type="dxa"/>
            <w:tcBorders>
              <w:top w:val="single" w:sz="4" w:space="0" w:color="auto"/>
              <w:bottom w:val="single" w:sz="4" w:space="0" w:color="auto"/>
            </w:tcBorders>
          </w:tcPr>
          <w:p w:rsidR="006643E5" w:rsidRPr="00E80983" w:rsidRDefault="006643E5" w:rsidP="0069244E">
            <w:pPr>
              <w:ind w:right="1317"/>
              <w:jc w:val="both"/>
              <w:rPr>
                <w:b/>
                <w:sz w:val="22"/>
                <w:szCs w:val="22"/>
                <w:lang w:val="de-DE"/>
              </w:rPr>
            </w:pPr>
          </w:p>
        </w:tc>
        <w:tc>
          <w:tcPr>
            <w:tcW w:w="8916" w:type="dxa"/>
            <w:gridSpan w:val="2"/>
            <w:tcBorders>
              <w:top w:val="single" w:sz="4" w:space="0" w:color="auto"/>
              <w:bottom w:val="single" w:sz="4" w:space="0" w:color="auto"/>
            </w:tcBorders>
          </w:tcPr>
          <w:p w:rsidR="006643E5" w:rsidRPr="00E80983" w:rsidRDefault="006643E5" w:rsidP="0069244E">
            <w:pPr>
              <w:ind w:right="175"/>
              <w:jc w:val="both"/>
              <w:rPr>
                <w:b/>
                <w:sz w:val="22"/>
                <w:szCs w:val="22"/>
                <w:lang w:val="de-DE"/>
              </w:rPr>
            </w:pPr>
          </w:p>
        </w:tc>
      </w:tr>
      <w:tr w:rsidR="00E80983" w:rsidRPr="00E80983" w:rsidTr="00072EA0">
        <w:trPr>
          <w:gridAfter w:val="1"/>
          <w:wAfter w:w="14" w:type="dxa"/>
          <w:jc w:val="center"/>
        </w:trPr>
        <w:tc>
          <w:tcPr>
            <w:tcW w:w="9308" w:type="dxa"/>
            <w:gridSpan w:val="3"/>
            <w:tcBorders>
              <w:top w:val="single" w:sz="4" w:space="0" w:color="auto"/>
              <w:left w:val="single" w:sz="4" w:space="0" w:color="auto"/>
              <w:bottom w:val="single" w:sz="4" w:space="0" w:color="auto"/>
              <w:right w:val="single" w:sz="4" w:space="0" w:color="auto"/>
            </w:tcBorders>
          </w:tcPr>
          <w:p w:rsidR="00E80983" w:rsidRDefault="00E80983" w:rsidP="00E80983">
            <w:pPr>
              <w:ind w:right="1317"/>
              <w:jc w:val="both"/>
              <w:rPr>
                <w:b/>
                <w:sz w:val="22"/>
                <w:szCs w:val="22"/>
                <w:lang w:val="de-DE"/>
              </w:rPr>
            </w:pPr>
            <w:r w:rsidRPr="00E80983">
              <w:rPr>
                <w:b/>
                <w:sz w:val="22"/>
                <w:szCs w:val="22"/>
                <w:lang w:val="de-DE"/>
              </w:rPr>
              <w:t>4</w:t>
            </w:r>
            <w:r>
              <w:rPr>
                <w:b/>
                <w:sz w:val="22"/>
                <w:szCs w:val="22"/>
                <w:lang w:val="de-DE"/>
              </w:rPr>
              <w:t xml:space="preserve">   </w:t>
            </w:r>
            <w:r w:rsidRPr="00E80983">
              <w:rPr>
                <w:b/>
                <w:sz w:val="22"/>
                <w:szCs w:val="22"/>
                <w:lang w:val="de-DE"/>
              </w:rPr>
              <w:t>Bedingungen für die Abordnung nationaler Sachverständiger</w:t>
            </w:r>
          </w:p>
          <w:p w:rsidR="00E80983" w:rsidRDefault="00E80983" w:rsidP="00E80983">
            <w:pPr>
              <w:ind w:right="1317"/>
              <w:jc w:val="both"/>
              <w:rPr>
                <w:b/>
                <w:sz w:val="22"/>
                <w:szCs w:val="22"/>
                <w:lang w:val="de-DE"/>
              </w:rPr>
            </w:pPr>
          </w:p>
          <w:p w:rsidR="00E80983" w:rsidRPr="00E80983" w:rsidRDefault="00E80983" w:rsidP="00E80983">
            <w:pPr>
              <w:ind w:right="175"/>
              <w:jc w:val="both"/>
              <w:rPr>
                <w:sz w:val="22"/>
                <w:szCs w:val="22"/>
                <w:lang w:val="de-DE"/>
              </w:rPr>
            </w:pPr>
            <w:r w:rsidRPr="00E80983">
              <w:rPr>
                <w:sz w:val="22"/>
                <w:szCs w:val="22"/>
                <w:lang w:val="de-DE"/>
              </w:rPr>
              <w:t xml:space="preserve">Abordnungen fallen unter den </w:t>
            </w:r>
            <w:r w:rsidRPr="00E80983">
              <w:rPr>
                <w:b/>
                <w:sz w:val="22"/>
                <w:szCs w:val="22"/>
                <w:lang w:val="de-DE"/>
              </w:rPr>
              <w:t>Beschluss C(2008) 6866 der Kommission vom 12.11.2008</w:t>
            </w:r>
            <w:r w:rsidRPr="00E80983">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9" w:history="1">
              <w:r w:rsidRPr="00E80983">
                <w:rPr>
                  <w:rStyle w:val="Hyperlink"/>
                  <w:sz w:val="22"/>
                  <w:szCs w:val="22"/>
                  <w:lang w:val="de-DE"/>
                </w:rPr>
                <w:t>http://ec.europa</w:t>
              </w:r>
              <w:r w:rsidRPr="00E80983">
                <w:rPr>
                  <w:rStyle w:val="Hyperlink"/>
                  <w:sz w:val="22"/>
                  <w:szCs w:val="22"/>
                  <w:lang w:val="de-DE"/>
                </w:rPr>
                <w:t>.</w:t>
              </w:r>
              <w:r w:rsidRPr="00E80983">
                <w:rPr>
                  <w:rStyle w:val="Hyperlink"/>
                  <w:sz w:val="22"/>
                  <w:szCs w:val="22"/>
                  <w:lang w:val="de-DE"/>
                </w:rPr>
                <w:t>eu/civil_se</w:t>
              </w:r>
              <w:r w:rsidRPr="00E80983">
                <w:rPr>
                  <w:rStyle w:val="Hyperlink"/>
                  <w:sz w:val="22"/>
                  <w:szCs w:val="22"/>
                  <w:lang w:val="de-DE"/>
                </w:rPr>
                <w:t>r</w:t>
              </w:r>
              <w:r w:rsidRPr="00E80983">
                <w:rPr>
                  <w:rStyle w:val="Hyperlink"/>
                  <w:sz w:val="22"/>
                  <w:szCs w:val="22"/>
                  <w:lang w:val="de-DE"/>
                </w:rPr>
                <w:t>vice/job/sne/index_de.htm</w:t>
              </w:r>
            </w:hyperlink>
            <w:r w:rsidRPr="00E80983">
              <w:rPr>
                <w:sz w:val="22"/>
                <w:szCs w:val="22"/>
                <w:lang w:val="de-DE"/>
              </w:rPr>
              <w:t>.</w:t>
            </w:r>
          </w:p>
          <w:p w:rsidR="00E80983" w:rsidRPr="00E80983" w:rsidRDefault="00E80983" w:rsidP="00E80983">
            <w:pPr>
              <w:ind w:right="175"/>
              <w:jc w:val="both"/>
              <w:rPr>
                <w:sz w:val="22"/>
                <w:szCs w:val="22"/>
                <w:lang w:val="de-DE"/>
              </w:rPr>
            </w:pPr>
            <w:r w:rsidRPr="00E80983">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E80983" w:rsidRPr="00E80983" w:rsidRDefault="00E80983" w:rsidP="00E80983">
            <w:pPr>
              <w:ind w:right="175"/>
              <w:jc w:val="both"/>
              <w:rPr>
                <w:sz w:val="22"/>
                <w:szCs w:val="22"/>
                <w:lang w:val="de-DE"/>
              </w:rPr>
            </w:pPr>
            <w:r w:rsidRPr="00E80983">
              <w:rPr>
                <w:sz w:val="22"/>
                <w:szCs w:val="22"/>
                <w:lang w:val="de-DE"/>
              </w:rPr>
              <w:t>Mit Ausnahme der unentgeltlich abgeordneten Sachverständigen können den ANS, die die Bedingungen nach Artikel 17 des ANS-Beschlusses erfüllen, Tagegelder gezahlt werden.</w:t>
            </w:r>
          </w:p>
          <w:p w:rsidR="00E80983" w:rsidRPr="00E80983" w:rsidRDefault="00E80983" w:rsidP="00E80983">
            <w:pPr>
              <w:ind w:right="175"/>
              <w:jc w:val="both"/>
              <w:rPr>
                <w:sz w:val="22"/>
                <w:szCs w:val="22"/>
                <w:lang w:val="de-DE"/>
              </w:rPr>
            </w:pPr>
            <w:r w:rsidRPr="00E80983">
              <w:rPr>
                <w:sz w:val="22"/>
                <w:szCs w:val="22"/>
                <w:lang w:val="de-DE"/>
              </w:rPr>
              <w:t>Während der Abordnung unterliegen die ANS den in den Artikeln 6 und 7 des ANS-Beschlusses vorgesehenen Verpflichtungen zur Vertraulichkeit, zur Loyalität und zum Nichtbestehen von Interessenkonflikten.</w:t>
            </w:r>
          </w:p>
          <w:p w:rsidR="00E80983" w:rsidRPr="00E80983" w:rsidRDefault="00E80983" w:rsidP="00E80983">
            <w:pPr>
              <w:pStyle w:val="ListBullet"/>
              <w:numPr>
                <w:ilvl w:val="0"/>
                <w:numId w:val="0"/>
              </w:numPr>
              <w:ind w:right="161"/>
              <w:rPr>
                <w:sz w:val="22"/>
                <w:szCs w:val="22"/>
                <w:lang w:val="de-DE"/>
              </w:rPr>
            </w:pPr>
            <w:r w:rsidRPr="00E80983">
              <w:rPr>
                <w:sz w:val="22"/>
                <w:szCs w:val="22"/>
                <w:lang w:val="de-DE"/>
              </w:rPr>
              <w:t>Bei unvollständigen oder falschen Angaben kann die Bewerbung abgelehnt werden.</w:t>
            </w:r>
          </w:p>
          <w:p w:rsidR="00E80983" w:rsidRPr="00E80983" w:rsidRDefault="00E80983" w:rsidP="00E80983">
            <w:pPr>
              <w:pStyle w:val="ListBullet"/>
              <w:numPr>
                <w:ilvl w:val="0"/>
                <w:numId w:val="0"/>
              </w:numPr>
              <w:spacing w:after="0"/>
              <w:ind w:right="159"/>
              <w:rPr>
                <w:sz w:val="22"/>
                <w:szCs w:val="22"/>
                <w:lang w:val="de-DE"/>
              </w:rPr>
            </w:pPr>
            <w:r w:rsidRPr="00E80983">
              <w:rPr>
                <w:sz w:val="22"/>
                <w:szCs w:val="22"/>
                <w:lang w:val="de-DE"/>
              </w:rPr>
              <w:t xml:space="preserve">Mitarbeiter, die in eine </w:t>
            </w:r>
            <w:r w:rsidRPr="00E80983">
              <w:rPr>
                <w:b/>
                <w:sz w:val="22"/>
                <w:szCs w:val="22"/>
                <w:lang w:val="de-DE"/>
              </w:rPr>
              <w:t>Delegation der Europäischen Union</w:t>
            </w:r>
            <w:r w:rsidRPr="00E80983">
              <w:rPr>
                <w:sz w:val="22"/>
                <w:szCs w:val="22"/>
                <w:lang w:val="de-DE"/>
              </w:rPr>
              <w:t xml:space="preserve"> entsandt werden, benötigen eine Sicherheitsüberprüfung (nach SECRET UE Niveau gemäß der Entscheidung der Kommission 2001/844/EC, ECSC, Euratom – O.J. E.U n° L 317 vom 03.12.2001).</w:t>
            </w:r>
          </w:p>
          <w:p w:rsidR="00E80983" w:rsidRPr="00E80983" w:rsidRDefault="00E80983" w:rsidP="00E80983">
            <w:pPr>
              <w:pStyle w:val="ListBullet"/>
              <w:numPr>
                <w:ilvl w:val="0"/>
                <w:numId w:val="0"/>
              </w:numPr>
              <w:spacing w:after="0"/>
              <w:ind w:right="159"/>
              <w:rPr>
                <w:sz w:val="22"/>
                <w:szCs w:val="22"/>
                <w:lang w:val="de-DE"/>
              </w:rPr>
            </w:pPr>
            <w:r w:rsidRPr="00E80983">
              <w:rPr>
                <w:sz w:val="22"/>
                <w:szCs w:val="22"/>
                <w:lang w:val="de-DE"/>
              </w:rPr>
              <w:t>Der ausgewählte Bewerber ist verpflichtet, das Überprüfungsverfahren vor der Abordnung einzuleiten.</w:t>
            </w:r>
          </w:p>
        </w:tc>
      </w:tr>
      <w:tr w:rsidR="006643E5" w:rsidRPr="00E80983" w:rsidTr="00527871">
        <w:trPr>
          <w:jc w:val="center"/>
        </w:trPr>
        <w:tc>
          <w:tcPr>
            <w:tcW w:w="392" w:type="dxa"/>
            <w:tcBorders>
              <w:bottom w:val="single" w:sz="4" w:space="0" w:color="auto"/>
            </w:tcBorders>
          </w:tcPr>
          <w:p w:rsidR="006643E5" w:rsidRPr="00E80983" w:rsidRDefault="006643E5" w:rsidP="0069244E">
            <w:pPr>
              <w:ind w:right="1317"/>
              <w:jc w:val="both"/>
              <w:rPr>
                <w:b/>
                <w:sz w:val="22"/>
                <w:szCs w:val="22"/>
                <w:lang w:val="de-DE"/>
              </w:rPr>
            </w:pPr>
          </w:p>
        </w:tc>
        <w:tc>
          <w:tcPr>
            <w:tcW w:w="8930" w:type="dxa"/>
            <w:gridSpan w:val="3"/>
            <w:tcBorders>
              <w:bottom w:val="single" w:sz="4" w:space="0" w:color="auto"/>
            </w:tcBorders>
          </w:tcPr>
          <w:p w:rsidR="006643E5" w:rsidRPr="00E80983" w:rsidRDefault="006643E5" w:rsidP="0069244E">
            <w:pPr>
              <w:ind w:left="473"/>
              <w:jc w:val="both"/>
              <w:rPr>
                <w:sz w:val="22"/>
                <w:szCs w:val="22"/>
                <w:lang w:val="de-DE"/>
              </w:rPr>
            </w:pPr>
          </w:p>
        </w:tc>
      </w:tr>
      <w:tr w:rsidR="006643E5" w:rsidRPr="00E80983" w:rsidTr="009D5781">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E80983" w:rsidRDefault="006643E5" w:rsidP="0069244E">
            <w:pPr>
              <w:ind w:right="1317"/>
              <w:jc w:val="both"/>
              <w:rPr>
                <w:b/>
                <w:sz w:val="22"/>
                <w:szCs w:val="22"/>
                <w:lang w:val="de-DE"/>
              </w:rPr>
            </w:pPr>
            <w:r w:rsidRPr="00E80983">
              <w:rPr>
                <w:b/>
                <w:sz w:val="22"/>
                <w:szCs w:val="22"/>
                <w:lang w:val="de-DE"/>
              </w:rPr>
              <w:t>5</w:t>
            </w:r>
          </w:p>
        </w:tc>
        <w:tc>
          <w:tcPr>
            <w:tcW w:w="8930" w:type="dxa"/>
            <w:gridSpan w:val="3"/>
            <w:tcBorders>
              <w:top w:val="single" w:sz="4" w:space="0" w:color="auto"/>
              <w:left w:val="single" w:sz="4" w:space="0" w:color="auto"/>
              <w:bottom w:val="single" w:sz="4" w:space="0" w:color="auto"/>
              <w:right w:val="single" w:sz="4" w:space="0" w:color="auto"/>
            </w:tcBorders>
          </w:tcPr>
          <w:p w:rsidR="006643E5" w:rsidRPr="00E80983" w:rsidRDefault="006643E5" w:rsidP="0069244E">
            <w:pPr>
              <w:pStyle w:val="Footer"/>
              <w:rPr>
                <w:sz w:val="22"/>
                <w:szCs w:val="22"/>
                <w:lang w:val="de-DE"/>
              </w:rPr>
            </w:pPr>
            <w:r w:rsidRPr="00E80983">
              <w:rPr>
                <w:b/>
                <w:sz w:val="22"/>
                <w:szCs w:val="22"/>
                <w:lang w:val="de-DE"/>
              </w:rPr>
              <w:t>Verarbeitung personenbezogener Daten:</w:t>
            </w:r>
          </w:p>
        </w:tc>
      </w:tr>
      <w:tr w:rsidR="006643E5" w:rsidRPr="00E80983" w:rsidTr="009D5781">
        <w:trPr>
          <w:trHeight w:val="473"/>
          <w:jc w:val="center"/>
        </w:trPr>
        <w:tc>
          <w:tcPr>
            <w:tcW w:w="392" w:type="dxa"/>
            <w:tcBorders>
              <w:left w:val="single" w:sz="4" w:space="0" w:color="auto"/>
            </w:tcBorders>
          </w:tcPr>
          <w:p w:rsidR="006643E5" w:rsidRPr="00E80983" w:rsidRDefault="006643E5" w:rsidP="0069244E">
            <w:pPr>
              <w:ind w:right="1317"/>
              <w:jc w:val="both"/>
              <w:rPr>
                <w:b/>
                <w:sz w:val="22"/>
                <w:szCs w:val="22"/>
                <w:lang w:val="de-DE"/>
              </w:rPr>
            </w:pPr>
          </w:p>
        </w:tc>
        <w:tc>
          <w:tcPr>
            <w:tcW w:w="8930" w:type="dxa"/>
            <w:gridSpan w:val="3"/>
            <w:tcBorders>
              <w:top w:val="single" w:sz="4" w:space="0" w:color="auto"/>
              <w:bottom w:val="single" w:sz="4" w:space="0" w:color="auto"/>
              <w:right w:val="single" w:sz="4" w:space="0" w:color="auto"/>
            </w:tcBorders>
          </w:tcPr>
          <w:p w:rsidR="009D5781" w:rsidRPr="00E80983" w:rsidRDefault="009D5781" w:rsidP="00DC2968">
            <w:pPr>
              <w:ind w:right="175"/>
              <w:jc w:val="both"/>
              <w:rPr>
                <w:sz w:val="22"/>
                <w:szCs w:val="22"/>
                <w:lang w:val="de-DE"/>
              </w:rPr>
            </w:pPr>
          </w:p>
          <w:p w:rsidR="00054396" w:rsidRPr="00E80983" w:rsidRDefault="00054396" w:rsidP="00054396">
            <w:pPr>
              <w:jc w:val="both"/>
              <w:rPr>
                <w:sz w:val="22"/>
                <w:szCs w:val="22"/>
                <w:lang w:val="de-DE"/>
              </w:rPr>
            </w:pPr>
            <w:r w:rsidRPr="00E80983">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054396" w:rsidRPr="00E80983" w:rsidRDefault="00054396" w:rsidP="00054396">
            <w:pPr>
              <w:ind w:right="175"/>
              <w:jc w:val="both"/>
              <w:rPr>
                <w:sz w:val="22"/>
                <w:szCs w:val="22"/>
                <w:lang w:val="de-DE"/>
              </w:rPr>
            </w:pPr>
            <w:r w:rsidRPr="00E80983">
              <w:rPr>
                <w:sz w:val="22"/>
                <w:szCs w:val="22"/>
                <w:lang w:val="de-DE"/>
              </w:rPr>
              <w:t>Die Daten der ANS werden für die Dauer von zehn Jahren ab dem Ende der Abordnung aufbewahrt (zwei Jahre bei ANS, deren Bewerbung zurückgezogen oder nicht berücksichtigt wurde).</w:t>
            </w:r>
          </w:p>
          <w:p w:rsidR="00054396" w:rsidRPr="00E80983" w:rsidRDefault="00054396" w:rsidP="00054396">
            <w:pPr>
              <w:jc w:val="both"/>
              <w:rPr>
                <w:sz w:val="22"/>
                <w:szCs w:val="22"/>
                <w:lang w:val="de-DE" w:eastAsia="en-US"/>
              </w:rPr>
            </w:pPr>
            <w:r w:rsidRPr="00E80983">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054396" w:rsidRPr="00E80983" w:rsidRDefault="00054396" w:rsidP="00054396">
            <w:pPr>
              <w:jc w:val="both"/>
              <w:rPr>
                <w:sz w:val="22"/>
                <w:szCs w:val="22"/>
                <w:lang w:val="de-DE"/>
              </w:rPr>
            </w:pPr>
            <w:r w:rsidRPr="00E80983">
              <w:rPr>
                <w:sz w:val="22"/>
                <w:szCs w:val="22"/>
                <w:lang w:val="de-DE"/>
              </w:rPr>
              <w:t>Sie können Ihre Rechte ausüben, indem Sie sich an den</w:t>
            </w:r>
            <w:r w:rsidRPr="00E80983">
              <w:rPr>
                <w:color w:val="FF0000"/>
                <w:sz w:val="22"/>
                <w:szCs w:val="22"/>
                <w:lang w:val="de-DE"/>
              </w:rPr>
              <w:t xml:space="preserve"> </w:t>
            </w:r>
            <w:r w:rsidRPr="00E80983">
              <w:rPr>
                <w:sz w:val="22"/>
                <w:szCs w:val="22"/>
                <w:lang w:val="de-DE"/>
              </w:rPr>
              <w:t>Data Controller</w:t>
            </w:r>
            <w:r w:rsidRPr="00E80983">
              <w:rPr>
                <w:color w:val="FF0000"/>
                <w:sz w:val="22"/>
                <w:szCs w:val="22"/>
                <w:lang w:val="de-DE"/>
              </w:rPr>
              <w:t xml:space="preserve"> </w:t>
            </w:r>
            <w:r w:rsidRPr="00E80983">
              <w:rPr>
                <w:sz w:val="22"/>
                <w:szCs w:val="22"/>
                <w:lang w:val="de-DE"/>
              </w:rPr>
              <w:t>oder im Falle eines Konflikts an den Datenschutzbeauftragten wenden. Bei Bedarf können Sie sich auch an den Europäischen Datenschutzbeauftragten wenden. Ihre Kontaktinformationen sind unten angegeben.</w:t>
            </w:r>
          </w:p>
          <w:p w:rsidR="00054396" w:rsidRPr="00E80983" w:rsidRDefault="00054396" w:rsidP="00054396">
            <w:pPr>
              <w:rPr>
                <w:b/>
                <w:sz w:val="22"/>
                <w:szCs w:val="22"/>
                <w:u w:val="single"/>
                <w:lang w:val="de-DE"/>
              </w:rPr>
            </w:pPr>
            <w:r w:rsidRPr="00E80983">
              <w:rPr>
                <w:b/>
                <w:sz w:val="22"/>
                <w:szCs w:val="22"/>
                <w:u w:val="single"/>
                <w:lang w:val="de-DE"/>
              </w:rPr>
              <w:t>Kontaktinformationen</w:t>
            </w:r>
          </w:p>
          <w:p w:rsidR="00054396" w:rsidRPr="00E80983" w:rsidRDefault="00054396" w:rsidP="00054396">
            <w:pPr>
              <w:pStyle w:val="ListParagraph"/>
              <w:ind w:left="335" w:hanging="284"/>
              <w:rPr>
                <w:rFonts w:ascii="Times New Roman" w:hAnsi="Times New Roman"/>
                <w:lang w:val="de-DE"/>
              </w:rPr>
            </w:pPr>
            <w:r w:rsidRPr="00E80983">
              <w:rPr>
                <w:rFonts w:ascii="Times New Roman" w:hAnsi="Times New Roman"/>
                <w:lang w:val="de-DE"/>
              </w:rPr>
              <w:t>-</w:t>
            </w:r>
            <w:r w:rsidRPr="00E80983">
              <w:rPr>
                <w:rFonts w:ascii="Times New Roman" w:hAnsi="Times New Roman"/>
                <w:lang w:val="de-DE"/>
              </w:rPr>
              <w:tab/>
            </w:r>
            <w:r w:rsidRPr="00E80983">
              <w:rPr>
                <w:rFonts w:ascii="Times New Roman" w:hAnsi="Times New Roman"/>
                <w:b/>
                <w:lang w:val="de-DE"/>
              </w:rPr>
              <w:t>Data Controller</w:t>
            </w:r>
          </w:p>
          <w:p w:rsidR="00054396" w:rsidRPr="00E80983" w:rsidRDefault="00054396" w:rsidP="00054396">
            <w:pPr>
              <w:rPr>
                <w:sz w:val="22"/>
                <w:szCs w:val="22"/>
                <w:lang w:val="de-DE"/>
              </w:rPr>
            </w:pPr>
            <w:r w:rsidRPr="00E80983">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E80983">
              <w:rPr>
                <w:color w:val="FF0000"/>
                <w:sz w:val="22"/>
                <w:szCs w:val="22"/>
                <w:lang w:val="de-DE"/>
              </w:rPr>
              <w:t xml:space="preserve"> </w:t>
            </w:r>
            <w:hyperlink r:id="rId10" w:history="1">
              <w:r w:rsidRPr="00E80983">
                <w:rPr>
                  <w:rStyle w:val="Hyperlink"/>
                  <w:sz w:val="22"/>
                  <w:szCs w:val="22"/>
                  <w:lang w:val="de-DE"/>
                </w:rPr>
                <w:t>HR-MAIL-B4@ec.europa.eu</w:t>
              </w:r>
            </w:hyperlink>
            <w:r w:rsidRPr="00E80983">
              <w:rPr>
                <w:color w:val="FF0000"/>
                <w:sz w:val="22"/>
                <w:szCs w:val="22"/>
                <w:lang w:val="de-DE"/>
              </w:rPr>
              <w:t xml:space="preserve"> </w:t>
            </w:r>
            <w:r w:rsidRPr="00E80983">
              <w:rPr>
                <w:sz w:val="22"/>
                <w:szCs w:val="22"/>
                <w:lang w:val="de-DE"/>
              </w:rPr>
              <w:t>wenden.</w:t>
            </w:r>
          </w:p>
          <w:p w:rsidR="00054396" w:rsidRPr="00E80983" w:rsidRDefault="00054396" w:rsidP="00054396">
            <w:pPr>
              <w:pStyle w:val="ListParagraph"/>
              <w:ind w:left="335" w:hanging="335"/>
              <w:rPr>
                <w:rFonts w:ascii="Times New Roman" w:hAnsi="Times New Roman"/>
                <w:lang w:val="de-DE"/>
              </w:rPr>
            </w:pPr>
            <w:r w:rsidRPr="00E80983">
              <w:rPr>
                <w:rFonts w:ascii="Times New Roman" w:hAnsi="Times New Roman"/>
                <w:lang w:val="de-DE"/>
              </w:rPr>
              <w:t>-</w:t>
            </w:r>
            <w:r w:rsidRPr="00E80983">
              <w:rPr>
                <w:rFonts w:ascii="Times New Roman" w:hAnsi="Times New Roman"/>
                <w:lang w:val="de-DE"/>
              </w:rPr>
              <w:tab/>
            </w:r>
            <w:r w:rsidRPr="00E80983">
              <w:rPr>
                <w:rFonts w:ascii="Times New Roman" w:hAnsi="Times New Roman"/>
                <w:b/>
                <w:lang w:val="de-DE"/>
              </w:rPr>
              <w:t>Datenschutzbeauftragte (DPO) der Kommission</w:t>
            </w:r>
          </w:p>
          <w:p w:rsidR="00054396" w:rsidRPr="00E80983" w:rsidRDefault="00054396" w:rsidP="00054396">
            <w:pPr>
              <w:rPr>
                <w:sz w:val="22"/>
                <w:szCs w:val="22"/>
                <w:lang w:val="de-DE"/>
              </w:rPr>
            </w:pPr>
            <w:r w:rsidRPr="00E80983">
              <w:rPr>
                <w:sz w:val="22"/>
                <w:szCs w:val="22"/>
                <w:lang w:val="de-DE"/>
              </w:rPr>
              <w:t>Sie können sich an den Datenschutzbeauftragten (</w:t>
            </w:r>
            <w:hyperlink r:id="rId11" w:history="1">
              <w:r w:rsidRPr="00E80983">
                <w:rPr>
                  <w:rStyle w:val="Hyperlink"/>
                  <w:sz w:val="22"/>
                  <w:szCs w:val="22"/>
                  <w:lang w:val="de-DE"/>
                </w:rPr>
                <w:t>DATA-PROTECTION-OFFICER@ec.europa.eu</w:t>
              </w:r>
            </w:hyperlink>
            <w:r w:rsidRPr="00E80983">
              <w:rPr>
                <w:sz w:val="22"/>
                <w:szCs w:val="22"/>
                <w:lang w:val="de-DE"/>
              </w:rPr>
              <w:t>) wenden, wenn Sie Fragen zur Verarbeitung Ihrer personenbezogenen Daten gemäß der Verordnung (EU) 2018/1725 haben.</w:t>
            </w:r>
          </w:p>
          <w:p w:rsidR="00054396" w:rsidRPr="00E80983" w:rsidRDefault="00054396" w:rsidP="00054396">
            <w:pPr>
              <w:pStyle w:val="ListParagraph"/>
              <w:ind w:left="335" w:hanging="284"/>
              <w:rPr>
                <w:rFonts w:ascii="Times New Roman" w:hAnsi="Times New Roman"/>
                <w:lang w:val="de-DE"/>
              </w:rPr>
            </w:pPr>
            <w:r w:rsidRPr="00E80983">
              <w:rPr>
                <w:rFonts w:ascii="Times New Roman" w:hAnsi="Times New Roman"/>
                <w:lang w:val="de-DE"/>
              </w:rPr>
              <w:t>-</w:t>
            </w:r>
            <w:r w:rsidRPr="00E80983">
              <w:rPr>
                <w:rFonts w:ascii="Times New Roman" w:hAnsi="Times New Roman"/>
                <w:lang w:val="de-DE"/>
              </w:rPr>
              <w:tab/>
            </w:r>
            <w:r w:rsidRPr="00E80983">
              <w:rPr>
                <w:rFonts w:ascii="Times New Roman" w:hAnsi="Times New Roman"/>
                <w:b/>
                <w:lang w:val="de-DE"/>
              </w:rPr>
              <w:t>Europäische Datenschutzbeauftragte (EDSB)</w:t>
            </w:r>
            <w:r w:rsidRPr="00E80983">
              <w:rPr>
                <w:rFonts w:ascii="Times New Roman" w:hAnsi="Times New Roman"/>
                <w:lang w:val="de-DE"/>
              </w:rPr>
              <w:t xml:space="preserve"> </w:t>
            </w:r>
          </w:p>
          <w:p w:rsidR="00054396" w:rsidRPr="00E80983" w:rsidRDefault="00054396" w:rsidP="00054396">
            <w:pPr>
              <w:rPr>
                <w:sz w:val="22"/>
                <w:szCs w:val="22"/>
                <w:lang w:val="de-DE"/>
              </w:rPr>
            </w:pPr>
            <w:r w:rsidRPr="00E80983">
              <w:rPr>
                <w:sz w:val="22"/>
                <w:szCs w:val="22"/>
                <w:lang w:val="de-DE"/>
              </w:rPr>
              <w:t>Sie haben das Recht, sich an den Europäischen Datenschutzbeauftragten (</w:t>
            </w:r>
            <w:hyperlink r:id="rId12" w:history="1">
              <w:r w:rsidRPr="00E80983">
                <w:rPr>
                  <w:rStyle w:val="Hyperlink"/>
                  <w:sz w:val="22"/>
                  <w:szCs w:val="22"/>
                  <w:lang w:val="de-DE"/>
                </w:rPr>
                <w:t>edps@edps.europa.eu</w:t>
              </w:r>
            </w:hyperlink>
            <w:r w:rsidRPr="00E80983">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0408EE" w:rsidRPr="00E80983" w:rsidRDefault="000408EE" w:rsidP="00054396">
            <w:pPr>
              <w:rPr>
                <w:sz w:val="22"/>
                <w:szCs w:val="22"/>
                <w:lang w:val="de-DE"/>
              </w:rPr>
            </w:pPr>
          </w:p>
          <w:p w:rsidR="006643E5" w:rsidRPr="00E80983" w:rsidRDefault="00054396" w:rsidP="00054396">
            <w:pPr>
              <w:ind w:right="175"/>
              <w:jc w:val="both"/>
              <w:rPr>
                <w:sz w:val="22"/>
                <w:szCs w:val="22"/>
                <w:lang w:val="de-DE"/>
              </w:rPr>
            </w:pPr>
            <w:r w:rsidRPr="00E80983">
              <w:rPr>
                <w:sz w:val="22"/>
                <w:szCs w:val="22"/>
                <w:lang w:val="de-DE"/>
              </w:rPr>
              <w:t>Hinweis für Bewerber aus Drittländern: Ihre personenbezogenen Daten können für erforderliche Überprüfungen herangezogen werden.</w:t>
            </w:r>
          </w:p>
          <w:p w:rsidR="00BA7067" w:rsidRPr="00E80983" w:rsidRDefault="00BA7067" w:rsidP="00054396">
            <w:pPr>
              <w:ind w:right="175"/>
              <w:jc w:val="both"/>
              <w:rPr>
                <w:sz w:val="22"/>
                <w:szCs w:val="22"/>
                <w:lang w:val="de-DE"/>
              </w:rPr>
            </w:pPr>
          </w:p>
        </w:tc>
      </w:tr>
    </w:tbl>
    <w:p w:rsidR="006643E5" w:rsidRPr="00E80983" w:rsidRDefault="006643E5" w:rsidP="0069244E">
      <w:pPr>
        <w:ind w:right="1317"/>
        <w:jc w:val="both"/>
        <w:rPr>
          <w:sz w:val="22"/>
          <w:szCs w:val="22"/>
          <w:lang w:val="de-DE"/>
        </w:rPr>
      </w:pPr>
    </w:p>
    <w:sectPr w:rsidR="006643E5" w:rsidRPr="00E80983" w:rsidSect="00EF2A46">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D19" w:rsidRDefault="00D75D19">
      <w:r>
        <w:separator/>
      </w:r>
    </w:p>
  </w:endnote>
  <w:endnote w:type="continuationSeparator" w:id="0">
    <w:p w:rsidR="00D75D19" w:rsidRDefault="00D75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983" w:rsidRDefault="00E809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8EE" w:rsidRDefault="00F67BFE" w:rsidP="00F67BFE">
    <w:pPr>
      <w:pStyle w:val="Footer"/>
      <w:jc w:val="right"/>
      <w:rPr>
        <w:sz w:val="20"/>
      </w:rPr>
    </w:pPr>
    <w:r w:rsidRPr="00F67BFE">
      <w:rPr>
        <w:sz w:val="20"/>
      </w:rPr>
      <w:t>V</w:t>
    </w:r>
    <w:r w:rsidR="00E80983">
      <w:rPr>
        <w:sz w:val="20"/>
      </w:rPr>
      <w:t>ersion 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983" w:rsidRDefault="00E80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D19" w:rsidRDefault="00D75D19">
      <w:r>
        <w:separator/>
      </w:r>
    </w:p>
  </w:footnote>
  <w:footnote w:type="continuationSeparator" w:id="0">
    <w:p w:rsidR="00D75D19" w:rsidRDefault="00D75D19">
      <w:r>
        <w:continuationSeparator/>
      </w:r>
    </w:p>
  </w:footnote>
  <w:footnote w:id="1">
    <w:p w:rsidR="00DF1D3A" w:rsidRPr="008C30A2" w:rsidRDefault="00DF1D3A"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983" w:rsidRDefault="00E809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3E5" w:rsidRPr="00E80983" w:rsidRDefault="006643E5" w:rsidP="00E809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983" w:rsidRDefault="00E809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323DA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000001"/>
    <w:multiLevelType w:val="multilevel"/>
    <w:tmpl w:val="0000000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15:restartNumberingAfterBreak="0">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5"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6"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7"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8"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10"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2"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4" w15:restartNumberingAfterBreak="0">
    <w:nsid w:val="7C72018D"/>
    <w:multiLevelType w:val="hybridMultilevel"/>
    <w:tmpl w:val="41EC6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9"/>
  </w:num>
  <w:num w:numId="4">
    <w:abstractNumId w:val="13"/>
  </w:num>
  <w:num w:numId="5">
    <w:abstractNumId w:val="11"/>
  </w:num>
  <w:num w:numId="6">
    <w:abstractNumId w:val="7"/>
  </w:num>
  <w:num w:numId="7">
    <w:abstractNumId w:val="1"/>
    <w:lvlOverride w:ilvl="0">
      <w:lvl w:ilvl="0">
        <w:numFmt w:val="bullet"/>
        <w:lvlText w:val=""/>
        <w:legacy w:legacy="1" w:legacySpace="0" w:legacyIndent="0"/>
        <w:lvlJc w:val="left"/>
        <w:rPr>
          <w:rFonts w:ascii="Symbol" w:hAnsi="Symbol" w:hint="default"/>
        </w:rPr>
      </w:lvl>
    </w:lvlOverride>
  </w:num>
  <w:num w:numId="8">
    <w:abstractNumId w:val="10"/>
  </w:num>
  <w:num w:numId="9">
    <w:abstractNumId w:val="0"/>
  </w:num>
  <w:num w:numId="10">
    <w:abstractNumId w:val="10"/>
  </w:num>
  <w:num w:numId="11">
    <w:abstractNumId w:val="3"/>
  </w:num>
  <w:num w:numId="12">
    <w:abstractNumId w:val="4"/>
  </w:num>
  <w:num w:numId="13">
    <w:abstractNumId w:val="2"/>
  </w:num>
  <w:num w:numId="14">
    <w:abstractNumId w:val="8"/>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EE2303"/>
    <w:rsid w:val="000230DA"/>
    <w:rsid w:val="000408EE"/>
    <w:rsid w:val="00046778"/>
    <w:rsid w:val="00054396"/>
    <w:rsid w:val="000548FD"/>
    <w:rsid w:val="00072EA0"/>
    <w:rsid w:val="000B160F"/>
    <w:rsid w:val="000B389B"/>
    <w:rsid w:val="000D13C7"/>
    <w:rsid w:val="000E6B9E"/>
    <w:rsid w:val="00112D65"/>
    <w:rsid w:val="001212A2"/>
    <w:rsid w:val="00146FE7"/>
    <w:rsid w:val="0016470B"/>
    <w:rsid w:val="0017416F"/>
    <w:rsid w:val="00184229"/>
    <w:rsid w:val="00184D0D"/>
    <w:rsid w:val="00184FC0"/>
    <w:rsid w:val="00185847"/>
    <w:rsid w:val="00185A6E"/>
    <w:rsid w:val="001B0AF5"/>
    <w:rsid w:val="001C4192"/>
    <w:rsid w:val="001E61C3"/>
    <w:rsid w:val="001E620D"/>
    <w:rsid w:val="001F3C83"/>
    <w:rsid w:val="001F4EBA"/>
    <w:rsid w:val="00207EB1"/>
    <w:rsid w:val="00225615"/>
    <w:rsid w:val="00233CBE"/>
    <w:rsid w:val="0024100B"/>
    <w:rsid w:val="00242830"/>
    <w:rsid w:val="00243FA8"/>
    <w:rsid w:val="0024531E"/>
    <w:rsid w:val="002557DF"/>
    <w:rsid w:val="00262B84"/>
    <w:rsid w:val="002642A0"/>
    <w:rsid w:val="0026462F"/>
    <w:rsid w:val="0026508A"/>
    <w:rsid w:val="00271801"/>
    <w:rsid w:val="002747E6"/>
    <w:rsid w:val="00277C82"/>
    <w:rsid w:val="002A0412"/>
    <w:rsid w:val="002A063F"/>
    <w:rsid w:val="002A4308"/>
    <w:rsid w:val="002A6772"/>
    <w:rsid w:val="002B1D82"/>
    <w:rsid w:val="002B20A4"/>
    <w:rsid w:val="002B5738"/>
    <w:rsid w:val="002C7E0A"/>
    <w:rsid w:val="002D11AE"/>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7309"/>
    <w:rsid w:val="003F7676"/>
    <w:rsid w:val="00410120"/>
    <w:rsid w:val="00427BE2"/>
    <w:rsid w:val="004324AA"/>
    <w:rsid w:val="00435DA0"/>
    <w:rsid w:val="00451932"/>
    <w:rsid w:val="0045400E"/>
    <w:rsid w:val="00465DCC"/>
    <w:rsid w:val="00467742"/>
    <w:rsid w:val="00491FE7"/>
    <w:rsid w:val="004B33C2"/>
    <w:rsid w:val="004B7487"/>
    <w:rsid w:val="004C1CF4"/>
    <w:rsid w:val="004E09F0"/>
    <w:rsid w:val="004E6DBB"/>
    <w:rsid w:val="004F2F80"/>
    <w:rsid w:val="0050188B"/>
    <w:rsid w:val="00506CDC"/>
    <w:rsid w:val="00520353"/>
    <w:rsid w:val="00525AB3"/>
    <w:rsid w:val="00527871"/>
    <w:rsid w:val="0053797D"/>
    <w:rsid w:val="005459ED"/>
    <w:rsid w:val="0055386D"/>
    <w:rsid w:val="0056395F"/>
    <w:rsid w:val="005762AD"/>
    <w:rsid w:val="00577BDC"/>
    <w:rsid w:val="00587D6A"/>
    <w:rsid w:val="00594DAE"/>
    <w:rsid w:val="005974DA"/>
    <w:rsid w:val="00597574"/>
    <w:rsid w:val="0059779D"/>
    <w:rsid w:val="005B2A8B"/>
    <w:rsid w:val="005B4397"/>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D7253"/>
    <w:rsid w:val="006F138F"/>
    <w:rsid w:val="007236D7"/>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1961"/>
    <w:rsid w:val="008650B6"/>
    <w:rsid w:val="00874F01"/>
    <w:rsid w:val="008B38B2"/>
    <w:rsid w:val="008B7181"/>
    <w:rsid w:val="008C30A2"/>
    <w:rsid w:val="008D3E5C"/>
    <w:rsid w:val="008F299E"/>
    <w:rsid w:val="008F3666"/>
    <w:rsid w:val="008F4989"/>
    <w:rsid w:val="008F4E36"/>
    <w:rsid w:val="008F5099"/>
    <w:rsid w:val="00900B15"/>
    <w:rsid w:val="009049EA"/>
    <w:rsid w:val="00904A6F"/>
    <w:rsid w:val="009222CC"/>
    <w:rsid w:val="00951939"/>
    <w:rsid w:val="00952714"/>
    <w:rsid w:val="009555C7"/>
    <w:rsid w:val="009660B5"/>
    <w:rsid w:val="00980819"/>
    <w:rsid w:val="009B1D54"/>
    <w:rsid w:val="009D5781"/>
    <w:rsid w:val="009E0D7B"/>
    <w:rsid w:val="009E1B29"/>
    <w:rsid w:val="009F27F5"/>
    <w:rsid w:val="00A05297"/>
    <w:rsid w:val="00A12B5B"/>
    <w:rsid w:val="00A45D46"/>
    <w:rsid w:val="00A462B8"/>
    <w:rsid w:val="00A5232F"/>
    <w:rsid w:val="00AA6F9C"/>
    <w:rsid w:val="00AA7C72"/>
    <w:rsid w:val="00AB04D7"/>
    <w:rsid w:val="00AF23D9"/>
    <w:rsid w:val="00B07C01"/>
    <w:rsid w:val="00B24C07"/>
    <w:rsid w:val="00B3363A"/>
    <w:rsid w:val="00B51D63"/>
    <w:rsid w:val="00B57F47"/>
    <w:rsid w:val="00B70174"/>
    <w:rsid w:val="00B80E43"/>
    <w:rsid w:val="00B82E62"/>
    <w:rsid w:val="00B90296"/>
    <w:rsid w:val="00B921A3"/>
    <w:rsid w:val="00BA1CA5"/>
    <w:rsid w:val="00BA7067"/>
    <w:rsid w:val="00BB542C"/>
    <w:rsid w:val="00BC732B"/>
    <w:rsid w:val="00BD6207"/>
    <w:rsid w:val="00C0285B"/>
    <w:rsid w:val="00C07359"/>
    <w:rsid w:val="00C12E6E"/>
    <w:rsid w:val="00C31CDD"/>
    <w:rsid w:val="00C41FD8"/>
    <w:rsid w:val="00C44237"/>
    <w:rsid w:val="00C44E7E"/>
    <w:rsid w:val="00C47260"/>
    <w:rsid w:val="00C6355A"/>
    <w:rsid w:val="00C66CCE"/>
    <w:rsid w:val="00C67062"/>
    <w:rsid w:val="00C72A05"/>
    <w:rsid w:val="00C8693C"/>
    <w:rsid w:val="00C96848"/>
    <w:rsid w:val="00CA2B78"/>
    <w:rsid w:val="00CA477A"/>
    <w:rsid w:val="00CA54D9"/>
    <w:rsid w:val="00CA6E5F"/>
    <w:rsid w:val="00CA7D91"/>
    <w:rsid w:val="00CB525C"/>
    <w:rsid w:val="00CC0DBE"/>
    <w:rsid w:val="00CC152B"/>
    <w:rsid w:val="00CC78EA"/>
    <w:rsid w:val="00CD0164"/>
    <w:rsid w:val="00CD3F1B"/>
    <w:rsid w:val="00CD6C77"/>
    <w:rsid w:val="00CE68F2"/>
    <w:rsid w:val="00CF55F6"/>
    <w:rsid w:val="00CF75BB"/>
    <w:rsid w:val="00CF7A7C"/>
    <w:rsid w:val="00D17D0C"/>
    <w:rsid w:val="00D338E2"/>
    <w:rsid w:val="00D411C5"/>
    <w:rsid w:val="00D448E9"/>
    <w:rsid w:val="00D74235"/>
    <w:rsid w:val="00D743B0"/>
    <w:rsid w:val="00D75D19"/>
    <w:rsid w:val="00D80B04"/>
    <w:rsid w:val="00D847F9"/>
    <w:rsid w:val="00DA0196"/>
    <w:rsid w:val="00DB2B95"/>
    <w:rsid w:val="00DB7CF2"/>
    <w:rsid w:val="00DB7D07"/>
    <w:rsid w:val="00DC2968"/>
    <w:rsid w:val="00DF1D3A"/>
    <w:rsid w:val="00E14E5A"/>
    <w:rsid w:val="00E2059C"/>
    <w:rsid w:val="00E210AE"/>
    <w:rsid w:val="00E3586A"/>
    <w:rsid w:val="00E419BC"/>
    <w:rsid w:val="00E45131"/>
    <w:rsid w:val="00E506D8"/>
    <w:rsid w:val="00E50AC1"/>
    <w:rsid w:val="00E57961"/>
    <w:rsid w:val="00E6158B"/>
    <w:rsid w:val="00E63EEB"/>
    <w:rsid w:val="00E67CD7"/>
    <w:rsid w:val="00E71C56"/>
    <w:rsid w:val="00E73433"/>
    <w:rsid w:val="00E80983"/>
    <w:rsid w:val="00E85B5A"/>
    <w:rsid w:val="00E97118"/>
    <w:rsid w:val="00EA222B"/>
    <w:rsid w:val="00EB2A8F"/>
    <w:rsid w:val="00EB347A"/>
    <w:rsid w:val="00EE2303"/>
    <w:rsid w:val="00EF2A46"/>
    <w:rsid w:val="00EF57C4"/>
    <w:rsid w:val="00EF61D4"/>
    <w:rsid w:val="00EF6B69"/>
    <w:rsid w:val="00F25489"/>
    <w:rsid w:val="00F50965"/>
    <w:rsid w:val="00F53205"/>
    <w:rsid w:val="00F603CF"/>
    <w:rsid w:val="00F621E1"/>
    <w:rsid w:val="00F63A9B"/>
    <w:rsid w:val="00F63CF0"/>
    <w:rsid w:val="00F67BFE"/>
    <w:rsid w:val="00FA6607"/>
    <w:rsid w:val="00FA6FD6"/>
    <w:rsid w:val="00FB237A"/>
    <w:rsid w:val="00FB7F4B"/>
    <w:rsid w:val="00FC77FD"/>
    <w:rsid w:val="00FD0532"/>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5:chartTrackingRefBased/>
  <w15:docId w15:val="{F5B3A0CE-3804-4D19-BACF-AAD6C6E43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 w:id="182873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4@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c.europa.eu/civil_service/job/sne/index_de.ht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1870</Words>
  <Characters>13353</Characters>
  <Application>Microsoft Office Word</Application>
  <DocSecurity>4</DocSecurity>
  <Lines>296</Lines>
  <Paragraphs>96</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15127</CharactersWithSpaces>
  <SharedDoc>false</SharedDoc>
  <HLinks>
    <vt:vector size="30" baseType="variant">
      <vt:variant>
        <vt:i4>1835128</vt:i4>
      </vt:variant>
      <vt:variant>
        <vt:i4>12</vt:i4>
      </vt:variant>
      <vt:variant>
        <vt:i4>0</vt:i4>
      </vt:variant>
      <vt:variant>
        <vt:i4>5</vt:i4>
      </vt:variant>
      <vt:variant>
        <vt:lpwstr>mailto:edps@edps.europa.eu</vt:lpwstr>
      </vt:variant>
      <vt:variant>
        <vt:lpwstr/>
      </vt:variant>
      <vt:variant>
        <vt:i4>7340038</vt:i4>
      </vt:variant>
      <vt:variant>
        <vt:i4>9</vt:i4>
      </vt:variant>
      <vt:variant>
        <vt:i4>0</vt:i4>
      </vt:variant>
      <vt:variant>
        <vt:i4>5</vt:i4>
      </vt:variant>
      <vt:variant>
        <vt:lpwstr>mailto:DATA-PROTECTION-OFFICER@ec.europa.eu</vt:lpwstr>
      </vt:variant>
      <vt:variant>
        <vt:lpwstr/>
      </vt:variant>
      <vt:variant>
        <vt:i4>5701744</vt:i4>
      </vt:variant>
      <vt:variant>
        <vt:i4>6</vt:i4>
      </vt:variant>
      <vt:variant>
        <vt:i4>0</vt:i4>
      </vt:variant>
      <vt:variant>
        <vt:i4>5</vt:i4>
      </vt:variant>
      <vt:variant>
        <vt:lpwstr>mailto:HR-MAIL-B4@ec.europa.eu</vt:lpwstr>
      </vt:variant>
      <vt:variant>
        <vt:lpwstr/>
      </vt:variant>
      <vt:variant>
        <vt:i4>6553719</vt:i4>
      </vt:variant>
      <vt:variant>
        <vt:i4>3</vt:i4>
      </vt:variant>
      <vt:variant>
        <vt:i4>0</vt:i4>
      </vt:variant>
      <vt:variant>
        <vt:i4>5</vt:i4>
      </vt:variant>
      <vt:variant>
        <vt:lpwstr>http://ec.europa.eu/civil_service/job/sne/index_de.htm</vt:lpwstr>
      </vt:variant>
      <vt:variant>
        <vt:lpwstr/>
      </vt:variant>
      <vt:variant>
        <vt:i4>3014692</vt:i4>
      </vt:variant>
      <vt:variant>
        <vt:i4>0</vt:i4>
      </vt:variant>
      <vt:variant>
        <vt:i4>0</vt:i4>
      </vt:variant>
      <vt:variant>
        <vt:i4>5</vt:i4>
      </vt:variant>
      <vt:variant>
        <vt:lpwstr>http://europass.cedefop.europa.eu/de/documents/curriculum-vitae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Di Fabio</dc:creator>
  <cp:keywords/>
  <cp:lastModifiedBy>JADOT Catherine (HR)</cp:lastModifiedBy>
  <cp:revision>2</cp:revision>
  <cp:lastPrinted>2012-11-13T07:59:00Z</cp:lastPrinted>
  <dcterms:created xsi:type="dcterms:W3CDTF">2023-04-12T15:02:00Z</dcterms:created>
  <dcterms:modified xsi:type="dcterms:W3CDTF">2023-04-12T15:02:00Z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2022-12-20T08:35:54Z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c78a0280-3371-464c-8476-79c3fdb9c459</vt:lpwstr>
  </property>
  <property fmtid="{D5CDD505-2E9C-101B-9397-08002B2CF9AE}" pid="8" name="MSIP_Label_6bd9ddd1-4d20-43f6-abfa-fc3c07406f94_ContentBits">
    <vt:lpwstr>0</vt:lpwstr>
  </property>
</Properties>
</file>