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165F76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640154" w:rsidRDefault="00D10230" w:rsidP="001D4F9E">
      <w:pPr>
        <w:shd w:val="clear" w:color="auto" w:fill="FFFFFF"/>
        <w:spacing w:after="0" w:line="240" w:lineRule="auto"/>
        <w:jc w:val="both"/>
        <w:rPr>
          <w:sz w:val="24"/>
          <w:szCs w:val="24"/>
          <w:lang w:val="ru-RU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640154">
        <w:rPr>
          <w:rStyle w:val="tlid-translation"/>
          <w:sz w:val="24"/>
          <w:szCs w:val="24"/>
          <w:lang w:val="bg-BG"/>
        </w:rPr>
        <w:t>Грузия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F33F5" w:rsidRPr="00482B91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640154">
        <w:rPr>
          <w:rStyle w:val="tlid-translation"/>
          <w:b/>
          <w:sz w:val="24"/>
          <w:szCs w:val="24"/>
          <w:lang w:val="ru-RU"/>
        </w:rPr>
        <w:t>Грузия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40154" w:rsidRPr="00640154" w:rsidRDefault="00640154" w:rsidP="0064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40154">
        <w:rPr>
          <w:rFonts w:eastAsia="Times New Roman" w:cstheme="minorHAnsi"/>
          <w:i/>
          <w:color w:val="212121"/>
          <w:sz w:val="24"/>
          <w:szCs w:val="24"/>
          <w:lang w:val="bg-BG"/>
        </w:rPr>
        <w:t>- Подкрепа за качествено, всеобхватно и модерно образование, включително чрез подобряване на образователна инфраструктура и подобряване на условията и достъпа до образование ,</w:t>
      </w:r>
    </w:p>
    <w:p w:rsidR="001D4F9E" w:rsidRPr="000B48F1" w:rsidRDefault="00640154" w:rsidP="0064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40154">
        <w:rPr>
          <w:rFonts w:eastAsia="Times New Roman" w:cstheme="minorHAnsi"/>
          <w:i/>
          <w:color w:val="212121"/>
          <w:sz w:val="24"/>
          <w:szCs w:val="24"/>
          <w:lang w:val="bg-BG"/>
        </w:rPr>
        <w:t>- Подкрепа за изграждането и развитието на капацитет в сферата на демократизацията, доброто управление и правата на човека, със специално внимание към децата, жените, хората с увреждания и други уязвими групи;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640154" w:rsidRPr="00640154" w:rsidRDefault="00640154" w:rsidP="0064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40154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европейската интеграция на Грузия и развитие на двустранните отношения, в това число:</w:t>
      </w:r>
    </w:p>
    <w:p w:rsidR="00640154" w:rsidRPr="00640154" w:rsidRDefault="00640154" w:rsidP="0064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40154"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международния авторитет на Република България;</w:t>
      </w:r>
    </w:p>
    <w:p w:rsidR="00640154" w:rsidRPr="00640154" w:rsidRDefault="00640154" w:rsidP="0064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40154">
        <w:rPr>
          <w:rFonts w:eastAsia="Times New Roman" w:cstheme="minorHAnsi"/>
          <w:i/>
          <w:color w:val="212121"/>
          <w:sz w:val="24"/>
          <w:szCs w:val="24"/>
          <w:lang w:val="bg-BG"/>
        </w:rPr>
        <w:t>- Насърчаването на демократичните процеси на основата на ценностите на демокрацията и върховенството на закона;</w:t>
      </w:r>
    </w:p>
    <w:p w:rsidR="00640154" w:rsidRPr="00640154" w:rsidRDefault="00640154" w:rsidP="0064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4015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Изграждане на прозрачни, отговорни и стабилни институции на национално, регионално и местно ниво, гарантиращи висока степен на защита на правата на човека, като предпоставка за устойчиво и възходящо развитие; </w:t>
      </w:r>
    </w:p>
    <w:p w:rsidR="001D4F9E" w:rsidRPr="00640154" w:rsidRDefault="00640154" w:rsidP="0064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iCs/>
          <w:color w:val="212121"/>
          <w:sz w:val="24"/>
          <w:szCs w:val="24"/>
          <w:lang w:val="bg-BG"/>
        </w:rPr>
      </w:pPr>
      <w:r w:rsidRPr="00640154">
        <w:rPr>
          <w:rFonts w:eastAsia="Times New Roman" w:cstheme="minorHAnsi"/>
          <w:i/>
          <w:color w:val="212121"/>
          <w:sz w:val="24"/>
          <w:szCs w:val="24"/>
          <w:lang w:val="bg-BG"/>
        </w:rPr>
        <w:t>- Подкрепа за качествено и достъпно образование.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3644F9" w:rsidRDefault="003644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Първостепенни и второстепенни разпоредители с бюджет – юридически лица в Грузия </w:t>
      </w:r>
    </w:p>
    <w:p w:rsidR="001D4F9E" w:rsidRDefault="003644F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Общини и техните обединения </w:t>
      </w:r>
      <w:r w:rsidR="00403339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3644F9" w:rsidRPr="003644F9" w:rsidRDefault="003644F9" w:rsidP="0036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644F9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 Неправителствени организации, чиито проекти допринасят за реализацията на приоритетите и постигането на целите на българската официална „Помощ за развитие“;</w:t>
      </w:r>
    </w:p>
    <w:p w:rsidR="003644F9" w:rsidRPr="003644F9" w:rsidRDefault="003644F9" w:rsidP="0036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644F9">
        <w:rPr>
          <w:rFonts w:eastAsia="Times New Roman" w:cstheme="minorHAnsi"/>
          <w:i/>
          <w:color w:val="212121"/>
          <w:sz w:val="24"/>
          <w:szCs w:val="24"/>
          <w:lang w:val="bg-BG"/>
        </w:rPr>
        <w:t>- Детски градини, училища, дневни центрове и пр.;</w:t>
      </w:r>
    </w:p>
    <w:p w:rsidR="003644F9" w:rsidRPr="003644F9" w:rsidRDefault="003644F9" w:rsidP="0036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644F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proofErr w:type="spellStart"/>
      <w:r w:rsidRPr="003644F9">
        <w:rPr>
          <w:rFonts w:eastAsia="Times New Roman" w:cstheme="minorHAnsi"/>
          <w:i/>
          <w:color w:val="212121"/>
          <w:sz w:val="24"/>
          <w:szCs w:val="24"/>
          <w:lang w:val="bg-BG"/>
        </w:rPr>
        <w:t>Mаргинализирани</w:t>
      </w:r>
      <w:proofErr w:type="spellEnd"/>
      <w:r w:rsidRPr="003644F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уязвими групи, със специален акцент върху деца, жени, хора с увреждания, етнически малцинства и пр.;</w:t>
      </w:r>
    </w:p>
    <w:p w:rsidR="003644F9" w:rsidRPr="00D351BD" w:rsidRDefault="003644F9" w:rsidP="0036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644F9">
        <w:rPr>
          <w:rFonts w:eastAsia="Times New Roman" w:cstheme="minorHAnsi"/>
          <w:i/>
          <w:color w:val="212121"/>
          <w:sz w:val="24"/>
          <w:szCs w:val="24"/>
          <w:lang w:val="bg-BG"/>
        </w:rPr>
        <w:t>- Други – организации, допринасящи чрез дейностите си за утвърждаването на доброто име на Република България и развиващи дейност в областите, посочени в обявата, а именно: защита на правата на човека, образование и грижа за уязвими групи и пр.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3644F9" w:rsidRDefault="003644F9" w:rsidP="0036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Утвърждаване на доброто име и международния авторитет на Република България, разширяване на възможностите за трансфер на експертиза между Република България и Грузия;</w:t>
      </w:r>
    </w:p>
    <w:p w:rsidR="003644F9" w:rsidRDefault="003644F9" w:rsidP="0036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Задълбочаване на взаимодействието между институциите на централно, регионално и местно ниво, с цел гарантиране на висока степен на защита на правата на човека, върховенство на правото, демокрация и добро управление;</w:t>
      </w:r>
    </w:p>
    <w:p w:rsidR="003644F9" w:rsidRDefault="003644F9" w:rsidP="0036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Подобряване на социално-икономическото развитие и доброто управление, водещо към устойчиво и приобщаващо икономическо развитие, намаляване на бедността и повишаване на благоденствието;</w:t>
      </w:r>
    </w:p>
    <w:p w:rsidR="003644F9" w:rsidRDefault="003644F9" w:rsidP="0036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- Повишаване на качеството и разширяване на достъпа до образование, вкл. и за най-уязвимите групи от населението;</w:t>
      </w:r>
    </w:p>
    <w:p w:rsidR="003644F9" w:rsidRDefault="003644F9" w:rsidP="00364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Възприемане и прилагане на добри практики и европейски стандарти. 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10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Pr="003644F9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  <w:r w:rsidR="003644F9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="003644F9">
        <w:rPr>
          <w:rFonts w:eastAsia="Times New Roman" w:cstheme="minorHAnsi"/>
          <w:b/>
          <w:iCs/>
          <w:sz w:val="24"/>
          <w:szCs w:val="24"/>
          <w:lang w:val="bg-BG"/>
        </w:rPr>
        <w:t xml:space="preserve">70 000 лв. </w:t>
      </w:r>
    </w:p>
    <w:p w:rsidR="003D6175" w:rsidRPr="00837C58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614F12">
        <w:rPr>
          <w:rFonts w:asciiTheme="minorHAnsi" w:hAnsiTheme="minorHAnsi" w:cstheme="minorHAnsi"/>
          <w:b/>
          <w:iCs/>
          <w:lang w:val="bg-BG"/>
        </w:rPr>
        <w:t>7</w:t>
      </w:r>
      <w:r w:rsidR="00284CD0" w:rsidRPr="00C6334B">
        <w:rPr>
          <w:rFonts w:asciiTheme="minorHAnsi" w:hAnsiTheme="minorHAnsi" w:cstheme="minorHAnsi"/>
          <w:b/>
          <w:iCs/>
          <w:lang w:val="bg-BG"/>
        </w:rPr>
        <w:t>0</w:t>
      </w:r>
      <w:r w:rsidR="00614F12">
        <w:rPr>
          <w:rFonts w:asciiTheme="minorHAnsi" w:hAnsiTheme="minorHAnsi" w:cstheme="minorHAnsi"/>
          <w:b/>
          <w:iCs/>
          <w:lang w:val="bg-BG"/>
        </w:rPr>
        <w:t xml:space="preserve"> </w:t>
      </w:r>
      <w:r w:rsidR="001F5968" w:rsidRPr="00C6334B">
        <w:rPr>
          <w:rFonts w:asciiTheme="minorHAnsi" w:hAnsiTheme="minorHAnsi" w:cstheme="minorHAnsi"/>
          <w:b/>
          <w:iCs/>
          <w:lang w:val="bg-BG"/>
        </w:rPr>
        <w:t>000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 лв.;</w:t>
      </w:r>
    </w:p>
    <w:p w:rsidR="003D6175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614F12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614F12" w:rsidRPr="00614F12">
        <w:rPr>
          <w:rFonts w:asciiTheme="minorHAnsi" w:hAnsiTheme="minorHAnsi" w:cstheme="minorHAnsi"/>
          <w:b/>
          <w:color w:val="212121"/>
          <w:lang w:val="bg-BG"/>
        </w:rPr>
        <w:t>70 000 лв.</w:t>
      </w:r>
      <w:r w:rsidR="00614F12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A91D07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B40895" w:rsidRDefault="00D351B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837C58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224A8" w:rsidRPr="00B12C2A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B12C2A">
        <w:rPr>
          <w:rFonts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614F12">
        <w:rPr>
          <w:rFonts w:cstheme="minorHAnsi"/>
          <w:color w:val="212121"/>
          <w:sz w:val="24"/>
          <w:szCs w:val="24"/>
          <w:lang w:val="bg-BG"/>
        </w:rPr>
        <w:t>на Грузия</w:t>
      </w:r>
      <w:r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351785" w:rsidRPr="00B12C2A" w:rsidRDefault="0035178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Международни и местни н</w:t>
      </w:r>
      <w:r w:rsidR="009F1DF5" w:rsidRPr="00B12C2A">
        <w:rPr>
          <w:rFonts w:cstheme="minorHAnsi"/>
          <w:color w:val="212121"/>
          <w:sz w:val="24"/>
          <w:szCs w:val="24"/>
          <w:lang w:val="bg-BG"/>
        </w:rPr>
        <w:t>еправителствени организации;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B12C2A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Общини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351785" w:rsidRPr="00B12C2A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B12C2A">
        <w:rPr>
          <w:rFonts w:cstheme="minorHAnsi"/>
          <w:color w:val="212121"/>
          <w:sz w:val="24"/>
          <w:szCs w:val="24"/>
          <w:lang w:val="bg-BG"/>
        </w:rPr>
        <w:t>;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B12C2A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>еждун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ародни хуманитарни организации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814F03" w:rsidRPr="00614F12" w:rsidRDefault="000B48F1" w:rsidP="0061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Д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руги</w:t>
      </w:r>
      <w:r w:rsidR="00614F12">
        <w:rPr>
          <w:rFonts w:cstheme="minorHAnsi"/>
          <w:color w:val="212121"/>
          <w:sz w:val="24"/>
          <w:szCs w:val="24"/>
          <w:lang w:val="bg-BG"/>
        </w:rPr>
        <w:t xml:space="preserve"> - </w:t>
      </w:r>
      <w:r w:rsidR="00614F12" w:rsidRPr="00614F12">
        <w:rPr>
          <w:rFonts w:cstheme="minorHAnsi"/>
          <w:color w:val="212121"/>
          <w:sz w:val="24"/>
          <w:szCs w:val="24"/>
          <w:lang w:val="bg-BG"/>
        </w:rPr>
        <w:t>организации, допринасящи чрез дейностите си за утвърждаването на доброто име на Република България и развиващи дейност в областите, посочени в обявата.</w:t>
      </w: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Pr="00B12C2A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5D1A40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Default="00D351BD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чийто </w:t>
      </w:r>
      <w:r w:rsidR="005D1A40"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5D1A40">
        <w:rPr>
          <w:rFonts w:asciiTheme="minorHAnsi" w:hAnsiTheme="minorHAnsi" w:cstheme="minorHAnsi"/>
          <w:b/>
          <w:lang w:val="bg-BG"/>
        </w:rPr>
        <w:t>са успешно завършени</w:t>
      </w:r>
      <w:r w:rsidRPr="00B17821">
        <w:rPr>
          <w:rFonts w:asciiTheme="minorHAnsi" w:hAnsiTheme="minorHAnsi" w:cstheme="minorHAnsi"/>
          <w:lang w:val="bg-BG"/>
        </w:rPr>
        <w:t xml:space="preserve"> </w:t>
      </w:r>
      <w:r w:rsidR="005D1A40"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D351BD" w:rsidRPr="005D1A40" w:rsidRDefault="005D1A40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D1A40">
        <w:rPr>
          <w:rFonts w:asciiTheme="minorHAnsi" w:hAnsiTheme="minorHAnsi" w:cstheme="minorHAnsi"/>
          <w:lang w:val="bg-BG"/>
        </w:rPr>
        <w:t xml:space="preserve">Бенефициенти, които </w:t>
      </w:r>
      <w:r w:rsidR="00D351BD" w:rsidRPr="005D1A40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="00D351BD" w:rsidRPr="005D1A40">
        <w:rPr>
          <w:rFonts w:asciiTheme="minorHAnsi" w:hAnsiTheme="minorHAnsi" w:cstheme="minorHAnsi"/>
          <w:lang w:val="bg-BG"/>
        </w:rPr>
        <w:t xml:space="preserve"> по проекти от предходни години </w:t>
      </w:r>
      <w:r w:rsidRPr="005D1A40">
        <w:rPr>
          <w:rFonts w:asciiTheme="minorHAnsi" w:hAnsiTheme="minorHAnsi" w:cstheme="minorHAnsi"/>
          <w:lang w:val="bg-BG"/>
        </w:rPr>
        <w:t>в срока на договора/анекса</w:t>
      </w:r>
      <w:r w:rsidRPr="005D1A40">
        <w:rPr>
          <w:rFonts w:asciiTheme="minorHAnsi" w:hAnsiTheme="minorHAnsi" w:cstheme="minorHAnsi"/>
        </w:rPr>
        <w:t xml:space="preserve"> (</w:t>
      </w:r>
      <w:r w:rsidRPr="005D1A40">
        <w:rPr>
          <w:rFonts w:asciiTheme="minorHAnsi" w:hAnsiTheme="minorHAnsi" w:cstheme="minorHAnsi"/>
          <w:lang w:val="bg-BG"/>
        </w:rPr>
        <w:t>не се отнася за проекти, финансирани и изпълняващи се за 2023 г.</w:t>
      </w:r>
      <w:r w:rsidRPr="005D1A40">
        <w:rPr>
          <w:rFonts w:asciiTheme="minorHAnsi" w:hAnsiTheme="minorHAnsi" w:cstheme="minorHAnsi"/>
        </w:rPr>
        <w:t>)</w:t>
      </w:r>
    </w:p>
    <w:p w:rsidR="00D351BD" w:rsidRPr="00B17821" w:rsidRDefault="005D1A40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Кандидати с</w:t>
      </w:r>
      <w:r w:rsidR="00D351BD" w:rsidRPr="00B17821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>
        <w:rPr>
          <w:rFonts w:asciiTheme="minorHAnsi" w:hAnsiTheme="minorHAnsi" w:cstheme="minorHAnsi"/>
          <w:b/>
          <w:u w:val="single"/>
          <w:lang w:val="bg-BG"/>
        </w:rPr>
        <w:t>поне 2</w:t>
      </w:r>
      <w:r w:rsidR="00D351BD"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6D739F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="005D1A40" w:rsidRPr="005D1A40">
        <w:rPr>
          <w:rFonts w:asciiTheme="minorHAnsi" w:hAnsiTheme="minorHAnsi" w:cstheme="minorHAnsi"/>
          <w:b/>
          <w:u w:val="single"/>
          <w:lang w:val="bg-BG"/>
        </w:rPr>
        <w:t>не по-малък</w:t>
      </w:r>
      <w:r w:rsidR="005D1A40">
        <w:rPr>
          <w:rFonts w:asciiTheme="minorHAnsi" w:hAnsiTheme="minorHAnsi" w:cstheme="minorHAnsi"/>
          <w:b/>
          <w:u w:val="single"/>
          <w:lang w:val="bg-BG"/>
        </w:rPr>
        <w:t xml:space="preserve"> от 2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години</w:t>
      </w:r>
      <w:r w:rsidR="00A91D07">
        <w:rPr>
          <w:rFonts w:asciiTheme="minorHAnsi" w:hAnsiTheme="minorHAnsi" w:cstheme="minorHAnsi"/>
          <w:b/>
          <w:u w:val="single"/>
          <w:lang w:val="bg-BG"/>
        </w:rPr>
        <w:t xml:space="preserve"> вкл. и </w:t>
      </w:r>
      <w:r w:rsidR="005D1A40">
        <w:rPr>
          <w:rFonts w:asciiTheme="minorHAnsi" w:hAnsiTheme="minorHAnsi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>
        <w:rPr>
          <w:rFonts w:asciiTheme="minorHAnsi" w:hAnsiTheme="minorHAnsi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Default="005D1A4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A91D07" w:rsidRPr="00A91D07" w:rsidRDefault="00A91D07" w:rsidP="00A91D07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>
        <w:rPr>
          <w:rFonts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1D6B38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>по настоящата обява. В случай ч</w:t>
      </w:r>
      <w:r>
        <w:rPr>
          <w:rFonts w:cstheme="minorHAnsi"/>
          <w:iCs/>
          <w:color w:val="212121"/>
          <w:sz w:val="24"/>
          <w:szCs w:val="24"/>
          <w:lang w:val="bg-BG"/>
        </w:rPr>
        <w:t>е кандидат подаде повече от 2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>
        <w:rPr>
          <w:rFonts w:cstheme="minorHAnsi"/>
          <w:iCs/>
          <w:color w:val="212121"/>
          <w:sz w:val="24"/>
          <w:szCs w:val="24"/>
          <w:lang w:val="bg-BG"/>
        </w:rPr>
        <w:t>предложения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, всички негови подадени проектни предложения ще бъдат </w:t>
      </w:r>
      <w:r>
        <w:rPr>
          <w:rFonts w:cstheme="minorHAnsi"/>
          <w:iCs/>
          <w:color w:val="212121"/>
          <w:sz w:val="24"/>
          <w:szCs w:val="24"/>
          <w:lang w:val="bg-BG"/>
        </w:rPr>
        <w:t>изключени от последваща оценка.</w:t>
      </w:r>
    </w:p>
    <w:p w:rsidR="005D1A40" w:rsidRPr="00546D2A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5D1A40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546D2A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D75FBC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</w:t>
      </w:r>
      <w:r w:rsidRPr="00546D2A">
        <w:rPr>
          <w:rFonts w:cstheme="minorHAnsi"/>
          <w:sz w:val="24"/>
          <w:szCs w:val="24"/>
          <w:lang w:val="bg-BG"/>
        </w:rPr>
        <w:t xml:space="preserve">развитие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546D2A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Организиране и провеждане на семинари, форуми, конференции 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</w:p>
    <w:p w:rsidR="005C31C2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</w:p>
    <w:p w:rsidR="005D038D" w:rsidRPr="00B40895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>ини, домове за стари хора и т.н.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Pr="00194CA4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194CA4">
        <w:rPr>
          <w:rFonts w:asciiTheme="minorHAnsi" w:hAnsiTheme="minorHAnsi" w:cstheme="minorHAnsi"/>
          <w:b/>
          <w:color w:val="212121"/>
          <w:lang w:val="bg-BG"/>
        </w:rPr>
        <w:t>изготвяне на одитен доклад от независим финансов одитор</w:t>
      </w:r>
    </w:p>
    <w:p w:rsidR="0091200B" w:rsidRPr="000764FB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194CA4">
        <w:rPr>
          <w:rFonts w:asciiTheme="minorHAnsi" w:hAnsiTheme="minorHAnsi" w:cstheme="minorHAnsi"/>
          <w:b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194CA4">
        <w:rPr>
          <w:rFonts w:asciiTheme="minorHAnsi" w:hAnsiTheme="minorHAnsi" w:cstheme="minorHAnsi"/>
          <w:b/>
          <w:lang w:val="ru-RU"/>
        </w:rPr>
        <w:t xml:space="preserve"> </w:t>
      </w:r>
      <w:r w:rsidRPr="00194CA4">
        <w:rPr>
          <w:rFonts w:asciiTheme="minorHAnsi" w:hAnsiTheme="minorHAnsi" w:cstheme="minorHAnsi"/>
          <w:b/>
          <w:color w:val="212121"/>
          <w:lang w:val="bg-BG"/>
        </w:rPr>
        <w:t>от 3 до 5 % от общата стойност на безвъзмездната финансова помощ за изпълнението на проекта</w:t>
      </w:r>
      <w:r w:rsidRPr="000764FB">
        <w:rPr>
          <w:rFonts w:asciiTheme="minorHAnsi" w:hAnsiTheme="minorHAnsi" w:cstheme="minorHAnsi"/>
          <w:color w:val="212121"/>
          <w:lang w:val="bg-BG"/>
        </w:rPr>
        <w:t xml:space="preserve">, </w:t>
      </w:r>
      <w:r w:rsidRPr="000764FB">
        <w:rPr>
          <w:rFonts w:asciiTheme="minorHAnsi" w:hAnsiTheme="minorHAnsi" w:cstheme="minorHAnsi"/>
          <w:b/>
          <w:color w:val="212121"/>
          <w:lang w:val="bg-BG"/>
        </w:rPr>
        <w:t>но не повече от 5 хиляди лева.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lastRenderedPageBreak/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D739F" w:rsidRPr="00D351BD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194CA4">
        <w:rPr>
          <w:rFonts w:asciiTheme="minorHAnsi" w:hAnsiTheme="minorHAnsi" w:cstheme="minorHAnsi"/>
          <w:b/>
          <w:lang w:val="bg-BG"/>
        </w:rPr>
        <w:t>разходите за организация и управление</w:t>
      </w:r>
      <w:r w:rsidRPr="000764FB">
        <w:rPr>
          <w:rFonts w:asciiTheme="minorHAnsi" w:hAnsiTheme="minorHAnsi" w:cstheme="minorHAnsi"/>
          <w:lang w:val="bg-BG"/>
        </w:rPr>
        <w:t xml:space="preserve">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Комунални разходи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Банкови разходи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B17821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Глоби, неустой</w:t>
      </w:r>
      <w:r w:rsidR="00C6334B"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D351BD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256F50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предложение, с което се кандидатства за предоставяне на безвъзме</w:t>
      </w:r>
      <w:r w:rsidR="00B17821"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. </w:t>
      </w:r>
      <w:r w:rsidR="004D113C"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</w:t>
      </w:r>
      <w:r w:rsidR="00B17821"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256F50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</w:t>
      </w:r>
      <w:r w:rsidR="003227FE">
        <w:rPr>
          <w:rFonts w:eastAsia="Times New Roman" w:cstheme="minorHAnsi"/>
          <w:color w:val="212121"/>
          <w:sz w:val="24"/>
          <w:szCs w:val="24"/>
          <w:lang w:val="bg-BG"/>
        </w:rPr>
        <w:t>ектното предложение, Посолството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3227FE">
        <w:rPr>
          <w:rFonts w:cstheme="minorHAnsi"/>
          <w:color w:val="212121"/>
          <w:lang w:val="ru-RU"/>
        </w:rPr>
        <w:t>Грузия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3227FE" w:rsidRPr="003227FE" w:rsidRDefault="003227FE" w:rsidP="00322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Проектните предложения</w:t>
      </w:r>
      <w:r>
        <w:rPr>
          <w:rFonts w:eastAsia="Times New Roman" w:cstheme="minorHAnsi"/>
          <w:b/>
          <w:i/>
          <w:color w:val="212121"/>
          <w:sz w:val="24"/>
          <w:szCs w:val="24"/>
        </w:rPr>
        <w:t xml:space="preserve"> (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в едно с плана за изпълнение на дейностите и разчетите на разходите (бюджет на проекта)</w:t>
      </w:r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, с приложена документация към тях, следва да се изпращат в срок до 30 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май 2023</w:t>
      </w:r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г. по следните начини:</w:t>
      </w:r>
    </w:p>
    <w:p w:rsidR="003227FE" w:rsidRPr="003227FE" w:rsidRDefault="003227FE" w:rsidP="00322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По електронна поща на адрес: Bulgarian.Development.Aid.Tbilisi@mfa.bg, с копие до Iliya.Nachev@mfa.bg и  Ralitsa.Dimitrova@mfa.bg</w:t>
      </w:r>
    </w:p>
    <w:p w:rsidR="003227FE" w:rsidRPr="003227FE" w:rsidRDefault="003227FE" w:rsidP="00322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Или по пощенски път на адрес: Embassy of </w:t>
      </w:r>
      <w:proofErr w:type="spellStart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the</w:t>
      </w:r>
      <w:proofErr w:type="spellEnd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Republic of </w:t>
      </w:r>
      <w:proofErr w:type="spellStart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Bulgaria</w:t>
      </w:r>
      <w:proofErr w:type="spellEnd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in Georgia, 15, </w:t>
      </w:r>
      <w:r>
        <w:rPr>
          <w:rFonts w:eastAsia="Times New Roman" w:cstheme="minorHAnsi"/>
          <w:b/>
          <w:i/>
          <w:color w:val="212121"/>
          <w:sz w:val="24"/>
          <w:szCs w:val="24"/>
        </w:rPr>
        <w:t xml:space="preserve">Giorgi </w:t>
      </w:r>
      <w:proofErr w:type="spellStart"/>
      <w:r>
        <w:rPr>
          <w:rFonts w:eastAsia="Times New Roman" w:cstheme="minorHAnsi"/>
          <w:b/>
          <w:i/>
          <w:color w:val="212121"/>
          <w:sz w:val="24"/>
          <w:szCs w:val="24"/>
        </w:rPr>
        <w:t>Guramishvili</w:t>
      </w:r>
      <w:proofErr w:type="spellEnd"/>
      <w:r>
        <w:rPr>
          <w:rFonts w:eastAsia="Times New Roman" w:cstheme="minorHAnsi"/>
          <w:b/>
          <w:i/>
          <w:color w:val="212121"/>
          <w:sz w:val="24"/>
          <w:szCs w:val="24"/>
        </w:rPr>
        <w:t xml:space="preserve"> </w:t>
      </w:r>
      <w:proofErr w:type="spellStart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Lane</w:t>
      </w:r>
      <w:proofErr w:type="spellEnd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, 0105 Tbilisi, Georgia;</w:t>
      </w:r>
    </w:p>
    <w:p w:rsidR="005C594D" w:rsidRPr="00837C58" w:rsidRDefault="003227FE" w:rsidP="00322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Проектните предложения трябва да бъдат изпратени в отделен </w:t>
      </w:r>
      <w:proofErr w:type="spellStart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pdf</w:t>
      </w:r>
      <w:proofErr w:type="spellEnd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файл, както и в </w:t>
      </w:r>
      <w:proofErr w:type="spellStart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word</w:t>
      </w:r>
      <w:proofErr w:type="spellEnd"/>
      <w:r w:rsidRPr="003227F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формат.</w:t>
      </w:r>
    </w:p>
    <w:p w:rsidR="00C767F4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C6334B">
        <w:rPr>
          <w:rFonts w:asciiTheme="minorHAnsi" w:hAnsiTheme="minorHAnsi" w:cstheme="minorHAnsi"/>
          <w:color w:val="212121"/>
          <w:lang w:val="bg-BG"/>
        </w:rPr>
        <w:t xml:space="preserve"> </w:t>
      </w:r>
      <w:r w:rsidRPr="00C6334B">
        <w:rPr>
          <w:rFonts w:asciiTheme="minorHAnsi" w:hAnsiTheme="minorHAnsi" w:cstheme="minorHAnsi"/>
          <w:color w:val="212121"/>
          <w:lang w:val="bg-BG"/>
        </w:rPr>
        <w:t>г.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lastRenderedPageBreak/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</w:t>
      </w:r>
      <w:r w:rsidRPr="00D75FBC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D75FB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546D2A" w:rsidRPr="003227FE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F70DF">
        <w:rPr>
          <w:rFonts w:eastAsia="Times New Roman" w:cstheme="minorHAnsi"/>
          <w:b/>
          <w:color w:val="212121"/>
          <w:sz w:val="24"/>
          <w:szCs w:val="24"/>
        </w:rPr>
        <w:t xml:space="preserve">12. </w:t>
      </w:r>
      <w:r w:rsidRPr="008F70DF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546D2A" w:rsidRDefault="00546D2A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8F70DF"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3227FE">
        <w:rPr>
          <w:rFonts w:eastAsia="Times New Roman" w:cstheme="minorHAnsi"/>
          <w:color w:val="212121"/>
          <w:sz w:val="24"/>
          <w:szCs w:val="24"/>
          <w:lang w:val="bg-BG"/>
        </w:rPr>
        <w:t>Посолството на Република България в Грузия</w:t>
      </w:r>
      <w:bookmarkStart w:id="0" w:name="_GoBack"/>
      <w:bookmarkEnd w:id="0"/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814F03" w:rsidRDefault="00814F03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62B5" w:rsidRPr="00C6334B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  <w:r w:rsidRPr="00C6334B">
        <w:rPr>
          <w:b/>
          <w:sz w:val="24"/>
          <w:szCs w:val="24"/>
          <w:u w:val="single"/>
          <w:lang w:val="bg-BG"/>
        </w:rPr>
        <w:t>Приложение 1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Чл.23</w:t>
      </w:r>
      <w:r w:rsidRPr="00DE541A">
        <w:rPr>
          <w:sz w:val="24"/>
          <w:szCs w:val="24"/>
          <w:lang w:val="bg-BG"/>
        </w:rPr>
        <w:t>(</w:t>
      </w:r>
      <w:r w:rsidRPr="00DE541A">
        <w:rPr>
          <w:b/>
          <w:sz w:val="24"/>
          <w:szCs w:val="24"/>
          <w:lang w:val="bg-BG"/>
        </w:rPr>
        <w:t>3</w:t>
      </w:r>
      <w:r w:rsidRPr="00DE541A">
        <w:rPr>
          <w:sz w:val="24"/>
          <w:szCs w:val="24"/>
          <w:lang w:val="bg-BG"/>
        </w:rPr>
        <w:t xml:space="preserve">) </w:t>
      </w:r>
      <w:r w:rsidRPr="00DE541A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(7) </w:t>
      </w:r>
      <w:r w:rsidRPr="00DE541A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DE541A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</w:t>
      </w:r>
      <w:r w:rsidRPr="00DE541A">
        <w:rPr>
          <w:rFonts w:eastAsia="Times New Roman" w:cstheme="minorHAnsi"/>
          <w:sz w:val="24"/>
          <w:szCs w:val="24"/>
          <w:lang w:val="bg-BG"/>
        </w:rPr>
        <w:lastRenderedPageBreak/>
        <w:t xml:space="preserve">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DE541A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0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FE" w:rsidRDefault="008113FE" w:rsidP="003E46F1">
      <w:pPr>
        <w:spacing w:after="0" w:line="240" w:lineRule="auto"/>
      </w:pPr>
      <w:r>
        <w:separator/>
      </w:r>
    </w:p>
  </w:endnote>
  <w:endnote w:type="continuationSeparator" w:id="0">
    <w:p w:rsidR="008113FE" w:rsidRDefault="008113FE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7F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FE" w:rsidRDefault="008113FE" w:rsidP="003E46F1">
      <w:pPr>
        <w:spacing w:after="0" w:line="240" w:lineRule="auto"/>
      </w:pPr>
      <w:r>
        <w:separator/>
      </w:r>
    </w:p>
  </w:footnote>
  <w:footnote w:type="continuationSeparator" w:id="0">
    <w:p w:rsidR="008113FE" w:rsidRDefault="008113FE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0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32"/>
  </w:num>
  <w:num w:numId="4">
    <w:abstractNumId w:val="23"/>
  </w:num>
  <w:num w:numId="5">
    <w:abstractNumId w:val="22"/>
  </w:num>
  <w:num w:numId="6">
    <w:abstractNumId w:val="24"/>
  </w:num>
  <w:num w:numId="7">
    <w:abstractNumId w:val="25"/>
  </w:num>
  <w:num w:numId="8">
    <w:abstractNumId w:val="18"/>
  </w:num>
  <w:num w:numId="9">
    <w:abstractNumId w:val="12"/>
  </w:num>
  <w:num w:numId="10">
    <w:abstractNumId w:val="28"/>
  </w:num>
  <w:num w:numId="11">
    <w:abstractNumId w:val="2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29"/>
  </w:num>
  <w:num w:numId="20">
    <w:abstractNumId w:val="27"/>
  </w:num>
  <w:num w:numId="21">
    <w:abstractNumId w:val="30"/>
  </w:num>
  <w:num w:numId="22">
    <w:abstractNumId w:val="16"/>
  </w:num>
  <w:num w:numId="23">
    <w:abstractNumId w:val="5"/>
  </w:num>
  <w:num w:numId="24">
    <w:abstractNumId w:val="19"/>
  </w:num>
  <w:num w:numId="25">
    <w:abstractNumId w:val="14"/>
  </w:num>
  <w:num w:numId="26">
    <w:abstractNumId w:val="15"/>
  </w:num>
  <w:num w:numId="27">
    <w:abstractNumId w:val="6"/>
  </w:num>
  <w:num w:numId="28">
    <w:abstractNumId w:val="13"/>
  </w:num>
  <w:num w:numId="29">
    <w:abstractNumId w:val="8"/>
  </w:num>
  <w:num w:numId="30">
    <w:abstractNumId w:val="17"/>
  </w:num>
  <w:num w:numId="31">
    <w:abstractNumId w:val="20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B30F8"/>
    <w:rsid w:val="000B48F1"/>
    <w:rsid w:val="000D69C2"/>
    <w:rsid w:val="000D6E7C"/>
    <w:rsid w:val="000E497B"/>
    <w:rsid w:val="000F54B6"/>
    <w:rsid w:val="0012296E"/>
    <w:rsid w:val="001302CC"/>
    <w:rsid w:val="001445D1"/>
    <w:rsid w:val="0016003C"/>
    <w:rsid w:val="0016578E"/>
    <w:rsid w:val="00165F76"/>
    <w:rsid w:val="0017461F"/>
    <w:rsid w:val="00176FE2"/>
    <w:rsid w:val="00182362"/>
    <w:rsid w:val="00194CA4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56F50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227FE"/>
    <w:rsid w:val="00326EB3"/>
    <w:rsid w:val="00327425"/>
    <w:rsid w:val="00335184"/>
    <w:rsid w:val="00342F15"/>
    <w:rsid w:val="00351785"/>
    <w:rsid w:val="00351F71"/>
    <w:rsid w:val="003644F9"/>
    <w:rsid w:val="003667E0"/>
    <w:rsid w:val="00374D85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4F12"/>
    <w:rsid w:val="006157AF"/>
    <w:rsid w:val="006217A3"/>
    <w:rsid w:val="00625FD6"/>
    <w:rsid w:val="006262C5"/>
    <w:rsid w:val="006307EB"/>
    <w:rsid w:val="006370DC"/>
    <w:rsid w:val="00637B09"/>
    <w:rsid w:val="00640154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13FE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96D8E"/>
    <w:rsid w:val="008975A0"/>
    <w:rsid w:val="008B31BC"/>
    <w:rsid w:val="008B6F1C"/>
    <w:rsid w:val="008E1374"/>
    <w:rsid w:val="008F70DF"/>
    <w:rsid w:val="0091200B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200EF"/>
    <w:rsid w:val="00A406B2"/>
    <w:rsid w:val="00A51EFA"/>
    <w:rsid w:val="00A60EFF"/>
    <w:rsid w:val="00A618A4"/>
    <w:rsid w:val="00A65E1E"/>
    <w:rsid w:val="00A75138"/>
    <w:rsid w:val="00A8795C"/>
    <w:rsid w:val="00A91D07"/>
    <w:rsid w:val="00AB4C5F"/>
    <w:rsid w:val="00AD5295"/>
    <w:rsid w:val="00AD7C1F"/>
    <w:rsid w:val="00AE2652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6A15"/>
    <w:rsid w:val="00D744CA"/>
    <w:rsid w:val="00D75FBC"/>
    <w:rsid w:val="00D9501B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F80D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786B0D0-6374-41A6-9912-B2AEDCB9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2756</Words>
  <Characters>15710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Потребител на Windows</cp:lastModifiedBy>
  <cp:revision>4</cp:revision>
  <cp:lastPrinted>2023-03-17T10:29:00Z</cp:lastPrinted>
  <dcterms:created xsi:type="dcterms:W3CDTF">2023-04-10T11:23:00Z</dcterms:created>
  <dcterms:modified xsi:type="dcterms:W3CDTF">2023-04-18T09:18:00Z</dcterms:modified>
</cp:coreProperties>
</file>