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ENER-A-</w:t>
            </w:r>
            <w:r>
              <w:rPr>
                <w:rFonts w:ascii="Calibri"/>
                <w:spacing w:val="-10"/>
                <w:sz w:val="22"/>
              </w:rPr>
              <w:t>4</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68" w:lineRule="exact"/>
              <w:rPr>
                <w:rFonts w:ascii="Calibri"/>
                <w:sz w:val="22"/>
              </w:rPr>
            </w:pPr>
            <w:r>
              <w:rPr>
                <w:rFonts w:ascii="Calibri"/>
                <w:sz w:val="22"/>
              </w:rPr>
              <w:t>Miguel</w:t>
            </w:r>
            <w:r>
              <w:rPr>
                <w:rFonts w:ascii="Calibri"/>
                <w:spacing w:val="-2"/>
                <w:sz w:val="22"/>
              </w:rPr>
              <w:t> </w:t>
            </w:r>
            <w:r>
              <w:rPr>
                <w:rFonts w:ascii="Calibri"/>
                <w:sz w:val="22"/>
              </w:rPr>
              <w:t>GIL</w:t>
            </w:r>
            <w:r>
              <w:rPr>
                <w:rFonts w:ascii="Calibri"/>
                <w:spacing w:val="-2"/>
                <w:sz w:val="22"/>
              </w:rPr>
              <w:t> TERTRE</w:t>
            </w:r>
          </w:p>
          <w:p>
            <w:pPr>
              <w:pStyle w:val="TableParagraph"/>
              <w:rPr>
                <w:rFonts w:ascii="Calibri"/>
                <w:sz w:val="22"/>
              </w:rPr>
            </w:pPr>
            <w:hyperlink r:id="rId7">
              <w:r>
                <w:rPr>
                  <w:rFonts w:ascii="Calibri"/>
                  <w:spacing w:val="-2"/>
                  <w:sz w:val="22"/>
                </w:rPr>
                <w:t>Miguel.GIL-TERTRE@ec.europa.eu</w:t>
              </w:r>
            </w:hyperlink>
          </w:p>
          <w:p>
            <w:pPr>
              <w:pStyle w:val="TableParagraph"/>
              <w:rPr>
                <w:rFonts w:ascii="Calibri"/>
                <w:sz w:val="22"/>
              </w:rPr>
            </w:pPr>
            <w:r>
              <w:rPr>
                <w:rFonts w:ascii="Calibri"/>
                <w:sz w:val="22"/>
              </w:rPr>
              <w:t>+32</w:t>
            </w:r>
            <w:r>
              <w:rPr>
                <w:rFonts w:ascii="Calibri"/>
                <w:spacing w:val="-8"/>
                <w:sz w:val="22"/>
              </w:rPr>
              <w:t> </w:t>
            </w:r>
            <w:r>
              <w:rPr>
                <w:rFonts w:ascii="Calibri"/>
                <w:sz w:val="22"/>
              </w:rPr>
              <w:t>229-</w:t>
            </w:r>
            <w:r>
              <w:rPr>
                <w:rFonts w:ascii="Calibri"/>
                <w:spacing w:val="-2"/>
                <w:sz w:val="22"/>
              </w:rPr>
              <w:t>56493</w:t>
            </w:r>
          </w:p>
          <w:p>
            <w:pPr>
              <w:pStyle w:val="TableParagraph"/>
              <w:rPr>
                <w:rFonts w:ascii="Calibri"/>
                <w:sz w:val="22"/>
              </w:rPr>
            </w:pPr>
            <w:r>
              <w:rPr>
                <w:rFonts w:ascii="Calibri"/>
                <w:w w:val="100"/>
                <w:sz w:val="22"/>
              </w:rPr>
              <w:t>1</w:t>
            </w:r>
          </w:p>
          <w:p>
            <w:pPr>
              <w:pStyle w:val="TableParagraph"/>
              <w:spacing w:before="1"/>
              <w:rPr>
                <w:b/>
                <w:sz w:val="22"/>
              </w:rPr>
            </w:pPr>
            <w:r>
              <w:rPr>
                <w:rFonts w:ascii="Calibri" w:hAnsi="Calibri"/>
                <w:sz w:val="22"/>
              </w:rPr>
              <w:t>2ème</w:t>
            </w:r>
            <w:r>
              <w:rPr>
                <w:rFonts w:ascii="Calibri" w:hAnsi="Calibri"/>
                <w:spacing w:val="-8"/>
                <w:sz w:val="22"/>
              </w:rPr>
              <w:t> </w:t>
            </w:r>
            <w:r>
              <w:rPr>
                <w:rFonts w:ascii="Calibri" w:hAnsi="Calibri"/>
                <w:sz w:val="22"/>
              </w:rPr>
              <w:t>trimestre</w:t>
            </w:r>
            <w:r>
              <w:rPr>
                <w:rFonts w:ascii="Calibri" w:hAnsi="Calibri"/>
                <w:spacing w:val="-2"/>
                <w:sz w:val="22"/>
              </w:rPr>
              <w:t> </w:t>
            </w:r>
            <w:r>
              <w:rPr>
                <w:rFonts w:ascii="Calibri" w:hAnsi="Calibri"/>
                <w:spacing w:val="-4"/>
                <w:sz w:val="22"/>
              </w:rPr>
              <w:t>2023</w:t>
            </w:r>
            <w:r>
              <w:rPr>
                <w:b/>
                <w:spacing w:val="-4"/>
                <w:sz w:val="22"/>
                <w:vertAlign w:val="superscript"/>
              </w:rPr>
              <w:t>1</w:t>
            </w:r>
          </w:p>
          <w:p>
            <w:pPr>
              <w:pStyle w:val="TableParagraph"/>
              <w:spacing w:line="266" w:lineRule="exact"/>
              <w:rPr>
                <w:b/>
                <w:sz w:val="22"/>
              </w:rPr>
            </w:pPr>
            <w:r>
              <w:rPr>
                <w:rFonts w:ascii="Calibri"/>
                <w:sz w:val="22"/>
              </w:rPr>
              <w:t>1</w:t>
            </w:r>
            <w:r>
              <w:rPr>
                <w:rFonts w:ascii="Calibri"/>
                <w:spacing w:val="6"/>
                <w:sz w:val="22"/>
              </w:rPr>
              <w:t> </w:t>
            </w:r>
            <w:r>
              <w:rPr>
                <w:b/>
                <w:spacing w:val="-5"/>
                <w:sz w:val="22"/>
              </w:rPr>
              <w:t>an</w:t>
            </w:r>
            <w:r>
              <w:rPr>
                <w:b/>
                <w:spacing w:val="-5"/>
                <w:sz w:val="22"/>
                <w:vertAlign w:val="superscript"/>
              </w:rPr>
              <w:t>1</w:t>
            </w:r>
          </w:p>
          <w:p>
            <w:pPr>
              <w:pStyle w:val="TableParagraph"/>
              <w:spacing w:line="250"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523" w:val="left" w:leader="none"/>
                <w:tab w:pos="2950" w:val="left" w:leader="none"/>
                <w:tab w:pos="3422" w:val="left" w:leader="none"/>
              </w:tabs>
              <w:spacing w:before="145"/>
              <w:rPr>
                <w:b/>
                <w:sz w:val="22"/>
              </w:rPr>
            </w:pPr>
            <w:r>
              <w:rPr>
                <w:rFonts w:ascii="Wingdings 2" w:hAnsi="Wingdings 2"/>
                <w:spacing w:val="-10"/>
                <w:sz w:val="22"/>
              </w:rPr>
              <w:t></w:t>
            </w:r>
            <w:r>
              <w:rPr>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6" w:lineRule="auto" w:before="56"/>
        <w:ind w:left="132" w:right="165"/>
        <w:rPr>
          <w:rFonts w:ascii="Calibri" w:hAnsi="Calibri"/>
        </w:rPr>
      </w:pPr>
      <w:r>
        <w:rPr>
          <w:rFonts w:ascii="Calibri" w:hAnsi="Calibri"/>
        </w:rPr>
        <w:t>Au sein de l'unité traitant de la coordination des aspects économiques et financiers de la politique énergétique, de la fourniture de données économiques, de la</w:t>
      </w:r>
      <w:r>
        <w:rPr>
          <w:rFonts w:ascii="Calibri" w:hAnsi="Calibri"/>
          <w:spacing w:val="-1"/>
        </w:rPr>
        <w:t> </w:t>
      </w:r>
      <w:r>
        <w:rPr>
          <w:rFonts w:ascii="Calibri" w:hAnsi="Calibri"/>
        </w:rPr>
        <w:t>modélisation économique, ainsi</w:t>
      </w:r>
      <w:r>
        <w:rPr>
          <w:rFonts w:ascii="Calibri" w:hAnsi="Calibri"/>
          <w:spacing w:val="-1"/>
        </w:rPr>
        <w:t> </w:t>
      </w:r>
      <w:r>
        <w:rPr>
          <w:rFonts w:ascii="Calibri" w:hAnsi="Calibri"/>
        </w:rPr>
        <w:t>que des instruments financiers dans le domaine de l'énergie, l'expert national détaché (END) sera un analyste des politiques en charge du développement, de la gestion et de la supervision des programmes budgétaires de l'Union Européenne dans le contexte du Pacte Vert et de la relance en matière de financement du secteur énergétique. Il contribuera à la mise en place de l'initiative de financement des énergies durables de la Commission Européenne incluant les mesures</w:t>
      </w:r>
      <w:r>
        <w:rPr>
          <w:rFonts w:ascii="Calibri" w:hAnsi="Calibri"/>
          <w:spacing w:val="-2"/>
        </w:rPr>
        <w:t> </w:t>
      </w:r>
      <w:r>
        <w:rPr>
          <w:rFonts w:ascii="Calibri" w:hAnsi="Calibri"/>
        </w:rPr>
        <w:t>législatives</w:t>
      </w:r>
      <w:r>
        <w:rPr>
          <w:rFonts w:ascii="Calibri" w:hAnsi="Calibri"/>
          <w:spacing w:val="-2"/>
        </w:rPr>
        <w:t> </w:t>
      </w:r>
      <w:r>
        <w:rPr>
          <w:rFonts w:ascii="Calibri" w:hAnsi="Calibri"/>
        </w:rPr>
        <w:t>et</w:t>
      </w:r>
      <w:r>
        <w:rPr>
          <w:rFonts w:ascii="Calibri" w:hAnsi="Calibri"/>
          <w:spacing w:val="-3"/>
        </w:rPr>
        <w:t> </w:t>
      </w:r>
      <w:r>
        <w:rPr>
          <w:rFonts w:ascii="Calibri" w:hAnsi="Calibri"/>
        </w:rPr>
        <w:t>non-législatives,</w:t>
      </w:r>
      <w:r>
        <w:rPr>
          <w:rFonts w:ascii="Calibri" w:hAnsi="Calibri"/>
          <w:spacing w:val="-2"/>
        </w:rPr>
        <w:t> </w:t>
      </w:r>
      <w:r>
        <w:rPr>
          <w:rFonts w:ascii="Calibri" w:hAnsi="Calibri"/>
        </w:rPr>
        <w:t>ainsi</w:t>
      </w:r>
      <w:r>
        <w:rPr>
          <w:rFonts w:ascii="Calibri" w:hAnsi="Calibri"/>
          <w:spacing w:val="-3"/>
        </w:rPr>
        <w:t> </w:t>
      </w:r>
      <w:r>
        <w:rPr>
          <w:rFonts w:ascii="Calibri" w:hAnsi="Calibri"/>
        </w:rPr>
        <w:t>qu'à</w:t>
      </w:r>
      <w:r>
        <w:rPr>
          <w:rFonts w:ascii="Calibri" w:hAnsi="Calibri"/>
          <w:spacing w:val="-3"/>
        </w:rPr>
        <w:t> </w:t>
      </w:r>
      <w:r>
        <w:rPr>
          <w:rFonts w:ascii="Calibri" w:hAnsi="Calibri"/>
        </w:rPr>
        <w:t>garantir</w:t>
      </w:r>
      <w:r>
        <w:rPr>
          <w:rFonts w:ascii="Calibri" w:hAnsi="Calibri"/>
          <w:spacing w:val="-3"/>
        </w:rPr>
        <w:t> </w:t>
      </w:r>
      <w:r>
        <w:rPr>
          <w:rFonts w:ascii="Calibri" w:hAnsi="Calibri"/>
        </w:rPr>
        <w:t>que</w:t>
      </w:r>
      <w:r>
        <w:rPr>
          <w:rFonts w:ascii="Calibri" w:hAnsi="Calibri"/>
          <w:spacing w:val="-2"/>
        </w:rPr>
        <w:t> </w:t>
      </w:r>
      <w:r>
        <w:rPr>
          <w:rFonts w:ascii="Calibri" w:hAnsi="Calibri"/>
        </w:rPr>
        <w:t>ces</w:t>
      </w:r>
      <w:r>
        <w:rPr>
          <w:rFonts w:ascii="Calibri" w:hAnsi="Calibri"/>
          <w:spacing w:val="-3"/>
        </w:rPr>
        <w:t> </w:t>
      </w:r>
      <w:r>
        <w:rPr>
          <w:rFonts w:ascii="Calibri" w:hAnsi="Calibri"/>
        </w:rPr>
        <w:t>incitations</w:t>
      </w:r>
      <w:r>
        <w:rPr>
          <w:rFonts w:ascii="Calibri" w:hAnsi="Calibri"/>
          <w:spacing w:val="-3"/>
        </w:rPr>
        <w:t> </w:t>
      </w:r>
      <w:r>
        <w:rPr>
          <w:rFonts w:ascii="Calibri" w:hAnsi="Calibri"/>
        </w:rPr>
        <w:t>à</w:t>
      </w:r>
      <w:r>
        <w:rPr>
          <w:rFonts w:ascii="Calibri" w:hAnsi="Calibri"/>
          <w:spacing w:val="-5"/>
        </w:rPr>
        <w:t> </w:t>
      </w:r>
      <w:r>
        <w:rPr>
          <w:rFonts w:ascii="Calibri" w:hAnsi="Calibri"/>
        </w:rPr>
        <w:t>l'investissement</w:t>
      </w:r>
      <w:r>
        <w:rPr>
          <w:rFonts w:ascii="Calibri" w:hAnsi="Calibri"/>
          <w:spacing w:val="-5"/>
        </w:rPr>
        <w:t> </w:t>
      </w:r>
      <w:r>
        <w:rPr>
          <w:rFonts w:ascii="Calibri" w:hAnsi="Calibri"/>
        </w:rPr>
        <w:t>s'inscrivent</w:t>
      </w:r>
      <w:r>
        <w:rPr>
          <w:rFonts w:ascii="Calibri" w:hAnsi="Calibri"/>
          <w:spacing w:val="-5"/>
        </w:rPr>
        <w:t> </w:t>
      </w:r>
      <w:r>
        <w:rPr>
          <w:rFonts w:ascii="Calibri" w:hAnsi="Calibri"/>
        </w:rPr>
        <w:t>dans les objectifs du Pacte Vert européen et de la neutralité climatique en 2050.</w:t>
      </w:r>
    </w:p>
    <w:p>
      <w:pPr>
        <w:pStyle w:val="BodyText"/>
        <w:spacing w:before="3"/>
        <w:rPr>
          <w:rFonts w:ascii="Calibri"/>
          <w:sz w:val="16"/>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2"/>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8"/>
        <w:rPr>
          <w:b/>
          <w:sz w:val="21"/>
        </w:rPr>
      </w:pPr>
    </w:p>
    <w:p>
      <w:pPr>
        <w:pStyle w:val="BodyText"/>
        <w:ind w:left="559" w:right="111"/>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2"/>
        </w:numPr>
        <w:tabs>
          <w:tab w:pos="841" w:val="left" w:leader="none"/>
        </w:tabs>
        <w:spacing w:line="240" w:lineRule="auto" w:before="0" w:after="0"/>
        <w:ind w:left="840" w:right="110"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rPr>
          <w:sz w:val="20"/>
        </w:rPr>
      </w:pPr>
    </w:p>
    <w:p>
      <w:pPr>
        <w:pStyle w:val="BodyText"/>
        <w:rPr>
          <w:sz w:val="20"/>
        </w:rPr>
      </w:pPr>
    </w:p>
    <w:p>
      <w:pPr>
        <w:pStyle w:val="BodyText"/>
        <w:spacing w:before="9"/>
        <w:rPr>
          <w:sz w:val="20"/>
        </w:rPr>
      </w:pPr>
      <w:r>
        <w:rPr/>
        <w:pict>
          <v:rect style="position:absolute;margin-left:42.599998pt;margin-top:13.181991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2"/>
          <w:numId w:val="2"/>
        </w:numPr>
        <w:tabs>
          <w:tab w:pos="841" w:val="left" w:leader="none"/>
        </w:tabs>
        <w:spacing w:line="240" w:lineRule="auto" w:before="68"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2"/>
        </w:numPr>
        <w:tabs>
          <w:tab w:pos="841" w:val="left" w:leader="none"/>
        </w:tabs>
        <w:spacing w:line="240" w:lineRule="auto" w:before="0" w:after="0"/>
        <w:ind w:left="84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1"/>
        <w:ind w:left="840"/>
      </w:pPr>
      <w:r>
        <w:rPr>
          <w:spacing w:val="-2"/>
          <w:u w:val="single"/>
        </w:rPr>
        <w:t>Diplôme</w:t>
      </w:r>
    </w:p>
    <w:p>
      <w:pPr>
        <w:pStyle w:val="ListParagraph"/>
        <w:numPr>
          <w:ilvl w:val="0"/>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3"/>
        </w:numPr>
        <w:tabs>
          <w:tab w:pos="966" w:val="left" w:leader="none"/>
        </w:tabs>
        <w:spacing w:line="487" w:lineRule="auto" w:before="0" w:after="0"/>
        <w:ind w:left="950" w:right="2653" w:hanging="111"/>
        <w:jc w:val="left"/>
        <w:rPr>
          <w:rFonts w:ascii="Calibri" w:hAnsi="Calibri"/>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w:t>
      </w:r>
      <w:r>
        <w:rPr>
          <w:rFonts w:ascii="Calibri" w:hAnsi="Calibri"/>
          <w:sz w:val="22"/>
        </w:rPr>
        <w:t>Économie et/ou Finance</w:t>
      </w:r>
    </w:p>
    <w:p>
      <w:pPr>
        <w:pStyle w:val="BodyText"/>
        <w:spacing w:line="222" w:lineRule="exac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6"/>
        <w:ind w:left="840" w:right="166"/>
        <w:jc w:val="both"/>
        <w:rPr>
          <w:rFonts w:ascii="Calibri" w:hAnsi="Calibri"/>
        </w:rPr>
      </w:pPr>
      <w:r>
        <w:rPr>
          <w:rFonts w:ascii="Calibri" w:hAnsi="Calibri"/>
        </w:rPr>
        <w:t>Au</w:t>
      </w:r>
      <w:r>
        <w:rPr>
          <w:rFonts w:ascii="Calibri" w:hAnsi="Calibri"/>
          <w:spacing w:val="-1"/>
        </w:rPr>
        <w:t> </w:t>
      </w:r>
      <w:r>
        <w:rPr>
          <w:rFonts w:ascii="Calibri" w:hAnsi="Calibri"/>
        </w:rPr>
        <w:t>moins</w:t>
      </w:r>
      <w:r>
        <w:rPr>
          <w:rFonts w:ascii="Calibri" w:hAnsi="Calibri"/>
          <w:spacing w:val="-2"/>
        </w:rPr>
        <w:t> </w:t>
      </w:r>
      <w:r>
        <w:rPr>
          <w:rFonts w:ascii="Calibri" w:hAnsi="Calibri"/>
        </w:rPr>
        <w:t>5</w:t>
      </w:r>
      <w:r>
        <w:rPr>
          <w:rFonts w:ascii="Calibri" w:hAnsi="Calibri"/>
          <w:spacing w:val="-1"/>
        </w:rPr>
        <w:t> </w:t>
      </w:r>
      <w:r>
        <w:rPr>
          <w:rFonts w:ascii="Calibri" w:hAnsi="Calibri"/>
        </w:rPr>
        <w:t>ans serait</w:t>
      </w:r>
      <w:r>
        <w:rPr>
          <w:rFonts w:ascii="Calibri" w:hAnsi="Calibri"/>
          <w:spacing w:val="-2"/>
        </w:rPr>
        <w:t> </w:t>
      </w:r>
      <w:r>
        <w:rPr>
          <w:rFonts w:ascii="Calibri" w:hAnsi="Calibri"/>
        </w:rPr>
        <w:t>souhaitable. Connaissances requises dans</w:t>
      </w:r>
      <w:r>
        <w:rPr>
          <w:rFonts w:ascii="Calibri" w:hAnsi="Calibri"/>
          <w:spacing w:val="-2"/>
        </w:rPr>
        <w:t> </w:t>
      </w:r>
      <w:r>
        <w:rPr>
          <w:rFonts w:ascii="Calibri" w:hAnsi="Calibri"/>
        </w:rPr>
        <w:t>le</w:t>
      </w:r>
      <w:r>
        <w:rPr>
          <w:rFonts w:ascii="Calibri" w:hAnsi="Calibri"/>
          <w:spacing w:val="-2"/>
        </w:rPr>
        <w:t> </w:t>
      </w:r>
      <w:r>
        <w:rPr>
          <w:rFonts w:ascii="Calibri" w:hAnsi="Calibri"/>
        </w:rPr>
        <w:t>secteur</w:t>
      </w:r>
      <w:r>
        <w:rPr>
          <w:rFonts w:ascii="Calibri" w:hAnsi="Calibri"/>
          <w:spacing w:val="-2"/>
        </w:rPr>
        <w:t> </w:t>
      </w:r>
      <w:r>
        <w:rPr>
          <w:rFonts w:ascii="Calibri" w:hAnsi="Calibri"/>
        </w:rPr>
        <w:t>de l’énergie, des institutions</w:t>
      </w:r>
      <w:r>
        <w:rPr>
          <w:rFonts w:ascii="Calibri" w:hAnsi="Calibri"/>
          <w:spacing w:val="-2"/>
        </w:rPr>
        <w:t> </w:t>
      </w:r>
      <w:r>
        <w:rPr>
          <w:rFonts w:ascii="Calibri" w:hAnsi="Calibri"/>
        </w:rPr>
        <w:t>et instruments financiers, de la politique énergétique européenne</w:t>
      </w:r>
      <w:r>
        <w:rPr>
          <w:rFonts w:ascii="Calibri" w:hAnsi="Calibri"/>
          <w:spacing w:val="-1"/>
        </w:rPr>
        <w:t> </w:t>
      </w:r>
      <w:r>
        <w:rPr>
          <w:rFonts w:ascii="Calibri" w:hAnsi="Calibri"/>
        </w:rPr>
        <w:t>et des processus</w:t>
      </w:r>
      <w:r>
        <w:rPr>
          <w:rFonts w:ascii="Calibri" w:hAnsi="Calibri"/>
          <w:spacing w:val="-2"/>
        </w:rPr>
        <w:t> </w:t>
      </w:r>
      <w:r>
        <w:rPr>
          <w:rFonts w:ascii="Calibri" w:hAnsi="Calibri"/>
        </w:rPr>
        <w:t>décisionnels</w:t>
      </w:r>
      <w:r>
        <w:rPr>
          <w:rFonts w:ascii="Calibri" w:hAnsi="Calibri"/>
          <w:spacing w:val="-2"/>
        </w:rPr>
        <w:t> </w:t>
      </w:r>
      <w:r>
        <w:rPr>
          <w:rFonts w:ascii="Calibri" w:hAnsi="Calibri"/>
        </w:rPr>
        <w:t>européens. Connaissances requises également dans la gestion et la mise en place des politiques et des mesures du secteur de l’énergie. Excellentes compétences analytiques, rédactionnelles, ainsi qu’en expression et communication orale et écrite. Capacité à travailler avec plusieurs équipes et à se coordonner efficacement avec la DG ENER mais aussi avec les autres services de la Commission, capacité à travailler de manière proactive et autonome.</w:t>
      </w:r>
    </w:p>
    <w:p>
      <w:pPr>
        <w:pStyle w:val="BodyText"/>
        <w:spacing w:before="4"/>
        <w:rPr>
          <w:rFonts w:ascii="Calibri"/>
          <w:sz w:val="20"/>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8"/>
        <w:rPr>
          <w:sz w:val="17"/>
        </w:rPr>
      </w:pPr>
    </w:p>
    <w:p>
      <w:pPr>
        <w:pStyle w:val="BodyText"/>
        <w:spacing w:before="56"/>
        <w:ind w:left="840" w:right="165"/>
        <w:rPr>
          <w:rFonts w:ascii="Calibri" w:hAnsi="Calibri"/>
        </w:rPr>
      </w:pPr>
      <w:r>
        <w:rPr>
          <w:rFonts w:ascii="Calibri" w:hAnsi="Calibri"/>
        </w:rPr>
        <w:t>Un excellent niveau d’anglais à l’oral et à l’écrit est attendu. La connaissance d’une autre langue de l’UE est un avantage.</w:t>
      </w:r>
    </w:p>
    <w:p>
      <w:pPr>
        <w:pStyle w:val="BodyText"/>
        <w:spacing w:before="8"/>
        <w:rPr>
          <w:rFonts w:ascii="Calibri"/>
          <w:sz w:val="20"/>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2"/>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4"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right="286"/>
        <w:jc w:val="both"/>
      </w:pPr>
      <w:r>
        <w:rPr/>
        <w:t>L'END restera employé et rémunéré par son employeur durant toute la durée du détachement. Il restera également couvert par la sécurité sociale nationale durant son détachement.</w:t>
      </w:r>
    </w:p>
    <w:p>
      <w:pPr>
        <w:pStyle w:val="BodyText"/>
        <w:spacing w:before="1"/>
        <w:ind w:left="559" w:right="280"/>
        <w:jc w:val="both"/>
      </w:pPr>
      <w:r>
        <w:rPr/>
        <w:t>Sauf pour les END sans frais, des indemnités de séjour peuvent être versées à l'END qui remplit les conditions, conformément à l'article 17 de la décision END.</w:t>
      </w:r>
    </w:p>
    <w:p>
      <w:pPr>
        <w:spacing w:after="0"/>
        <w:jc w:val="both"/>
        <w:sectPr>
          <w:pgSz w:w="11910" w:h="16840"/>
          <w:pgMar w:header="0" w:footer="690" w:top="1040" w:bottom="880" w:left="720" w:right="740"/>
        </w:sectPr>
      </w:pPr>
    </w:p>
    <w:p>
      <w:pPr>
        <w:pStyle w:val="BodyText"/>
        <w:spacing w:before="68"/>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5"/>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 la Commission relative aux END</w:t>
      </w:r>
      <w:r>
        <w:rPr>
          <w:spacing w:val="-1"/>
        </w:rPr>
        <w:t> </w:t>
      </w:r>
      <w:r>
        <w:rPr/>
        <w:t>et</w:t>
      </w:r>
      <w:r>
        <w:rPr>
          <w:spacing w:val="-1"/>
        </w:rPr>
        <w:t> </w:t>
      </w:r>
      <w:r>
        <w:rPr/>
        <w:t>est soumis au Règlement (UE) No 2018/1725.</w:t>
      </w:r>
    </w:p>
    <w:p>
      <w:pPr>
        <w:pStyle w:val="BodyText"/>
        <w:spacing w:before="1"/>
        <w:ind w:left="559" w:right="289"/>
        <w:jc w:val="both"/>
      </w:pPr>
      <w:r>
        <w:rPr/>
        <w:t>Les données des END seront conservées pendant 10 ans à compter de la fin du détachement (2 ans pour les END dont la candidature n'a pas été retenue ou a été retirée).</w:t>
      </w:r>
    </w:p>
    <w:p>
      <w:pPr>
        <w:pStyle w:val="BodyText"/>
        <w:ind w:left="559" w:right="283"/>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40"/>
        </w:rPr>
        <w:t> </w:t>
      </w:r>
      <w:r>
        <w:rPr/>
        <w:t>avez également le droit de vous opposer au traitement ou au droit à la portabilité des données.</w:t>
      </w:r>
    </w:p>
    <w:p>
      <w:pPr>
        <w:pStyle w:val="BodyText"/>
        <w:spacing w:before="1"/>
        <w:ind w:left="55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spacing w:before="0"/>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4"/>
        </w:numPr>
        <w:tabs>
          <w:tab w:pos="841" w:val="left" w:leader="none"/>
        </w:tabs>
        <w:spacing w:line="240" w:lineRule="auto" w:before="91"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2"/>
        <w:ind w:left="559" w:right="281"/>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4"/>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4"/>
        </w:numPr>
        <w:tabs>
          <w:tab w:pos="841" w:val="left" w:leader="none"/>
        </w:tabs>
        <w:spacing w:line="240" w:lineRule="auto" w:before="4" w:after="0"/>
        <w:ind w:left="840" w:right="0" w:hanging="282"/>
        <w:jc w:val="both"/>
        <w:rPr>
          <w:u w:val="none"/>
        </w:rPr>
      </w:pPr>
      <w:r>
        <w:rPr>
          <w:u w:val="single"/>
        </w:rPr>
        <w:t>Le</w:t>
      </w:r>
      <w:r>
        <w:rPr>
          <w:spacing w:val="-3"/>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3"/>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1158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2">
    <w:multiLevelType w:val="hybridMultilevel"/>
    <w:lvl w:ilvl="0">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iguel.GIL-TERTRE@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2023-03-15T16:39:23Z</dcterms:created>
  <dcterms:modified xsi:type="dcterms:W3CDTF">2023-03-15T16:39:23Z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