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header1.xml" ContentType="application/vnd.openxmlformats-officedocument.wordprocessingml.header+xml"/>
  <Default Extension="png" ContentType="image/png"/>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spacing w:before="1"/>
        <w:rPr>
          <w:sz w:val="6"/>
        </w:rPr>
      </w:pPr>
    </w:p>
    <w:p>
      <w:pPr>
        <w:pStyle w:val="BodyText"/>
        <w:ind w:left="3526"/>
        <w:rPr>
          <w:sz w:val="20"/>
        </w:rPr>
      </w:pPr>
      <w:r>
        <w:rPr>
          <w:sz w:val="20"/>
        </w:rPr>
        <w:drawing>
          <wp:inline distT="0" distB="0" distL="0" distR="0">
            <wp:extent cx="1371600" cy="676275"/>
            <wp:effectExtent l="0" t="0" r="0" b="0"/>
            <wp:docPr id="1" name="image1.png"/>
            <wp:cNvGraphicFramePr>
              <a:graphicFrameLocks noChangeAspect="1"/>
            </wp:cNvGraphicFramePr>
            <a:graphic>
              <a:graphicData uri="http://schemas.openxmlformats.org/drawingml/2006/picture">
                <pic:pic>
                  <pic:nvPicPr>
                    <pic:cNvPr id="2" name="image1.png"/>
                    <pic:cNvPicPr/>
                  </pic:nvPicPr>
                  <pic:blipFill>
                    <a:blip r:embed="rId6" cstate="print"/>
                    <a:stretch>
                      <a:fillRect/>
                    </a:stretch>
                  </pic:blipFill>
                  <pic:spPr>
                    <a:xfrm>
                      <a:off x="0" y="0"/>
                      <a:ext cx="1371600" cy="676275"/>
                    </a:xfrm>
                    <a:prstGeom prst="rect">
                      <a:avLst/>
                    </a:prstGeom>
                  </pic:spPr>
                </pic:pic>
              </a:graphicData>
            </a:graphic>
          </wp:inline>
        </w:drawing>
      </w:r>
      <w:r>
        <w:rPr>
          <w:sz w:val="20"/>
        </w:rPr>
      </w:r>
    </w:p>
    <w:p>
      <w:pPr>
        <w:pStyle w:val="BodyText"/>
        <w:spacing w:before="10"/>
        <w:rPr>
          <w:sz w:val="14"/>
        </w:rPr>
      </w:pPr>
    </w:p>
    <w:p>
      <w:pPr>
        <w:pStyle w:val="Title"/>
        <w:spacing w:before="90"/>
      </w:pPr>
      <w:r>
        <w:rPr/>
        <w:t>AVIS</w:t>
      </w:r>
      <w:r>
        <w:rPr>
          <w:spacing w:val="-6"/>
        </w:rPr>
        <w:t> </w:t>
      </w:r>
      <w:r>
        <w:rPr/>
        <w:t>DE</w:t>
      </w:r>
      <w:r>
        <w:rPr>
          <w:spacing w:val="-6"/>
        </w:rPr>
        <w:t> </w:t>
      </w:r>
      <w:r>
        <w:rPr>
          <w:spacing w:val="-2"/>
        </w:rPr>
        <w:t>VACANCE</w:t>
      </w:r>
    </w:p>
    <w:p>
      <w:pPr>
        <w:pStyle w:val="BodyText"/>
        <w:spacing w:before="10"/>
        <w:rPr>
          <w:b/>
          <w:sz w:val="24"/>
        </w:rPr>
      </w:pPr>
    </w:p>
    <w:p>
      <w:pPr>
        <w:pStyle w:val="Title"/>
        <w:ind w:right="1143"/>
      </w:pPr>
      <w:r>
        <w:rPr/>
        <w:t>EXPERT</w:t>
      </w:r>
      <w:r>
        <w:rPr>
          <w:spacing w:val="-10"/>
        </w:rPr>
        <w:t> </w:t>
      </w:r>
      <w:r>
        <w:rPr/>
        <w:t>NATIONAL</w:t>
      </w:r>
      <w:r>
        <w:rPr>
          <w:spacing w:val="-10"/>
        </w:rPr>
        <w:t> </w:t>
      </w:r>
      <w:r>
        <w:rPr/>
        <w:t>DETACHE</w:t>
      </w:r>
      <w:r>
        <w:rPr>
          <w:spacing w:val="-9"/>
        </w:rPr>
        <w:t> </w:t>
      </w:r>
      <w:r>
        <w:rPr/>
        <w:t>A</w:t>
      </w:r>
      <w:r>
        <w:rPr>
          <w:spacing w:val="-9"/>
        </w:rPr>
        <w:t> </w:t>
      </w:r>
      <w:r>
        <w:rPr/>
        <w:t>LA</w:t>
      </w:r>
      <w:r>
        <w:rPr>
          <w:spacing w:val="-10"/>
        </w:rPr>
        <w:t> </w:t>
      </w:r>
      <w:r>
        <w:rPr/>
        <w:t>COMMISSION</w:t>
      </w:r>
      <w:r>
        <w:rPr>
          <w:spacing w:val="-9"/>
        </w:rPr>
        <w:t> </w:t>
      </w:r>
      <w:r>
        <w:rPr>
          <w:spacing w:val="-2"/>
        </w:rPr>
        <w:t>EUROPEENNE</w:t>
      </w:r>
    </w:p>
    <w:p>
      <w:pPr>
        <w:pStyle w:val="BodyText"/>
        <w:rPr>
          <w:b/>
          <w:sz w:val="20"/>
        </w:rPr>
      </w:pPr>
    </w:p>
    <w:p>
      <w:pPr>
        <w:pStyle w:val="BodyText"/>
        <w:spacing w:before="9"/>
        <w:rPr>
          <w:b/>
          <w:sz w:val="28"/>
        </w:rPr>
      </w:pPr>
    </w:p>
    <w:tbl>
      <w:tblPr>
        <w:tblW w:w="0" w:type="auto"/>
        <w:jc w:val="left"/>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3071"/>
        <w:gridCol w:w="2021"/>
        <w:gridCol w:w="4219"/>
      </w:tblGrid>
      <w:tr>
        <w:trPr>
          <w:trHeight w:val="560" w:hRule="atLeast"/>
        </w:trPr>
        <w:tc>
          <w:tcPr>
            <w:tcW w:w="3071" w:type="dxa"/>
          </w:tcPr>
          <w:p>
            <w:pPr>
              <w:pStyle w:val="TableParagraph"/>
              <w:ind w:left="107"/>
              <w:rPr>
                <w:b/>
                <w:sz w:val="24"/>
              </w:rPr>
            </w:pPr>
            <w:r>
              <w:rPr>
                <w:b/>
                <w:sz w:val="24"/>
              </w:rPr>
              <w:t>Intitulé</w:t>
            </w:r>
            <w:r>
              <w:rPr>
                <w:b/>
                <w:spacing w:val="-6"/>
                <w:sz w:val="24"/>
              </w:rPr>
              <w:t> </w:t>
            </w:r>
            <w:r>
              <w:rPr>
                <w:b/>
                <w:sz w:val="24"/>
              </w:rPr>
              <w:t>du</w:t>
            </w:r>
            <w:r>
              <w:rPr>
                <w:b/>
                <w:spacing w:val="-5"/>
                <w:sz w:val="24"/>
              </w:rPr>
              <w:t> </w:t>
            </w:r>
            <w:r>
              <w:rPr>
                <w:b/>
                <w:spacing w:val="-2"/>
                <w:sz w:val="24"/>
              </w:rPr>
              <w:t>poste:</w:t>
            </w:r>
          </w:p>
          <w:p>
            <w:pPr>
              <w:pStyle w:val="TableParagraph"/>
              <w:spacing w:line="258" w:lineRule="exact" w:before="1"/>
              <w:ind w:left="107"/>
              <w:rPr>
                <w:sz w:val="24"/>
              </w:rPr>
            </w:pPr>
            <w:r>
              <w:rPr>
                <w:spacing w:val="-2"/>
                <w:sz w:val="24"/>
              </w:rPr>
              <w:t>(DG-DIR-UNITE)</w:t>
            </w:r>
          </w:p>
        </w:tc>
        <w:tc>
          <w:tcPr>
            <w:tcW w:w="6240" w:type="dxa"/>
            <w:gridSpan w:val="2"/>
          </w:tcPr>
          <w:p>
            <w:pPr>
              <w:pStyle w:val="TableParagraph"/>
              <w:spacing w:before="125"/>
              <w:ind w:left="108"/>
              <w:rPr>
                <w:b/>
                <w:sz w:val="24"/>
              </w:rPr>
            </w:pPr>
            <w:r>
              <w:rPr>
                <w:b/>
                <w:spacing w:val="-2"/>
                <w:sz w:val="24"/>
              </w:rPr>
              <w:t>CONNECT-B-</w:t>
            </w:r>
            <w:r>
              <w:rPr>
                <w:b/>
                <w:spacing w:val="-10"/>
                <w:sz w:val="24"/>
              </w:rPr>
              <w:t>5</w:t>
            </w:r>
          </w:p>
        </w:tc>
      </w:tr>
      <w:tr>
        <w:trPr>
          <w:trHeight w:val="1300" w:hRule="atLeast"/>
        </w:trPr>
        <w:tc>
          <w:tcPr>
            <w:tcW w:w="3071" w:type="dxa"/>
            <w:tcBorders>
              <w:bottom w:val="nil"/>
            </w:tcBorders>
          </w:tcPr>
          <w:p>
            <w:pPr>
              <w:pStyle w:val="TableParagraph"/>
              <w:spacing w:line="244" w:lineRule="auto"/>
              <w:ind w:right="528"/>
              <w:rPr>
                <w:b/>
                <w:sz w:val="20"/>
              </w:rPr>
            </w:pPr>
            <w:r>
              <w:rPr>
                <w:b/>
                <w:sz w:val="20"/>
              </w:rPr>
              <w:t>Direction</w:t>
            </w:r>
            <w:r>
              <w:rPr>
                <w:b/>
                <w:spacing w:val="-13"/>
                <w:sz w:val="20"/>
              </w:rPr>
              <w:t> </w:t>
            </w:r>
            <w:r>
              <w:rPr>
                <w:b/>
                <w:sz w:val="20"/>
              </w:rPr>
              <w:t>générale</w:t>
            </w:r>
            <w:r>
              <w:rPr>
                <w:b/>
                <w:spacing w:val="-12"/>
                <w:sz w:val="20"/>
              </w:rPr>
              <w:t> </w:t>
            </w:r>
            <w:r>
              <w:rPr>
                <w:b/>
                <w:sz w:val="20"/>
              </w:rPr>
              <w:t>: Direction :</w:t>
            </w:r>
          </w:p>
          <w:p>
            <w:pPr>
              <w:pStyle w:val="TableParagraph"/>
              <w:spacing w:before="1"/>
              <w:rPr>
                <w:b/>
                <w:sz w:val="20"/>
              </w:rPr>
            </w:pPr>
            <w:r>
              <w:rPr>
                <w:b/>
                <w:sz w:val="20"/>
              </w:rPr>
              <w:t>Unité </w:t>
            </w:r>
            <w:r>
              <w:rPr>
                <w:b/>
                <w:spacing w:val="-10"/>
                <w:sz w:val="20"/>
              </w:rPr>
              <w:t>:</w:t>
            </w:r>
          </w:p>
          <w:p>
            <w:pPr>
              <w:pStyle w:val="TableParagraph"/>
              <w:spacing w:line="244" w:lineRule="auto"/>
              <w:ind w:right="528"/>
              <w:rPr>
                <w:b/>
                <w:sz w:val="20"/>
              </w:rPr>
            </w:pPr>
            <w:r>
              <w:rPr>
                <w:b/>
                <w:sz w:val="20"/>
              </w:rPr>
              <w:t>Chef</w:t>
            </w:r>
            <w:r>
              <w:rPr>
                <w:b/>
                <w:spacing w:val="-13"/>
                <w:sz w:val="20"/>
              </w:rPr>
              <w:t> </w:t>
            </w:r>
            <w:r>
              <w:rPr>
                <w:b/>
                <w:sz w:val="20"/>
              </w:rPr>
              <w:t>d’unité</w:t>
            </w:r>
            <w:r>
              <w:rPr>
                <w:b/>
                <w:spacing w:val="-12"/>
                <w:sz w:val="20"/>
              </w:rPr>
              <w:t> </w:t>
            </w:r>
            <w:r>
              <w:rPr>
                <w:b/>
                <w:sz w:val="20"/>
              </w:rPr>
              <w:t>: Téléphone :</w:t>
            </w:r>
          </w:p>
        </w:tc>
        <w:tc>
          <w:tcPr>
            <w:tcW w:w="6240" w:type="dxa"/>
            <w:gridSpan w:val="2"/>
            <w:tcBorders>
              <w:bottom w:val="nil"/>
            </w:tcBorders>
          </w:tcPr>
          <w:p>
            <w:pPr>
              <w:pStyle w:val="TableParagraph"/>
              <w:spacing w:line="244" w:lineRule="auto"/>
              <w:ind w:left="108" w:right="702"/>
              <w:rPr>
                <w:b/>
                <w:sz w:val="20"/>
              </w:rPr>
            </w:pPr>
            <w:r>
              <w:rPr>
                <w:b/>
                <w:sz w:val="20"/>
              </w:rPr>
              <w:t>Réseaux</w:t>
            </w:r>
            <w:r>
              <w:rPr>
                <w:b/>
                <w:spacing w:val="-5"/>
                <w:sz w:val="20"/>
              </w:rPr>
              <w:t> </w:t>
            </w:r>
            <w:r>
              <w:rPr>
                <w:b/>
                <w:sz w:val="20"/>
              </w:rPr>
              <w:t>de</w:t>
            </w:r>
            <w:r>
              <w:rPr>
                <w:b/>
                <w:spacing w:val="-5"/>
                <w:sz w:val="20"/>
              </w:rPr>
              <w:t> </w:t>
            </w:r>
            <w:r>
              <w:rPr>
                <w:b/>
                <w:sz w:val="20"/>
              </w:rPr>
              <w:t>communication,</w:t>
            </w:r>
            <w:r>
              <w:rPr>
                <w:b/>
                <w:spacing w:val="-5"/>
                <w:sz w:val="20"/>
              </w:rPr>
              <w:t> </w:t>
            </w:r>
            <w:r>
              <w:rPr>
                <w:b/>
                <w:sz w:val="20"/>
              </w:rPr>
              <w:t>contenu</w:t>
            </w:r>
            <w:r>
              <w:rPr>
                <w:b/>
                <w:spacing w:val="-5"/>
                <w:sz w:val="20"/>
              </w:rPr>
              <w:t> </w:t>
            </w:r>
            <w:r>
              <w:rPr>
                <w:b/>
                <w:sz w:val="20"/>
              </w:rPr>
              <w:t>et</w:t>
            </w:r>
            <w:r>
              <w:rPr>
                <w:b/>
                <w:spacing w:val="-5"/>
                <w:sz w:val="20"/>
              </w:rPr>
              <w:t> </w:t>
            </w:r>
            <w:r>
              <w:rPr>
                <w:b/>
                <w:sz w:val="20"/>
              </w:rPr>
              <w:t>technologies </w:t>
            </w:r>
            <w:r>
              <w:rPr>
                <w:b/>
                <w:spacing w:val="-2"/>
                <w:sz w:val="20"/>
              </w:rPr>
              <w:t>Connectivité</w:t>
            </w:r>
          </w:p>
          <w:p>
            <w:pPr>
              <w:pStyle w:val="TableParagraph"/>
              <w:spacing w:line="244" w:lineRule="auto" w:before="1"/>
              <w:ind w:left="108" w:right="1805"/>
              <w:rPr>
                <w:b/>
                <w:sz w:val="20"/>
              </w:rPr>
            </w:pPr>
            <w:r>
              <w:rPr>
                <w:b/>
                <w:sz w:val="20"/>
              </w:rPr>
              <w:t>Investissement</w:t>
            </w:r>
            <w:r>
              <w:rPr>
                <w:b/>
                <w:spacing w:val="-5"/>
                <w:sz w:val="20"/>
              </w:rPr>
              <w:t> </w:t>
            </w:r>
            <w:r>
              <w:rPr>
                <w:b/>
                <w:sz w:val="20"/>
              </w:rPr>
              <w:t>dans</w:t>
            </w:r>
            <w:r>
              <w:rPr>
                <w:b/>
                <w:spacing w:val="-5"/>
                <w:sz w:val="20"/>
              </w:rPr>
              <w:t> </w:t>
            </w:r>
            <w:r>
              <w:rPr>
                <w:b/>
                <w:sz w:val="20"/>
              </w:rPr>
              <w:t>les</w:t>
            </w:r>
            <w:r>
              <w:rPr>
                <w:b/>
                <w:spacing w:val="-5"/>
                <w:sz w:val="20"/>
              </w:rPr>
              <w:t> </w:t>
            </w:r>
            <w:r>
              <w:rPr>
                <w:b/>
                <w:sz w:val="20"/>
              </w:rPr>
              <w:t>réseaux</w:t>
            </w:r>
            <w:r>
              <w:rPr>
                <w:b/>
                <w:spacing w:val="-5"/>
                <w:sz w:val="20"/>
              </w:rPr>
              <w:t> </w:t>
            </w:r>
            <w:r>
              <w:rPr>
                <w:b/>
                <w:sz w:val="20"/>
              </w:rPr>
              <w:t>à</w:t>
            </w:r>
            <w:r>
              <w:rPr>
                <w:b/>
                <w:spacing w:val="-5"/>
                <w:sz w:val="20"/>
              </w:rPr>
              <w:t> </w:t>
            </w:r>
            <w:r>
              <w:rPr>
                <w:b/>
                <w:sz w:val="20"/>
              </w:rPr>
              <w:t>haut</w:t>
            </w:r>
            <w:r>
              <w:rPr>
                <w:b/>
                <w:spacing w:val="-5"/>
                <w:sz w:val="20"/>
              </w:rPr>
              <w:t> </w:t>
            </w:r>
            <w:r>
              <w:rPr>
                <w:b/>
                <w:sz w:val="20"/>
              </w:rPr>
              <w:t>débit Franco Accordino</w:t>
            </w:r>
          </w:p>
          <w:p>
            <w:pPr>
              <w:pStyle w:val="TableParagraph"/>
              <w:spacing w:before="1"/>
              <w:ind w:left="108"/>
              <w:rPr>
                <w:b/>
                <w:sz w:val="20"/>
              </w:rPr>
            </w:pPr>
            <w:r>
              <w:rPr>
                <w:b/>
                <w:sz w:val="20"/>
              </w:rPr>
              <w:t>+32 2 299</w:t>
            </w:r>
            <w:r>
              <w:rPr>
                <w:b/>
                <w:spacing w:val="2"/>
                <w:sz w:val="20"/>
              </w:rPr>
              <w:t> </w:t>
            </w:r>
            <w:r>
              <w:rPr>
                <w:b/>
                <w:sz w:val="20"/>
              </w:rPr>
              <w:t>82</w:t>
            </w:r>
            <w:r>
              <w:rPr>
                <w:b/>
                <w:spacing w:val="1"/>
                <w:sz w:val="20"/>
              </w:rPr>
              <w:t> </w:t>
            </w:r>
            <w:r>
              <w:rPr>
                <w:b/>
                <w:spacing w:val="-5"/>
                <w:sz w:val="20"/>
              </w:rPr>
              <w:t>72</w:t>
            </w:r>
          </w:p>
        </w:tc>
      </w:tr>
      <w:tr>
        <w:trPr>
          <w:trHeight w:val="1525" w:hRule="atLeast"/>
        </w:trPr>
        <w:tc>
          <w:tcPr>
            <w:tcW w:w="3071" w:type="dxa"/>
            <w:tcBorders>
              <w:top w:val="nil"/>
              <w:right w:val="nil"/>
            </w:tcBorders>
          </w:tcPr>
          <w:p>
            <w:pPr>
              <w:pStyle w:val="TableParagraph"/>
              <w:spacing w:line="244" w:lineRule="auto" w:before="116"/>
              <w:rPr>
                <w:b/>
                <w:sz w:val="20"/>
              </w:rPr>
            </w:pPr>
            <w:r>
              <w:rPr>
                <w:b/>
                <w:sz w:val="20"/>
              </w:rPr>
              <w:t>Nombre</w:t>
            </w:r>
            <w:r>
              <w:rPr>
                <w:b/>
                <w:spacing w:val="-11"/>
                <w:sz w:val="20"/>
              </w:rPr>
              <w:t> </w:t>
            </w:r>
            <w:r>
              <w:rPr>
                <w:b/>
                <w:sz w:val="20"/>
              </w:rPr>
              <w:t>de</w:t>
            </w:r>
            <w:r>
              <w:rPr>
                <w:b/>
                <w:spacing w:val="-11"/>
                <w:sz w:val="20"/>
              </w:rPr>
              <w:t> </w:t>
            </w:r>
            <w:r>
              <w:rPr>
                <w:b/>
                <w:sz w:val="20"/>
              </w:rPr>
              <w:t>postes</w:t>
            </w:r>
            <w:r>
              <w:rPr>
                <w:b/>
                <w:spacing w:val="-11"/>
                <w:sz w:val="20"/>
              </w:rPr>
              <w:t> </w:t>
            </w:r>
            <w:r>
              <w:rPr>
                <w:b/>
                <w:sz w:val="20"/>
              </w:rPr>
              <w:t>disponibles </w:t>
            </w:r>
            <w:r>
              <w:rPr>
                <w:b/>
                <w:spacing w:val="-2"/>
                <w:sz w:val="20"/>
              </w:rPr>
              <w:t>Catégorie</w:t>
            </w:r>
          </w:p>
          <w:p>
            <w:pPr>
              <w:pStyle w:val="TableParagraph"/>
              <w:spacing w:line="244" w:lineRule="auto" w:before="1"/>
              <w:rPr>
                <w:b/>
                <w:sz w:val="20"/>
              </w:rPr>
            </w:pPr>
            <w:r>
              <w:rPr>
                <w:b/>
                <w:sz w:val="20"/>
              </w:rPr>
              <w:t>Prise</w:t>
            </w:r>
            <w:r>
              <w:rPr>
                <w:b/>
                <w:spacing w:val="-8"/>
                <w:sz w:val="20"/>
              </w:rPr>
              <w:t> </w:t>
            </w:r>
            <w:r>
              <w:rPr>
                <w:b/>
                <w:sz w:val="20"/>
              </w:rPr>
              <w:t>de</w:t>
            </w:r>
            <w:r>
              <w:rPr>
                <w:b/>
                <w:spacing w:val="-8"/>
                <w:sz w:val="20"/>
              </w:rPr>
              <w:t> </w:t>
            </w:r>
            <w:r>
              <w:rPr>
                <w:b/>
                <w:sz w:val="20"/>
              </w:rPr>
              <w:t>fonction</w:t>
            </w:r>
            <w:r>
              <w:rPr>
                <w:b/>
                <w:spacing w:val="-8"/>
                <w:sz w:val="20"/>
              </w:rPr>
              <w:t> </w:t>
            </w:r>
            <w:r>
              <w:rPr>
                <w:b/>
                <w:sz w:val="20"/>
              </w:rPr>
              <w:t>souhaitée</w:t>
            </w:r>
            <w:r>
              <w:rPr>
                <w:b/>
                <w:spacing w:val="-8"/>
                <w:sz w:val="20"/>
              </w:rPr>
              <w:t> </w:t>
            </w:r>
            <w:r>
              <w:rPr>
                <w:b/>
                <w:sz w:val="20"/>
              </w:rPr>
              <w:t>: Durée initiale souhaitée</w:t>
            </w:r>
          </w:p>
          <w:p>
            <w:pPr>
              <w:pStyle w:val="TableParagraph"/>
              <w:spacing w:before="1"/>
              <w:rPr>
                <w:b/>
                <w:sz w:val="20"/>
              </w:rPr>
            </w:pPr>
            <w:r>
              <w:rPr>
                <w:b/>
                <w:sz w:val="20"/>
              </w:rPr>
              <w:t>Lieu</w:t>
            </w:r>
            <w:r>
              <w:rPr>
                <w:b/>
                <w:spacing w:val="-3"/>
                <w:sz w:val="20"/>
              </w:rPr>
              <w:t> </w:t>
            </w:r>
            <w:r>
              <w:rPr>
                <w:b/>
                <w:sz w:val="20"/>
              </w:rPr>
              <w:t>d’affectation</w:t>
            </w:r>
            <w:r>
              <w:rPr>
                <w:b/>
                <w:spacing w:val="1"/>
                <w:sz w:val="20"/>
              </w:rPr>
              <w:t> </w:t>
            </w:r>
            <w:r>
              <w:rPr>
                <w:b/>
                <w:spacing w:val="-10"/>
                <w:sz w:val="20"/>
              </w:rPr>
              <w:t>:</w:t>
            </w:r>
          </w:p>
        </w:tc>
        <w:tc>
          <w:tcPr>
            <w:tcW w:w="6240" w:type="dxa"/>
            <w:gridSpan w:val="2"/>
            <w:tcBorders>
              <w:top w:val="nil"/>
              <w:left w:val="nil"/>
            </w:tcBorders>
          </w:tcPr>
          <w:p>
            <w:pPr>
              <w:pStyle w:val="TableParagraph"/>
              <w:spacing w:before="116"/>
              <w:ind w:left="146"/>
              <w:rPr>
                <w:b/>
                <w:sz w:val="20"/>
              </w:rPr>
            </w:pPr>
            <w:r>
              <w:rPr>
                <w:b/>
                <w:w w:val="100"/>
                <w:sz w:val="20"/>
              </w:rPr>
              <w:t>1</w:t>
            </w:r>
          </w:p>
          <w:p>
            <w:pPr>
              <w:pStyle w:val="TableParagraph"/>
              <w:spacing w:line="244" w:lineRule="auto"/>
              <w:ind w:left="146" w:right="4147"/>
              <w:rPr>
                <w:b/>
                <w:sz w:val="20"/>
              </w:rPr>
            </w:pPr>
            <w:r>
              <w:rPr>
                <w:b/>
                <w:sz w:val="20"/>
              </w:rPr>
              <w:t>Administrateur (AD) 2ème</w:t>
            </w:r>
            <w:r>
              <w:rPr>
                <w:b/>
                <w:spacing w:val="-13"/>
                <w:sz w:val="20"/>
              </w:rPr>
              <w:t> </w:t>
            </w:r>
            <w:r>
              <w:rPr>
                <w:b/>
                <w:sz w:val="20"/>
              </w:rPr>
              <w:t>trimestre</w:t>
            </w:r>
            <w:r>
              <w:rPr>
                <w:b/>
                <w:spacing w:val="-12"/>
                <w:sz w:val="20"/>
              </w:rPr>
              <w:t> </w:t>
            </w:r>
            <w:r>
              <w:rPr>
                <w:b/>
                <w:sz w:val="20"/>
              </w:rPr>
              <w:t>20YY</w:t>
            </w:r>
            <w:r>
              <w:rPr>
                <w:b/>
                <w:sz w:val="20"/>
                <w:vertAlign w:val="superscript"/>
              </w:rPr>
              <w:t>1</w:t>
            </w:r>
            <w:r>
              <w:rPr>
                <w:b/>
                <w:sz w:val="20"/>
                <w:vertAlign w:val="baseline"/>
              </w:rPr>
              <w:t> 2 an(s)</w:t>
            </w:r>
            <w:r>
              <w:rPr>
                <w:b/>
                <w:sz w:val="20"/>
                <w:vertAlign w:val="superscript"/>
              </w:rPr>
              <w:t>1</w:t>
            </w:r>
          </w:p>
          <w:p>
            <w:pPr>
              <w:pStyle w:val="TableParagraph"/>
              <w:tabs>
                <w:tab w:pos="1552" w:val="left" w:leader="none"/>
                <w:tab w:pos="3345" w:val="left" w:leader="none"/>
              </w:tabs>
              <w:spacing w:line="235" w:lineRule="exact" w:before="0"/>
              <w:ind w:left="113"/>
              <w:rPr>
                <w:b/>
                <w:sz w:val="20"/>
              </w:rPr>
            </w:pPr>
            <w:r>
              <w:rPr>
                <w:rFonts w:ascii="Segoe UI Symbol" w:hAnsi="Segoe UI Symbol"/>
                <w:sz w:val="18"/>
              </w:rPr>
              <w:t>☑</w:t>
            </w:r>
            <w:r>
              <w:rPr>
                <w:rFonts w:ascii="Segoe UI Symbol" w:hAnsi="Segoe UI Symbol"/>
                <w:spacing w:val="14"/>
                <w:sz w:val="18"/>
              </w:rPr>
              <w:t> </w:t>
            </w:r>
            <w:r>
              <w:rPr>
                <w:b/>
                <w:spacing w:val="-2"/>
                <w:sz w:val="20"/>
              </w:rPr>
              <w:t>Bruxelles</w:t>
            </w:r>
            <w:r>
              <w:rPr>
                <w:b/>
                <w:sz w:val="20"/>
              </w:rPr>
              <w:tab/>
            </w:r>
            <w:r>
              <w:rPr>
                <w:rFonts w:ascii="Wingdings 2" w:hAnsi="Wingdings 2"/>
                <w:sz w:val="18"/>
              </w:rPr>
              <w:t></w:t>
            </w:r>
            <w:r>
              <w:rPr>
                <w:spacing w:val="19"/>
                <w:sz w:val="18"/>
              </w:rPr>
              <w:t> </w:t>
            </w:r>
            <w:r>
              <w:rPr>
                <w:b/>
                <w:spacing w:val="-2"/>
                <w:sz w:val="20"/>
              </w:rPr>
              <w:t>Luxembourg</w:t>
            </w:r>
            <w:r>
              <w:rPr>
                <w:b/>
                <w:sz w:val="20"/>
              </w:rPr>
              <w:tab/>
            </w:r>
            <w:r>
              <w:rPr>
                <w:rFonts w:ascii="Wingdings 2" w:hAnsi="Wingdings 2"/>
                <w:sz w:val="18"/>
              </w:rPr>
              <w:t></w:t>
            </w:r>
            <w:r>
              <w:rPr>
                <w:spacing w:val="17"/>
                <w:sz w:val="18"/>
              </w:rPr>
              <w:t> </w:t>
            </w:r>
            <w:r>
              <w:rPr>
                <w:b/>
                <w:sz w:val="20"/>
              </w:rPr>
              <w:t>Autre : </w:t>
            </w:r>
            <w:r>
              <w:rPr>
                <w:b/>
                <w:spacing w:val="-5"/>
                <w:sz w:val="20"/>
              </w:rPr>
              <w:t>…….</w:t>
            </w:r>
          </w:p>
        </w:tc>
      </w:tr>
      <w:tr>
        <w:trPr>
          <w:trHeight w:val="438" w:hRule="atLeast"/>
        </w:trPr>
        <w:tc>
          <w:tcPr>
            <w:tcW w:w="3071" w:type="dxa"/>
            <w:vMerge w:val="restart"/>
          </w:tcPr>
          <w:p>
            <w:pPr>
              <w:pStyle w:val="TableParagraph"/>
              <w:rPr>
                <w:b/>
                <w:sz w:val="20"/>
              </w:rPr>
            </w:pPr>
            <w:r>
              <w:rPr>
                <w:b/>
                <w:sz w:val="20"/>
              </w:rPr>
              <w:t>Particularités</w:t>
            </w:r>
            <w:r>
              <w:rPr>
                <w:b/>
                <w:spacing w:val="-1"/>
                <w:sz w:val="20"/>
              </w:rPr>
              <w:t> </w:t>
            </w:r>
            <w:r>
              <w:rPr>
                <w:b/>
                <w:spacing w:val="-10"/>
                <w:sz w:val="20"/>
              </w:rPr>
              <w:t>:</w:t>
            </w:r>
          </w:p>
        </w:tc>
        <w:tc>
          <w:tcPr>
            <w:tcW w:w="2021" w:type="dxa"/>
            <w:tcBorders>
              <w:right w:val="nil"/>
            </w:tcBorders>
          </w:tcPr>
          <w:p>
            <w:pPr>
              <w:pStyle w:val="TableParagraph"/>
              <w:spacing w:before="98"/>
              <w:ind w:left="108"/>
              <w:rPr>
                <w:b/>
                <w:sz w:val="20"/>
              </w:rPr>
            </w:pPr>
            <w:r>
              <w:rPr>
                <w:rFonts w:ascii="Segoe UI Symbol" w:hAnsi="Segoe UI Symbol"/>
                <w:sz w:val="18"/>
              </w:rPr>
              <w:t>☑</w:t>
            </w:r>
            <w:r>
              <w:rPr>
                <w:rFonts w:ascii="Segoe UI Symbol" w:hAnsi="Segoe UI Symbol"/>
                <w:spacing w:val="50"/>
                <w:sz w:val="18"/>
              </w:rPr>
              <w:t> </w:t>
            </w:r>
            <w:r>
              <w:rPr>
                <w:b/>
                <w:sz w:val="20"/>
              </w:rPr>
              <w:t>Avec</w:t>
            </w:r>
            <w:r>
              <w:rPr>
                <w:b/>
                <w:spacing w:val="1"/>
                <w:sz w:val="20"/>
              </w:rPr>
              <w:t> </w:t>
            </w:r>
            <w:r>
              <w:rPr>
                <w:b/>
                <w:spacing w:val="-2"/>
                <w:sz w:val="20"/>
              </w:rPr>
              <w:t>indemnités</w:t>
            </w:r>
          </w:p>
        </w:tc>
        <w:tc>
          <w:tcPr>
            <w:tcW w:w="4219" w:type="dxa"/>
            <w:tcBorders>
              <w:left w:val="nil"/>
            </w:tcBorders>
          </w:tcPr>
          <w:p>
            <w:pPr>
              <w:pStyle w:val="TableParagraph"/>
              <w:numPr>
                <w:ilvl w:val="0"/>
                <w:numId w:val="1"/>
              </w:numPr>
              <w:tabs>
                <w:tab w:pos="527" w:val="left" w:leader="none"/>
              </w:tabs>
              <w:spacing w:line="240" w:lineRule="auto" w:before="106" w:after="0"/>
              <w:ind w:left="526" w:right="0" w:hanging="275"/>
              <w:jc w:val="left"/>
              <w:rPr>
                <w:b/>
                <w:sz w:val="20"/>
              </w:rPr>
            </w:pPr>
            <w:r>
              <w:rPr>
                <w:b/>
                <w:sz w:val="20"/>
              </w:rPr>
              <w:t>SANS</w:t>
            </w:r>
            <w:r>
              <w:rPr>
                <w:b/>
                <w:spacing w:val="-2"/>
                <w:sz w:val="20"/>
              </w:rPr>
              <w:t> FRAIS</w:t>
            </w:r>
          </w:p>
        </w:tc>
      </w:tr>
      <w:tr>
        <w:trPr>
          <w:trHeight w:val="2161" w:hRule="atLeast"/>
        </w:trPr>
        <w:tc>
          <w:tcPr>
            <w:tcW w:w="3071" w:type="dxa"/>
            <w:vMerge/>
            <w:tcBorders>
              <w:top w:val="nil"/>
            </w:tcBorders>
          </w:tcPr>
          <w:p>
            <w:pPr>
              <w:rPr>
                <w:sz w:val="2"/>
                <w:szCs w:val="2"/>
              </w:rPr>
            </w:pPr>
          </w:p>
        </w:tc>
        <w:tc>
          <w:tcPr>
            <w:tcW w:w="6240" w:type="dxa"/>
            <w:gridSpan w:val="2"/>
          </w:tcPr>
          <w:p>
            <w:pPr>
              <w:pStyle w:val="TableParagraph"/>
              <w:ind w:left="108"/>
              <w:rPr>
                <w:b/>
                <w:sz w:val="20"/>
              </w:rPr>
            </w:pPr>
            <w:r>
              <w:rPr>
                <w:b/>
                <w:sz w:val="20"/>
              </w:rPr>
              <w:t>Cet</w:t>
            </w:r>
            <w:r>
              <w:rPr>
                <w:b/>
                <w:spacing w:val="1"/>
                <w:sz w:val="20"/>
              </w:rPr>
              <w:t> </w:t>
            </w:r>
            <w:r>
              <w:rPr>
                <w:b/>
                <w:sz w:val="20"/>
              </w:rPr>
              <w:t>avis est également </w:t>
            </w:r>
            <w:r>
              <w:rPr>
                <w:b/>
                <w:spacing w:val="-2"/>
                <w:sz w:val="20"/>
              </w:rPr>
              <w:t>ouvert</w:t>
            </w:r>
          </w:p>
          <w:p>
            <w:pPr>
              <w:pStyle w:val="TableParagraph"/>
              <w:numPr>
                <w:ilvl w:val="0"/>
                <w:numId w:val="2"/>
              </w:numPr>
              <w:tabs>
                <w:tab w:pos="470" w:val="left" w:leader="none"/>
                <w:tab w:pos="471" w:val="left" w:leader="none"/>
              </w:tabs>
              <w:spacing w:line="240" w:lineRule="auto" w:before="5" w:after="0"/>
              <w:ind w:left="470" w:right="0" w:hanging="363"/>
              <w:jc w:val="left"/>
              <w:rPr>
                <w:b/>
                <w:sz w:val="20"/>
              </w:rPr>
            </w:pPr>
            <w:r>
              <w:rPr>
                <w:b/>
                <w:sz w:val="20"/>
              </w:rPr>
              <w:t>aux</w:t>
            </w:r>
            <w:r>
              <w:rPr>
                <w:b/>
                <w:spacing w:val="1"/>
                <w:sz w:val="20"/>
              </w:rPr>
              <w:t> </w:t>
            </w:r>
            <w:r>
              <w:rPr>
                <w:b/>
                <w:sz w:val="20"/>
              </w:rPr>
              <w:t>pays</w:t>
            </w:r>
            <w:r>
              <w:rPr>
                <w:b/>
                <w:spacing w:val="1"/>
                <w:sz w:val="20"/>
              </w:rPr>
              <w:t> </w:t>
            </w:r>
            <w:r>
              <w:rPr>
                <w:b/>
                <w:sz w:val="20"/>
              </w:rPr>
              <w:t>AELE</w:t>
            </w:r>
            <w:r>
              <w:rPr>
                <w:b/>
                <w:spacing w:val="-1"/>
                <w:sz w:val="20"/>
              </w:rPr>
              <w:t> </w:t>
            </w:r>
            <w:r>
              <w:rPr>
                <w:b/>
                <w:sz w:val="20"/>
              </w:rPr>
              <w:t>suivants </w:t>
            </w:r>
            <w:r>
              <w:rPr>
                <w:b/>
                <w:spacing w:val="-10"/>
                <w:sz w:val="20"/>
              </w:rPr>
              <w:t>:</w:t>
            </w:r>
          </w:p>
          <w:p>
            <w:pPr>
              <w:pStyle w:val="TableParagraph"/>
              <w:numPr>
                <w:ilvl w:val="1"/>
                <w:numId w:val="2"/>
              </w:numPr>
              <w:tabs>
                <w:tab w:pos="1520" w:val="left" w:leader="none"/>
              </w:tabs>
              <w:spacing w:line="240" w:lineRule="auto" w:before="6" w:after="0"/>
              <w:ind w:left="1519" w:right="0" w:hanging="230"/>
              <w:jc w:val="left"/>
              <w:rPr>
                <w:b/>
                <w:sz w:val="20"/>
              </w:rPr>
            </w:pPr>
            <w:r>
              <w:rPr>
                <w:b/>
                <w:sz w:val="20"/>
              </w:rPr>
              <w:t>Islande</w:t>
            </w:r>
            <w:r>
              <w:rPr>
                <w:b/>
                <w:spacing w:val="-1"/>
                <w:sz w:val="20"/>
              </w:rPr>
              <w:t> </w:t>
            </w:r>
            <w:r>
              <w:rPr>
                <w:rFonts w:ascii="Wingdings 2" w:hAnsi="Wingdings 2"/>
                <w:sz w:val="20"/>
              </w:rPr>
              <w:t></w:t>
            </w:r>
            <w:r>
              <w:rPr>
                <w:sz w:val="20"/>
              </w:rPr>
              <w:t> </w:t>
            </w:r>
            <w:r>
              <w:rPr>
                <w:b/>
                <w:sz w:val="20"/>
              </w:rPr>
              <w:t>Liechtenstein</w:t>
            </w:r>
            <w:r>
              <w:rPr>
                <w:b/>
                <w:spacing w:val="1"/>
                <w:sz w:val="20"/>
              </w:rPr>
              <w:t> </w:t>
            </w:r>
            <w:r>
              <w:rPr>
                <w:rFonts w:ascii="Wingdings 2" w:hAnsi="Wingdings 2"/>
                <w:sz w:val="20"/>
              </w:rPr>
              <w:t></w:t>
            </w:r>
            <w:r>
              <w:rPr>
                <w:sz w:val="20"/>
              </w:rPr>
              <w:t> </w:t>
            </w:r>
            <w:r>
              <w:rPr>
                <w:b/>
                <w:sz w:val="20"/>
              </w:rPr>
              <w:t>Norvège </w:t>
            </w:r>
            <w:r>
              <w:rPr>
                <w:rFonts w:ascii="Wingdings 2" w:hAnsi="Wingdings 2"/>
                <w:sz w:val="20"/>
              </w:rPr>
              <w:t></w:t>
            </w:r>
            <w:r>
              <w:rPr>
                <w:sz w:val="20"/>
              </w:rPr>
              <w:t> </w:t>
            </w:r>
            <w:r>
              <w:rPr>
                <w:b/>
                <w:spacing w:val="-2"/>
                <w:sz w:val="20"/>
              </w:rPr>
              <w:t>Suisse</w:t>
            </w:r>
          </w:p>
          <w:p>
            <w:pPr>
              <w:pStyle w:val="TableParagraph"/>
              <w:numPr>
                <w:ilvl w:val="1"/>
                <w:numId w:val="2"/>
              </w:numPr>
              <w:tabs>
                <w:tab w:pos="1520" w:val="left" w:leader="none"/>
              </w:tabs>
              <w:spacing w:line="244" w:lineRule="auto" w:before="5" w:after="0"/>
              <w:ind w:left="1720" w:right="1688" w:hanging="431"/>
              <w:jc w:val="left"/>
              <w:rPr>
                <w:b/>
                <w:sz w:val="20"/>
              </w:rPr>
            </w:pPr>
            <w:r>
              <w:rPr>
                <w:b/>
                <w:sz w:val="20"/>
              </w:rPr>
              <w:t>Accord AELE-EEE in-Kind (Islande,</w:t>
            </w:r>
            <w:r>
              <w:rPr>
                <w:b/>
                <w:spacing w:val="-13"/>
                <w:sz w:val="20"/>
              </w:rPr>
              <w:t> </w:t>
            </w:r>
            <w:r>
              <w:rPr>
                <w:b/>
                <w:sz w:val="20"/>
              </w:rPr>
              <w:t>Liechtenstein,</w:t>
            </w:r>
            <w:r>
              <w:rPr>
                <w:b/>
                <w:spacing w:val="-12"/>
                <w:sz w:val="20"/>
              </w:rPr>
              <w:t> </w:t>
            </w:r>
            <w:r>
              <w:rPr>
                <w:b/>
                <w:sz w:val="20"/>
              </w:rPr>
              <w:t>Norvège)</w:t>
            </w:r>
          </w:p>
          <w:p>
            <w:pPr>
              <w:pStyle w:val="TableParagraph"/>
              <w:numPr>
                <w:ilvl w:val="0"/>
                <w:numId w:val="2"/>
              </w:numPr>
              <w:tabs>
                <w:tab w:pos="470" w:val="left" w:leader="none"/>
                <w:tab w:pos="471" w:val="left" w:leader="none"/>
              </w:tabs>
              <w:spacing w:line="229" w:lineRule="exact" w:before="1" w:after="0"/>
              <w:ind w:left="470" w:right="0" w:hanging="363"/>
              <w:jc w:val="left"/>
              <w:rPr>
                <w:b/>
                <w:sz w:val="20"/>
              </w:rPr>
            </w:pPr>
            <w:r>
              <w:rPr>
                <w:b/>
                <w:sz w:val="20"/>
              </w:rPr>
              <w:t>aux pays tiers </w:t>
            </w:r>
            <w:r>
              <w:rPr>
                <w:b/>
                <w:spacing w:val="-2"/>
                <w:sz w:val="20"/>
              </w:rPr>
              <w:t>suivants:</w:t>
            </w:r>
          </w:p>
          <w:p>
            <w:pPr>
              <w:pStyle w:val="TableParagraph"/>
              <w:tabs>
                <w:tab w:pos="464" w:val="left" w:leader="none"/>
              </w:tabs>
              <w:spacing w:line="244" w:lineRule="auto" w:before="0"/>
              <w:ind w:left="108" w:right="621"/>
              <w:rPr>
                <w:b/>
                <w:sz w:val="20"/>
              </w:rPr>
            </w:pPr>
            <w:r>
              <w:rPr>
                <w:rFonts w:ascii="Segoe UI Symbol" w:hAnsi="Segoe UI Symbol"/>
                <w:spacing w:val="-10"/>
                <w:sz w:val="18"/>
              </w:rPr>
              <w:t>☑</w:t>
            </w:r>
            <w:r>
              <w:rPr>
                <w:rFonts w:ascii="Segoe UI Symbol" w:hAnsi="Segoe UI Symbol"/>
                <w:sz w:val="18"/>
              </w:rPr>
              <w:tab/>
            </w:r>
            <w:r>
              <w:rPr>
                <w:b/>
                <w:sz w:val="20"/>
              </w:rPr>
              <w:t>aux</w:t>
            </w:r>
            <w:r>
              <w:rPr>
                <w:b/>
                <w:spacing w:val="-5"/>
                <w:sz w:val="20"/>
              </w:rPr>
              <w:t> </w:t>
            </w:r>
            <w:r>
              <w:rPr>
                <w:b/>
                <w:sz w:val="20"/>
              </w:rPr>
              <w:t>organisations</w:t>
            </w:r>
            <w:r>
              <w:rPr>
                <w:b/>
                <w:spacing w:val="-6"/>
                <w:sz w:val="20"/>
              </w:rPr>
              <w:t> </w:t>
            </w:r>
            <w:r>
              <w:rPr>
                <w:b/>
                <w:sz w:val="20"/>
              </w:rPr>
              <w:t>intergouvernementales</w:t>
            </w:r>
            <w:r>
              <w:rPr>
                <w:b/>
                <w:spacing w:val="-6"/>
                <w:sz w:val="20"/>
              </w:rPr>
              <w:t> </w:t>
            </w:r>
            <w:r>
              <w:rPr>
                <w:b/>
                <w:sz w:val="20"/>
              </w:rPr>
              <w:t>suivantes:</w:t>
            </w:r>
            <w:r>
              <w:rPr>
                <w:b/>
                <w:spacing w:val="-3"/>
                <w:sz w:val="20"/>
              </w:rPr>
              <w:t> </w:t>
            </w:r>
            <w:r>
              <w:rPr>
                <w:b/>
                <w:sz w:val="20"/>
              </w:rPr>
              <w:t>Banque mondiale, FMI, BERD...</w:t>
            </w:r>
          </w:p>
        </w:tc>
      </w:tr>
    </w:tbl>
    <w:p>
      <w:pPr>
        <w:pStyle w:val="BodyText"/>
        <w:spacing w:before="6"/>
        <w:rPr>
          <w:b/>
          <w:sz w:val="20"/>
        </w:rPr>
      </w:pPr>
    </w:p>
    <w:tbl>
      <w:tblPr>
        <w:tblW w:w="0" w:type="auto"/>
        <w:jc w:val="left"/>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392"/>
        <w:gridCol w:w="8916"/>
      </w:tblGrid>
      <w:tr>
        <w:trPr>
          <w:trHeight w:val="234" w:hRule="atLeast"/>
        </w:trPr>
        <w:tc>
          <w:tcPr>
            <w:tcW w:w="392" w:type="dxa"/>
          </w:tcPr>
          <w:p>
            <w:pPr>
              <w:pStyle w:val="TableParagraph"/>
              <w:spacing w:line="210" w:lineRule="exact"/>
              <w:ind w:left="107"/>
              <w:rPr>
                <w:b/>
                <w:sz w:val="20"/>
              </w:rPr>
            </w:pPr>
            <w:r>
              <w:rPr>
                <w:b/>
                <w:w w:val="100"/>
                <w:sz w:val="20"/>
              </w:rPr>
              <w:t>1</w:t>
            </w:r>
          </w:p>
        </w:tc>
        <w:tc>
          <w:tcPr>
            <w:tcW w:w="8916" w:type="dxa"/>
          </w:tcPr>
          <w:p>
            <w:pPr>
              <w:pStyle w:val="TableParagraph"/>
              <w:spacing w:line="210" w:lineRule="exact"/>
              <w:ind w:left="108"/>
              <w:rPr>
                <w:b/>
                <w:sz w:val="20"/>
              </w:rPr>
            </w:pPr>
            <w:r>
              <w:rPr>
                <w:b/>
                <w:sz w:val="20"/>
              </w:rPr>
              <w:t>Nature des fonctions</w:t>
            </w:r>
            <w:r>
              <w:rPr>
                <w:b/>
                <w:spacing w:val="2"/>
                <w:sz w:val="20"/>
              </w:rPr>
              <w:t> </w:t>
            </w:r>
            <w:r>
              <w:rPr>
                <w:b/>
                <w:spacing w:val="-10"/>
                <w:sz w:val="20"/>
              </w:rPr>
              <w:t>:</w:t>
            </w:r>
          </w:p>
        </w:tc>
      </w:tr>
      <w:tr>
        <w:trPr>
          <w:trHeight w:val="3816" w:hRule="atLeast"/>
        </w:trPr>
        <w:tc>
          <w:tcPr>
            <w:tcW w:w="9308" w:type="dxa"/>
            <w:gridSpan w:val="2"/>
            <w:tcBorders>
              <w:bottom w:val="nil"/>
            </w:tcBorders>
          </w:tcPr>
          <w:p>
            <w:pPr>
              <w:pStyle w:val="TableParagraph"/>
              <w:spacing w:before="0"/>
              <w:ind w:right="544"/>
              <w:jc w:val="both"/>
              <w:rPr>
                <w:sz w:val="22"/>
              </w:rPr>
            </w:pPr>
            <w:r>
              <w:rPr>
                <w:sz w:val="22"/>
              </w:rPr>
              <w:t>L’Unité B5 est en charge de différents instruments utilisés pour stimuler l’investissement public et privé dans la connectivité afin de soutenir les objectifs de la Décennie numérique. Plus spécifiquement, l’unité gère, en collaboration avec l’agence exécutive HaDEA, le volet numérique du programme de mécanisme pour l’interconnexion en Europe, Connecting Europe Facility (CEF), pour lequel 2 appels ont déjà été publiés. Dans le cadre du CEF, mais aussi au-delà, l’unité élabore et met en œuvre des politiques dans le domaine de la connectivité dorsale pour les passerelles numériques mondiales et celui de la connectivité</w:t>
            </w:r>
            <w:r>
              <w:rPr>
                <w:spacing w:val="-1"/>
                <w:sz w:val="22"/>
              </w:rPr>
              <w:t> </w:t>
            </w:r>
            <w:r>
              <w:rPr>
                <w:sz w:val="22"/>
              </w:rPr>
              <w:t>5G pour les communautés intelligentes. De plus, l’équipe est responsable pour l’exercice des droits de</w:t>
            </w:r>
            <w:r>
              <w:rPr>
                <w:spacing w:val="-1"/>
                <w:sz w:val="22"/>
              </w:rPr>
              <w:t> </w:t>
            </w:r>
            <w:r>
              <w:rPr>
                <w:sz w:val="22"/>
              </w:rPr>
              <w:t>la</w:t>
            </w:r>
            <w:r>
              <w:rPr>
                <w:spacing w:val="-1"/>
                <w:sz w:val="22"/>
              </w:rPr>
              <w:t> </w:t>
            </w:r>
            <w:r>
              <w:rPr>
                <w:sz w:val="22"/>
              </w:rPr>
              <w:t>Commission en</w:t>
            </w:r>
            <w:r>
              <w:rPr>
                <w:spacing w:val="-2"/>
                <w:sz w:val="22"/>
              </w:rPr>
              <w:t> </w:t>
            </w:r>
            <w:r>
              <w:rPr>
                <w:sz w:val="22"/>
              </w:rPr>
              <w:t>tant</w:t>
            </w:r>
            <w:r>
              <w:rPr>
                <w:spacing w:val="-1"/>
                <w:sz w:val="22"/>
              </w:rPr>
              <w:t> </w:t>
            </w:r>
            <w:r>
              <w:rPr>
                <w:sz w:val="22"/>
              </w:rPr>
              <w:t>qu’actionnaire</w:t>
            </w:r>
            <w:r>
              <w:rPr>
                <w:spacing w:val="-1"/>
                <w:sz w:val="22"/>
              </w:rPr>
              <w:t> </w:t>
            </w:r>
            <w:r>
              <w:rPr>
                <w:sz w:val="22"/>
              </w:rPr>
              <w:t>du</w:t>
            </w:r>
            <w:r>
              <w:rPr>
                <w:spacing w:val="-1"/>
                <w:sz w:val="22"/>
              </w:rPr>
              <w:t> </w:t>
            </w:r>
            <w:r>
              <w:rPr>
                <w:sz w:val="22"/>
              </w:rPr>
              <w:t>fonds</w:t>
            </w:r>
            <w:r>
              <w:rPr>
                <w:spacing w:val="-2"/>
                <w:sz w:val="22"/>
              </w:rPr>
              <w:t> </w:t>
            </w:r>
            <w:r>
              <w:rPr>
                <w:sz w:val="22"/>
              </w:rPr>
              <w:t>d’investissement</w:t>
            </w:r>
            <w:r>
              <w:rPr>
                <w:spacing w:val="-1"/>
                <w:sz w:val="22"/>
              </w:rPr>
              <w:t> </w:t>
            </w:r>
            <w:r>
              <w:rPr>
                <w:sz w:val="22"/>
              </w:rPr>
              <w:t>CEBF</w:t>
            </w:r>
            <w:r>
              <w:rPr>
                <w:spacing w:val="-2"/>
                <w:sz w:val="22"/>
              </w:rPr>
              <w:t> </w:t>
            </w:r>
            <w:r>
              <w:rPr>
                <w:sz w:val="22"/>
              </w:rPr>
              <w:t>(Connecting Europe Broadband Fund), ainsi que pour l’élaboration et la mise en œuvre des instruments financiers pour la connectivité.</w:t>
            </w:r>
          </w:p>
          <w:p>
            <w:pPr>
              <w:pStyle w:val="TableParagraph"/>
              <w:spacing w:before="9"/>
              <w:ind w:left="0"/>
              <w:rPr>
                <w:b/>
                <w:sz w:val="21"/>
              </w:rPr>
            </w:pPr>
          </w:p>
          <w:p>
            <w:pPr>
              <w:pStyle w:val="TableParagraph"/>
              <w:spacing w:line="254" w:lineRule="exact" w:before="1"/>
              <w:ind w:right="544"/>
              <w:jc w:val="both"/>
              <w:rPr>
                <w:sz w:val="22"/>
              </w:rPr>
            </w:pPr>
            <w:r>
              <w:rPr>
                <w:sz w:val="22"/>
              </w:rPr>
              <w:t>L’unité est en charge de la politique de déploiement de réseaux gigabit au moyen des ressources financières actuelles et futures de l’UE, telles que la Recovery and Resilience Facility</w:t>
            </w:r>
            <w:r>
              <w:rPr>
                <w:spacing w:val="56"/>
                <w:sz w:val="22"/>
              </w:rPr>
              <w:t> </w:t>
            </w:r>
            <w:r>
              <w:rPr>
                <w:sz w:val="22"/>
              </w:rPr>
              <w:t>(RRF),</w:t>
            </w:r>
            <w:r>
              <w:rPr>
                <w:spacing w:val="54"/>
                <w:sz w:val="22"/>
              </w:rPr>
              <w:t> </w:t>
            </w:r>
            <w:r>
              <w:rPr>
                <w:sz w:val="22"/>
              </w:rPr>
              <w:t>les</w:t>
            </w:r>
            <w:r>
              <w:rPr>
                <w:spacing w:val="53"/>
                <w:sz w:val="22"/>
              </w:rPr>
              <w:t> </w:t>
            </w:r>
            <w:r>
              <w:rPr>
                <w:sz w:val="22"/>
              </w:rPr>
              <w:t>Fonds</w:t>
            </w:r>
            <w:r>
              <w:rPr>
                <w:spacing w:val="53"/>
                <w:sz w:val="22"/>
              </w:rPr>
              <w:t> </w:t>
            </w:r>
            <w:r>
              <w:rPr>
                <w:sz w:val="22"/>
              </w:rPr>
              <w:t>structurels</w:t>
            </w:r>
            <w:r>
              <w:rPr>
                <w:spacing w:val="53"/>
                <w:sz w:val="22"/>
              </w:rPr>
              <w:t> </w:t>
            </w:r>
            <w:r>
              <w:rPr>
                <w:sz w:val="22"/>
              </w:rPr>
              <w:t>et</w:t>
            </w:r>
            <w:r>
              <w:rPr>
                <w:spacing w:val="53"/>
                <w:sz w:val="22"/>
              </w:rPr>
              <w:t> </w:t>
            </w:r>
            <w:r>
              <w:rPr>
                <w:sz w:val="22"/>
              </w:rPr>
              <w:t>de</w:t>
            </w:r>
            <w:r>
              <w:rPr>
                <w:spacing w:val="53"/>
                <w:sz w:val="22"/>
              </w:rPr>
              <w:t> </w:t>
            </w:r>
            <w:r>
              <w:rPr>
                <w:sz w:val="22"/>
              </w:rPr>
              <w:t>cohésion</w:t>
            </w:r>
            <w:r>
              <w:rPr>
                <w:spacing w:val="55"/>
                <w:sz w:val="22"/>
              </w:rPr>
              <w:t> </w:t>
            </w:r>
            <w:r>
              <w:rPr>
                <w:sz w:val="22"/>
              </w:rPr>
              <w:t>et</w:t>
            </w:r>
            <w:r>
              <w:rPr>
                <w:spacing w:val="53"/>
                <w:sz w:val="22"/>
              </w:rPr>
              <w:t> </w:t>
            </w:r>
            <w:r>
              <w:rPr>
                <w:sz w:val="22"/>
              </w:rPr>
              <w:t>InvestEU.</w:t>
            </w:r>
            <w:r>
              <w:rPr>
                <w:spacing w:val="59"/>
                <w:sz w:val="22"/>
              </w:rPr>
              <w:t> </w:t>
            </w:r>
            <w:r>
              <w:rPr>
                <w:sz w:val="22"/>
              </w:rPr>
              <w:t>L’unité</w:t>
            </w:r>
            <w:r>
              <w:rPr>
                <w:spacing w:val="53"/>
                <w:sz w:val="22"/>
              </w:rPr>
              <w:t> </w:t>
            </w:r>
            <w:r>
              <w:rPr>
                <w:sz w:val="22"/>
              </w:rPr>
              <w:t>est</w:t>
            </w:r>
            <w:r>
              <w:rPr>
                <w:spacing w:val="53"/>
                <w:sz w:val="22"/>
              </w:rPr>
              <w:t> </w:t>
            </w:r>
            <w:r>
              <w:rPr>
                <w:sz w:val="22"/>
              </w:rPr>
              <w:t>le</w:t>
            </w:r>
            <w:r>
              <w:rPr>
                <w:spacing w:val="53"/>
                <w:sz w:val="22"/>
              </w:rPr>
              <w:t> </w:t>
            </w:r>
            <w:r>
              <w:rPr>
                <w:spacing w:val="-2"/>
                <w:sz w:val="22"/>
              </w:rPr>
              <w:t>centre</w:t>
            </w:r>
          </w:p>
        </w:tc>
      </w:tr>
    </w:tbl>
    <w:p>
      <w:pPr>
        <w:pStyle w:val="BodyText"/>
        <w:spacing w:before="10"/>
        <w:rPr>
          <w:b/>
          <w:sz w:val="24"/>
        </w:rPr>
      </w:pPr>
      <w:r>
        <w:rPr/>
        <w:pict>
          <v:rect style="position:absolute;margin-left:90.019997pt;margin-top:15.52pt;width:144pt;height:.599980pt;mso-position-horizontal-relative:page;mso-position-vertical-relative:paragraph;z-index:-15728640;mso-wrap-distance-left:0;mso-wrap-distance-right:0" id="docshape2" filled="true" fillcolor="#000000" stroked="false">
            <v:fill type="solid"/>
            <w10:wrap type="topAndBottom"/>
          </v:rect>
        </w:pict>
      </w:r>
    </w:p>
    <w:p>
      <w:pPr>
        <w:spacing w:line="244" w:lineRule="auto" w:before="106"/>
        <w:ind w:left="220" w:right="0" w:firstLine="0"/>
        <w:jc w:val="left"/>
        <w:rPr>
          <w:sz w:val="20"/>
        </w:rPr>
      </w:pPr>
      <w:r>
        <w:rPr>
          <w:sz w:val="20"/>
          <w:vertAlign w:val="superscript"/>
        </w:rPr>
        <w:t>1</w:t>
      </w:r>
      <w:r>
        <w:rPr>
          <w:sz w:val="20"/>
          <w:vertAlign w:val="baseline"/>
        </w:rPr>
        <w:t> Les précisions liées à la date de prise de fonction et à la durée du détachement sont données à titre indicatif</w:t>
      </w:r>
      <w:r>
        <w:rPr>
          <w:spacing w:val="40"/>
          <w:sz w:val="20"/>
          <w:vertAlign w:val="baseline"/>
        </w:rPr>
        <w:t> </w:t>
      </w:r>
      <w:r>
        <w:rPr>
          <w:sz w:val="20"/>
          <w:vertAlign w:val="baseline"/>
        </w:rPr>
        <w:t>uniquement (article 4 de la décision END).</w:t>
      </w:r>
    </w:p>
    <w:p>
      <w:pPr>
        <w:spacing w:after="0" w:line="244" w:lineRule="auto"/>
        <w:jc w:val="left"/>
        <w:rPr>
          <w:sz w:val="20"/>
        </w:rPr>
        <w:sectPr>
          <w:headerReference w:type="default" r:id="rId5"/>
          <w:type w:val="continuous"/>
          <w:pgSz w:w="11910" w:h="16840"/>
          <w:pgMar w:header="708" w:footer="0" w:top="1360" w:bottom="280" w:left="1580" w:right="780"/>
          <w:pgNumType w:start="1"/>
        </w:sectPr>
      </w:pPr>
    </w:p>
    <w:p>
      <w:pPr>
        <w:pStyle w:val="BodyText"/>
        <w:spacing w:before="80"/>
        <w:ind w:left="612" w:right="681"/>
        <w:jc w:val="both"/>
      </w:pPr>
      <w:r>
        <w:rPr/>
        <w:pict>
          <v:shape style="position:absolute;margin-left:84.380005pt;margin-top:3.529487pt;width:465.95pt;height:467.7pt;mso-position-horizontal-relative:page;mso-position-vertical-relative:paragraph;z-index:-15840256" id="docshape3" coordorigin="1688,71" coordsize="9319,9354" path="m11006,9415l10997,9415,2094,9415,2085,9415,1707,9415,1697,9415,1688,9415,1688,9424,1697,9424,1707,9424,2085,9424,2094,9424,10997,9424,11006,9424,11006,9415xm11006,71l10997,71,2094,71,2085,71,1697,71,1688,71,1688,80,1688,9179,1688,9415,1697,9415,1697,9179,1697,80,2085,80,2094,80,10997,80,10997,9179,10997,9415,11006,9415,11006,9179,11006,80,11006,71xe" filled="true" fillcolor="#000000" stroked="false">
            <v:path arrowok="t"/>
            <v:fill type="solid"/>
            <w10:wrap type="none"/>
          </v:shape>
        </w:pict>
      </w:r>
      <w:r>
        <w:rPr/>
        <w:t>d’expertise de la DG Connect en matière de contrôle des aides d’État et travaille en étroite collaboration avec la DG Concurrence pour l’évaluation de la notification par les États membres des aides accordées à des projets de haut débit. Elle collabore également avec la Banque européenne d’investissement (BEI) en lui communiquant le point de vue de la Commission sur la compatibilité des projets candidats au financement de la BEI avec les politiques de l’Union.</w:t>
      </w:r>
    </w:p>
    <w:p>
      <w:pPr>
        <w:pStyle w:val="BodyText"/>
        <w:spacing w:before="10"/>
      </w:pPr>
    </w:p>
    <w:p>
      <w:pPr>
        <w:pStyle w:val="BodyText"/>
        <w:ind w:left="612"/>
        <w:jc w:val="both"/>
      </w:pPr>
      <w:r>
        <w:rPr/>
        <w:t>Les</w:t>
      </w:r>
      <w:r>
        <w:rPr>
          <w:spacing w:val="-10"/>
        </w:rPr>
        <w:t> </w:t>
      </w:r>
      <w:r>
        <w:rPr/>
        <w:t>tâches</w:t>
      </w:r>
      <w:r>
        <w:rPr>
          <w:spacing w:val="-9"/>
        </w:rPr>
        <w:t> </w:t>
      </w:r>
      <w:r>
        <w:rPr/>
        <w:t>consisteront</w:t>
      </w:r>
      <w:r>
        <w:rPr>
          <w:spacing w:val="-9"/>
        </w:rPr>
        <w:t> </w:t>
      </w:r>
      <w:r>
        <w:rPr/>
        <w:t>notamment</w:t>
      </w:r>
      <w:r>
        <w:rPr>
          <w:spacing w:val="-9"/>
        </w:rPr>
        <w:t> </w:t>
      </w:r>
      <w:r>
        <w:rPr>
          <w:spacing w:val="-5"/>
        </w:rPr>
        <w:t>à:</w:t>
      </w:r>
    </w:p>
    <w:p>
      <w:pPr>
        <w:pStyle w:val="BodyText"/>
        <w:spacing w:before="3"/>
      </w:pPr>
    </w:p>
    <w:p>
      <w:pPr>
        <w:pStyle w:val="ListParagraph"/>
        <w:numPr>
          <w:ilvl w:val="0"/>
          <w:numId w:val="3"/>
        </w:numPr>
        <w:tabs>
          <w:tab w:pos="762" w:val="left" w:leader="none"/>
        </w:tabs>
        <w:spacing w:line="240" w:lineRule="auto" w:before="0" w:after="0"/>
        <w:ind w:left="612" w:right="680" w:firstLine="0"/>
        <w:jc w:val="both"/>
        <w:rPr>
          <w:sz w:val="22"/>
        </w:rPr>
      </w:pPr>
      <w:r>
        <w:rPr>
          <w:sz w:val="22"/>
        </w:rPr>
        <w:t>Contribuer à l’élaboration et à la gestion des politiques et des instruments de financement liés aux réseaux gigabit et 5G, conformément aux objectifs fixés pour 2030 pour la Décennie numérique, notamment en ce qui concerne les aspects juridiques et/ou économiques des programmes de financement des subventions et les instruments financiers, y compris, en particulier, les aspects relatifs aux aides d’État et les modalités de mise en œuvre ;</w:t>
      </w:r>
    </w:p>
    <w:p>
      <w:pPr>
        <w:pStyle w:val="ListParagraph"/>
        <w:numPr>
          <w:ilvl w:val="0"/>
          <w:numId w:val="3"/>
        </w:numPr>
        <w:tabs>
          <w:tab w:pos="779" w:val="left" w:leader="none"/>
        </w:tabs>
        <w:spacing w:line="240" w:lineRule="auto" w:before="7" w:after="0"/>
        <w:ind w:left="612" w:right="686" w:firstLine="0"/>
        <w:jc w:val="both"/>
        <w:rPr>
          <w:sz w:val="22"/>
        </w:rPr>
      </w:pPr>
      <w:r>
        <w:rPr>
          <w:sz w:val="22"/>
        </w:rPr>
        <w:t>Élaborer une politique dans le domaine du financement des réseaux de communications électroniques, y compris au moyen de subventions et d’instruments financiers;</w:t>
      </w:r>
    </w:p>
    <w:p>
      <w:pPr>
        <w:pStyle w:val="ListParagraph"/>
        <w:numPr>
          <w:ilvl w:val="0"/>
          <w:numId w:val="3"/>
        </w:numPr>
        <w:tabs>
          <w:tab w:pos="763" w:val="left" w:leader="none"/>
        </w:tabs>
        <w:spacing w:line="240" w:lineRule="auto" w:before="3" w:after="0"/>
        <w:ind w:left="612" w:right="681" w:firstLine="0"/>
        <w:jc w:val="both"/>
        <w:rPr>
          <w:sz w:val="22"/>
        </w:rPr>
      </w:pPr>
      <w:r>
        <w:rPr>
          <w:sz w:val="22"/>
        </w:rPr>
        <w:t>Contribuer à la réflexion et produire en temps utile des résultats de qualité sur les futures orientations stratégiques et les questions horizontales et transversales concernant les réseaux de communications électroniques, notamment dans le contexte du prochain programme de travail du CEF et du prochain cadre financier pluriannuel (CFP);</w:t>
      </w:r>
    </w:p>
    <w:p>
      <w:pPr>
        <w:pStyle w:val="ListParagraph"/>
        <w:numPr>
          <w:ilvl w:val="0"/>
          <w:numId w:val="3"/>
        </w:numPr>
        <w:tabs>
          <w:tab w:pos="764" w:val="left" w:leader="none"/>
        </w:tabs>
        <w:spacing w:line="240" w:lineRule="auto" w:before="6" w:after="0"/>
        <w:ind w:left="612" w:right="688" w:firstLine="0"/>
        <w:jc w:val="both"/>
        <w:rPr>
          <w:sz w:val="22"/>
        </w:rPr>
      </w:pPr>
      <w:r>
        <w:rPr>
          <w:sz w:val="22"/>
        </w:rPr>
        <w:t>Contribuer à l’analyse technique, économique ou juridique des problèmes de déploiement des réseaux de communications électroniques ;</w:t>
      </w:r>
    </w:p>
    <w:p>
      <w:pPr>
        <w:pStyle w:val="ListParagraph"/>
        <w:numPr>
          <w:ilvl w:val="0"/>
          <w:numId w:val="3"/>
        </w:numPr>
        <w:tabs>
          <w:tab w:pos="777" w:val="left" w:leader="none"/>
        </w:tabs>
        <w:spacing w:line="240" w:lineRule="auto" w:before="3" w:after="0"/>
        <w:ind w:left="612" w:right="681" w:firstLine="0"/>
        <w:jc w:val="both"/>
        <w:rPr>
          <w:sz w:val="22"/>
        </w:rPr>
      </w:pPr>
      <w:r>
        <w:rPr>
          <w:sz w:val="22"/>
        </w:rPr>
        <w:t>Préparer des analyses et des recommandations sur les différents projets d’infrastructures numériques soutenus par le CEF, la RRF, l’EFSI et InvestEU, ainsi que sur les programmes</w:t>
      </w:r>
      <w:r>
        <w:rPr>
          <w:spacing w:val="40"/>
          <w:sz w:val="22"/>
        </w:rPr>
        <w:t> </w:t>
      </w:r>
      <w:r>
        <w:rPr>
          <w:sz w:val="22"/>
        </w:rPr>
        <w:t>et les plans nationaux/régionaux et leurs contributions potentielles à la réalisation des objectifs de la décennie numérique;</w:t>
      </w:r>
    </w:p>
    <w:p>
      <w:pPr>
        <w:pStyle w:val="ListParagraph"/>
        <w:numPr>
          <w:ilvl w:val="0"/>
          <w:numId w:val="3"/>
        </w:numPr>
        <w:tabs>
          <w:tab w:pos="781" w:val="left" w:leader="none"/>
        </w:tabs>
        <w:spacing w:line="240" w:lineRule="auto" w:before="5" w:after="0"/>
        <w:ind w:left="612" w:right="683" w:firstLine="0"/>
        <w:jc w:val="both"/>
        <w:rPr>
          <w:sz w:val="22"/>
        </w:rPr>
      </w:pPr>
      <w:r>
        <w:rPr>
          <w:sz w:val="22"/>
        </w:rPr>
        <w:t>Concevoir, superviser et gérer des études et des projets informatiques faisant l’objet de marchés passés par la Commission;</w:t>
      </w:r>
    </w:p>
    <w:p>
      <w:pPr>
        <w:pStyle w:val="ListParagraph"/>
        <w:numPr>
          <w:ilvl w:val="0"/>
          <w:numId w:val="3"/>
        </w:numPr>
        <w:tabs>
          <w:tab w:pos="755" w:val="left" w:leader="none"/>
        </w:tabs>
        <w:spacing w:line="240" w:lineRule="auto" w:before="4" w:after="0"/>
        <w:ind w:left="612" w:right="682" w:firstLine="0"/>
        <w:jc w:val="both"/>
        <w:rPr>
          <w:sz w:val="22"/>
        </w:rPr>
      </w:pPr>
      <w:r>
        <w:rPr>
          <w:sz w:val="22"/>
        </w:rPr>
        <w:t>Mettre en œuvre des actions spécifiques de la politique de la Commission dans le domaine de la connectivité ; et</w:t>
      </w:r>
    </w:p>
    <w:p>
      <w:pPr>
        <w:pStyle w:val="ListParagraph"/>
        <w:numPr>
          <w:ilvl w:val="0"/>
          <w:numId w:val="3"/>
        </w:numPr>
        <w:tabs>
          <w:tab w:pos="794" w:val="left" w:leader="none"/>
        </w:tabs>
        <w:spacing w:line="240" w:lineRule="auto" w:before="2" w:after="0"/>
        <w:ind w:left="612" w:right="681" w:firstLine="0"/>
        <w:jc w:val="both"/>
        <w:rPr>
          <w:sz w:val="22"/>
        </w:rPr>
      </w:pPr>
      <w:r>
        <w:rPr>
          <w:sz w:val="22"/>
        </w:rPr>
        <w:t>Représenter la Commission dans les contacts avec les parties prenantes (y compris la préparation et la participation à des conférences et à divers fora) de l’environnement des entreprises/utilisateurs et des autorités nationales ou régionales des États membres (par exemple, le réseau des bureaux de compétences en matière de haut débit).</w:t>
      </w:r>
    </w:p>
    <w:p>
      <w:pPr>
        <w:pStyle w:val="BodyText"/>
        <w:rPr>
          <w:sz w:val="20"/>
        </w:rPr>
      </w:pPr>
    </w:p>
    <w:p>
      <w:pPr>
        <w:pStyle w:val="BodyText"/>
        <w:rPr>
          <w:sz w:val="20"/>
        </w:rPr>
      </w:pPr>
    </w:p>
    <w:p>
      <w:pPr>
        <w:pStyle w:val="BodyText"/>
        <w:rPr>
          <w:sz w:val="20"/>
        </w:rPr>
      </w:pPr>
    </w:p>
    <w:p>
      <w:pPr>
        <w:pStyle w:val="BodyText"/>
        <w:spacing w:before="4"/>
        <w:rPr>
          <w:sz w:val="21"/>
        </w:rPr>
      </w:pPr>
    </w:p>
    <w:tbl>
      <w:tblPr>
        <w:tblW w:w="0" w:type="auto"/>
        <w:jc w:val="left"/>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392"/>
        <w:gridCol w:w="8916"/>
      </w:tblGrid>
      <w:tr>
        <w:trPr>
          <w:trHeight w:val="234" w:hRule="atLeast"/>
        </w:trPr>
        <w:tc>
          <w:tcPr>
            <w:tcW w:w="392" w:type="dxa"/>
          </w:tcPr>
          <w:p>
            <w:pPr>
              <w:pStyle w:val="TableParagraph"/>
              <w:spacing w:line="210" w:lineRule="exact"/>
              <w:ind w:left="107"/>
              <w:rPr>
                <w:b/>
                <w:sz w:val="20"/>
              </w:rPr>
            </w:pPr>
            <w:r>
              <w:rPr>
                <w:b/>
                <w:w w:val="100"/>
                <w:sz w:val="20"/>
              </w:rPr>
              <w:t>2</w:t>
            </w:r>
          </w:p>
        </w:tc>
        <w:tc>
          <w:tcPr>
            <w:tcW w:w="8916" w:type="dxa"/>
          </w:tcPr>
          <w:p>
            <w:pPr>
              <w:pStyle w:val="TableParagraph"/>
              <w:spacing w:line="210" w:lineRule="exact"/>
              <w:ind w:left="108"/>
              <w:rPr>
                <w:b/>
                <w:sz w:val="20"/>
              </w:rPr>
            </w:pPr>
            <w:r>
              <w:rPr>
                <w:b/>
                <w:sz w:val="20"/>
              </w:rPr>
              <w:t>Qualifications requises</w:t>
            </w:r>
            <w:r>
              <w:rPr>
                <w:b/>
                <w:spacing w:val="-1"/>
                <w:sz w:val="20"/>
              </w:rPr>
              <w:t> </w:t>
            </w:r>
            <w:r>
              <w:rPr>
                <w:b/>
                <w:spacing w:val="-10"/>
                <w:sz w:val="20"/>
              </w:rPr>
              <w:t>:</w:t>
            </w:r>
          </w:p>
        </w:tc>
      </w:tr>
      <w:tr>
        <w:trPr>
          <w:trHeight w:val="4069" w:hRule="atLeast"/>
        </w:trPr>
        <w:tc>
          <w:tcPr>
            <w:tcW w:w="9308" w:type="dxa"/>
            <w:gridSpan w:val="2"/>
            <w:tcBorders>
              <w:bottom w:val="nil"/>
            </w:tcBorders>
          </w:tcPr>
          <w:p>
            <w:pPr>
              <w:pStyle w:val="TableParagraph"/>
              <w:numPr>
                <w:ilvl w:val="0"/>
                <w:numId w:val="4"/>
              </w:numPr>
              <w:tabs>
                <w:tab w:pos="739" w:val="left" w:leader="none"/>
              </w:tabs>
              <w:spacing w:line="253" w:lineRule="exact" w:before="0" w:after="0"/>
              <w:ind w:left="738" w:right="0" w:hanging="239"/>
              <w:jc w:val="both"/>
              <w:rPr>
                <w:i/>
                <w:sz w:val="22"/>
              </w:rPr>
            </w:pPr>
            <w:r>
              <w:rPr>
                <w:i/>
                <w:sz w:val="22"/>
              </w:rPr>
              <w:t>Critères</w:t>
            </w:r>
            <w:r>
              <w:rPr>
                <w:i/>
                <w:spacing w:val="-9"/>
                <w:sz w:val="22"/>
              </w:rPr>
              <w:t> </w:t>
            </w:r>
            <w:r>
              <w:rPr>
                <w:i/>
                <w:spacing w:val="-2"/>
                <w:sz w:val="22"/>
              </w:rPr>
              <w:t>d’éligibilité</w:t>
            </w:r>
          </w:p>
          <w:p>
            <w:pPr>
              <w:pStyle w:val="TableParagraph"/>
              <w:spacing w:before="0"/>
              <w:ind w:right="545"/>
              <w:jc w:val="both"/>
              <w:rPr>
                <w:sz w:val="22"/>
              </w:rPr>
            </w:pPr>
            <w:r>
              <w:rPr>
                <w:sz w:val="22"/>
              </w:rPr>
              <w:t>Afin d'être détaché auprès de la Commission, le candidat doit satisfaire aux critères d’éligibilité suivants. Tout candidat ne remplissant aucun de ces critères sera automatiquement éliminé de la procédure de sélection.</w:t>
            </w:r>
          </w:p>
          <w:p>
            <w:pPr>
              <w:pStyle w:val="TableParagraph"/>
              <w:numPr>
                <w:ilvl w:val="1"/>
                <w:numId w:val="4"/>
              </w:numPr>
              <w:tabs>
                <w:tab w:pos="655" w:val="left" w:leader="none"/>
              </w:tabs>
              <w:spacing w:line="240" w:lineRule="auto" w:before="4" w:after="0"/>
              <w:ind w:left="500" w:right="545" w:firstLine="0"/>
              <w:jc w:val="both"/>
              <w:rPr>
                <w:sz w:val="22"/>
              </w:rPr>
            </w:pPr>
            <w:r>
              <w:rPr>
                <w:sz w:val="22"/>
              </w:rPr>
              <w:t>Expérience professionnelle: posséder une expérience professionnelle d’au moins trois ans dans des fonctions administratives, juridiques, scientifiques, techniques, de conseil ou de supervision pouvant être considérées comme équivalentes à celles du groupe de fonctions </w:t>
            </w:r>
            <w:r>
              <w:rPr>
                <w:spacing w:val="-4"/>
                <w:sz w:val="22"/>
              </w:rPr>
              <w:t>AD.</w:t>
            </w:r>
          </w:p>
          <w:p>
            <w:pPr>
              <w:pStyle w:val="TableParagraph"/>
              <w:numPr>
                <w:ilvl w:val="1"/>
                <w:numId w:val="4"/>
              </w:numPr>
              <w:tabs>
                <w:tab w:pos="650" w:val="left" w:leader="none"/>
              </w:tabs>
              <w:spacing w:line="240" w:lineRule="auto" w:before="6" w:after="0"/>
              <w:ind w:left="500" w:right="545" w:firstLine="0"/>
              <w:jc w:val="both"/>
              <w:rPr>
                <w:sz w:val="22"/>
              </w:rPr>
            </w:pPr>
            <w:r>
              <w:rPr>
                <w:sz w:val="22"/>
              </w:rPr>
              <w:t>Ancienneté: avoir une ancienneté d’au moins un an auprès de son employeur, c’est-à-dire être employé depuis au moins 12 mois avant le détachement par un employeur éligible (comme décrit à l’Article 1 de la décision END), sur une base contractuelle ou statutaire;</w:t>
            </w:r>
          </w:p>
          <w:p>
            <w:pPr>
              <w:pStyle w:val="TableParagraph"/>
              <w:numPr>
                <w:ilvl w:val="1"/>
                <w:numId w:val="4"/>
              </w:numPr>
              <w:tabs>
                <w:tab w:pos="690" w:val="left" w:leader="none"/>
              </w:tabs>
              <w:spacing w:line="250" w:lineRule="atLeast" w:before="0" w:after="0"/>
              <w:ind w:left="500" w:right="546" w:firstLine="0"/>
              <w:jc w:val="both"/>
              <w:rPr>
                <w:sz w:val="22"/>
              </w:rPr>
            </w:pPr>
            <w:r>
              <w:rPr>
                <w:sz w:val="22"/>
              </w:rPr>
              <w:t>Compétences linguistiques: avoir une connaissance approfondie d’une des langues de l’Union européenne et une connaissance satisfaisante d’une autre langue de l’Union européenne dans la mesure nécessaire aux fonctions à exercer. Tout END ressortissant d’un pays tiers doit démontrer qu’il possède une connaissance approfondie d’une langue de l’Union européenne nécessaire à l’accomplissement des tâches qui lui sont confiées.</w:t>
            </w:r>
          </w:p>
        </w:tc>
      </w:tr>
    </w:tbl>
    <w:p>
      <w:pPr>
        <w:spacing w:after="0" w:line="250" w:lineRule="atLeast"/>
        <w:jc w:val="both"/>
        <w:rPr>
          <w:sz w:val="22"/>
        </w:rPr>
        <w:sectPr>
          <w:pgSz w:w="11910" w:h="16840"/>
          <w:pgMar w:header="708" w:footer="0" w:top="1360" w:bottom="280" w:left="1580" w:right="780"/>
        </w:sectPr>
      </w:pPr>
    </w:p>
    <w:p>
      <w:pPr>
        <w:pStyle w:val="BodyText"/>
        <w:spacing w:before="1"/>
        <w:rPr>
          <w:sz w:val="6"/>
        </w:rPr>
      </w:pPr>
    </w:p>
    <w:p>
      <w:pPr>
        <w:pStyle w:val="BodyText"/>
        <w:ind w:left="107"/>
        <w:rPr>
          <w:sz w:val="20"/>
        </w:rPr>
      </w:pPr>
      <w:r>
        <w:rPr>
          <w:sz w:val="20"/>
        </w:rPr>
        <w:pict>
          <v:group style="width:465.95pt;height:306.1pt;mso-position-horizontal-relative:char;mso-position-vertical-relative:line" id="docshapegroup4" coordorigin="0,0" coordsize="9319,6122">
            <v:shape style="position:absolute;left:0;top:0;width:9319;height:6122" id="docshape5" coordorigin="0,0" coordsize="9319,6122" path="m10,3052l0,3052,0,3815,0,5596,0,5877,0,6112,10,6112,10,5877,10,5596,10,3815,10,3052xm10,0l0,0,0,508,0,1016,0,3052,10,3052,10,1016,10,508,10,0xm9319,6112l9309,6112,407,6112,397,6112,19,6112,10,6112,0,6112,0,6122,10,6122,19,6122,397,6122,407,6122,9309,6122,9319,6122,9319,6112xm9319,3052l9309,3052,9309,3815,9309,5596,9309,5877,9309,6112,9319,6112,9319,5877,9319,5596,9319,3815,9319,3052xm9319,0l9309,0,9309,508,9309,1016,9309,3052,9319,3052,9319,1016,9319,508,9319,0xe" filled="true" fillcolor="#000000" stroked="false">
              <v:path arrowok="t"/>
              <v:fill type="solid"/>
            </v:shape>
            <v:shape style="position:absolute;left:9;top:0;width:9300;height:6112" type="#_x0000_t202" id="docshape6" filled="false" stroked="false">
              <v:textbox inset="0,0,0,0">
                <w:txbxContent>
                  <w:p>
                    <w:pPr>
                      <w:spacing w:line="240" w:lineRule="auto" w:before="1"/>
                      <w:rPr>
                        <w:sz w:val="22"/>
                      </w:rPr>
                    </w:pPr>
                  </w:p>
                  <w:p>
                    <w:pPr>
                      <w:spacing w:before="0"/>
                      <w:ind w:left="495" w:right="0" w:firstLine="0"/>
                      <w:jc w:val="both"/>
                      <w:rPr>
                        <w:i/>
                        <w:sz w:val="22"/>
                      </w:rPr>
                    </w:pPr>
                    <w:r>
                      <w:rPr>
                        <w:i/>
                        <w:sz w:val="22"/>
                      </w:rPr>
                      <w:t>b)</w:t>
                    </w:r>
                    <w:r>
                      <w:rPr>
                        <w:i/>
                        <w:spacing w:val="-4"/>
                        <w:sz w:val="22"/>
                      </w:rPr>
                      <w:t> </w:t>
                    </w:r>
                    <w:r>
                      <w:rPr>
                        <w:i/>
                        <w:sz w:val="22"/>
                      </w:rPr>
                      <w:t>Critères</w:t>
                    </w:r>
                    <w:r>
                      <w:rPr>
                        <w:i/>
                        <w:spacing w:val="-5"/>
                        <w:sz w:val="22"/>
                      </w:rPr>
                      <w:t> </w:t>
                    </w:r>
                    <w:r>
                      <w:rPr>
                        <w:i/>
                        <w:sz w:val="22"/>
                      </w:rPr>
                      <w:t>de</w:t>
                    </w:r>
                    <w:r>
                      <w:rPr>
                        <w:i/>
                        <w:spacing w:val="-5"/>
                        <w:sz w:val="22"/>
                      </w:rPr>
                      <w:t> </w:t>
                    </w:r>
                    <w:r>
                      <w:rPr>
                        <w:i/>
                        <w:spacing w:val="-2"/>
                        <w:sz w:val="22"/>
                      </w:rPr>
                      <w:t>sélection</w:t>
                    </w:r>
                  </w:p>
                  <w:p>
                    <w:pPr>
                      <w:spacing w:before="0"/>
                      <w:ind w:left="495" w:right="551" w:firstLine="0"/>
                      <w:jc w:val="both"/>
                      <w:rPr>
                        <w:sz w:val="22"/>
                      </w:rPr>
                    </w:pPr>
                    <w:r>
                      <w:rPr>
                        <w:sz w:val="22"/>
                      </w:rPr>
                      <w:t>Diplôme universitaire, de préférence en économie, droit et/ou ingénierie</w:t>
                    </w:r>
                    <w:r>
                      <w:rPr>
                        <w:spacing w:val="-1"/>
                        <w:sz w:val="22"/>
                      </w:rPr>
                      <w:t> </w:t>
                    </w:r>
                    <w:r>
                      <w:rPr>
                        <w:sz w:val="22"/>
                      </w:rPr>
                      <w:t>des communications </w:t>
                    </w:r>
                    <w:r>
                      <w:rPr>
                        <w:spacing w:val="-2"/>
                        <w:sz w:val="22"/>
                      </w:rPr>
                      <w:t>életroniques.</w:t>
                    </w:r>
                  </w:p>
                  <w:p>
                    <w:pPr>
                      <w:spacing w:before="3"/>
                      <w:ind w:left="495" w:right="551" w:firstLine="0"/>
                      <w:jc w:val="both"/>
                      <w:rPr>
                        <w:sz w:val="22"/>
                      </w:rPr>
                    </w:pPr>
                    <w:r>
                      <w:rPr>
                        <w:sz w:val="22"/>
                      </w:rPr>
                      <w:t>Expérience professionnelle: connaissance approfondie du secteur des communications électroniques; expérience dans la coordination ou la gestion de projets de déploiement des TIC et/ou du haut débit; une expérience des processus politiques et administratifs et/ou de la gestion de programmes pertinents, ainsi qu’une bonne connaissance des procédures internes de la Commission; Une expérience des politiques de</w:t>
                    </w:r>
                    <w:r>
                      <w:rPr>
                        <w:spacing w:val="-1"/>
                        <w:sz w:val="22"/>
                      </w:rPr>
                      <w:t> </w:t>
                    </w:r>
                    <w:r>
                      <w:rPr>
                        <w:sz w:val="22"/>
                      </w:rPr>
                      <w:t>la</w:t>
                    </w:r>
                    <w:r>
                      <w:rPr>
                        <w:spacing w:val="-1"/>
                        <w:sz w:val="22"/>
                      </w:rPr>
                      <w:t> </w:t>
                    </w:r>
                    <w:r>
                      <w:rPr>
                        <w:sz w:val="22"/>
                      </w:rPr>
                      <w:t>DG</w:t>
                    </w:r>
                    <w:r>
                      <w:rPr>
                        <w:spacing w:val="-1"/>
                        <w:sz w:val="22"/>
                      </w:rPr>
                      <w:t> </w:t>
                    </w:r>
                    <w:r>
                      <w:rPr>
                        <w:sz w:val="22"/>
                      </w:rPr>
                      <w:t>CONNECT</w:t>
                    </w:r>
                    <w:r>
                      <w:rPr>
                        <w:spacing w:val="-1"/>
                        <w:sz w:val="22"/>
                      </w:rPr>
                      <w:t> </w:t>
                    </w:r>
                    <w:r>
                      <w:rPr>
                        <w:sz w:val="22"/>
                      </w:rPr>
                      <w:t>et/ou des</w:t>
                    </w:r>
                    <w:r>
                      <w:rPr>
                        <w:spacing w:val="-1"/>
                        <w:sz w:val="22"/>
                      </w:rPr>
                      <w:t> </w:t>
                    </w:r>
                    <w:r>
                      <w:rPr>
                        <w:sz w:val="22"/>
                      </w:rPr>
                      <w:t>instruments de financement , ainsi qu’une connaissance du cadre réglementaire et/ou des aides d’état de l’UE en faveur du secteur des télécommunications et du haut débit, constitueraient un atout </w:t>
                    </w:r>
                    <w:r>
                      <w:rPr>
                        <w:spacing w:val="-2"/>
                        <w:sz w:val="22"/>
                      </w:rPr>
                      <w:t>important.</w:t>
                    </w:r>
                  </w:p>
                  <w:p>
                    <w:pPr>
                      <w:spacing w:before="12"/>
                      <w:ind w:left="495" w:right="552" w:firstLine="0"/>
                      <w:jc w:val="both"/>
                      <w:rPr>
                        <w:sz w:val="22"/>
                      </w:rPr>
                    </w:pPr>
                    <w:r>
                      <w:rPr>
                        <w:sz w:val="22"/>
                      </w:rPr>
                      <w:t>Langue(s) nécessaire(s) pour l’accomplissement des tâches: une très bonne maîtrise de l’anglais et une capacité à rédiger des documents politiques et techniques clairs et convaincants sont nécessaires. Toute autre langue européenne serait un atout.</w:t>
                    </w:r>
                  </w:p>
                  <w:p>
                    <w:pPr>
                      <w:spacing w:before="4"/>
                      <w:ind w:left="495" w:right="550" w:firstLine="0"/>
                      <w:jc w:val="both"/>
                      <w:rPr>
                        <w:sz w:val="22"/>
                      </w:rPr>
                    </w:pPr>
                    <w:r>
                      <w:rPr>
                        <w:sz w:val="22"/>
                      </w:rPr>
                      <w:t>Fournir des résultats de haute qualité dans des délais serrés; capacité à identifier les problèmes, à proposer des solutions et à produire des résultats de qualité rapidement; bonnes capacités d’organisation et de communication et aptitude à travailler au sein d’une équipe pluridisciplinaire; esprit d’équipe, aptitude à travailler de manière autonome et à prendre des initiatives. Le candidat doit avoir la capacité d’acquérir rapidement de nouvelles compétences, quand nécessaire; Aptitude à travailler au sein d’une équipe pluridisciplinaire de spécialistes, bonnes compétences éditoriales.</w:t>
                    </w:r>
                  </w:p>
                </w:txbxContent>
              </v:textbox>
              <w10:wrap type="none"/>
            </v:shape>
          </v:group>
        </w:pict>
      </w:r>
      <w:r>
        <w:rPr>
          <w:sz w:val="20"/>
        </w:rPr>
      </w:r>
    </w:p>
    <w:p>
      <w:pPr>
        <w:pStyle w:val="BodyText"/>
        <w:spacing w:before="2"/>
        <w:rPr>
          <w:sz w:val="17"/>
        </w:rPr>
      </w:pPr>
    </w:p>
    <w:tbl>
      <w:tblPr>
        <w:tblW w:w="0" w:type="auto"/>
        <w:jc w:val="left"/>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392"/>
        <w:gridCol w:w="8916"/>
      </w:tblGrid>
      <w:tr>
        <w:trPr>
          <w:trHeight w:val="234" w:hRule="atLeast"/>
        </w:trPr>
        <w:tc>
          <w:tcPr>
            <w:tcW w:w="392" w:type="dxa"/>
          </w:tcPr>
          <w:p>
            <w:pPr>
              <w:pStyle w:val="TableParagraph"/>
              <w:spacing w:line="210" w:lineRule="exact"/>
              <w:ind w:left="107"/>
              <w:rPr>
                <w:b/>
                <w:sz w:val="20"/>
              </w:rPr>
            </w:pPr>
            <w:r>
              <w:rPr>
                <w:b/>
                <w:w w:val="100"/>
                <w:sz w:val="20"/>
              </w:rPr>
              <w:t>3</w:t>
            </w:r>
          </w:p>
        </w:tc>
        <w:tc>
          <w:tcPr>
            <w:tcW w:w="8916" w:type="dxa"/>
          </w:tcPr>
          <w:p>
            <w:pPr>
              <w:pStyle w:val="TableParagraph"/>
              <w:spacing w:line="210" w:lineRule="exact"/>
              <w:ind w:left="108"/>
              <w:rPr>
                <w:b/>
                <w:sz w:val="20"/>
              </w:rPr>
            </w:pPr>
            <w:r>
              <w:rPr>
                <w:b/>
                <w:sz w:val="20"/>
              </w:rPr>
              <w:t>Soumission</w:t>
            </w:r>
            <w:r>
              <w:rPr>
                <w:b/>
                <w:spacing w:val="-1"/>
                <w:sz w:val="20"/>
              </w:rPr>
              <w:t> </w:t>
            </w:r>
            <w:r>
              <w:rPr>
                <w:b/>
                <w:sz w:val="20"/>
              </w:rPr>
              <w:t>des candidatures</w:t>
            </w:r>
            <w:r>
              <w:rPr>
                <w:b/>
                <w:spacing w:val="1"/>
                <w:sz w:val="20"/>
              </w:rPr>
              <w:t> </w:t>
            </w:r>
            <w:r>
              <w:rPr>
                <w:b/>
                <w:sz w:val="20"/>
              </w:rPr>
              <w:t>et</w:t>
            </w:r>
            <w:r>
              <w:rPr>
                <w:b/>
                <w:spacing w:val="1"/>
                <w:sz w:val="20"/>
              </w:rPr>
              <w:t> </w:t>
            </w:r>
            <w:r>
              <w:rPr>
                <w:b/>
                <w:sz w:val="20"/>
              </w:rPr>
              <w:t>procédure de </w:t>
            </w:r>
            <w:r>
              <w:rPr>
                <w:b/>
                <w:spacing w:val="-2"/>
                <w:sz w:val="20"/>
              </w:rPr>
              <w:t>sélection</w:t>
            </w:r>
          </w:p>
        </w:tc>
      </w:tr>
      <w:tr>
        <w:trPr>
          <w:trHeight w:val="2589" w:hRule="atLeast"/>
        </w:trPr>
        <w:tc>
          <w:tcPr>
            <w:tcW w:w="9308" w:type="dxa"/>
            <w:gridSpan w:val="2"/>
          </w:tcPr>
          <w:p>
            <w:pPr>
              <w:pStyle w:val="TableParagraph"/>
              <w:spacing w:before="9"/>
              <w:ind w:left="0"/>
              <w:rPr>
                <w:sz w:val="20"/>
              </w:rPr>
            </w:pPr>
          </w:p>
          <w:p>
            <w:pPr>
              <w:pStyle w:val="TableParagraph"/>
              <w:spacing w:line="244" w:lineRule="auto" w:before="0"/>
              <w:ind w:right="270"/>
              <w:jc w:val="both"/>
              <w:rPr>
                <w:sz w:val="20"/>
              </w:rPr>
            </w:pPr>
            <w:r>
              <w:rPr>
                <w:sz w:val="20"/>
              </w:rPr>
              <w:t>Les candidats doivent envoyer leur candidature sous format </w:t>
            </w:r>
            <w:r>
              <w:rPr>
                <w:b/>
                <w:sz w:val="20"/>
              </w:rPr>
              <w:t>CV Europass </w:t>
            </w:r>
            <w:r>
              <w:rPr>
                <w:sz w:val="20"/>
              </w:rPr>
              <w:t>(</w:t>
            </w:r>
            <w:hyperlink r:id="rId7">
              <w:r>
                <w:rPr>
                  <w:color w:val="0000FF"/>
                  <w:sz w:val="20"/>
                  <w:u w:val="single" w:color="0000FF"/>
                </w:rPr>
                <w:t>http://europass.cedefop.europa.eu/fr/documents/curriculum-vitae</w:t>
              </w:r>
            </w:hyperlink>
            <w:r>
              <w:rPr>
                <w:sz w:val="20"/>
              </w:rPr>
              <w:t>) en français, anglais ou allemand </w:t>
            </w:r>
            <w:r>
              <w:rPr>
                <w:b/>
                <w:sz w:val="20"/>
                <w:u w:val="single"/>
              </w:rPr>
              <w:t>uniquement à la Représentation Permanente / Mission diplomatique de leur pays auprès de l'UE</w:t>
            </w:r>
            <w:r>
              <w:rPr>
                <w:sz w:val="20"/>
              </w:rPr>
              <w:t>, qui transmettra les candidatures aux services de la Commission compétents dans les délais fixés par ces derniers. </w:t>
            </w:r>
            <w:r>
              <w:rPr>
                <w:b/>
                <w:sz w:val="20"/>
              </w:rPr>
              <w:t>Le non respect de cette procédure ou des délais invalidera automatiquement la candidature. </w:t>
            </w:r>
            <w:r>
              <w:rPr>
                <w:sz w:val="20"/>
              </w:rPr>
              <w:t>Les candidats sont priés de ne pas joindre à leur candidature d'autres documents (tels que copie de carte d'identité, copie des diplômes et attestations d'expérience professionnelle,…). Ces documents leur seront demandés, le cas échéant, à un stade ultérieur de la procédure de sélection.</w:t>
            </w:r>
          </w:p>
          <w:p>
            <w:pPr>
              <w:pStyle w:val="TableParagraph"/>
              <w:spacing w:before="6"/>
              <w:jc w:val="both"/>
              <w:rPr>
                <w:sz w:val="20"/>
              </w:rPr>
            </w:pPr>
            <w:r>
              <w:rPr>
                <w:sz w:val="20"/>
              </w:rPr>
              <w:t>Les</w:t>
            </w:r>
            <w:r>
              <w:rPr>
                <w:spacing w:val="-1"/>
                <w:sz w:val="20"/>
              </w:rPr>
              <w:t> </w:t>
            </w:r>
            <w:r>
              <w:rPr>
                <w:sz w:val="20"/>
              </w:rPr>
              <w:t>candidats seront informés</w:t>
            </w:r>
            <w:r>
              <w:rPr>
                <w:spacing w:val="-1"/>
                <w:sz w:val="20"/>
              </w:rPr>
              <w:t> </w:t>
            </w:r>
            <w:r>
              <w:rPr>
                <w:sz w:val="20"/>
              </w:rPr>
              <w:t>du</w:t>
            </w:r>
            <w:r>
              <w:rPr>
                <w:spacing w:val="2"/>
                <w:sz w:val="20"/>
              </w:rPr>
              <w:t> </w:t>
            </w:r>
            <w:r>
              <w:rPr>
                <w:sz w:val="20"/>
              </w:rPr>
              <w:t>suivi de leur</w:t>
            </w:r>
            <w:r>
              <w:rPr>
                <w:spacing w:val="-1"/>
                <w:sz w:val="20"/>
              </w:rPr>
              <w:t> </w:t>
            </w:r>
            <w:r>
              <w:rPr>
                <w:sz w:val="20"/>
              </w:rPr>
              <w:t>candidature par l'unité </w:t>
            </w:r>
            <w:r>
              <w:rPr>
                <w:spacing w:val="-2"/>
                <w:sz w:val="20"/>
              </w:rPr>
              <w:t>concernée.</w:t>
            </w:r>
          </w:p>
        </w:tc>
      </w:tr>
    </w:tbl>
    <w:p>
      <w:pPr>
        <w:pStyle w:val="BodyText"/>
        <w:spacing w:before="6"/>
        <w:rPr>
          <w:sz w:val="20"/>
        </w:rPr>
      </w:pPr>
    </w:p>
    <w:tbl>
      <w:tblPr>
        <w:tblW w:w="0" w:type="auto"/>
        <w:jc w:val="left"/>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392"/>
        <w:gridCol w:w="8916"/>
      </w:tblGrid>
      <w:tr>
        <w:trPr>
          <w:trHeight w:val="234" w:hRule="atLeast"/>
        </w:trPr>
        <w:tc>
          <w:tcPr>
            <w:tcW w:w="392" w:type="dxa"/>
          </w:tcPr>
          <w:p>
            <w:pPr>
              <w:pStyle w:val="TableParagraph"/>
              <w:spacing w:line="210" w:lineRule="exact"/>
              <w:ind w:left="107"/>
              <w:rPr>
                <w:b/>
                <w:sz w:val="20"/>
              </w:rPr>
            </w:pPr>
            <w:r>
              <w:rPr>
                <w:b/>
                <w:w w:val="100"/>
                <w:sz w:val="20"/>
              </w:rPr>
              <w:t>4</w:t>
            </w:r>
          </w:p>
        </w:tc>
        <w:tc>
          <w:tcPr>
            <w:tcW w:w="8916" w:type="dxa"/>
          </w:tcPr>
          <w:p>
            <w:pPr>
              <w:pStyle w:val="TableParagraph"/>
              <w:spacing w:line="210" w:lineRule="exact"/>
              <w:ind w:left="108"/>
              <w:rPr>
                <w:b/>
                <w:sz w:val="20"/>
              </w:rPr>
            </w:pPr>
            <w:r>
              <w:rPr>
                <w:b/>
                <w:sz w:val="20"/>
              </w:rPr>
              <w:t>Conditions du</w:t>
            </w:r>
            <w:r>
              <w:rPr>
                <w:b/>
                <w:spacing w:val="1"/>
                <w:sz w:val="20"/>
              </w:rPr>
              <w:t> </w:t>
            </w:r>
            <w:r>
              <w:rPr>
                <w:b/>
                <w:spacing w:val="-2"/>
                <w:sz w:val="20"/>
              </w:rPr>
              <w:t>détachement</w:t>
            </w:r>
          </w:p>
        </w:tc>
      </w:tr>
      <w:tr>
        <w:trPr>
          <w:trHeight w:val="3051" w:hRule="atLeast"/>
        </w:trPr>
        <w:tc>
          <w:tcPr>
            <w:tcW w:w="9308" w:type="dxa"/>
            <w:gridSpan w:val="2"/>
          </w:tcPr>
          <w:p>
            <w:pPr>
              <w:pStyle w:val="TableParagraph"/>
              <w:spacing w:before="9"/>
              <w:ind w:left="0"/>
              <w:rPr>
                <w:sz w:val="20"/>
              </w:rPr>
            </w:pPr>
          </w:p>
          <w:p>
            <w:pPr>
              <w:pStyle w:val="TableParagraph"/>
              <w:spacing w:line="244" w:lineRule="auto" w:before="0"/>
              <w:ind w:right="270"/>
              <w:jc w:val="both"/>
              <w:rPr>
                <w:sz w:val="20"/>
              </w:rPr>
            </w:pPr>
            <w:r>
              <w:rPr>
                <w:sz w:val="20"/>
              </w:rPr>
              <w:t>Les détachements sont régis par la </w:t>
            </w:r>
            <w:r>
              <w:rPr>
                <w:b/>
                <w:sz w:val="20"/>
              </w:rPr>
              <w:t>décision de la Commission C(2008)6866 du 12/11/2008 </w:t>
            </w:r>
            <w:r>
              <w:rPr>
                <w:sz w:val="20"/>
              </w:rPr>
              <w:t>relative au régime applicable aux experts nationaux détachés et aux experts nationaux en formation professionnelle auprès des services de la Commission (décision END). Le texte de cette décision est disponible sur </w:t>
            </w:r>
            <w:hyperlink r:id="rId8">
              <w:r>
                <w:rPr>
                  <w:color w:val="0000FF"/>
                  <w:spacing w:val="-2"/>
                  <w:sz w:val="20"/>
                  <w:u w:val="single" w:color="0000FF"/>
                </w:rPr>
                <w:t>http://ec.europa.eu/civil_service/job/sne/index_fr.htm</w:t>
              </w:r>
              <w:r>
                <w:rPr>
                  <w:spacing w:val="-2"/>
                  <w:sz w:val="20"/>
                </w:rPr>
                <w:t>.</w:t>
              </w:r>
            </w:hyperlink>
          </w:p>
          <w:p>
            <w:pPr>
              <w:pStyle w:val="TableParagraph"/>
              <w:spacing w:line="244" w:lineRule="auto" w:before="0"/>
              <w:ind w:right="278"/>
              <w:jc w:val="both"/>
              <w:rPr>
                <w:sz w:val="20"/>
              </w:rPr>
            </w:pPr>
            <w:r>
              <w:rPr>
                <w:sz w:val="20"/>
              </w:rPr>
              <w:t>L'END restera employé et rémunéré par son employeur durant toute la durée du détachement. Il restera également couvert par la sécurité sociale nationale durant son détachement.</w:t>
            </w:r>
          </w:p>
          <w:p>
            <w:pPr>
              <w:pStyle w:val="TableParagraph"/>
              <w:spacing w:line="244" w:lineRule="auto" w:before="0"/>
              <w:ind w:right="272"/>
              <w:jc w:val="both"/>
              <w:rPr>
                <w:sz w:val="20"/>
              </w:rPr>
            </w:pPr>
            <w:r>
              <w:rPr>
                <w:sz w:val="20"/>
              </w:rPr>
              <w:t>Sauf pour les END sans frais, des indemnités de séjour peuvent être versées à l'END qui en remplit les conditions conformément à</w:t>
            </w:r>
            <w:r>
              <w:rPr>
                <w:spacing w:val="40"/>
                <w:sz w:val="20"/>
              </w:rPr>
              <w:t> </w:t>
            </w:r>
            <w:r>
              <w:rPr>
                <w:sz w:val="20"/>
              </w:rPr>
              <w:t>l'article 17 de la décision END.</w:t>
            </w:r>
          </w:p>
          <w:p>
            <w:pPr>
              <w:pStyle w:val="TableParagraph"/>
              <w:spacing w:line="244" w:lineRule="auto" w:before="0"/>
              <w:ind w:right="270"/>
              <w:jc w:val="both"/>
              <w:rPr>
                <w:sz w:val="20"/>
              </w:rPr>
            </w:pPr>
            <w:r>
              <w:rPr>
                <w:sz w:val="20"/>
              </w:rPr>
              <w:t>Durant le détachement, l'END sera soumis aux obligations de confidentialité, de loyauté et d'absence de conflit d'intérêt prévues par les articles 6 et 7 de la décision END.</w:t>
            </w:r>
          </w:p>
          <w:p>
            <w:pPr>
              <w:pStyle w:val="TableParagraph"/>
              <w:spacing w:line="229" w:lineRule="exact" w:before="0"/>
              <w:jc w:val="both"/>
              <w:rPr>
                <w:sz w:val="20"/>
              </w:rPr>
            </w:pPr>
            <w:r>
              <w:rPr>
                <w:sz w:val="20"/>
              </w:rPr>
              <w:t>Toute</w:t>
            </w:r>
            <w:r>
              <w:rPr>
                <w:spacing w:val="-4"/>
                <w:sz w:val="20"/>
              </w:rPr>
              <w:t> </w:t>
            </w:r>
            <w:r>
              <w:rPr>
                <w:sz w:val="20"/>
              </w:rPr>
              <w:t>déclaration</w:t>
            </w:r>
            <w:r>
              <w:rPr>
                <w:spacing w:val="1"/>
                <w:sz w:val="20"/>
              </w:rPr>
              <w:t> </w:t>
            </w:r>
            <w:r>
              <w:rPr>
                <w:sz w:val="20"/>
              </w:rPr>
              <w:t>incomplète</w:t>
            </w:r>
            <w:r>
              <w:rPr>
                <w:spacing w:val="-1"/>
                <w:sz w:val="20"/>
              </w:rPr>
              <w:t> </w:t>
            </w:r>
            <w:r>
              <w:rPr>
                <w:sz w:val="20"/>
              </w:rPr>
              <w:t>ou</w:t>
            </w:r>
            <w:r>
              <w:rPr>
                <w:spacing w:val="-1"/>
                <w:sz w:val="20"/>
              </w:rPr>
              <w:t> </w:t>
            </w:r>
            <w:r>
              <w:rPr>
                <w:sz w:val="20"/>
              </w:rPr>
              <w:t>fausse pourra entraîner le</w:t>
            </w:r>
            <w:r>
              <w:rPr>
                <w:spacing w:val="-1"/>
                <w:sz w:val="20"/>
              </w:rPr>
              <w:t> </w:t>
            </w:r>
            <w:r>
              <w:rPr>
                <w:sz w:val="20"/>
              </w:rPr>
              <w:t>refus de la </w:t>
            </w:r>
            <w:r>
              <w:rPr>
                <w:spacing w:val="-2"/>
                <w:sz w:val="20"/>
              </w:rPr>
              <w:t>candidature.</w:t>
            </w:r>
          </w:p>
        </w:tc>
      </w:tr>
    </w:tbl>
    <w:p>
      <w:pPr>
        <w:pStyle w:val="BodyText"/>
        <w:spacing w:before="6"/>
        <w:rPr>
          <w:sz w:val="20"/>
        </w:rPr>
      </w:pPr>
    </w:p>
    <w:tbl>
      <w:tblPr>
        <w:tblW w:w="0" w:type="auto"/>
        <w:jc w:val="left"/>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392"/>
        <w:gridCol w:w="8930"/>
      </w:tblGrid>
      <w:tr>
        <w:trPr>
          <w:trHeight w:val="234" w:hRule="atLeast"/>
        </w:trPr>
        <w:tc>
          <w:tcPr>
            <w:tcW w:w="392" w:type="dxa"/>
          </w:tcPr>
          <w:p>
            <w:pPr>
              <w:pStyle w:val="TableParagraph"/>
              <w:spacing w:line="210" w:lineRule="exact"/>
              <w:ind w:left="107"/>
              <w:rPr>
                <w:b/>
                <w:sz w:val="20"/>
              </w:rPr>
            </w:pPr>
            <w:r>
              <w:rPr>
                <w:b/>
                <w:w w:val="100"/>
                <w:sz w:val="20"/>
              </w:rPr>
              <w:t>5</w:t>
            </w:r>
          </w:p>
        </w:tc>
        <w:tc>
          <w:tcPr>
            <w:tcW w:w="8930" w:type="dxa"/>
          </w:tcPr>
          <w:p>
            <w:pPr>
              <w:pStyle w:val="TableParagraph"/>
              <w:spacing w:line="210" w:lineRule="exact"/>
              <w:ind w:left="108"/>
              <w:rPr>
                <w:b/>
                <w:sz w:val="20"/>
              </w:rPr>
            </w:pPr>
            <w:r>
              <w:rPr>
                <w:b/>
                <w:sz w:val="20"/>
              </w:rPr>
              <w:t>Traitement</w:t>
            </w:r>
            <w:r>
              <w:rPr>
                <w:b/>
                <w:spacing w:val="-2"/>
                <w:sz w:val="20"/>
              </w:rPr>
              <w:t> </w:t>
            </w:r>
            <w:r>
              <w:rPr>
                <w:b/>
                <w:sz w:val="20"/>
              </w:rPr>
              <w:t>des données à caractère personnel</w:t>
            </w:r>
            <w:r>
              <w:rPr>
                <w:b/>
                <w:spacing w:val="1"/>
                <w:sz w:val="20"/>
              </w:rPr>
              <w:t> </w:t>
            </w:r>
            <w:r>
              <w:rPr>
                <w:b/>
                <w:spacing w:val="-10"/>
                <w:sz w:val="20"/>
              </w:rPr>
              <w:t>:</w:t>
            </w:r>
          </w:p>
        </w:tc>
      </w:tr>
      <w:tr>
        <w:trPr>
          <w:trHeight w:val="701" w:hRule="atLeast"/>
        </w:trPr>
        <w:tc>
          <w:tcPr>
            <w:tcW w:w="9322" w:type="dxa"/>
            <w:gridSpan w:val="2"/>
            <w:tcBorders>
              <w:bottom w:val="nil"/>
            </w:tcBorders>
          </w:tcPr>
          <w:p>
            <w:pPr>
              <w:pStyle w:val="TableParagraph"/>
              <w:spacing w:before="3"/>
              <w:ind w:left="0"/>
              <w:rPr>
                <w:sz w:val="19"/>
              </w:rPr>
            </w:pPr>
          </w:p>
          <w:p>
            <w:pPr>
              <w:pStyle w:val="TableParagraph"/>
              <w:spacing w:line="230" w:lineRule="atLeast" w:before="0"/>
              <w:rPr>
                <w:sz w:val="20"/>
              </w:rPr>
            </w:pPr>
            <w:r>
              <w:rPr>
                <w:sz w:val="20"/>
              </w:rPr>
              <w:t>Toute mise en œuvre de la</w:t>
            </w:r>
            <w:r>
              <w:rPr>
                <w:spacing w:val="-1"/>
                <w:sz w:val="20"/>
              </w:rPr>
              <w:t> </w:t>
            </w:r>
            <w:r>
              <w:rPr>
                <w:sz w:val="20"/>
              </w:rPr>
              <w:t>procédure de sélection, de détachement et</w:t>
            </w:r>
            <w:r>
              <w:rPr>
                <w:spacing w:val="-1"/>
                <w:sz w:val="20"/>
              </w:rPr>
              <w:t> </w:t>
            </w:r>
            <w:r>
              <w:rPr>
                <w:sz w:val="20"/>
              </w:rPr>
              <w:t>de fin de détachement des END aura pour</w:t>
            </w:r>
            <w:r>
              <w:rPr>
                <w:spacing w:val="5"/>
                <w:sz w:val="20"/>
              </w:rPr>
              <w:t> </w:t>
            </w:r>
            <w:r>
              <w:rPr>
                <w:sz w:val="20"/>
              </w:rPr>
              <w:t>effet</w:t>
            </w:r>
            <w:r>
              <w:rPr>
                <w:spacing w:val="5"/>
                <w:sz w:val="20"/>
              </w:rPr>
              <w:t> </w:t>
            </w:r>
            <w:r>
              <w:rPr>
                <w:sz w:val="20"/>
              </w:rPr>
              <w:t>le</w:t>
            </w:r>
            <w:r>
              <w:rPr>
                <w:spacing w:val="5"/>
                <w:sz w:val="20"/>
              </w:rPr>
              <w:t> </w:t>
            </w:r>
            <w:r>
              <w:rPr>
                <w:sz w:val="20"/>
              </w:rPr>
              <w:t>traitement,</w:t>
            </w:r>
            <w:r>
              <w:rPr>
                <w:spacing w:val="5"/>
                <w:sz w:val="20"/>
              </w:rPr>
              <w:t> </w:t>
            </w:r>
            <w:r>
              <w:rPr>
                <w:sz w:val="20"/>
              </w:rPr>
              <w:t>par</w:t>
            </w:r>
            <w:r>
              <w:rPr>
                <w:spacing w:val="6"/>
                <w:sz w:val="20"/>
              </w:rPr>
              <w:t> </w:t>
            </w:r>
            <w:r>
              <w:rPr>
                <w:sz w:val="20"/>
              </w:rPr>
              <w:t>les</w:t>
            </w:r>
            <w:r>
              <w:rPr>
                <w:spacing w:val="4"/>
                <w:sz w:val="20"/>
              </w:rPr>
              <w:t> </w:t>
            </w:r>
            <w:r>
              <w:rPr>
                <w:sz w:val="20"/>
              </w:rPr>
              <w:t>services</w:t>
            </w:r>
            <w:r>
              <w:rPr>
                <w:spacing w:val="4"/>
                <w:sz w:val="20"/>
              </w:rPr>
              <w:t> </w:t>
            </w:r>
            <w:r>
              <w:rPr>
                <w:sz w:val="20"/>
              </w:rPr>
              <w:t>compétents</w:t>
            </w:r>
            <w:r>
              <w:rPr>
                <w:spacing w:val="4"/>
                <w:sz w:val="20"/>
              </w:rPr>
              <w:t> </w:t>
            </w:r>
            <w:r>
              <w:rPr>
                <w:sz w:val="20"/>
              </w:rPr>
              <w:t>de</w:t>
            </w:r>
            <w:r>
              <w:rPr>
                <w:spacing w:val="4"/>
                <w:sz w:val="20"/>
              </w:rPr>
              <w:t> </w:t>
            </w:r>
            <w:r>
              <w:rPr>
                <w:sz w:val="20"/>
              </w:rPr>
              <w:t>la</w:t>
            </w:r>
            <w:r>
              <w:rPr>
                <w:spacing w:val="4"/>
                <w:sz w:val="20"/>
              </w:rPr>
              <w:t> </w:t>
            </w:r>
            <w:r>
              <w:rPr>
                <w:sz w:val="20"/>
              </w:rPr>
              <w:t>DG</w:t>
            </w:r>
            <w:r>
              <w:rPr>
                <w:spacing w:val="5"/>
                <w:sz w:val="20"/>
              </w:rPr>
              <w:t> </w:t>
            </w:r>
            <w:r>
              <w:rPr>
                <w:sz w:val="20"/>
              </w:rPr>
              <w:t>HR,</w:t>
            </w:r>
            <w:r>
              <w:rPr>
                <w:spacing w:val="4"/>
                <w:sz w:val="20"/>
              </w:rPr>
              <w:t> </w:t>
            </w:r>
            <w:r>
              <w:rPr>
                <w:sz w:val="20"/>
              </w:rPr>
              <w:t>du</w:t>
            </w:r>
            <w:r>
              <w:rPr>
                <w:spacing w:val="5"/>
                <w:sz w:val="20"/>
              </w:rPr>
              <w:t> </w:t>
            </w:r>
            <w:r>
              <w:rPr>
                <w:sz w:val="20"/>
              </w:rPr>
              <w:t>PMO,</w:t>
            </w:r>
            <w:r>
              <w:rPr>
                <w:spacing w:val="5"/>
                <w:sz w:val="20"/>
              </w:rPr>
              <w:t> </w:t>
            </w:r>
            <w:r>
              <w:rPr>
                <w:sz w:val="20"/>
              </w:rPr>
              <w:t>de</w:t>
            </w:r>
            <w:r>
              <w:rPr>
                <w:spacing w:val="4"/>
                <w:sz w:val="20"/>
              </w:rPr>
              <w:t> </w:t>
            </w:r>
            <w:r>
              <w:rPr>
                <w:sz w:val="20"/>
              </w:rPr>
              <w:t>la</w:t>
            </w:r>
            <w:r>
              <w:rPr>
                <w:spacing w:val="4"/>
                <w:sz w:val="20"/>
              </w:rPr>
              <w:t> </w:t>
            </w:r>
            <w:r>
              <w:rPr>
                <w:sz w:val="20"/>
              </w:rPr>
              <w:t>DG</w:t>
            </w:r>
            <w:r>
              <w:rPr>
                <w:spacing w:val="5"/>
                <w:sz w:val="20"/>
              </w:rPr>
              <w:t> </w:t>
            </w:r>
            <w:r>
              <w:rPr>
                <w:sz w:val="20"/>
              </w:rPr>
              <w:t>BUDG</w:t>
            </w:r>
            <w:r>
              <w:rPr>
                <w:spacing w:val="5"/>
                <w:sz w:val="20"/>
              </w:rPr>
              <w:t> </w:t>
            </w:r>
            <w:r>
              <w:rPr>
                <w:sz w:val="20"/>
              </w:rPr>
              <w:t>et</w:t>
            </w:r>
            <w:r>
              <w:rPr>
                <w:spacing w:val="3"/>
                <w:sz w:val="20"/>
              </w:rPr>
              <w:t> </w:t>
            </w:r>
            <w:r>
              <w:rPr>
                <w:sz w:val="20"/>
              </w:rPr>
              <w:t>de</w:t>
            </w:r>
            <w:r>
              <w:rPr>
                <w:spacing w:val="5"/>
                <w:sz w:val="20"/>
              </w:rPr>
              <w:t> </w:t>
            </w:r>
            <w:r>
              <w:rPr>
                <w:sz w:val="20"/>
              </w:rPr>
              <w:t>la</w:t>
            </w:r>
            <w:r>
              <w:rPr>
                <w:spacing w:val="4"/>
                <w:sz w:val="20"/>
              </w:rPr>
              <w:t> </w:t>
            </w:r>
            <w:r>
              <w:rPr>
                <w:spacing w:val="-5"/>
                <w:sz w:val="20"/>
              </w:rPr>
              <w:t>DG</w:t>
            </w:r>
          </w:p>
        </w:tc>
      </w:tr>
    </w:tbl>
    <w:p>
      <w:pPr>
        <w:spacing w:after="0" w:line="230" w:lineRule="atLeast"/>
        <w:rPr>
          <w:sz w:val="20"/>
        </w:rPr>
        <w:sectPr>
          <w:pgSz w:w="11910" w:h="16840"/>
          <w:pgMar w:header="708" w:footer="0" w:top="1360" w:bottom="280" w:left="1580" w:right="780"/>
        </w:sectPr>
      </w:pPr>
    </w:p>
    <w:p>
      <w:pPr>
        <w:pStyle w:val="BodyText"/>
        <w:spacing w:before="1"/>
        <w:rPr>
          <w:sz w:val="6"/>
        </w:rPr>
      </w:pPr>
    </w:p>
    <w:p>
      <w:pPr>
        <w:pStyle w:val="BodyText"/>
        <w:ind w:left="107"/>
        <w:rPr>
          <w:sz w:val="20"/>
        </w:rPr>
      </w:pPr>
      <w:r>
        <w:rPr>
          <w:sz w:val="20"/>
        </w:rPr>
        <w:pict>
          <v:shape style="width:466.15pt;height:205.8pt;mso-position-horizontal-relative:char;mso-position-vertical-relative:line" type="#_x0000_t202" id="docshape7" filled="false" stroked="true" strokeweight=".47998pt" strokecolor="#000000">
            <w10:anchorlock/>
            <v:textbox inset="0,0,0,0">
              <w:txbxContent>
                <w:p>
                  <w:pPr>
                    <w:spacing w:line="244" w:lineRule="auto" w:before="1"/>
                    <w:ind w:left="495" w:right="275" w:firstLine="0"/>
                    <w:jc w:val="both"/>
                    <w:rPr>
                      <w:sz w:val="20"/>
                    </w:rPr>
                  </w:pPr>
                  <w:r>
                    <w:rPr>
                      <w:sz w:val="20"/>
                    </w:rPr>
                    <w:t>concernée par le présent avis,</w:t>
                  </w:r>
                  <w:r>
                    <w:rPr>
                      <w:spacing w:val="36"/>
                      <w:sz w:val="20"/>
                    </w:rPr>
                    <w:t> </w:t>
                  </w:r>
                  <w:r>
                    <w:rPr>
                      <w:sz w:val="20"/>
                    </w:rPr>
                    <w:t>de données à caractère personnel relatives à l'END, sous la responsabilité</w:t>
                  </w:r>
                  <w:r>
                    <w:rPr>
                      <w:spacing w:val="40"/>
                      <w:sz w:val="20"/>
                    </w:rPr>
                    <w:t> </w:t>
                  </w:r>
                  <w:r>
                    <w:rPr>
                      <w:sz w:val="20"/>
                    </w:rPr>
                    <w:t>du chef de l'unité HR.B4. Ce traitement est basé sur la décision de la Commission relative aux END et est soumis au Règlement (CE) No 45/2001 du Parlement européen et du Conseil du 18 décembre 2000 relatif à la protection des personnes physiques à l'égard du traitement des données à caractère personnel par les institutions et organes communautaires et à la libre circulation de ces données.</w:t>
                  </w:r>
                </w:p>
                <w:p>
                  <w:pPr>
                    <w:spacing w:line="244" w:lineRule="auto" w:before="0"/>
                    <w:ind w:left="495" w:right="280" w:firstLine="0"/>
                    <w:jc w:val="both"/>
                    <w:rPr>
                      <w:sz w:val="20"/>
                    </w:rPr>
                  </w:pPr>
                  <w:r>
                    <w:rPr>
                      <w:sz w:val="20"/>
                    </w:rPr>
                    <w:t>Les données des END seront conservées pendant 10 ans à compter de la fin du détachement (2 ans pour</w:t>
                  </w:r>
                  <w:r>
                    <w:rPr>
                      <w:spacing w:val="40"/>
                      <w:sz w:val="20"/>
                    </w:rPr>
                    <w:t> </w:t>
                  </w:r>
                  <w:r>
                    <w:rPr>
                      <w:sz w:val="20"/>
                    </w:rPr>
                    <w:t>les END dont la candidature n'a pas été retenue ou a été retirée).</w:t>
                  </w:r>
                </w:p>
                <w:p>
                  <w:pPr>
                    <w:spacing w:line="244" w:lineRule="auto" w:before="0"/>
                    <w:ind w:left="495" w:right="275" w:firstLine="0"/>
                    <w:jc w:val="both"/>
                    <w:rPr>
                      <w:sz w:val="20"/>
                    </w:rPr>
                  </w:pPr>
                  <w:r>
                    <w:rPr>
                      <w:sz w:val="20"/>
                    </w:rPr>
                    <w:t>Le droit d’accès des personnes aux données les concernant, ainsi que de rectification de ces données, peut être exercé auprès du Responsable du traitement, conformément à l’article 13 du règlement relatif au traitement des données à caractère personnel. A tout moment, les candidats ont la possibilité de saisir le Contrôleur européen de la protection en envoyant un courriel à </w:t>
                  </w:r>
                  <w:hyperlink r:id="rId9">
                    <w:r>
                      <w:rPr>
                        <w:color w:val="0000FF"/>
                        <w:sz w:val="20"/>
                        <w:u w:val="single" w:color="0000FF"/>
                      </w:rPr>
                      <w:t>edps@edps.europa.eu</w:t>
                    </w:r>
                    <w:r>
                      <w:rPr>
                        <w:sz w:val="20"/>
                      </w:rPr>
                      <w:t>.</w:t>
                    </w:r>
                  </w:hyperlink>
                </w:p>
                <w:p>
                  <w:pPr>
                    <w:spacing w:line="244" w:lineRule="auto" w:before="0"/>
                    <w:ind w:left="495" w:right="61" w:firstLine="0"/>
                    <w:jc w:val="left"/>
                    <w:rPr>
                      <w:sz w:val="24"/>
                    </w:rPr>
                  </w:pPr>
                  <w:r>
                    <w:rPr>
                      <w:sz w:val="20"/>
                    </w:rPr>
                    <w:t>A</w:t>
                  </w:r>
                  <w:r>
                    <w:rPr>
                      <w:spacing w:val="20"/>
                      <w:sz w:val="20"/>
                    </w:rPr>
                    <w:t> </w:t>
                  </w:r>
                  <w:r>
                    <w:rPr>
                      <w:sz w:val="20"/>
                    </w:rPr>
                    <w:t>l'attention</w:t>
                  </w:r>
                  <w:r>
                    <w:rPr>
                      <w:spacing w:val="20"/>
                      <w:sz w:val="20"/>
                    </w:rPr>
                    <w:t> </w:t>
                  </w:r>
                  <w:r>
                    <w:rPr>
                      <w:sz w:val="20"/>
                    </w:rPr>
                    <w:t>des</w:t>
                  </w:r>
                  <w:r>
                    <w:rPr>
                      <w:spacing w:val="19"/>
                      <w:sz w:val="20"/>
                    </w:rPr>
                    <w:t> </w:t>
                  </w:r>
                  <w:r>
                    <w:rPr>
                      <w:sz w:val="20"/>
                    </w:rPr>
                    <w:t>candidats</w:t>
                  </w:r>
                  <w:r>
                    <w:rPr>
                      <w:spacing w:val="19"/>
                      <w:sz w:val="20"/>
                    </w:rPr>
                    <w:t> </w:t>
                  </w:r>
                  <w:r>
                    <w:rPr>
                      <w:sz w:val="20"/>
                    </w:rPr>
                    <w:t>des</w:t>
                  </w:r>
                  <w:r>
                    <w:rPr>
                      <w:spacing w:val="20"/>
                      <w:sz w:val="20"/>
                    </w:rPr>
                    <w:t> </w:t>
                  </w:r>
                  <w:r>
                    <w:rPr>
                      <w:sz w:val="20"/>
                    </w:rPr>
                    <w:t>pays</w:t>
                  </w:r>
                  <w:r>
                    <w:rPr>
                      <w:spacing w:val="19"/>
                      <w:sz w:val="20"/>
                    </w:rPr>
                    <w:t> </w:t>
                  </w:r>
                  <w:r>
                    <w:rPr>
                      <w:sz w:val="20"/>
                    </w:rPr>
                    <w:t>tiers</w:t>
                  </w:r>
                  <w:r>
                    <w:rPr>
                      <w:spacing w:val="19"/>
                      <w:sz w:val="20"/>
                    </w:rPr>
                    <w:t> </w:t>
                  </w:r>
                  <w:r>
                    <w:rPr>
                      <w:sz w:val="20"/>
                    </w:rPr>
                    <w:t>:</w:t>
                  </w:r>
                  <w:r>
                    <w:rPr>
                      <w:spacing w:val="19"/>
                      <w:sz w:val="20"/>
                    </w:rPr>
                    <w:t> </w:t>
                  </w:r>
                  <w:r>
                    <w:rPr>
                      <w:sz w:val="20"/>
                    </w:rPr>
                    <w:t>vos</w:t>
                  </w:r>
                  <w:r>
                    <w:rPr>
                      <w:spacing w:val="19"/>
                      <w:sz w:val="20"/>
                    </w:rPr>
                    <w:t> </w:t>
                  </w:r>
                  <w:r>
                    <w:rPr>
                      <w:sz w:val="20"/>
                    </w:rPr>
                    <w:t>données</w:t>
                  </w:r>
                  <w:r>
                    <w:rPr>
                      <w:spacing w:val="19"/>
                      <w:sz w:val="20"/>
                    </w:rPr>
                    <w:t> </w:t>
                  </w:r>
                  <w:r>
                    <w:rPr>
                      <w:sz w:val="20"/>
                    </w:rPr>
                    <w:t>à</w:t>
                  </w:r>
                  <w:r>
                    <w:rPr>
                      <w:spacing w:val="19"/>
                      <w:sz w:val="20"/>
                    </w:rPr>
                    <w:t> </w:t>
                  </w:r>
                  <w:r>
                    <w:rPr>
                      <w:sz w:val="20"/>
                    </w:rPr>
                    <w:t>caractère</w:t>
                  </w:r>
                  <w:r>
                    <w:rPr>
                      <w:spacing w:val="19"/>
                      <w:sz w:val="20"/>
                    </w:rPr>
                    <w:t> </w:t>
                  </w:r>
                  <w:r>
                    <w:rPr>
                      <w:sz w:val="20"/>
                    </w:rPr>
                    <w:t>personnel</w:t>
                  </w:r>
                  <w:r>
                    <w:rPr>
                      <w:spacing w:val="19"/>
                      <w:sz w:val="20"/>
                    </w:rPr>
                    <w:t> </w:t>
                  </w:r>
                  <w:r>
                    <w:rPr>
                      <w:sz w:val="20"/>
                    </w:rPr>
                    <w:t>peuvent</w:t>
                  </w:r>
                  <w:r>
                    <w:rPr>
                      <w:spacing w:val="19"/>
                      <w:sz w:val="20"/>
                    </w:rPr>
                    <w:t> </w:t>
                  </w:r>
                  <w:r>
                    <w:rPr>
                      <w:sz w:val="20"/>
                    </w:rPr>
                    <w:t>être</w:t>
                  </w:r>
                  <w:r>
                    <w:rPr>
                      <w:spacing w:val="19"/>
                      <w:sz w:val="20"/>
                    </w:rPr>
                    <w:t> </w:t>
                  </w:r>
                  <w:r>
                    <w:rPr>
                      <w:sz w:val="20"/>
                    </w:rPr>
                    <w:t>utilisées aux fins des vérifications nécessaires. Plus d'informations à l'adresse : </w:t>
                  </w:r>
                  <w:hyperlink r:id="rId10">
                    <w:r>
                      <w:rPr>
                        <w:color w:val="0000FF"/>
                        <w:spacing w:val="-2"/>
                        <w:sz w:val="20"/>
                        <w:u w:val="single" w:color="0000FF"/>
                      </w:rPr>
                      <w:t>http://ec.europa.eu/dgs/personnel_administration/security_fr.htm</w:t>
                    </w:r>
                  </w:hyperlink>
                  <w:r>
                    <w:rPr>
                      <w:spacing w:val="-2"/>
                      <w:sz w:val="24"/>
                    </w:rPr>
                    <w:t>.</w:t>
                  </w:r>
                </w:p>
                <w:p>
                  <w:pPr>
                    <w:spacing w:line="244" w:lineRule="auto" w:before="0"/>
                    <w:ind w:left="495" w:right="61" w:firstLine="0"/>
                    <w:jc w:val="left"/>
                    <w:rPr>
                      <w:sz w:val="20"/>
                    </w:rPr>
                  </w:pPr>
                  <w:r>
                    <w:rPr>
                      <w:sz w:val="20"/>
                    </w:rPr>
                    <w:t>Les informations sur le traitement des données personnelles au sein du JRC sont disponibles à l'adresse: </w:t>
                  </w:r>
                  <w:hyperlink r:id="rId11">
                    <w:r>
                      <w:rPr>
                        <w:color w:val="0000FF"/>
                        <w:spacing w:val="-2"/>
                        <w:sz w:val="20"/>
                        <w:u w:val="single" w:color="0000FF"/>
                      </w:rPr>
                      <w:t>http://ec.europa.eu/dgs/jrc/index.cfm?id=6270</w:t>
                    </w:r>
                    <w:r>
                      <w:rPr>
                        <w:spacing w:val="-2"/>
                        <w:sz w:val="20"/>
                      </w:rPr>
                      <w:t>.</w:t>
                    </w:r>
                  </w:hyperlink>
                </w:p>
              </w:txbxContent>
            </v:textbox>
            <v:stroke dashstyle="solid"/>
          </v:shape>
        </w:pict>
      </w:r>
      <w:r>
        <w:rPr>
          <w:sz w:val="20"/>
        </w:rPr>
      </w:r>
    </w:p>
    <w:sectPr>
      <w:pgSz w:w="11910" w:h="16840"/>
      <w:pgMar w:header="708" w:footer="0" w:top="1360" w:bottom="280" w:left="1580" w:right="78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Segoe UI Symbol">
    <w:altName w:val="Segoe UI Symbol"/>
    <w:charset w:val="0"/>
    <w:family w:val="swiss"/>
    <w:pitch w:val="variable"/>
  </w:font>
  <w:font w:name="Wingdings 2">
    <w:altName w:val="Wingdings 2"/>
    <w:charset w:val="2"/>
    <w:family w:val="roman"/>
    <w:pitch w:val="variable"/>
  </w:font>
</w:font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type id="_x0000_t202" o:spt="202" coordsize="21600,21600" path="m,l,21600r21600,l21600,xe">
          <v:stroke joinstyle="miter"/>
          <v:path gradientshapeok="t" o:connecttype="rect"/>
        </v:shapetype>
        <v:shape style="position:absolute;margin-left:501.380005pt;margin-top:35.568897pt;width:78.75pt;height:10.85pt;mso-position-horizontal-relative:page;mso-position-vertical-relative:page;z-index:-15840768" type="#_x0000_t202" id="docshape1" filled="false" stroked="false">
          <v:textbox inset="0,0,0,0">
            <w:txbxContent>
              <w:p>
                <w:pPr>
                  <w:spacing w:before="13"/>
                  <w:ind w:left="20" w:right="0" w:firstLine="0"/>
                  <w:jc w:val="left"/>
                  <w:rPr>
                    <w:b/>
                    <w:sz w:val="16"/>
                  </w:rPr>
                </w:pPr>
                <w:r>
                  <w:rPr>
                    <w:b/>
                    <w:sz w:val="16"/>
                  </w:rPr>
                  <w:t>Formulaire</w:t>
                </w:r>
                <w:r>
                  <w:rPr>
                    <w:b/>
                    <w:spacing w:val="-9"/>
                    <w:sz w:val="16"/>
                  </w:rPr>
                  <w:t> </w:t>
                </w:r>
                <w:r>
                  <w:rPr>
                    <w:b/>
                    <w:sz w:val="16"/>
                  </w:rPr>
                  <w:t>DG.1</w:t>
                </w:r>
                <w:r>
                  <w:rPr>
                    <w:b/>
                    <w:spacing w:val="-8"/>
                    <w:sz w:val="16"/>
                  </w:rPr>
                  <w:t> </w:t>
                </w:r>
                <w:r>
                  <w:rPr>
                    <w:b/>
                    <w:spacing w:val="-4"/>
                    <w:sz w:val="16"/>
                  </w:rPr>
                  <w:t>(FR)</w:t>
                </w:r>
              </w:p>
            </w:txbxContent>
          </v:textbox>
          <w10:wrap type="non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3">
    <w:multiLevelType w:val="hybridMultilevel"/>
    <w:lvl w:ilvl="0">
      <w:start w:val="1"/>
      <w:numFmt w:val="lowerLetter"/>
      <w:lvlText w:val="%1)"/>
      <w:lvlJc w:val="left"/>
      <w:pPr>
        <w:ind w:left="738" w:hanging="239"/>
        <w:jc w:val="left"/>
      </w:pPr>
      <w:rPr>
        <w:rFonts w:hint="default" w:ascii="Times New Roman" w:hAnsi="Times New Roman" w:eastAsia="Times New Roman" w:cs="Times New Roman"/>
        <w:b w:val="0"/>
        <w:bCs w:val="0"/>
        <w:i/>
        <w:iCs/>
        <w:w w:val="99"/>
        <w:sz w:val="22"/>
        <w:szCs w:val="22"/>
        <w:lang w:val="fr-FR" w:eastAsia="en-US" w:bidi="ar-SA"/>
      </w:rPr>
    </w:lvl>
    <w:lvl w:ilvl="1">
      <w:start w:val="0"/>
      <w:numFmt w:val="bullet"/>
      <w:lvlText w:val="•"/>
      <w:lvlJc w:val="left"/>
      <w:pPr>
        <w:ind w:left="500" w:hanging="155"/>
      </w:pPr>
      <w:rPr>
        <w:rFonts w:hint="default" w:ascii="Times New Roman" w:hAnsi="Times New Roman" w:eastAsia="Times New Roman" w:cs="Times New Roman"/>
        <w:b w:val="0"/>
        <w:bCs w:val="0"/>
        <w:i w:val="0"/>
        <w:iCs w:val="0"/>
        <w:w w:val="99"/>
        <w:sz w:val="22"/>
        <w:szCs w:val="22"/>
        <w:lang w:val="fr-FR" w:eastAsia="en-US" w:bidi="ar-SA"/>
      </w:rPr>
    </w:lvl>
    <w:lvl w:ilvl="2">
      <w:start w:val="0"/>
      <w:numFmt w:val="bullet"/>
      <w:lvlText w:val="•"/>
      <w:lvlJc w:val="left"/>
      <w:pPr>
        <w:ind w:left="1690" w:hanging="155"/>
      </w:pPr>
      <w:rPr>
        <w:rFonts w:hint="default"/>
        <w:lang w:val="fr-FR" w:eastAsia="en-US" w:bidi="ar-SA"/>
      </w:rPr>
    </w:lvl>
    <w:lvl w:ilvl="3">
      <w:start w:val="0"/>
      <w:numFmt w:val="bullet"/>
      <w:lvlText w:val="•"/>
      <w:lvlJc w:val="left"/>
      <w:pPr>
        <w:ind w:left="2641" w:hanging="155"/>
      </w:pPr>
      <w:rPr>
        <w:rFonts w:hint="default"/>
        <w:lang w:val="fr-FR" w:eastAsia="en-US" w:bidi="ar-SA"/>
      </w:rPr>
    </w:lvl>
    <w:lvl w:ilvl="4">
      <w:start w:val="0"/>
      <w:numFmt w:val="bullet"/>
      <w:lvlText w:val="•"/>
      <w:lvlJc w:val="left"/>
      <w:pPr>
        <w:ind w:left="3592" w:hanging="155"/>
      </w:pPr>
      <w:rPr>
        <w:rFonts w:hint="default"/>
        <w:lang w:val="fr-FR" w:eastAsia="en-US" w:bidi="ar-SA"/>
      </w:rPr>
    </w:lvl>
    <w:lvl w:ilvl="5">
      <w:start w:val="0"/>
      <w:numFmt w:val="bullet"/>
      <w:lvlText w:val="•"/>
      <w:lvlJc w:val="left"/>
      <w:pPr>
        <w:ind w:left="4543" w:hanging="155"/>
      </w:pPr>
      <w:rPr>
        <w:rFonts w:hint="default"/>
        <w:lang w:val="fr-FR" w:eastAsia="en-US" w:bidi="ar-SA"/>
      </w:rPr>
    </w:lvl>
    <w:lvl w:ilvl="6">
      <w:start w:val="0"/>
      <w:numFmt w:val="bullet"/>
      <w:lvlText w:val="•"/>
      <w:lvlJc w:val="left"/>
      <w:pPr>
        <w:ind w:left="5494" w:hanging="155"/>
      </w:pPr>
      <w:rPr>
        <w:rFonts w:hint="default"/>
        <w:lang w:val="fr-FR" w:eastAsia="en-US" w:bidi="ar-SA"/>
      </w:rPr>
    </w:lvl>
    <w:lvl w:ilvl="7">
      <w:start w:val="0"/>
      <w:numFmt w:val="bullet"/>
      <w:lvlText w:val="•"/>
      <w:lvlJc w:val="left"/>
      <w:pPr>
        <w:ind w:left="6445" w:hanging="155"/>
      </w:pPr>
      <w:rPr>
        <w:rFonts w:hint="default"/>
        <w:lang w:val="fr-FR" w:eastAsia="en-US" w:bidi="ar-SA"/>
      </w:rPr>
    </w:lvl>
    <w:lvl w:ilvl="8">
      <w:start w:val="0"/>
      <w:numFmt w:val="bullet"/>
      <w:lvlText w:val="•"/>
      <w:lvlJc w:val="left"/>
      <w:pPr>
        <w:ind w:left="7396" w:hanging="155"/>
      </w:pPr>
      <w:rPr>
        <w:rFonts w:hint="default"/>
        <w:lang w:val="fr-FR" w:eastAsia="en-US" w:bidi="ar-SA"/>
      </w:rPr>
    </w:lvl>
  </w:abstractNum>
  <w:abstractNum w:abstractNumId="2">
    <w:multiLevelType w:val="hybridMultilevel"/>
    <w:lvl w:ilvl="0">
      <w:start w:val="0"/>
      <w:numFmt w:val="bullet"/>
      <w:lvlText w:val="•"/>
      <w:lvlJc w:val="left"/>
      <w:pPr>
        <w:ind w:left="612" w:hanging="149"/>
      </w:pPr>
      <w:rPr>
        <w:rFonts w:hint="default" w:ascii="Times New Roman" w:hAnsi="Times New Roman" w:eastAsia="Times New Roman" w:cs="Times New Roman"/>
        <w:b w:val="0"/>
        <w:bCs w:val="0"/>
        <w:i w:val="0"/>
        <w:iCs w:val="0"/>
        <w:w w:val="99"/>
        <w:sz w:val="22"/>
        <w:szCs w:val="22"/>
        <w:lang w:val="fr-FR" w:eastAsia="en-US" w:bidi="ar-SA"/>
      </w:rPr>
    </w:lvl>
    <w:lvl w:ilvl="1">
      <w:start w:val="0"/>
      <w:numFmt w:val="bullet"/>
      <w:lvlText w:val="•"/>
      <w:lvlJc w:val="left"/>
      <w:pPr>
        <w:ind w:left="1512" w:hanging="149"/>
      </w:pPr>
      <w:rPr>
        <w:rFonts w:hint="default"/>
        <w:lang w:val="fr-FR" w:eastAsia="en-US" w:bidi="ar-SA"/>
      </w:rPr>
    </w:lvl>
    <w:lvl w:ilvl="2">
      <w:start w:val="0"/>
      <w:numFmt w:val="bullet"/>
      <w:lvlText w:val="•"/>
      <w:lvlJc w:val="left"/>
      <w:pPr>
        <w:ind w:left="2405" w:hanging="149"/>
      </w:pPr>
      <w:rPr>
        <w:rFonts w:hint="default"/>
        <w:lang w:val="fr-FR" w:eastAsia="en-US" w:bidi="ar-SA"/>
      </w:rPr>
    </w:lvl>
    <w:lvl w:ilvl="3">
      <w:start w:val="0"/>
      <w:numFmt w:val="bullet"/>
      <w:lvlText w:val="•"/>
      <w:lvlJc w:val="left"/>
      <w:pPr>
        <w:ind w:left="3297" w:hanging="149"/>
      </w:pPr>
      <w:rPr>
        <w:rFonts w:hint="default"/>
        <w:lang w:val="fr-FR" w:eastAsia="en-US" w:bidi="ar-SA"/>
      </w:rPr>
    </w:lvl>
    <w:lvl w:ilvl="4">
      <w:start w:val="0"/>
      <w:numFmt w:val="bullet"/>
      <w:lvlText w:val="•"/>
      <w:lvlJc w:val="left"/>
      <w:pPr>
        <w:ind w:left="4190" w:hanging="149"/>
      </w:pPr>
      <w:rPr>
        <w:rFonts w:hint="default"/>
        <w:lang w:val="fr-FR" w:eastAsia="en-US" w:bidi="ar-SA"/>
      </w:rPr>
    </w:lvl>
    <w:lvl w:ilvl="5">
      <w:start w:val="0"/>
      <w:numFmt w:val="bullet"/>
      <w:lvlText w:val="•"/>
      <w:lvlJc w:val="left"/>
      <w:pPr>
        <w:ind w:left="5083" w:hanging="149"/>
      </w:pPr>
      <w:rPr>
        <w:rFonts w:hint="default"/>
        <w:lang w:val="fr-FR" w:eastAsia="en-US" w:bidi="ar-SA"/>
      </w:rPr>
    </w:lvl>
    <w:lvl w:ilvl="6">
      <w:start w:val="0"/>
      <w:numFmt w:val="bullet"/>
      <w:lvlText w:val="•"/>
      <w:lvlJc w:val="left"/>
      <w:pPr>
        <w:ind w:left="5975" w:hanging="149"/>
      </w:pPr>
      <w:rPr>
        <w:rFonts w:hint="default"/>
        <w:lang w:val="fr-FR" w:eastAsia="en-US" w:bidi="ar-SA"/>
      </w:rPr>
    </w:lvl>
    <w:lvl w:ilvl="7">
      <w:start w:val="0"/>
      <w:numFmt w:val="bullet"/>
      <w:lvlText w:val="•"/>
      <w:lvlJc w:val="left"/>
      <w:pPr>
        <w:ind w:left="6868" w:hanging="149"/>
      </w:pPr>
      <w:rPr>
        <w:rFonts w:hint="default"/>
        <w:lang w:val="fr-FR" w:eastAsia="en-US" w:bidi="ar-SA"/>
      </w:rPr>
    </w:lvl>
    <w:lvl w:ilvl="8">
      <w:start w:val="0"/>
      <w:numFmt w:val="bullet"/>
      <w:lvlText w:val="•"/>
      <w:lvlJc w:val="left"/>
      <w:pPr>
        <w:ind w:left="7761" w:hanging="149"/>
      </w:pPr>
      <w:rPr>
        <w:rFonts w:hint="default"/>
        <w:lang w:val="fr-FR" w:eastAsia="en-US" w:bidi="ar-SA"/>
      </w:rPr>
    </w:lvl>
  </w:abstractNum>
  <w:abstractNum w:abstractNumId="1">
    <w:multiLevelType w:val="hybridMultilevel"/>
    <w:lvl w:ilvl="0">
      <w:start w:val="0"/>
      <w:numFmt w:val="bullet"/>
      <w:lvlText w:val=""/>
      <w:lvlJc w:val="left"/>
      <w:pPr>
        <w:ind w:left="470" w:hanging="363"/>
      </w:pPr>
      <w:rPr>
        <w:rFonts w:hint="default" w:ascii="Wingdings 2" w:hAnsi="Wingdings 2" w:eastAsia="Wingdings 2" w:cs="Wingdings 2"/>
        <w:b w:val="0"/>
        <w:bCs w:val="0"/>
        <w:i w:val="0"/>
        <w:iCs w:val="0"/>
        <w:w w:val="100"/>
        <w:sz w:val="18"/>
        <w:szCs w:val="18"/>
        <w:lang w:val="fr-FR" w:eastAsia="en-US" w:bidi="ar-SA"/>
      </w:rPr>
    </w:lvl>
    <w:lvl w:ilvl="1">
      <w:start w:val="0"/>
      <w:numFmt w:val="bullet"/>
      <w:lvlText w:val=""/>
      <w:lvlJc w:val="left"/>
      <w:pPr>
        <w:ind w:left="1720" w:hanging="230"/>
      </w:pPr>
      <w:rPr>
        <w:rFonts w:hint="default" w:ascii="Wingdings 2" w:hAnsi="Wingdings 2" w:eastAsia="Wingdings 2" w:cs="Wingdings 2"/>
        <w:b w:val="0"/>
        <w:bCs w:val="0"/>
        <w:i w:val="0"/>
        <w:iCs w:val="0"/>
        <w:w w:val="100"/>
        <w:sz w:val="20"/>
        <w:szCs w:val="20"/>
        <w:lang w:val="fr-FR" w:eastAsia="en-US" w:bidi="ar-SA"/>
      </w:rPr>
    </w:lvl>
    <w:lvl w:ilvl="2">
      <w:start w:val="0"/>
      <w:numFmt w:val="bullet"/>
      <w:lvlText w:val="•"/>
      <w:lvlJc w:val="left"/>
      <w:pPr>
        <w:ind w:left="2221" w:hanging="230"/>
      </w:pPr>
      <w:rPr>
        <w:rFonts w:hint="default"/>
        <w:lang w:val="fr-FR" w:eastAsia="en-US" w:bidi="ar-SA"/>
      </w:rPr>
    </w:lvl>
    <w:lvl w:ilvl="3">
      <w:start w:val="0"/>
      <w:numFmt w:val="bullet"/>
      <w:lvlText w:val="•"/>
      <w:lvlJc w:val="left"/>
      <w:pPr>
        <w:ind w:left="2722" w:hanging="230"/>
      </w:pPr>
      <w:rPr>
        <w:rFonts w:hint="default"/>
        <w:lang w:val="fr-FR" w:eastAsia="en-US" w:bidi="ar-SA"/>
      </w:rPr>
    </w:lvl>
    <w:lvl w:ilvl="4">
      <w:start w:val="0"/>
      <w:numFmt w:val="bullet"/>
      <w:lvlText w:val="•"/>
      <w:lvlJc w:val="left"/>
      <w:pPr>
        <w:ind w:left="3223" w:hanging="230"/>
      </w:pPr>
      <w:rPr>
        <w:rFonts w:hint="default"/>
        <w:lang w:val="fr-FR" w:eastAsia="en-US" w:bidi="ar-SA"/>
      </w:rPr>
    </w:lvl>
    <w:lvl w:ilvl="5">
      <w:start w:val="0"/>
      <w:numFmt w:val="bullet"/>
      <w:lvlText w:val="•"/>
      <w:lvlJc w:val="left"/>
      <w:pPr>
        <w:ind w:left="3724" w:hanging="230"/>
      </w:pPr>
      <w:rPr>
        <w:rFonts w:hint="default"/>
        <w:lang w:val="fr-FR" w:eastAsia="en-US" w:bidi="ar-SA"/>
      </w:rPr>
    </w:lvl>
    <w:lvl w:ilvl="6">
      <w:start w:val="0"/>
      <w:numFmt w:val="bullet"/>
      <w:lvlText w:val="•"/>
      <w:lvlJc w:val="left"/>
      <w:pPr>
        <w:ind w:left="4225" w:hanging="230"/>
      </w:pPr>
      <w:rPr>
        <w:rFonts w:hint="default"/>
        <w:lang w:val="fr-FR" w:eastAsia="en-US" w:bidi="ar-SA"/>
      </w:rPr>
    </w:lvl>
    <w:lvl w:ilvl="7">
      <w:start w:val="0"/>
      <w:numFmt w:val="bullet"/>
      <w:lvlText w:val="•"/>
      <w:lvlJc w:val="left"/>
      <w:pPr>
        <w:ind w:left="4726" w:hanging="230"/>
      </w:pPr>
      <w:rPr>
        <w:rFonts w:hint="default"/>
        <w:lang w:val="fr-FR" w:eastAsia="en-US" w:bidi="ar-SA"/>
      </w:rPr>
    </w:lvl>
    <w:lvl w:ilvl="8">
      <w:start w:val="0"/>
      <w:numFmt w:val="bullet"/>
      <w:lvlText w:val="•"/>
      <w:lvlJc w:val="left"/>
      <w:pPr>
        <w:ind w:left="5227" w:hanging="230"/>
      </w:pPr>
      <w:rPr>
        <w:rFonts w:hint="default"/>
        <w:lang w:val="fr-FR" w:eastAsia="en-US" w:bidi="ar-SA"/>
      </w:rPr>
    </w:lvl>
  </w:abstractNum>
  <w:abstractNum w:abstractNumId="0">
    <w:multiLevelType w:val="hybridMultilevel"/>
    <w:lvl w:ilvl="0">
      <w:start w:val="0"/>
      <w:numFmt w:val="bullet"/>
      <w:lvlText w:val=""/>
      <w:lvlJc w:val="left"/>
      <w:pPr>
        <w:ind w:left="526" w:hanging="275"/>
      </w:pPr>
      <w:rPr>
        <w:rFonts w:hint="default" w:ascii="Wingdings 2" w:hAnsi="Wingdings 2" w:eastAsia="Wingdings 2" w:cs="Wingdings 2"/>
        <w:b w:val="0"/>
        <w:bCs w:val="0"/>
        <w:i w:val="0"/>
        <w:iCs w:val="0"/>
        <w:w w:val="100"/>
        <w:sz w:val="18"/>
        <w:szCs w:val="18"/>
        <w:lang w:val="fr-FR" w:eastAsia="en-US" w:bidi="ar-SA"/>
      </w:rPr>
    </w:lvl>
    <w:lvl w:ilvl="1">
      <w:start w:val="0"/>
      <w:numFmt w:val="bullet"/>
      <w:lvlText w:val="•"/>
      <w:lvlJc w:val="left"/>
      <w:pPr>
        <w:ind w:left="889" w:hanging="275"/>
      </w:pPr>
      <w:rPr>
        <w:rFonts w:hint="default"/>
        <w:lang w:val="fr-FR" w:eastAsia="en-US" w:bidi="ar-SA"/>
      </w:rPr>
    </w:lvl>
    <w:lvl w:ilvl="2">
      <w:start w:val="0"/>
      <w:numFmt w:val="bullet"/>
      <w:lvlText w:val="•"/>
      <w:lvlJc w:val="left"/>
      <w:pPr>
        <w:ind w:left="1258" w:hanging="275"/>
      </w:pPr>
      <w:rPr>
        <w:rFonts w:hint="default"/>
        <w:lang w:val="fr-FR" w:eastAsia="en-US" w:bidi="ar-SA"/>
      </w:rPr>
    </w:lvl>
    <w:lvl w:ilvl="3">
      <w:start w:val="0"/>
      <w:numFmt w:val="bullet"/>
      <w:lvlText w:val="•"/>
      <w:lvlJc w:val="left"/>
      <w:pPr>
        <w:ind w:left="1628" w:hanging="275"/>
      </w:pPr>
      <w:rPr>
        <w:rFonts w:hint="default"/>
        <w:lang w:val="fr-FR" w:eastAsia="en-US" w:bidi="ar-SA"/>
      </w:rPr>
    </w:lvl>
    <w:lvl w:ilvl="4">
      <w:start w:val="0"/>
      <w:numFmt w:val="bullet"/>
      <w:lvlText w:val="•"/>
      <w:lvlJc w:val="left"/>
      <w:pPr>
        <w:ind w:left="1997" w:hanging="275"/>
      </w:pPr>
      <w:rPr>
        <w:rFonts w:hint="default"/>
        <w:lang w:val="fr-FR" w:eastAsia="en-US" w:bidi="ar-SA"/>
      </w:rPr>
    </w:lvl>
    <w:lvl w:ilvl="5">
      <w:start w:val="0"/>
      <w:numFmt w:val="bullet"/>
      <w:lvlText w:val="•"/>
      <w:lvlJc w:val="left"/>
      <w:pPr>
        <w:ind w:left="2367" w:hanging="275"/>
      </w:pPr>
      <w:rPr>
        <w:rFonts w:hint="default"/>
        <w:lang w:val="fr-FR" w:eastAsia="en-US" w:bidi="ar-SA"/>
      </w:rPr>
    </w:lvl>
    <w:lvl w:ilvl="6">
      <w:start w:val="0"/>
      <w:numFmt w:val="bullet"/>
      <w:lvlText w:val="•"/>
      <w:lvlJc w:val="left"/>
      <w:pPr>
        <w:ind w:left="2736" w:hanging="275"/>
      </w:pPr>
      <w:rPr>
        <w:rFonts w:hint="default"/>
        <w:lang w:val="fr-FR" w:eastAsia="en-US" w:bidi="ar-SA"/>
      </w:rPr>
    </w:lvl>
    <w:lvl w:ilvl="7">
      <w:start w:val="0"/>
      <w:numFmt w:val="bullet"/>
      <w:lvlText w:val="•"/>
      <w:lvlJc w:val="left"/>
      <w:pPr>
        <w:ind w:left="3105" w:hanging="275"/>
      </w:pPr>
      <w:rPr>
        <w:rFonts w:hint="default"/>
        <w:lang w:val="fr-FR" w:eastAsia="en-US" w:bidi="ar-SA"/>
      </w:rPr>
    </w:lvl>
    <w:lvl w:ilvl="8">
      <w:start w:val="0"/>
      <w:numFmt w:val="bullet"/>
      <w:lvlText w:val="•"/>
      <w:lvlJc w:val="left"/>
      <w:pPr>
        <w:ind w:left="3475" w:hanging="275"/>
      </w:pPr>
      <w:rPr>
        <w:rFonts w:hint="default"/>
        <w:lang w:val="fr-FR" w:eastAsia="en-US" w:bidi="ar-SA"/>
      </w:rPr>
    </w:lvl>
  </w:abstractNum>
  <w:num w:numId="4">
    <w:abstractNumId w:val="3"/>
  </w: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lang w:val="fr-FR" w:eastAsia="en-US" w:bidi="ar-SA"/>
    </w:rPr>
  </w:style>
  <w:style w:styleId="BodyText" w:type="paragraph">
    <w:name w:val="Body Text"/>
    <w:basedOn w:val="Normal"/>
    <w:uiPriority w:val="1"/>
    <w:qFormat/>
    <w:pPr/>
    <w:rPr>
      <w:rFonts w:ascii="Times New Roman" w:hAnsi="Times New Roman" w:eastAsia="Times New Roman" w:cs="Times New Roman"/>
      <w:sz w:val="22"/>
      <w:szCs w:val="22"/>
      <w:lang w:val="fr-FR" w:eastAsia="en-US" w:bidi="ar-SA"/>
    </w:rPr>
  </w:style>
  <w:style w:styleId="Title" w:type="paragraph">
    <w:name w:val="Title"/>
    <w:basedOn w:val="Normal"/>
    <w:uiPriority w:val="1"/>
    <w:qFormat/>
    <w:pPr>
      <w:ind w:left="828" w:right="1140"/>
      <w:jc w:val="center"/>
    </w:pPr>
    <w:rPr>
      <w:rFonts w:ascii="Times New Roman" w:hAnsi="Times New Roman" w:eastAsia="Times New Roman" w:cs="Times New Roman"/>
      <w:b/>
      <w:bCs/>
      <w:sz w:val="24"/>
      <w:szCs w:val="24"/>
      <w:lang w:val="fr-FR" w:eastAsia="en-US" w:bidi="ar-SA"/>
    </w:rPr>
  </w:style>
  <w:style w:styleId="ListParagraph" w:type="paragraph">
    <w:name w:val="List Paragraph"/>
    <w:basedOn w:val="Normal"/>
    <w:uiPriority w:val="1"/>
    <w:qFormat/>
    <w:pPr>
      <w:ind w:left="612" w:right="681"/>
      <w:jc w:val="both"/>
    </w:pPr>
    <w:rPr>
      <w:rFonts w:ascii="Times New Roman" w:hAnsi="Times New Roman" w:eastAsia="Times New Roman" w:cs="Times New Roman"/>
      <w:lang w:val="fr-FR" w:eastAsia="en-US" w:bidi="ar-SA"/>
    </w:rPr>
  </w:style>
  <w:style w:styleId="TableParagraph" w:type="paragraph">
    <w:name w:val="Table Paragraph"/>
    <w:basedOn w:val="Normal"/>
    <w:uiPriority w:val="1"/>
    <w:qFormat/>
    <w:pPr>
      <w:spacing w:before="5"/>
      <w:ind w:left="500"/>
    </w:pPr>
    <w:rPr>
      <w:rFonts w:ascii="Times New Roman" w:hAnsi="Times New Roman" w:eastAsia="Times New Roman" w:cs="Times New Roman"/>
      <w:lang w:val="fr-FR"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header" Target="header1.xml"/><Relationship Id="rId6" Type="http://schemas.openxmlformats.org/officeDocument/2006/relationships/image" Target="media/image1.png"/><Relationship Id="rId7" Type="http://schemas.openxmlformats.org/officeDocument/2006/relationships/hyperlink" Target="http://europass.cedefop.europa.eu/fr/documents/curriculum-vitae" TargetMode="External"/><Relationship Id="rId8" Type="http://schemas.openxmlformats.org/officeDocument/2006/relationships/hyperlink" Target="http://ec.europa.eu/civil_service/job/sne/index_fr.htm" TargetMode="External"/><Relationship Id="rId9" Type="http://schemas.openxmlformats.org/officeDocument/2006/relationships/hyperlink" Target="mailto:edps@edps.europa.eu" TargetMode="External"/><Relationship Id="rId10" Type="http://schemas.openxmlformats.org/officeDocument/2006/relationships/hyperlink" Target="http://ec.europa.eu/dgs/personnel_administration/security_fr.htm" TargetMode="External"/><Relationship Id="rId11" Type="http://schemas.openxmlformats.org/officeDocument/2006/relationships/hyperlink" Target="http://ec.europa.eu/dgs/jrc/index.cfm?id=6270" TargetMode="External"/><Relationship Id="rId1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2023-03-15T16:19:09Z</dcterms:created>
  <dcterms:modified xsi:type="dcterms:W3CDTF">2023-03-15T16:19:09Z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2023-03-13T00:00:00Z</vt:filetime>
  </property>
  <property fmtid="{D5CDD505-2E9C-101B-9397-08002B2CF9AE}" pid="3" name="LastSaved">
    <vt:filetime>2023-03-15T00:00:00Z</vt:filetime>
  </property>
</Properties>
</file>