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81"/>
        <w:ind w:left="1380" w:right="1716" w:firstLine="0"/>
        <w:jc w:val="center"/>
        <w:rPr>
          <w:b/>
          <w:sz w:val="24"/>
        </w:rPr>
      </w:pPr>
      <w:r>
        <w:rPr>
          <w:b/>
          <w:sz w:val="24"/>
        </w:rPr>
        <w:t>AVIS</w:t>
      </w:r>
      <w:r>
        <w:rPr>
          <w:b/>
          <w:spacing w:val="-6"/>
          <w:sz w:val="24"/>
        </w:rPr>
        <w:t> </w:t>
      </w:r>
      <w:r>
        <w:rPr>
          <w:b/>
          <w:sz w:val="24"/>
        </w:rPr>
        <w:t>DE</w:t>
      </w:r>
      <w:r>
        <w:rPr>
          <w:b/>
          <w:spacing w:val="-5"/>
          <w:sz w:val="24"/>
        </w:rPr>
        <w:t> </w:t>
      </w:r>
      <w:r>
        <w:rPr>
          <w:b/>
          <w:spacing w:val="-2"/>
          <w:sz w:val="24"/>
        </w:rPr>
        <w:t>VACANCE</w:t>
      </w:r>
    </w:p>
    <w:p>
      <w:pPr>
        <w:pStyle w:val="BodyText"/>
        <w:spacing w:before="11"/>
        <w:rPr>
          <w:b/>
          <w:sz w:val="23"/>
        </w:rPr>
      </w:pPr>
    </w:p>
    <w:p>
      <w:pPr>
        <w:spacing w:before="0"/>
        <w:ind w:left="1380" w:right="1718" w:firstLine="0"/>
        <w:jc w:val="center"/>
        <w:rPr>
          <w:b/>
          <w:sz w:val="24"/>
        </w:rPr>
      </w:pPr>
      <w:r>
        <w:rPr>
          <w:b/>
          <w:sz w:val="24"/>
        </w:rPr>
        <w:t>EXPERT</w:t>
      </w:r>
      <w:r>
        <w:rPr>
          <w:b/>
          <w:spacing w:val="-8"/>
          <w:sz w:val="24"/>
        </w:rPr>
        <w:t> </w:t>
      </w:r>
      <w:r>
        <w:rPr>
          <w:b/>
          <w:sz w:val="24"/>
        </w:rPr>
        <w:t>NATIONAL</w:t>
      </w:r>
      <w:r>
        <w:rPr>
          <w:b/>
          <w:spacing w:val="-6"/>
          <w:sz w:val="24"/>
        </w:rPr>
        <w:t> </w:t>
      </w:r>
      <w:r>
        <w:rPr>
          <w:b/>
          <w:sz w:val="24"/>
        </w:rPr>
        <w:t>DÉTACHÉ</w:t>
      </w:r>
      <w:r>
        <w:rPr>
          <w:b/>
          <w:spacing w:val="-7"/>
          <w:sz w:val="24"/>
        </w:rPr>
        <w:t> </w:t>
      </w:r>
      <w:r>
        <w:rPr>
          <w:b/>
          <w:sz w:val="24"/>
        </w:rPr>
        <w:t>À</w:t>
      </w:r>
      <w:r>
        <w:rPr>
          <w:b/>
          <w:spacing w:val="-8"/>
          <w:sz w:val="24"/>
        </w:rPr>
        <w:t> </w:t>
      </w:r>
      <w:r>
        <w:rPr>
          <w:b/>
          <w:sz w:val="24"/>
        </w:rPr>
        <w:t>LA</w:t>
      </w:r>
      <w:r>
        <w:rPr>
          <w:b/>
          <w:spacing w:val="-7"/>
          <w:sz w:val="24"/>
        </w:rPr>
        <w:t> </w:t>
      </w:r>
      <w:r>
        <w:rPr>
          <w:b/>
          <w:sz w:val="24"/>
        </w:rPr>
        <w:t>COMMISSION</w:t>
      </w:r>
      <w:r>
        <w:rPr>
          <w:b/>
          <w:spacing w:val="-8"/>
          <w:sz w:val="24"/>
        </w:rPr>
        <w:t> </w:t>
      </w:r>
      <w:r>
        <w:rPr>
          <w:b/>
          <w:spacing w:val="-2"/>
          <w:sz w:val="24"/>
        </w:rPr>
        <w:t>EUROPÉENNE</w:t>
      </w:r>
    </w:p>
    <w:p>
      <w:pPr>
        <w:pStyle w:val="BodyText"/>
        <w:spacing w:before="1"/>
        <w:rPr>
          <w:b/>
          <w:sz w:val="24"/>
        </w:rPr>
      </w:pPr>
    </w:p>
    <w:tbl>
      <w:tblPr>
        <w:tblW w:w="0" w:type="auto"/>
        <w:jc w:val="left"/>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597"/>
      </w:tblGrid>
      <w:tr>
        <w:trPr>
          <w:trHeight w:val="611" w:hRule="atLeast"/>
        </w:trPr>
        <w:tc>
          <w:tcPr>
            <w:tcW w:w="4359" w:type="dxa"/>
          </w:tcPr>
          <w:p>
            <w:pPr>
              <w:pStyle w:val="TableParagraph"/>
              <w:spacing w:line="274" w:lineRule="exact" w:before="1"/>
              <w:rPr>
                <w:b/>
                <w:sz w:val="24"/>
              </w:rPr>
            </w:pPr>
            <w:r>
              <w:rPr>
                <w:b/>
                <w:sz w:val="24"/>
              </w:rPr>
              <w:t>Intitulé</w:t>
            </w:r>
            <w:r>
              <w:rPr>
                <w:b/>
                <w:spacing w:val="-5"/>
                <w:sz w:val="24"/>
              </w:rPr>
              <w:t> </w:t>
            </w:r>
            <w:r>
              <w:rPr>
                <w:b/>
                <w:sz w:val="24"/>
              </w:rPr>
              <w:t>du</w:t>
            </w:r>
            <w:r>
              <w:rPr>
                <w:b/>
                <w:spacing w:val="-4"/>
                <w:sz w:val="24"/>
              </w:rPr>
              <w:t> </w:t>
            </w:r>
            <w:r>
              <w:rPr>
                <w:b/>
                <w:spacing w:val="-2"/>
                <w:sz w:val="24"/>
              </w:rPr>
              <w:t>poste:</w:t>
            </w:r>
          </w:p>
          <w:p>
            <w:pPr>
              <w:pStyle w:val="TableParagraph"/>
              <w:spacing w:line="274" w:lineRule="exact"/>
              <w:rPr>
                <w:sz w:val="24"/>
              </w:rPr>
            </w:pPr>
            <w:r>
              <w:rPr>
                <w:sz w:val="24"/>
              </w:rPr>
              <w:t>(DG</w:t>
            </w:r>
            <w:r>
              <w:rPr>
                <w:spacing w:val="-13"/>
                <w:sz w:val="24"/>
              </w:rPr>
              <w:t> </w:t>
            </w:r>
            <w:r>
              <w:rPr>
                <w:sz w:val="24"/>
              </w:rPr>
              <w:t>DIR-</w:t>
            </w:r>
            <w:r>
              <w:rPr>
                <w:spacing w:val="-2"/>
                <w:sz w:val="24"/>
              </w:rPr>
              <w:t>UNIT)</w:t>
            </w:r>
          </w:p>
        </w:tc>
        <w:tc>
          <w:tcPr>
            <w:tcW w:w="5597" w:type="dxa"/>
          </w:tcPr>
          <w:p>
            <w:pPr>
              <w:pStyle w:val="TableParagraph"/>
              <w:spacing w:before="25"/>
              <w:ind w:right="93"/>
              <w:rPr>
                <w:sz w:val="24"/>
              </w:rPr>
            </w:pPr>
            <w:r>
              <w:rPr>
                <w:sz w:val="24"/>
              </w:rPr>
              <w:t>DG</w:t>
            </w:r>
            <w:r>
              <w:rPr>
                <w:spacing w:val="-5"/>
                <w:sz w:val="24"/>
              </w:rPr>
              <w:t> </w:t>
            </w:r>
            <w:r>
              <w:rPr>
                <w:sz w:val="24"/>
              </w:rPr>
              <w:t>AGRI</w:t>
            </w:r>
            <w:r>
              <w:rPr>
                <w:spacing w:val="-7"/>
                <w:sz w:val="24"/>
              </w:rPr>
              <w:t> </w:t>
            </w:r>
            <w:r>
              <w:rPr>
                <w:sz w:val="24"/>
              </w:rPr>
              <w:t>—</w:t>
            </w:r>
            <w:r>
              <w:rPr>
                <w:spacing w:val="-4"/>
                <w:sz w:val="24"/>
              </w:rPr>
              <w:t> </w:t>
            </w:r>
            <w:r>
              <w:rPr>
                <w:sz w:val="24"/>
              </w:rPr>
              <w:t>Plans</w:t>
            </w:r>
            <w:r>
              <w:rPr>
                <w:spacing w:val="-4"/>
                <w:sz w:val="24"/>
              </w:rPr>
              <w:t> </w:t>
            </w:r>
            <w:r>
              <w:rPr>
                <w:sz w:val="24"/>
              </w:rPr>
              <w:t>stratégiques</w:t>
            </w:r>
            <w:r>
              <w:rPr>
                <w:spacing w:val="-4"/>
                <w:sz w:val="24"/>
              </w:rPr>
              <w:t> </w:t>
            </w:r>
            <w:r>
              <w:rPr>
                <w:sz w:val="24"/>
              </w:rPr>
              <w:t>relevant</w:t>
            </w:r>
            <w:r>
              <w:rPr>
                <w:spacing w:val="-4"/>
                <w:sz w:val="24"/>
              </w:rPr>
              <w:t> </w:t>
            </w:r>
            <w:r>
              <w:rPr>
                <w:sz w:val="24"/>
              </w:rPr>
              <w:t>de</w:t>
            </w:r>
            <w:r>
              <w:rPr>
                <w:spacing w:val="-5"/>
                <w:sz w:val="24"/>
              </w:rPr>
              <w:t> </w:t>
            </w:r>
            <w:r>
              <w:rPr>
                <w:sz w:val="24"/>
              </w:rPr>
              <w:t>la</w:t>
            </w:r>
            <w:r>
              <w:rPr>
                <w:spacing w:val="-4"/>
                <w:sz w:val="24"/>
              </w:rPr>
              <w:t> </w:t>
            </w:r>
            <w:r>
              <w:rPr>
                <w:sz w:val="24"/>
              </w:rPr>
              <w:t>PAC</w:t>
            </w:r>
            <w:r>
              <w:rPr>
                <w:spacing w:val="-2"/>
                <w:sz w:val="24"/>
              </w:rPr>
              <w:t> </w:t>
            </w:r>
            <w:r>
              <w:rPr>
                <w:sz w:val="24"/>
              </w:rPr>
              <w:t>I- </w:t>
            </w:r>
            <w:r>
              <w:rPr>
                <w:spacing w:val="-6"/>
                <w:sz w:val="24"/>
              </w:rPr>
              <w:t>C3</w:t>
            </w:r>
          </w:p>
        </w:tc>
      </w:tr>
      <w:tr>
        <w:trPr>
          <w:trHeight w:val="2141" w:hRule="atLeast"/>
        </w:trPr>
        <w:tc>
          <w:tcPr>
            <w:tcW w:w="4359" w:type="dxa"/>
            <w:vMerge w:val="restart"/>
          </w:tcPr>
          <w:p>
            <w:pPr>
              <w:pStyle w:val="TableParagraph"/>
              <w:spacing w:line="251" w:lineRule="exact"/>
              <w:rPr>
                <w:b/>
                <w:sz w:val="22"/>
              </w:rPr>
            </w:pPr>
            <w:r>
              <w:rPr>
                <w:b/>
                <w:sz w:val="22"/>
              </w:rPr>
              <w:t>Chef</w:t>
            </w:r>
            <w:r>
              <w:rPr>
                <w:b/>
                <w:spacing w:val="-3"/>
                <w:sz w:val="22"/>
              </w:rPr>
              <w:t> </w:t>
            </w:r>
            <w:r>
              <w:rPr>
                <w:b/>
                <w:spacing w:val="-2"/>
                <w:sz w:val="22"/>
              </w:rPr>
              <w:t>d’unité:</w:t>
            </w:r>
          </w:p>
          <w:p>
            <w:pPr>
              <w:pStyle w:val="TableParagraph"/>
              <w:spacing w:before="1"/>
              <w:ind w:right="2203"/>
              <w:rPr>
                <w:b/>
                <w:sz w:val="22"/>
              </w:rPr>
            </w:pPr>
            <w:r>
              <w:rPr>
                <w:b/>
                <w:sz w:val="22"/>
              </w:rPr>
              <w:t>Adresse</w:t>
            </w:r>
            <w:r>
              <w:rPr>
                <w:b/>
                <w:spacing w:val="-14"/>
                <w:sz w:val="22"/>
              </w:rPr>
              <w:t> </w:t>
            </w:r>
            <w:r>
              <w:rPr>
                <w:b/>
                <w:sz w:val="22"/>
              </w:rPr>
              <w:t>électronique: </w:t>
            </w:r>
            <w:r>
              <w:rPr>
                <w:b/>
                <w:spacing w:val="-2"/>
                <w:sz w:val="22"/>
              </w:rPr>
              <w:t>Téléphone:</w:t>
            </w:r>
          </w:p>
          <w:p>
            <w:pPr>
              <w:pStyle w:val="TableParagraph"/>
              <w:spacing w:before="1"/>
              <w:ind w:right="893"/>
              <w:rPr>
                <w:b/>
                <w:sz w:val="22"/>
              </w:rPr>
            </w:pPr>
            <w:r>
              <w:rPr>
                <w:b/>
                <w:sz w:val="22"/>
              </w:rPr>
              <w:t>Nombre de postes disponibles:</w:t>
            </w:r>
            <w:r>
              <w:rPr>
                <w:b/>
                <w:spacing w:val="80"/>
                <w:sz w:val="22"/>
              </w:rPr>
              <w:t> </w:t>
            </w:r>
            <w:r>
              <w:rPr>
                <w:b/>
                <w:sz w:val="22"/>
              </w:rPr>
              <w:t>Date</w:t>
            </w:r>
            <w:r>
              <w:rPr>
                <w:b/>
                <w:spacing w:val="-8"/>
                <w:sz w:val="22"/>
              </w:rPr>
              <w:t> </w:t>
            </w:r>
            <w:r>
              <w:rPr>
                <w:b/>
                <w:sz w:val="22"/>
              </w:rPr>
              <w:t>d’entrée</w:t>
            </w:r>
            <w:r>
              <w:rPr>
                <w:b/>
                <w:spacing w:val="-8"/>
                <w:sz w:val="22"/>
              </w:rPr>
              <w:t> </w:t>
            </w:r>
            <w:r>
              <w:rPr>
                <w:b/>
                <w:sz w:val="22"/>
              </w:rPr>
              <w:t>en</w:t>
            </w:r>
            <w:r>
              <w:rPr>
                <w:b/>
                <w:spacing w:val="-12"/>
                <w:sz w:val="22"/>
              </w:rPr>
              <w:t> </w:t>
            </w:r>
            <w:r>
              <w:rPr>
                <w:b/>
                <w:sz w:val="22"/>
              </w:rPr>
              <w:t>fonction</w:t>
            </w:r>
            <w:r>
              <w:rPr>
                <w:b/>
                <w:spacing w:val="-11"/>
                <w:sz w:val="22"/>
              </w:rPr>
              <w:t> </w:t>
            </w:r>
            <w:r>
              <w:rPr>
                <w:b/>
                <w:sz w:val="22"/>
              </w:rPr>
              <w:t>proposée: Durée initiale proposée:</w:t>
            </w:r>
          </w:p>
          <w:p>
            <w:pPr>
              <w:pStyle w:val="TableParagraph"/>
              <w:spacing w:line="252" w:lineRule="exact"/>
              <w:rPr>
                <w:b/>
                <w:sz w:val="22"/>
              </w:rPr>
            </w:pPr>
            <w:r>
              <w:rPr>
                <w:b/>
                <w:sz w:val="22"/>
              </w:rPr>
              <w:t>Lieu</w:t>
            </w:r>
            <w:r>
              <w:rPr>
                <w:b/>
                <w:spacing w:val="-1"/>
                <w:sz w:val="22"/>
              </w:rPr>
              <w:t> </w:t>
            </w:r>
            <w:r>
              <w:rPr>
                <w:b/>
                <w:spacing w:val="-2"/>
                <w:sz w:val="22"/>
              </w:rPr>
              <w:t>d’affectation:</w:t>
            </w:r>
          </w:p>
        </w:tc>
        <w:tc>
          <w:tcPr>
            <w:tcW w:w="5597" w:type="dxa"/>
          </w:tcPr>
          <w:p>
            <w:pPr>
              <w:pStyle w:val="TableParagraph"/>
              <w:spacing w:line="270" w:lineRule="exact"/>
              <w:rPr>
                <w:sz w:val="24"/>
              </w:rPr>
            </w:pPr>
            <w:r>
              <w:rPr>
                <w:sz w:val="24"/>
              </w:rPr>
              <w:t>Mariusz</w:t>
            </w:r>
            <w:r>
              <w:rPr>
                <w:spacing w:val="-9"/>
                <w:sz w:val="24"/>
              </w:rPr>
              <w:t> </w:t>
            </w:r>
            <w:r>
              <w:rPr>
                <w:sz w:val="24"/>
              </w:rPr>
              <w:t>Stefan</w:t>
            </w:r>
            <w:r>
              <w:rPr>
                <w:spacing w:val="-9"/>
                <w:sz w:val="24"/>
              </w:rPr>
              <w:t> </w:t>
            </w:r>
            <w:r>
              <w:rPr>
                <w:spacing w:val="-4"/>
                <w:sz w:val="24"/>
              </w:rPr>
              <w:t>Migas</w:t>
            </w:r>
          </w:p>
          <w:p>
            <w:pPr>
              <w:pStyle w:val="TableParagraph"/>
              <w:ind w:right="1341"/>
              <w:rPr>
                <w:sz w:val="24"/>
              </w:rPr>
            </w:pPr>
            <w:hyperlink r:id="rId7">
              <w:r>
                <w:rPr>
                  <w:color w:val="0000FF"/>
                  <w:spacing w:val="-2"/>
                  <w:sz w:val="24"/>
                  <w:u w:val="single" w:color="0000FF"/>
                </w:rPr>
                <w:t>Mariusz-Stefan.MIGAS@ec.europa.eu</w:t>
              </w:r>
            </w:hyperlink>
            <w:r>
              <w:rPr>
                <w:color w:val="0000FF"/>
                <w:spacing w:val="-2"/>
                <w:sz w:val="24"/>
              </w:rPr>
              <w:t> </w:t>
            </w:r>
            <w:r>
              <w:rPr>
                <w:sz w:val="24"/>
              </w:rPr>
              <w:t>0032 498 95 93 05</w:t>
            </w:r>
          </w:p>
          <w:p>
            <w:pPr>
              <w:pStyle w:val="TableParagraph"/>
              <w:rPr>
                <w:sz w:val="24"/>
              </w:rPr>
            </w:pPr>
            <w:r>
              <w:rPr>
                <w:sz w:val="24"/>
              </w:rPr>
              <w:t>1</w:t>
            </w:r>
          </w:p>
          <w:p>
            <w:pPr>
              <w:pStyle w:val="TableParagraph"/>
              <w:rPr>
                <w:sz w:val="24"/>
              </w:rPr>
            </w:pPr>
            <w:r>
              <w:rPr>
                <w:spacing w:val="-2"/>
                <w:sz w:val="24"/>
              </w:rPr>
              <w:t>01/06/2023</w:t>
            </w:r>
          </w:p>
          <w:p>
            <w:pPr>
              <w:pStyle w:val="TableParagraph"/>
              <w:spacing w:before="4"/>
              <w:ind w:right="2165"/>
              <w:rPr>
                <w:b/>
                <w:sz w:val="22"/>
              </w:rPr>
            </w:pPr>
            <w:r>
              <w:rPr>
                <w:b/>
                <w:sz w:val="22"/>
              </w:rPr>
              <w:t>Jusqu’à</w:t>
            </w:r>
            <w:r>
              <w:rPr>
                <w:b/>
                <w:spacing w:val="-7"/>
                <w:sz w:val="22"/>
              </w:rPr>
              <w:t> </w:t>
            </w:r>
            <w:r>
              <w:rPr>
                <w:b/>
                <w:sz w:val="22"/>
              </w:rPr>
              <w:t>la</w:t>
            </w:r>
            <w:r>
              <w:rPr>
                <w:b/>
                <w:spacing w:val="-8"/>
                <w:sz w:val="22"/>
              </w:rPr>
              <w:t> </w:t>
            </w:r>
            <w:r>
              <w:rPr>
                <w:b/>
                <w:sz w:val="22"/>
              </w:rPr>
              <w:t>fin</w:t>
            </w:r>
            <w:r>
              <w:rPr>
                <w:b/>
                <w:spacing w:val="-5"/>
                <w:sz w:val="22"/>
              </w:rPr>
              <w:t> </w:t>
            </w:r>
            <w:r>
              <w:rPr>
                <w:b/>
                <w:sz w:val="22"/>
              </w:rPr>
              <w:t>du</w:t>
            </w:r>
            <w:r>
              <w:rPr>
                <w:b/>
                <w:spacing w:val="-5"/>
                <w:sz w:val="22"/>
              </w:rPr>
              <w:t> </w:t>
            </w:r>
            <w:r>
              <w:rPr>
                <w:b/>
                <w:sz w:val="22"/>
              </w:rPr>
              <w:t>2e</w:t>
            </w:r>
            <w:r>
              <w:rPr>
                <w:b/>
                <w:spacing w:val="-5"/>
                <w:sz w:val="22"/>
              </w:rPr>
              <w:t> </w:t>
            </w:r>
            <w:r>
              <w:rPr>
                <w:b/>
                <w:sz w:val="22"/>
              </w:rPr>
              <w:t>trimestre</w:t>
            </w:r>
            <w:r>
              <w:rPr>
                <w:b/>
                <w:spacing w:val="-7"/>
                <w:sz w:val="22"/>
              </w:rPr>
              <w:t> </w:t>
            </w:r>
            <w:r>
              <w:rPr>
                <w:b/>
                <w:sz w:val="22"/>
              </w:rPr>
              <w:t>2025 2 ans</w:t>
            </w:r>
          </w:p>
          <w:p>
            <w:pPr>
              <w:pStyle w:val="TableParagraph"/>
              <w:spacing w:line="237" w:lineRule="exact"/>
              <w:rPr>
                <w:b/>
                <w:sz w:val="22"/>
              </w:rPr>
            </w:pPr>
            <w:r>
              <w:rPr>
                <w:sz w:val="22"/>
              </w:rPr>
              <w:t>X</w:t>
            </w:r>
            <w:r>
              <w:rPr>
                <w:spacing w:val="-4"/>
                <w:sz w:val="22"/>
              </w:rPr>
              <w:t> </w:t>
            </w:r>
            <w:r>
              <w:rPr>
                <w:b/>
                <w:sz w:val="22"/>
              </w:rPr>
              <w:t>Bruxelles</w:t>
            </w:r>
            <w:r>
              <w:rPr>
                <w:b/>
                <w:spacing w:val="-3"/>
                <w:sz w:val="22"/>
              </w:rPr>
              <w:t> </w:t>
            </w:r>
            <w:r>
              <w:rPr>
                <w:rFonts w:ascii="Wingdings 2" w:hAnsi="Wingdings 2"/>
                <w:sz w:val="22"/>
              </w:rPr>
              <w:t></w:t>
            </w:r>
            <w:r>
              <w:rPr>
                <w:spacing w:val="-3"/>
                <w:sz w:val="22"/>
              </w:rPr>
              <w:t> </w:t>
            </w:r>
            <w:r>
              <w:rPr>
                <w:b/>
                <w:sz w:val="22"/>
              </w:rPr>
              <w:t>Luxembourg</w:t>
            </w:r>
            <w:r>
              <w:rPr>
                <w:b/>
                <w:spacing w:val="-2"/>
                <w:sz w:val="22"/>
              </w:rPr>
              <w:t> </w:t>
            </w:r>
            <w:r>
              <w:rPr>
                <w:rFonts w:ascii="Wingdings 2" w:hAnsi="Wingdings 2"/>
                <w:sz w:val="22"/>
              </w:rPr>
              <w:t></w:t>
            </w:r>
            <w:r>
              <w:rPr>
                <w:spacing w:val="-3"/>
                <w:sz w:val="22"/>
              </w:rPr>
              <w:t> </w:t>
            </w:r>
            <w:r>
              <w:rPr>
                <w:b/>
                <w:sz w:val="22"/>
              </w:rPr>
              <w:t>Autre:</w:t>
            </w:r>
            <w:r>
              <w:rPr>
                <w:b/>
                <w:spacing w:val="-2"/>
                <w:sz w:val="22"/>
              </w:rPr>
              <w:t> .................</w:t>
            </w:r>
          </w:p>
        </w:tc>
      </w:tr>
      <w:tr>
        <w:trPr>
          <w:trHeight w:val="544" w:hRule="atLeast"/>
        </w:trPr>
        <w:tc>
          <w:tcPr>
            <w:tcW w:w="4359" w:type="dxa"/>
            <w:vMerge/>
            <w:tcBorders>
              <w:top w:val="nil"/>
            </w:tcBorders>
          </w:tcPr>
          <w:p>
            <w:pPr>
              <w:rPr>
                <w:sz w:val="2"/>
                <w:szCs w:val="2"/>
              </w:rPr>
            </w:pPr>
          </w:p>
        </w:tc>
        <w:tc>
          <w:tcPr>
            <w:tcW w:w="5597" w:type="dxa"/>
          </w:tcPr>
          <w:p>
            <w:pPr>
              <w:pStyle w:val="TableParagraph"/>
              <w:spacing w:before="145"/>
              <w:rPr>
                <w:b/>
                <w:sz w:val="22"/>
              </w:rPr>
            </w:pPr>
            <w:r>
              <w:rPr>
                <w:b/>
                <w:sz w:val="22"/>
              </w:rPr>
              <w:t>X</w:t>
            </w:r>
            <w:r>
              <w:rPr>
                <w:b/>
                <w:spacing w:val="-3"/>
                <w:sz w:val="22"/>
              </w:rPr>
              <w:t> </w:t>
            </w:r>
            <w:r>
              <w:rPr>
                <w:b/>
                <w:sz w:val="22"/>
              </w:rPr>
              <w:t>Avec</w:t>
            </w:r>
            <w:r>
              <w:rPr>
                <w:b/>
                <w:spacing w:val="-1"/>
                <w:sz w:val="22"/>
              </w:rPr>
              <w:t> </w:t>
            </w:r>
            <w:r>
              <w:rPr>
                <w:b/>
                <w:sz w:val="22"/>
              </w:rPr>
              <w:t>indemnités</w:t>
            </w:r>
            <w:r>
              <w:rPr>
                <w:b/>
                <w:spacing w:val="-2"/>
                <w:sz w:val="22"/>
              </w:rPr>
              <w:t> </w:t>
            </w:r>
            <w:r>
              <w:rPr>
                <w:b/>
                <w:sz w:val="22"/>
              </w:rPr>
              <w:t>Sans</w:t>
            </w:r>
            <w:r>
              <w:rPr>
                <w:b/>
                <w:spacing w:val="-2"/>
                <w:sz w:val="22"/>
              </w:rPr>
              <w:t> </w:t>
            </w:r>
            <w:r>
              <w:rPr>
                <w:rFonts w:ascii="Wingdings 2" w:hAnsi="Wingdings 2"/>
                <w:sz w:val="22"/>
              </w:rPr>
              <w:t></w:t>
            </w:r>
            <w:r>
              <w:rPr>
                <w:spacing w:val="76"/>
                <w:w w:val="150"/>
                <w:sz w:val="22"/>
              </w:rPr>
              <w:t> </w:t>
            </w:r>
            <w:r>
              <w:rPr>
                <w:b/>
                <w:spacing w:val="-2"/>
                <w:sz w:val="22"/>
              </w:rPr>
              <w:t>frais</w:t>
            </w:r>
          </w:p>
        </w:tc>
      </w:tr>
      <w:tr>
        <w:trPr>
          <w:trHeight w:val="2111" w:hRule="atLeast"/>
        </w:trPr>
        <w:tc>
          <w:tcPr>
            <w:tcW w:w="9956" w:type="dxa"/>
            <w:gridSpan w:val="2"/>
          </w:tcPr>
          <w:p>
            <w:pPr>
              <w:pStyle w:val="TableParagraph"/>
              <w:spacing w:before="111"/>
              <w:rPr>
                <w:b/>
                <w:sz w:val="22"/>
              </w:rPr>
            </w:pPr>
            <w:r>
              <w:rPr>
                <w:b/>
                <w:sz w:val="22"/>
              </w:rPr>
              <w:t>Cet</w:t>
            </w:r>
            <w:r>
              <w:rPr>
                <w:b/>
                <w:spacing w:val="-2"/>
                <w:sz w:val="22"/>
              </w:rPr>
              <w:t> </w:t>
            </w:r>
            <w:r>
              <w:rPr>
                <w:b/>
                <w:sz w:val="22"/>
              </w:rPr>
              <w:t>avis</w:t>
            </w:r>
            <w:r>
              <w:rPr>
                <w:b/>
                <w:spacing w:val="-2"/>
                <w:sz w:val="22"/>
              </w:rPr>
              <w:t> </w:t>
            </w:r>
            <w:r>
              <w:rPr>
                <w:b/>
                <w:sz w:val="22"/>
              </w:rPr>
              <w:t>de</w:t>
            </w:r>
            <w:r>
              <w:rPr>
                <w:b/>
                <w:spacing w:val="-2"/>
                <w:sz w:val="22"/>
              </w:rPr>
              <w:t> </w:t>
            </w:r>
            <w:r>
              <w:rPr>
                <w:b/>
                <w:sz w:val="22"/>
              </w:rPr>
              <w:t>vacance</w:t>
            </w:r>
            <w:r>
              <w:rPr>
                <w:b/>
                <w:spacing w:val="-3"/>
                <w:sz w:val="22"/>
              </w:rPr>
              <w:t> </w:t>
            </w:r>
            <w:r>
              <w:rPr>
                <w:b/>
                <w:sz w:val="22"/>
              </w:rPr>
              <w:t>est</w:t>
            </w:r>
            <w:r>
              <w:rPr>
                <w:b/>
                <w:spacing w:val="-2"/>
                <w:sz w:val="22"/>
              </w:rPr>
              <w:t> </w:t>
            </w:r>
            <w:r>
              <w:rPr>
                <w:b/>
                <w:sz w:val="22"/>
              </w:rPr>
              <w:t>aussi</w:t>
            </w:r>
            <w:r>
              <w:rPr>
                <w:b/>
                <w:spacing w:val="-1"/>
                <w:sz w:val="22"/>
              </w:rPr>
              <w:t> </w:t>
            </w:r>
            <w:r>
              <w:rPr>
                <w:b/>
                <w:spacing w:val="-2"/>
                <w:sz w:val="22"/>
              </w:rPr>
              <w:t>ouvert</w:t>
            </w:r>
          </w:p>
          <w:p>
            <w:pPr>
              <w:pStyle w:val="TableParagraph"/>
              <w:spacing w:before="1"/>
              <w:ind w:left="0"/>
              <w:rPr>
                <w:b/>
                <w:sz w:val="22"/>
              </w:rPr>
            </w:pPr>
          </w:p>
          <w:p>
            <w:pPr>
              <w:pStyle w:val="TableParagraph"/>
              <w:numPr>
                <w:ilvl w:val="0"/>
                <w:numId w:val="1"/>
              </w:numPr>
              <w:tabs>
                <w:tab w:pos="322" w:val="left" w:leader="none"/>
              </w:tabs>
              <w:spacing w:line="240" w:lineRule="auto" w:before="0" w:after="0"/>
              <w:ind w:left="321" w:right="0" w:hanging="217"/>
              <w:jc w:val="left"/>
              <w:rPr>
                <w:b/>
                <w:sz w:val="24"/>
              </w:rPr>
            </w:pPr>
            <w:r>
              <w:rPr>
                <w:b/>
                <w:sz w:val="24"/>
              </w:rPr>
              <w:t>aux</w:t>
            </w:r>
            <w:r>
              <w:rPr>
                <w:b/>
                <w:spacing w:val="-8"/>
                <w:sz w:val="24"/>
              </w:rPr>
              <w:t> </w:t>
            </w:r>
            <w:r>
              <w:rPr>
                <w:b/>
                <w:sz w:val="24"/>
              </w:rPr>
              <w:t>pays</w:t>
            </w:r>
            <w:r>
              <w:rPr>
                <w:b/>
                <w:spacing w:val="-5"/>
                <w:sz w:val="24"/>
              </w:rPr>
              <w:t> </w:t>
            </w:r>
            <w:r>
              <w:rPr>
                <w:b/>
                <w:sz w:val="24"/>
              </w:rPr>
              <w:t>AELE</w:t>
            </w:r>
            <w:r>
              <w:rPr>
                <w:b/>
                <w:spacing w:val="-4"/>
                <w:sz w:val="24"/>
              </w:rPr>
              <w:t> </w:t>
            </w:r>
            <w:r>
              <w:rPr>
                <w:b/>
                <w:sz w:val="24"/>
              </w:rPr>
              <w:t>suivants:</w:t>
            </w:r>
            <w:r>
              <w:rPr>
                <w:b/>
                <w:spacing w:val="-7"/>
                <w:sz w:val="24"/>
              </w:rPr>
              <w:t> </w:t>
            </w:r>
            <w:r>
              <w:rPr>
                <w:b/>
                <w:spacing w:val="-5"/>
                <w:sz w:val="24"/>
              </w:rPr>
              <w:t>Non</w:t>
            </w:r>
          </w:p>
          <w:p>
            <w:pPr>
              <w:pStyle w:val="TableParagraph"/>
              <w:numPr>
                <w:ilvl w:val="1"/>
                <w:numId w:val="1"/>
              </w:numPr>
              <w:tabs>
                <w:tab w:pos="1090" w:val="left" w:leader="none"/>
              </w:tabs>
              <w:spacing w:line="240" w:lineRule="auto" w:before="0" w:after="0"/>
              <w:ind w:left="1089" w:right="0" w:hanging="277"/>
              <w:jc w:val="left"/>
              <w:rPr>
                <w:b/>
                <w:sz w:val="24"/>
              </w:rPr>
            </w:pPr>
            <w:r>
              <w:rPr>
                <w:b/>
                <w:sz w:val="24"/>
              </w:rPr>
              <w:t>Islande</w:t>
            </w:r>
            <w:r>
              <w:rPr>
                <w:b/>
                <w:spacing w:val="-7"/>
                <w:sz w:val="24"/>
              </w:rPr>
              <w:t> </w:t>
            </w:r>
            <w:r>
              <w:rPr>
                <w:rFonts w:ascii="Wingdings 2" w:hAnsi="Wingdings 2"/>
                <w:b/>
                <w:sz w:val="24"/>
              </w:rPr>
              <w:t></w:t>
            </w:r>
            <w:r>
              <w:rPr>
                <w:spacing w:val="-8"/>
                <w:sz w:val="24"/>
              </w:rPr>
              <w:t> </w:t>
            </w:r>
            <w:r>
              <w:rPr>
                <w:b/>
                <w:sz w:val="24"/>
              </w:rPr>
              <w:t>Liechtenstein</w:t>
            </w:r>
            <w:r>
              <w:rPr>
                <w:b/>
                <w:spacing w:val="-4"/>
                <w:sz w:val="24"/>
              </w:rPr>
              <w:t> </w:t>
            </w:r>
            <w:r>
              <w:rPr>
                <w:rFonts w:ascii="Wingdings 2" w:hAnsi="Wingdings 2"/>
                <w:b/>
                <w:sz w:val="24"/>
              </w:rPr>
              <w:t></w:t>
            </w:r>
            <w:r>
              <w:rPr>
                <w:spacing w:val="-4"/>
                <w:sz w:val="24"/>
              </w:rPr>
              <w:t> </w:t>
            </w:r>
            <w:r>
              <w:rPr>
                <w:b/>
                <w:sz w:val="24"/>
              </w:rPr>
              <w:t>Norvège</w:t>
            </w:r>
            <w:r>
              <w:rPr>
                <w:b/>
                <w:spacing w:val="-7"/>
                <w:sz w:val="24"/>
              </w:rPr>
              <w:t> </w:t>
            </w:r>
            <w:r>
              <w:rPr>
                <w:rFonts w:ascii="Wingdings 2" w:hAnsi="Wingdings 2"/>
                <w:b/>
                <w:sz w:val="24"/>
              </w:rPr>
              <w:t></w:t>
            </w:r>
            <w:r>
              <w:rPr>
                <w:spacing w:val="-4"/>
                <w:sz w:val="24"/>
              </w:rPr>
              <w:t> </w:t>
            </w:r>
            <w:r>
              <w:rPr>
                <w:b/>
                <w:spacing w:val="-2"/>
                <w:sz w:val="24"/>
              </w:rPr>
              <w:t>Suisse</w:t>
            </w:r>
          </w:p>
          <w:p>
            <w:pPr>
              <w:pStyle w:val="TableParagraph"/>
              <w:numPr>
                <w:ilvl w:val="1"/>
                <w:numId w:val="1"/>
              </w:numPr>
              <w:tabs>
                <w:tab w:pos="1090" w:val="left" w:leader="none"/>
              </w:tabs>
              <w:spacing w:line="240" w:lineRule="auto" w:before="0" w:after="0"/>
              <w:ind w:left="1089" w:right="0" w:hanging="277"/>
              <w:jc w:val="left"/>
              <w:rPr>
                <w:b/>
                <w:sz w:val="24"/>
              </w:rPr>
            </w:pPr>
            <w:r>
              <w:rPr>
                <w:b/>
                <w:sz w:val="24"/>
              </w:rPr>
              <w:t>Accord</w:t>
            </w:r>
            <w:r>
              <w:rPr>
                <w:b/>
                <w:spacing w:val="-10"/>
                <w:sz w:val="24"/>
              </w:rPr>
              <w:t> </w:t>
            </w:r>
            <w:r>
              <w:rPr>
                <w:b/>
                <w:sz w:val="24"/>
              </w:rPr>
              <w:t>en</w:t>
            </w:r>
            <w:r>
              <w:rPr>
                <w:b/>
                <w:spacing w:val="-9"/>
                <w:sz w:val="24"/>
              </w:rPr>
              <w:t> </w:t>
            </w:r>
            <w:r>
              <w:rPr>
                <w:b/>
                <w:sz w:val="24"/>
              </w:rPr>
              <w:t>nature</w:t>
            </w:r>
            <w:r>
              <w:rPr>
                <w:b/>
                <w:spacing w:val="-11"/>
                <w:sz w:val="24"/>
              </w:rPr>
              <w:t> </w:t>
            </w:r>
            <w:r>
              <w:rPr>
                <w:b/>
                <w:sz w:val="24"/>
              </w:rPr>
              <w:t>AELE-EEE</w:t>
            </w:r>
            <w:r>
              <w:rPr>
                <w:b/>
                <w:spacing w:val="-9"/>
                <w:sz w:val="24"/>
              </w:rPr>
              <w:t> </w:t>
            </w:r>
            <w:r>
              <w:rPr>
                <w:b/>
                <w:sz w:val="24"/>
              </w:rPr>
              <w:t>(Islande,</w:t>
            </w:r>
            <w:r>
              <w:rPr>
                <w:b/>
                <w:spacing w:val="-10"/>
                <w:sz w:val="24"/>
              </w:rPr>
              <w:t> </w:t>
            </w:r>
            <w:r>
              <w:rPr>
                <w:b/>
                <w:sz w:val="24"/>
              </w:rPr>
              <w:t>Liechtenstein,</w:t>
            </w:r>
            <w:r>
              <w:rPr>
                <w:b/>
                <w:spacing w:val="-9"/>
                <w:sz w:val="24"/>
              </w:rPr>
              <w:t> </w:t>
            </w:r>
            <w:r>
              <w:rPr>
                <w:b/>
                <w:spacing w:val="-2"/>
                <w:sz w:val="24"/>
              </w:rPr>
              <w:t>Norvège)</w:t>
            </w:r>
          </w:p>
          <w:p>
            <w:pPr>
              <w:pStyle w:val="TableParagraph"/>
              <w:numPr>
                <w:ilvl w:val="0"/>
                <w:numId w:val="1"/>
              </w:numPr>
              <w:tabs>
                <w:tab w:pos="621" w:val="left" w:leader="none"/>
                <w:tab w:pos="622" w:val="left" w:leader="none"/>
              </w:tabs>
              <w:spacing w:line="240" w:lineRule="auto" w:before="0" w:after="0"/>
              <w:ind w:left="621" w:right="0" w:hanging="457"/>
              <w:jc w:val="left"/>
              <w:rPr>
                <w:b/>
                <w:sz w:val="24"/>
              </w:rPr>
            </w:pPr>
            <w:r>
              <w:rPr>
                <w:b/>
                <w:sz w:val="24"/>
              </w:rPr>
              <w:t>des</w:t>
            </w:r>
            <w:r>
              <w:rPr>
                <w:b/>
                <w:spacing w:val="-5"/>
                <w:sz w:val="24"/>
              </w:rPr>
              <w:t> </w:t>
            </w:r>
            <w:r>
              <w:rPr>
                <w:b/>
                <w:sz w:val="24"/>
              </w:rPr>
              <w:t>pays</w:t>
            </w:r>
            <w:r>
              <w:rPr>
                <w:b/>
                <w:spacing w:val="-5"/>
                <w:sz w:val="24"/>
              </w:rPr>
              <w:t> </w:t>
            </w:r>
            <w:r>
              <w:rPr>
                <w:b/>
                <w:sz w:val="24"/>
              </w:rPr>
              <w:t>tiers</w:t>
            </w:r>
            <w:r>
              <w:rPr>
                <w:b/>
                <w:spacing w:val="-5"/>
                <w:sz w:val="24"/>
              </w:rPr>
              <w:t> </w:t>
            </w:r>
            <w:r>
              <w:rPr>
                <w:b/>
                <w:sz w:val="24"/>
              </w:rPr>
              <w:t>suivants:</w:t>
            </w:r>
            <w:r>
              <w:rPr>
                <w:b/>
                <w:spacing w:val="-7"/>
                <w:sz w:val="24"/>
              </w:rPr>
              <w:t> </w:t>
            </w:r>
            <w:r>
              <w:rPr>
                <w:b/>
                <w:spacing w:val="-5"/>
                <w:sz w:val="24"/>
              </w:rPr>
              <w:t>Non</w:t>
            </w:r>
          </w:p>
          <w:p>
            <w:pPr>
              <w:pStyle w:val="TableParagraph"/>
              <w:numPr>
                <w:ilvl w:val="0"/>
                <w:numId w:val="1"/>
              </w:numPr>
              <w:tabs>
                <w:tab w:pos="621" w:val="left" w:leader="none"/>
                <w:tab w:pos="622" w:val="left" w:leader="none"/>
              </w:tabs>
              <w:spacing w:line="240" w:lineRule="auto" w:before="0" w:after="0"/>
              <w:ind w:left="621" w:right="0" w:hanging="457"/>
              <w:jc w:val="left"/>
              <w:rPr>
                <w:b/>
                <w:sz w:val="24"/>
              </w:rPr>
            </w:pPr>
            <w:r>
              <w:rPr>
                <w:b/>
                <w:sz w:val="24"/>
              </w:rPr>
              <w:t>des</w:t>
            </w:r>
            <w:r>
              <w:rPr>
                <w:b/>
                <w:spacing w:val="-12"/>
                <w:sz w:val="24"/>
              </w:rPr>
              <w:t> </w:t>
            </w:r>
            <w:r>
              <w:rPr>
                <w:b/>
                <w:sz w:val="24"/>
              </w:rPr>
              <w:t>organisations</w:t>
            </w:r>
            <w:r>
              <w:rPr>
                <w:b/>
                <w:spacing w:val="-12"/>
                <w:sz w:val="24"/>
              </w:rPr>
              <w:t> </w:t>
            </w:r>
            <w:r>
              <w:rPr>
                <w:b/>
                <w:sz w:val="24"/>
              </w:rPr>
              <w:t>intergouvernementales</w:t>
            </w:r>
            <w:r>
              <w:rPr>
                <w:b/>
                <w:spacing w:val="-12"/>
                <w:sz w:val="24"/>
              </w:rPr>
              <w:t> </w:t>
            </w:r>
            <w:r>
              <w:rPr>
                <w:b/>
                <w:sz w:val="24"/>
              </w:rPr>
              <w:t>suivantes:</w:t>
            </w:r>
            <w:r>
              <w:rPr>
                <w:b/>
                <w:spacing w:val="-12"/>
                <w:sz w:val="24"/>
              </w:rPr>
              <w:t> </w:t>
            </w:r>
            <w:r>
              <w:rPr>
                <w:b/>
                <w:spacing w:val="-5"/>
                <w:sz w:val="24"/>
              </w:rPr>
              <w:t>Non</w:t>
            </w:r>
          </w:p>
        </w:tc>
      </w:tr>
    </w:tbl>
    <w:p>
      <w:pPr>
        <w:pStyle w:val="BodyText"/>
        <w:rPr>
          <w:b/>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Nature</w:t>
      </w:r>
      <w:r>
        <w:rPr>
          <w:b/>
          <w:spacing w:val="-7"/>
          <w:sz w:val="24"/>
          <w:u w:val="single"/>
        </w:rPr>
        <w:t> </w:t>
      </w:r>
      <w:r>
        <w:rPr>
          <w:b/>
          <w:sz w:val="24"/>
          <w:u w:val="single"/>
        </w:rPr>
        <w:t>des</w:t>
      </w:r>
      <w:r>
        <w:rPr>
          <w:b/>
          <w:spacing w:val="-6"/>
          <w:sz w:val="24"/>
          <w:u w:val="single"/>
        </w:rPr>
        <w:t> </w:t>
      </w:r>
      <w:r>
        <w:rPr>
          <w:b/>
          <w:spacing w:val="-2"/>
          <w:sz w:val="24"/>
          <w:u w:val="single"/>
        </w:rPr>
        <w:t>tâches</w:t>
      </w:r>
    </w:p>
    <w:p>
      <w:pPr>
        <w:pStyle w:val="BodyText"/>
        <w:spacing w:before="7"/>
        <w:rPr>
          <w:b/>
          <w:sz w:val="15"/>
        </w:rPr>
      </w:pPr>
    </w:p>
    <w:p>
      <w:pPr>
        <w:pStyle w:val="BodyText"/>
        <w:spacing w:line="252" w:lineRule="exact" w:before="92"/>
        <w:ind w:left="372"/>
      </w:pPr>
      <w:r>
        <w:rPr/>
        <w:t>L’END</w:t>
      </w:r>
      <w:r>
        <w:rPr>
          <w:spacing w:val="-5"/>
        </w:rPr>
        <w:t> </w:t>
      </w:r>
      <w:r>
        <w:rPr/>
        <w:t>assurera</w:t>
      </w:r>
      <w:r>
        <w:rPr>
          <w:spacing w:val="-3"/>
        </w:rPr>
        <w:t> </w:t>
      </w:r>
      <w:r>
        <w:rPr/>
        <w:t>les</w:t>
      </w:r>
      <w:r>
        <w:rPr>
          <w:spacing w:val="-5"/>
        </w:rPr>
        <w:t> </w:t>
      </w:r>
      <w:r>
        <w:rPr/>
        <w:t>tâches</w:t>
      </w:r>
      <w:r>
        <w:rPr>
          <w:spacing w:val="-5"/>
        </w:rPr>
        <w:t> </w:t>
      </w:r>
      <w:r>
        <w:rPr>
          <w:spacing w:val="-2"/>
        </w:rPr>
        <w:t>suivantes:</w:t>
      </w:r>
    </w:p>
    <w:p>
      <w:pPr>
        <w:pStyle w:val="ListParagraph"/>
        <w:numPr>
          <w:ilvl w:val="1"/>
          <w:numId w:val="2"/>
        </w:numPr>
        <w:tabs>
          <w:tab w:pos="1092" w:val="left" w:leader="none"/>
          <w:tab w:pos="1093" w:val="left" w:leader="none"/>
        </w:tabs>
        <w:spacing w:line="240" w:lineRule="auto" w:before="0" w:after="0"/>
        <w:ind w:left="1092" w:right="784" w:hanging="361"/>
        <w:jc w:val="left"/>
        <w:rPr>
          <w:sz w:val="22"/>
        </w:rPr>
      </w:pPr>
      <w:r>
        <w:rPr>
          <w:sz w:val="22"/>
        </w:rPr>
        <w:t>Suivre la mise en œuvre du</w:t>
      </w:r>
      <w:r>
        <w:rPr>
          <w:spacing w:val="-1"/>
          <w:sz w:val="22"/>
        </w:rPr>
        <w:t> </w:t>
      </w:r>
      <w:r>
        <w:rPr>
          <w:sz w:val="22"/>
        </w:rPr>
        <w:t>programme de développement rural 2014-2022 pour la Slovaquie ou la République</w:t>
      </w:r>
      <w:r>
        <w:rPr>
          <w:spacing w:val="-4"/>
          <w:sz w:val="22"/>
        </w:rPr>
        <w:t> </w:t>
      </w:r>
      <w:r>
        <w:rPr>
          <w:sz w:val="22"/>
        </w:rPr>
        <w:t>Tchèque</w:t>
      </w:r>
      <w:r>
        <w:rPr>
          <w:spacing w:val="-2"/>
          <w:sz w:val="22"/>
        </w:rPr>
        <w:t> </w:t>
      </w:r>
      <w:r>
        <w:rPr>
          <w:sz w:val="22"/>
        </w:rPr>
        <w:t>et</w:t>
      </w:r>
      <w:r>
        <w:rPr>
          <w:spacing w:val="-1"/>
          <w:sz w:val="22"/>
        </w:rPr>
        <w:t> </w:t>
      </w:r>
      <w:r>
        <w:rPr>
          <w:sz w:val="22"/>
        </w:rPr>
        <w:t>la</w:t>
      </w:r>
      <w:r>
        <w:rPr>
          <w:spacing w:val="-4"/>
          <w:sz w:val="22"/>
        </w:rPr>
        <w:t> </w:t>
      </w:r>
      <w:r>
        <w:rPr>
          <w:sz w:val="22"/>
        </w:rPr>
        <w:t>mise</w:t>
      </w:r>
      <w:r>
        <w:rPr>
          <w:spacing w:val="-2"/>
          <w:sz w:val="22"/>
        </w:rPr>
        <w:t> </w:t>
      </w:r>
      <w:r>
        <w:rPr>
          <w:sz w:val="22"/>
        </w:rPr>
        <w:t>en</w:t>
      </w:r>
      <w:r>
        <w:rPr>
          <w:spacing w:val="-2"/>
          <w:sz w:val="22"/>
        </w:rPr>
        <w:t> </w:t>
      </w:r>
      <w:r>
        <w:rPr>
          <w:sz w:val="22"/>
        </w:rPr>
        <w:t>œuvre</w:t>
      </w:r>
      <w:r>
        <w:rPr>
          <w:spacing w:val="-2"/>
          <w:sz w:val="22"/>
        </w:rPr>
        <w:t> </w:t>
      </w:r>
      <w:r>
        <w:rPr>
          <w:sz w:val="22"/>
        </w:rPr>
        <w:t>du</w:t>
      </w:r>
      <w:r>
        <w:rPr>
          <w:spacing w:val="-2"/>
          <w:sz w:val="22"/>
        </w:rPr>
        <w:t> </w:t>
      </w:r>
      <w:r>
        <w:rPr>
          <w:sz w:val="22"/>
        </w:rPr>
        <w:t>plan</w:t>
      </w:r>
      <w:r>
        <w:rPr>
          <w:spacing w:val="-2"/>
          <w:sz w:val="22"/>
        </w:rPr>
        <w:t> </w:t>
      </w:r>
      <w:r>
        <w:rPr>
          <w:sz w:val="22"/>
        </w:rPr>
        <w:t>stratégique slovaque</w:t>
      </w:r>
      <w:r>
        <w:rPr>
          <w:spacing w:val="-2"/>
          <w:sz w:val="22"/>
        </w:rPr>
        <w:t> </w:t>
      </w:r>
      <w:r>
        <w:rPr>
          <w:sz w:val="22"/>
        </w:rPr>
        <w:t>ou</w:t>
      </w:r>
      <w:r>
        <w:rPr>
          <w:spacing w:val="-5"/>
          <w:sz w:val="22"/>
        </w:rPr>
        <w:t> </w:t>
      </w:r>
      <w:r>
        <w:rPr>
          <w:sz w:val="22"/>
        </w:rPr>
        <w:t>tchèque</w:t>
      </w:r>
      <w:r>
        <w:rPr>
          <w:spacing w:val="-3"/>
          <w:sz w:val="22"/>
        </w:rPr>
        <w:t> </w:t>
      </w:r>
      <w:r>
        <w:rPr>
          <w:sz w:val="22"/>
        </w:rPr>
        <w:t>de</w:t>
      </w:r>
      <w:r>
        <w:rPr>
          <w:spacing w:val="-2"/>
          <w:sz w:val="22"/>
        </w:rPr>
        <w:t> </w:t>
      </w:r>
      <w:r>
        <w:rPr>
          <w:sz w:val="22"/>
        </w:rPr>
        <w:t>la</w:t>
      </w:r>
      <w:r>
        <w:rPr>
          <w:spacing w:val="-4"/>
          <w:sz w:val="22"/>
        </w:rPr>
        <w:t> </w:t>
      </w:r>
      <w:r>
        <w:rPr>
          <w:sz w:val="22"/>
        </w:rPr>
        <w:t>PAC</w:t>
      </w:r>
      <w:r>
        <w:rPr>
          <w:spacing w:val="-3"/>
          <w:sz w:val="22"/>
        </w:rPr>
        <w:t> </w:t>
      </w:r>
      <w:r>
        <w:rPr>
          <w:sz w:val="22"/>
        </w:rPr>
        <w:t>pour</w:t>
      </w:r>
      <w:r>
        <w:rPr>
          <w:spacing w:val="-4"/>
          <w:sz w:val="22"/>
        </w:rPr>
        <w:t> </w:t>
      </w:r>
      <w:r>
        <w:rPr>
          <w:sz w:val="22"/>
        </w:rPr>
        <w:t>la période</w:t>
      </w:r>
      <w:r>
        <w:rPr>
          <w:spacing w:val="-1"/>
          <w:sz w:val="22"/>
        </w:rPr>
        <w:t> </w:t>
      </w:r>
      <w:r>
        <w:rPr>
          <w:sz w:val="22"/>
        </w:rPr>
        <w:t>2023-2027,</w:t>
      </w:r>
      <w:r>
        <w:rPr>
          <w:spacing w:val="-1"/>
          <w:sz w:val="22"/>
        </w:rPr>
        <w:t> </w:t>
      </w:r>
      <w:r>
        <w:rPr>
          <w:sz w:val="22"/>
        </w:rPr>
        <w:t>en</w:t>
      </w:r>
      <w:r>
        <w:rPr>
          <w:spacing w:val="-1"/>
          <w:sz w:val="22"/>
        </w:rPr>
        <w:t> </w:t>
      </w:r>
      <w:r>
        <w:rPr>
          <w:sz w:val="22"/>
        </w:rPr>
        <w:t>vue</w:t>
      </w:r>
      <w:r>
        <w:rPr>
          <w:spacing w:val="-1"/>
          <w:sz w:val="22"/>
        </w:rPr>
        <w:t> </w:t>
      </w:r>
      <w:r>
        <w:rPr>
          <w:sz w:val="22"/>
        </w:rPr>
        <w:t>de</w:t>
      </w:r>
      <w:r>
        <w:rPr>
          <w:spacing w:val="-1"/>
          <w:sz w:val="22"/>
        </w:rPr>
        <w:t> </w:t>
      </w:r>
      <w:r>
        <w:rPr>
          <w:sz w:val="22"/>
        </w:rPr>
        <w:t>la</w:t>
      </w:r>
      <w:r>
        <w:rPr>
          <w:spacing w:val="-3"/>
          <w:sz w:val="22"/>
        </w:rPr>
        <w:t> </w:t>
      </w:r>
      <w:r>
        <w:rPr>
          <w:sz w:val="22"/>
        </w:rPr>
        <w:t>réalisation</w:t>
      </w:r>
      <w:r>
        <w:rPr>
          <w:spacing w:val="-1"/>
          <w:sz w:val="22"/>
        </w:rPr>
        <w:t> </w:t>
      </w:r>
      <w:r>
        <w:rPr>
          <w:sz w:val="22"/>
        </w:rPr>
        <w:t>des</w:t>
      </w:r>
      <w:r>
        <w:rPr>
          <w:spacing w:val="-1"/>
          <w:sz w:val="22"/>
        </w:rPr>
        <w:t> </w:t>
      </w:r>
      <w:r>
        <w:rPr>
          <w:sz w:val="22"/>
        </w:rPr>
        <w:t>objectifs</w:t>
      </w:r>
      <w:r>
        <w:rPr>
          <w:spacing w:val="-1"/>
          <w:sz w:val="22"/>
        </w:rPr>
        <w:t> </w:t>
      </w:r>
      <w:r>
        <w:rPr>
          <w:sz w:val="22"/>
        </w:rPr>
        <w:t>et faire</w:t>
      </w:r>
      <w:r>
        <w:rPr>
          <w:spacing w:val="-1"/>
          <w:sz w:val="22"/>
        </w:rPr>
        <w:t> </w:t>
      </w:r>
      <w:r>
        <w:rPr>
          <w:sz w:val="22"/>
        </w:rPr>
        <w:t>rapport</w:t>
      </w:r>
      <w:r>
        <w:rPr>
          <w:spacing w:val="-3"/>
          <w:sz w:val="22"/>
        </w:rPr>
        <w:t> </w:t>
      </w:r>
      <w:r>
        <w:rPr>
          <w:sz w:val="22"/>
        </w:rPr>
        <w:t>à</w:t>
      </w:r>
      <w:r>
        <w:rPr>
          <w:spacing w:val="-1"/>
          <w:sz w:val="22"/>
        </w:rPr>
        <w:t> </w:t>
      </w:r>
      <w:r>
        <w:rPr>
          <w:sz w:val="22"/>
        </w:rPr>
        <w:t>la</w:t>
      </w:r>
      <w:r>
        <w:rPr>
          <w:spacing w:val="-1"/>
          <w:sz w:val="22"/>
        </w:rPr>
        <w:t> </w:t>
      </w:r>
      <w:r>
        <w:rPr>
          <w:sz w:val="22"/>
        </w:rPr>
        <w:t>hiérarchie</w:t>
      </w:r>
      <w:r>
        <w:rPr>
          <w:spacing w:val="-3"/>
          <w:sz w:val="22"/>
        </w:rPr>
        <w:t> </w:t>
      </w:r>
      <w:r>
        <w:rPr>
          <w:sz w:val="22"/>
        </w:rPr>
        <w:t>si nécessaire</w:t>
      </w:r>
    </w:p>
    <w:p>
      <w:pPr>
        <w:pStyle w:val="ListParagraph"/>
        <w:numPr>
          <w:ilvl w:val="1"/>
          <w:numId w:val="2"/>
        </w:numPr>
        <w:tabs>
          <w:tab w:pos="1092" w:val="left" w:leader="none"/>
          <w:tab w:pos="1093" w:val="left" w:leader="none"/>
        </w:tabs>
        <w:spacing w:line="240" w:lineRule="auto" w:before="1" w:after="0"/>
        <w:ind w:left="1092" w:right="1306" w:hanging="361"/>
        <w:jc w:val="left"/>
        <w:rPr>
          <w:sz w:val="22"/>
        </w:rPr>
      </w:pPr>
      <w:r>
        <w:rPr>
          <w:sz w:val="22"/>
        </w:rPr>
        <w:t>Assurer</w:t>
      </w:r>
      <w:r>
        <w:rPr>
          <w:spacing w:val="-4"/>
          <w:sz w:val="22"/>
        </w:rPr>
        <w:t> </w:t>
      </w:r>
      <w:r>
        <w:rPr>
          <w:sz w:val="22"/>
        </w:rPr>
        <w:t>le</w:t>
      </w:r>
      <w:r>
        <w:rPr>
          <w:spacing w:val="-4"/>
          <w:sz w:val="22"/>
        </w:rPr>
        <w:t> </w:t>
      </w:r>
      <w:r>
        <w:rPr>
          <w:sz w:val="22"/>
        </w:rPr>
        <w:t>suivi,</w:t>
      </w:r>
      <w:r>
        <w:rPr>
          <w:spacing w:val="-4"/>
          <w:sz w:val="22"/>
        </w:rPr>
        <w:t> </w:t>
      </w:r>
      <w:r>
        <w:rPr>
          <w:sz w:val="22"/>
        </w:rPr>
        <w:t>la</w:t>
      </w:r>
      <w:r>
        <w:rPr>
          <w:spacing w:val="-4"/>
          <w:sz w:val="22"/>
        </w:rPr>
        <w:t> </w:t>
      </w:r>
      <w:r>
        <w:rPr>
          <w:sz w:val="22"/>
        </w:rPr>
        <w:t>négociation</w:t>
      </w:r>
      <w:r>
        <w:rPr>
          <w:spacing w:val="-4"/>
          <w:sz w:val="22"/>
        </w:rPr>
        <w:t> </w:t>
      </w:r>
      <w:r>
        <w:rPr>
          <w:sz w:val="22"/>
        </w:rPr>
        <w:t>et</w:t>
      </w:r>
      <w:r>
        <w:rPr>
          <w:spacing w:val="-3"/>
          <w:sz w:val="22"/>
        </w:rPr>
        <w:t> </w:t>
      </w:r>
      <w:r>
        <w:rPr>
          <w:sz w:val="22"/>
        </w:rPr>
        <w:t>l’approbation</w:t>
      </w:r>
      <w:r>
        <w:rPr>
          <w:spacing w:val="-4"/>
          <w:sz w:val="22"/>
        </w:rPr>
        <w:t> </w:t>
      </w:r>
      <w:r>
        <w:rPr>
          <w:sz w:val="22"/>
        </w:rPr>
        <w:t>des</w:t>
      </w:r>
      <w:r>
        <w:rPr>
          <w:spacing w:val="-4"/>
          <w:sz w:val="22"/>
        </w:rPr>
        <w:t> </w:t>
      </w:r>
      <w:r>
        <w:rPr>
          <w:sz w:val="22"/>
        </w:rPr>
        <w:t>modifications</w:t>
      </w:r>
      <w:r>
        <w:rPr>
          <w:spacing w:val="-4"/>
          <w:sz w:val="22"/>
        </w:rPr>
        <w:t> </w:t>
      </w:r>
      <w:r>
        <w:rPr>
          <w:sz w:val="22"/>
        </w:rPr>
        <w:t>apportées</w:t>
      </w:r>
      <w:r>
        <w:rPr>
          <w:spacing w:val="-4"/>
          <w:sz w:val="22"/>
        </w:rPr>
        <w:t> </w:t>
      </w:r>
      <w:r>
        <w:rPr>
          <w:sz w:val="22"/>
        </w:rPr>
        <w:t>au</w:t>
      </w:r>
      <w:r>
        <w:rPr>
          <w:spacing w:val="-6"/>
          <w:sz w:val="22"/>
        </w:rPr>
        <w:t> </w:t>
      </w:r>
      <w:r>
        <w:rPr>
          <w:sz w:val="22"/>
        </w:rPr>
        <w:t>programme</w:t>
      </w:r>
      <w:r>
        <w:rPr>
          <w:spacing w:val="-4"/>
          <w:sz w:val="22"/>
        </w:rPr>
        <w:t> </w:t>
      </w:r>
      <w:r>
        <w:rPr>
          <w:sz w:val="22"/>
        </w:rPr>
        <w:t>de développement rural et au plan stratégique relevant de la PAC</w:t>
      </w:r>
    </w:p>
    <w:p>
      <w:pPr>
        <w:pStyle w:val="ListParagraph"/>
        <w:numPr>
          <w:ilvl w:val="1"/>
          <w:numId w:val="2"/>
        </w:numPr>
        <w:tabs>
          <w:tab w:pos="1092" w:val="left" w:leader="none"/>
          <w:tab w:pos="1093" w:val="left" w:leader="none"/>
        </w:tabs>
        <w:spacing w:line="240" w:lineRule="auto" w:before="0" w:after="0"/>
        <w:ind w:left="1092" w:right="629" w:hanging="361"/>
        <w:jc w:val="left"/>
        <w:rPr>
          <w:sz w:val="22"/>
        </w:rPr>
      </w:pPr>
      <w:r>
        <w:rPr>
          <w:sz w:val="22"/>
        </w:rPr>
        <w:t>Contribuer</w:t>
      </w:r>
      <w:r>
        <w:rPr>
          <w:spacing w:val="-2"/>
          <w:sz w:val="22"/>
        </w:rPr>
        <w:t> </w:t>
      </w:r>
      <w:r>
        <w:rPr>
          <w:sz w:val="22"/>
        </w:rPr>
        <w:t>à</w:t>
      </w:r>
      <w:r>
        <w:rPr>
          <w:spacing w:val="-4"/>
          <w:sz w:val="22"/>
        </w:rPr>
        <w:t> </w:t>
      </w:r>
      <w:r>
        <w:rPr>
          <w:sz w:val="22"/>
        </w:rPr>
        <w:t>la</w:t>
      </w:r>
      <w:r>
        <w:rPr>
          <w:spacing w:val="-4"/>
          <w:sz w:val="22"/>
        </w:rPr>
        <w:t> </w:t>
      </w:r>
      <w:r>
        <w:rPr>
          <w:sz w:val="22"/>
        </w:rPr>
        <w:t>clôture</w:t>
      </w:r>
      <w:r>
        <w:rPr>
          <w:spacing w:val="-2"/>
          <w:sz w:val="22"/>
        </w:rPr>
        <w:t> </w:t>
      </w:r>
      <w:r>
        <w:rPr>
          <w:sz w:val="22"/>
        </w:rPr>
        <w:t>formelle</w:t>
      </w:r>
      <w:r>
        <w:rPr>
          <w:spacing w:val="-2"/>
          <w:sz w:val="22"/>
        </w:rPr>
        <w:t> </w:t>
      </w:r>
      <w:r>
        <w:rPr>
          <w:sz w:val="22"/>
        </w:rPr>
        <w:t>du</w:t>
      </w:r>
      <w:r>
        <w:rPr>
          <w:spacing w:val="-2"/>
          <w:sz w:val="22"/>
        </w:rPr>
        <w:t> </w:t>
      </w:r>
      <w:r>
        <w:rPr>
          <w:sz w:val="22"/>
        </w:rPr>
        <w:t>ou</w:t>
      </w:r>
      <w:r>
        <w:rPr>
          <w:spacing w:val="-2"/>
          <w:sz w:val="22"/>
        </w:rPr>
        <w:t> </w:t>
      </w:r>
      <w:r>
        <w:rPr>
          <w:sz w:val="22"/>
        </w:rPr>
        <w:t>des</w:t>
      </w:r>
      <w:r>
        <w:rPr>
          <w:spacing w:val="-2"/>
          <w:sz w:val="22"/>
        </w:rPr>
        <w:t> </w:t>
      </w:r>
      <w:r>
        <w:rPr>
          <w:sz w:val="22"/>
        </w:rPr>
        <w:t>programmes</w:t>
      </w:r>
      <w:r>
        <w:rPr>
          <w:spacing w:val="-2"/>
          <w:sz w:val="22"/>
        </w:rPr>
        <w:t> </w:t>
      </w:r>
      <w:r>
        <w:rPr>
          <w:sz w:val="22"/>
        </w:rPr>
        <w:t>de</w:t>
      </w:r>
      <w:r>
        <w:rPr>
          <w:spacing w:val="-2"/>
          <w:sz w:val="22"/>
        </w:rPr>
        <w:t> </w:t>
      </w:r>
      <w:r>
        <w:rPr>
          <w:sz w:val="22"/>
        </w:rPr>
        <w:t>développement</w:t>
      </w:r>
      <w:r>
        <w:rPr>
          <w:spacing w:val="-1"/>
          <w:sz w:val="22"/>
        </w:rPr>
        <w:t> </w:t>
      </w:r>
      <w:r>
        <w:rPr>
          <w:sz w:val="22"/>
        </w:rPr>
        <w:t>rural</w:t>
      </w:r>
      <w:r>
        <w:rPr>
          <w:spacing w:val="-1"/>
          <w:sz w:val="22"/>
        </w:rPr>
        <w:t> </w:t>
      </w:r>
      <w:r>
        <w:rPr>
          <w:sz w:val="22"/>
        </w:rPr>
        <w:t>et</w:t>
      </w:r>
      <w:r>
        <w:rPr>
          <w:spacing w:val="-4"/>
          <w:sz w:val="22"/>
        </w:rPr>
        <w:t> </w:t>
      </w:r>
      <w:r>
        <w:rPr>
          <w:sz w:val="22"/>
        </w:rPr>
        <w:t>évaluer</w:t>
      </w:r>
      <w:r>
        <w:rPr>
          <w:spacing w:val="-4"/>
          <w:sz w:val="22"/>
        </w:rPr>
        <w:t> </w:t>
      </w:r>
      <w:r>
        <w:rPr>
          <w:sz w:val="22"/>
        </w:rPr>
        <w:t>les</w:t>
      </w:r>
      <w:r>
        <w:rPr>
          <w:spacing w:val="-2"/>
          <w:sz w:val="22"/>
        </w:rPr>
        <w:t> </w:t>
      </w:r>
      <w:r>
        <w:rPr>
          <w:sz w:val="22"/>
        </w:rPr>
        <w:t>rapports d’évaluation, le cas échéant</w:t>
      </w:r>
    </w:p>
    <w:p>
      <w:pPr>
        <w:pStyle w:val="ListParagraph"/>
        <w:numPr>
          <w:ilvl w:val="1"/>
          <w:numId w:val="2"/>
        </w:numPr>
        <w:tabs>
          <w:tab w:pos="1092" w:val="left" w:leader="none"/>
          <w:tab w:pos="1093" w:val="left" w:leader="none"/>
        </w:tabs>
        <w:spacing w:line="240" w:lineRule="auto" w:before="0" w:after="0"/>
        <w:ind w:left="1092" w:right="478" w:hanging="361"/>
        <w:jc w:val="left"/>
        <w:rPr>
          <w:sz w:val="22"/>
        </w:rPr>
      </w:pPr>
      <w:r>
        <w:rPr>
          <w:sz w:val="22"/>
        </w:rPr>
        <w:t>Assurer</w:t>
      </w:r>
      <w:r>
        <w:rPr>
          <w:spacing w:val="-2"/>
          <w:sz w:val="22"/>
        </w:rPr>
        <w:t> </w:t>
      </w:r>
      <w:r>
        <w:rPr>
          <w:sz w:val="22"/>
        </w:rPr>
        <w:t>la</w:t>
      </w:r>
      <w:r>
        <w:rPr>
          <w:spacing w:val="-2"/>
          <w:sz w:val="22"/>
        </w:rPr>
        <w:t> </w:t>
      </w:r>
      <w:r>
        <w:rPr>
          <w:sz w:val="22"/>
        </w:rPr>
        <w:t>liaison</w:t>
      </w:r>
      <w:r>
        <w:rPr>
          <w:spacing w:val="-4"/>
          <w:sz w:val="22"/>
        </w:rPr>
        <w:t> </w:t>
      </w:r>
      <w:r>
        <w:rPr>
          <w:sz w:val="22"/>
        </w:rPr>
        <w:t>avec</w:t>
      </w:r>
      <w:r>
        <w:rPr>
          <w:spacing w:val="-2"/>
          <w:sz w:val="22"/>
        </w:rPr>
        <w:t> </w:t>
      </w:r>
      <w:r>
        <w:rPr>
          <w:sz w:val="22"/>
        </w:rPr>
        <w:t>les</w:t>
      </w:r>
      <w:r>
        <w:rPr>
          <w:spacing w:val="-4"/>
          <w:sz w:val="22"/>
        </w:rPr>
        <w:t> </w:t>
      </w:r>
      <w:r>
        <w:rPr>
          <w:sz w:val="22"/>
        </w:rPr>
        <w:t>homologues</w:t>
      </w:r>
      <w:r>
        <w:rPr>
          <w:spacing w:val="-2"/>
          <w:sz w:val="22"/>
        </w:rPr>
        <w:t> </w:t>
      </w:r>
      <w:r>
        <w:rPr>
          <w:sz w:val="22"/>
        </w:rPr>
        <w:t>des</w:t>
      </w:r>
      <w:r>
        <w:rPr>
          <w:spacing w:val="-2"/>
          <w:sz w:val="22"/>
        </w:rPr>
        <w:t> </w:t>
      </w:r>
      <w:r>
        <w:rPr>
          <w:sz w:val="22"/>
        </w:rPr>
        <w:t>unités</w:t>
      </w:r>
      <w:r>
        <w:rPr>
          <w:spacing w:val="-2"/>
          <w:sz w:val="22"/>
        </w:rPr>
        <w:t> </w:t>
      </w:r>
      <w:r>
        <w:rPr>
          <w:sz w:val="22"/>
        </w:rPr>
        <w:t>horizontales</w:t>
      </w:r>
      <w:r>
        <w:rPr>
          <w:spacing w:val="-2"/>
          <w:sz w:val="22"/>
        </w:rPr>
        <w:t> </w:t>
      </w:r>
      <w:r>
        <w:rPr>
          <w:sz w:val="22"/>
        </w:rPr>
        <w:t>de</w:t>
      </w:r>
      <w:r>
        <w:rPr>
          <w:spacing w:val="-4"/>
          <w:sz w:val="22"/>
        </w:rPr>
        <w:t> </w:t>
      </w:r>
      <w:r>
        <w:rPr>
          <w:sz w:val="22"/>
        </w:rPr>
        <w:t>la</w:t>
      </w:r>
      <w:r>
        <w:rPr>
          <w:spacing w:val="-2"/>
          <w:sz w:val="22"/>
        </w:rPr>
        <w:t> </w:t>
      </w:r>
      <w:r>
        <w:rPr>
          <w:sz w:val="22"/>
        </w:rPr>
        <w:t>DG</w:t>
      </w:r>
      <w:r>
        <w:rPr>
          <w:spacing w:val="-4"/>
          <w:sz w:val="22"/>
        </w:rPr>
        <w:t> </w:t>
      </w:r>
      <w:r>
        <w:rPr>
          <w:sz w:val="22"/>
        </w:rPr>
        <w:t>AGRI,</w:t>
      </w:r>
      <w:r>
        <w:rPr>
          <w:spacing w:val="-2"/>
          <w:sz w:val="22"/>
        </w:rPr>
        <w:t> </w:t>
      </w:r>
      <w:r>
        <w:rPr>
          <w:sz w:val="22"/>
        </w:rPr>
        <w:t>des</w:t>
      </w:r>
      <w:r>
        <w:rPr>
          <w:spacing w:val="-2"/>
          <w:sz w:val="22"/>
        </w:rPr>
        <w:t> </w:t>
      </w:r>
      <w:r>
        <w:rPr>
          <w:sz w:val="22"/>
        </w:rPr>
        <w:t>unités</w:t>
      </w:r>
      <w:r>
        <w:rPr>
          <w:spacing w:val="-2"/>
          <w:sz w:val="22"/>
        </w:rPr>
        <w:t> </w:t>
      </w:r>
      <w:r>
        <w:rPr>
          <w:sz w:val="22"/>
        </w:rPr>
        <w:t>d’audit,</w:t>
      </w:r>
      <w:r>
        <w:rPr>
          <w:spacing w:val="-5"/>
          <w:sz w:val="22"/>
        </w:rPr>
        <w:t> </w:t>
      </w:r>
      <w:r>
        <w:rPr>
          <w:sz w:val="22"/>
        </w:rPr>
        <w:t>ainsi qu’avec les Fonds ESI et les autres DG.</w:t>
      </w:r>
    </w:p>
    <w:p>
      <w:pPr>
        <w:pStyle w:val="ListParagraph"/>
        <w:numPr>
          <w:ilvl w:val="1"/>
          <w:numId w:val="2"/>
        </w:numPr>
        <w:tabs>
          <w:tab w:pos="1092" w:val="left" w:leader="none"/>
          <w:tab w:pos="1093" w:val="left" w:leader="none"/>
        </w:tabs>
        <w:spacing w:line="240" w:lineRule="auto" w:before="0" w:after="0"/>
        <w:ind w:left="1092" w:right="327" w:hanging="361"/>
        <w:jc w:val="left"/>
        <w:rPr>
          <w:sz w:val="22"/>
        </w:rPr>
      </w:pPr>
      <w:r>
        <w:rPr>
          <w:sz w:val="22"/>
        </w:rPr>
        <w:t>Dialoguer</w:t>
      </w:r>
      <w:r>
        <w:rPr>
          <w:spacing w:val="-3"/>
          <w:sz w:val="22"/>
        </w:rPr>
        <w:t> </w:t>
      </w:r>
      <w:r>
        <w:rPr>
          <w:sz w:val="22"/>
        </w:rPr>
        <w:t>avec</w:t>
      </w:r>
      <w:r>
        <w:rPr>
          <w:spacing w:val="-2"/>
          <w:sz w:val="22"/>
        </w:rPr>
        <w:t> </w:t>
      </w:r>
      <w:r>
        <w:rPr>
          <w:sz w:val="22"/>
        </w:rPr>
        <w:t>les</w:t>
      </w:r>
      <w:r>
        <w:rPr>
          <w:spacing w:val="-2"/>
          <w:sz w:val="22"/>
        </w:rPr>
        <w:t> </w:t>
      </w:r>
      <w:r>
        <w:rPr>
          <w:sz w:val="22"/>
        </w:rPr>
        <w:t>parties</w:t>
      </w:r>
      <w:r>
        <w:rPr>
          <w:spacing w:val="-2"/>
          <w:sz w:val="22"/>
        </w:rPr>
        <w:t> </w:t>
      </w:r>
      <w:r>
        <w:rPr>
          <w:sz w:val="22"/>
        </w:rPr>
        <w:t>intéressées</w:t>
      </w:r>
      <w:r>
        <w:rPr>
          <w:spacing w:val="-4"/>
          <w:sz w:val="22"/>
        </w:rPr>
        <w:t> </w:t>
      </w:r>
      <w:r>
        <w:rPr>
          <w:sz w:val="22"/>
        </w:rPr>
        <w:t>et</w:t>
      </w:r>
      <w:r>
        <w:rPr>
          <w:spacing w:val="-1"/>
          <w:sz w:val="22"/>
        </w:rPr>
        <w:t> </w:t>
      </w:r>
      <w:r>
        <w:rPr>
          <w:sz w:val="22"/>
        </w:rPr>
        <w:t>diffuser</w:t>
      </w:r>
      <w:r>
        <w:rPr>
          <w:spacing w:val="-4"/>
          <w:sz w:val="22"/>
        </w:rPr>
        <w:t> </w:t>
      </w:r>
      <w:r>
        <w:rPr>
          <w:sz w:val="22"/>
        </w:rPr>
        <w:t>des</w:t>
      </w:r>
      <w:r>
        <w:rPr>
          <w:spacing w:val="-4"/>
          <w:sz w:val="22"/>
        </w:rPr>
        <w:t> </w:t>
      </w:r>
      <w:r>
        <w:rPr>
          <w:sz w:val="22"/>
        </w:rPr>
        <w:t>informations</w:t>
      </w:r>
      <w:r>
        <w:rPr>
          <w:spacing w:val="-2"/>
          <w:sz w:val="22"/>
        </w:rPr>
        <w:t> </w:t>
      </w:r>
      <w:r>
        <w:rPr>
          <w:sz w:val="22"/>
        </w:rPr>
        <w:t>sur</w:t>
      </w:r>
      <w:r>
        <w:rPr>
          <w:spacing w:val="-2"/>
          <w:sz w:val="22"/>
        </w:rPr>
        <w:t> </w:t>
      </w:r>
      <w:r>
        <w:rPr>
          <w:sz w:val="22"/>
        </w:rPr>
        <w:t>le</w:t>
      </w:r>
      <w:r>
        <w:rPr>
          <w:spacing w:val="-2"/>
          <w:sz w:val="22"/>
        </w:rPr>
        <w:t> </w:t>
      </w:r>
      <w:r>
        <w:rPr>
          <w:sz w:val="22"/>
        </w:rPr>
        <w:t>ou</w:t>
      </w:r>
      <w:r>
        <w:rPr>
          <w:spacing w:val="-4"/>
          <w:sz w:val="22"/>
        </w:rPr>
        <w:t> </w:t>
      </w:r>
      <w:r>
        <w:rPr>
          <w:sz w:val="22"/>
        </w:rPr>
        <w:t>les</w:t>
      </w:r>
      <w:r>
        <w:rPr>
          <w:spacing w:val="-4"/>
          <w:sz w:val="22"/>
        </w:rPr>
        <w:t> </w:t>
      </w:r>
      <w:r>
        <w:rPr>
          <w:sz w:val="22"/>
        </w:rPr>
        <w:t>plans</w:t>
      </w:r>
      <w:r>
        <w:rPr>
          <w:spacing w:val="-2"/>
          <w:sz w:val="22"/>
        </w:rPr>
        <w:t> </w:t>
      </w:r>
      <w:r>
        <w:rPr>
          <w:sz w:val="22"/>
        </w:rPr>
        <w:t>stratégiques</w:t>
      </w:r>
      <w:r>
        <w:rPr>
          <w:spacing w:val="-2"/>
          <w:sz w:val="22"/>
        </w:rPr>
        <w:t> </w:t>
      </w:r>
      <w:r>
        <w:rPr>
          <w:sz w:val="22"/>
        </w:rPr>
        <w:t>relevant de la PAC et sur le ou les programmes de développement rural</w:t>
      </w:r>
    </w:p>
    <w:p>
      <w:pPr>
        <w:pStyle w:val="ListParagraph"/>
        <w:numPr>
          <w:ilvl w:val="1"/>
          <w:numId w:val="2"/>
        </w:numPr>
        <w:tabs>
          <w:tab w:pos="1092" w:val="left" w:leader="none"/>
          <w:tab w:pos="1093" w:val="left" w:leader="none"/>
        </w:tabs>
        <w:spacing w:line="240" w:lineRule="auto" w:before="0" w:after="0"/>
        <w:ind w:left="1092" w:right="365" w:hanging="361"/>
        <w:jc w:val="left"/>
        <w:rPr>
          <w:sz w:val="22"/>
        </w:rPr>
      </w:pPr>
      <w:r>
        <w:rPr>
          <w:sz w:val="22"/>
        </w:rPr>
        <w:t>Préparer</w:t>
      </w:r>
      <w:r>
        <w:rPr>
          <w:spacing w:val="-3"/>
          <w:sz w:val="22"/>
        </w:rPr>
        <w:t> </w:t>
      </w:r>
      <w:r>
        <w:rPr>
          <w:sz w:val="22"/>
        </w:rPr>
        <w:t>des</w:t>
      </w:r>
      <w:r>
        <w:rPr>
          <w:spacing w:val="-5"/>
          <w:sz w:val="22"/>
        </w:rPr>
        <w:t> </w:t>
      </w:r>
      <w:r>
        <w:rPr>
          <w:sz w:val="22"/>
        </w:rPr>
        <w:t>notes</w:t>
      </w:r>
      <w:r>
        <w:rPr>
          <w:spacing w:val="-3"/>
          <w:sz w:val="22"/>
        </w:rPr>
        <w:t> </w:t>
      </w:r>
      <w:r>
        <w:rPr>
          <w:sz w:val="22"/>
        </w:rPr>
        <w:t>d’information,</w:t>
      </w:r>
      <w:r>
        <w:rPr>
          <w:spacing w:val="-3"/>
          <w:sz w:val="22"/>
        </w:rPr>
        <w:t> </w:t>
      </w:r>
      <w:r>
        <w:rPr>
          <w:sz w:val="22"/>
        </w:rPr>
        <w:t>des</w:t>
      </w:r>
      <w:r>
        <w:rPr>
          <w:spacing w:val="-3"/>
          <w:sz w:val="22"/>
        </w:rPr>
        <w:t> </w:t>
      </w:r>
      <w:r>
        <w:rPr>
          <w:sz w:val="22"/>
        </w:rPr>
        <w:t>réponses</w:t>
      </w:r>
      <w:r>
        <w:rPr>
          <w:spacing w:val="-3"/>
          <w:sz w:val="22"/>
        </w:rPr>
        <w:t> </w:t>
      </w:r>
      <w:r>
        <w:rPr>
          <w:sz w:val="22"/>
        </w:rPr>
        <w:t>aux</w:t>
      </w:r>
      <w:r>
        <w:rPr>
          <w:spacing w:val="-3"/>
          <w:sz w:val="22"/>
        </w:rPr>
        <w:t> </w:t>
      </w:r>
      <w:r>
        <w:rPr>
          <w:sz w:val="22"/>
        </w:rPr>
        <w:t>questions</w:t>
      </w:r>
      <w:r>
        <w:rPr>
          <w:spacing w:val="-3"/>
          <w:sz w:val="22"/>
        </w:rPr>
        <w:t> </w:t>
      </w:r>
      <w:r>
        <w:rPr>
          <w:sz w:val="22"/>
        </w:rPr>
        <w:t>des</w:t>
      </w:r>
      <w:r>
        <w:rPr>
          <w:spacing w:val="-3"/>
          <w:sz w:val="22"/>
        </w:rPr>
        <w:t> </w:t>
      </w:r>
      <w:r>
        <w:rPr>
          <w:sz w:val="22"/>
        </w:rPr>
        <w:t>députés</w:t>
      </w:r>
      <w:r>
        <w:rPr>
          <w:spacing w:val="-3"/>
          <w:sz w:val="22"/>
        </w:rPr>
        <w:t> </w:t>
      </w:r>
      <w:r>
        <w:rPr>
          <w:sz w:val="22"/>
        </w:rPr>
        <w:t>et</w:t>
      </w:r>
      <w:r>
        <w:rPr>
          <w:spacing w:val="-2"/>
          <w:sz w:val="22"/>
        </w:rPr>
        <w:t> </w:t>
      </w:r>
      <w:r>
        <w:rPr>
          <w:sz w:val="22"/>
        </w:rPr>
        <w:t>des</w:t>
      </w:r>
      <w:r>
        <w:rPr>
          <w:spacing w:val="-3"/>
          <w:sz w:val="22"/>
        </w:rPr>
        <w:t> </w:t>
      </w:r>
      <w:r>
        <w:rPr>
          <w:sz w:val="22"/>
        </w:rPr>
        <w:t>demandes</w:t>
      </w:r>
      <w:r>
        <w:rPr>
          <w:spacing w:val="-3"/>
          <w:sz w:val="22"/>
        </w:rPr>
        <w:t> </w:t>
      </w:r>
      <w:r>
        <w:rPr>
          <w:sz w:val="22"/>
        </w:rPr>
        <w:t>d’information du public</w:t>
      </w:r>
    </w:p>
    <w:p>
      <w:pPr>
        <w:pStyle w:val="ListParagraph"/>
        <w:numPr>
          <w:ilvl w:val="1"/>
          <w:numId w:val="2"/>
        </w:numPr>
        <w:tabs>
          <w:tab w:pos="1092" w:val="left" w:leader="none"/>
          <w:tab w:pos="1093" w:val="left" w:leader="none"/>
        </w:tabs>
        <w:spacing w:line="240" w:lineRule="auto" w:before="0" w:after="0"/>
        <w:ind w:left="1092" w:right="802" w:hanging="361"/>
        <w:jc w:val="left"/>
        <w:rPr>
          <w:sz w:val="22"/>
        </w:rPr>
      </w:pPr>
      <w:r>
        <w:rPr>
          <w:sz w:val="22"/>
        </w:rPr>
        <w:t>Lancer</w:t>
      </w:r>
      <w:r>
        <w:rPr>
          <w:spacing w:val="-2"/>
          <w:sz w:val="22"/>
        </w:rPr>
        <w:t> </w:t>
      </w:r>
      <w:r>
        <w:rPr>
          <w:sz w:val="22"/>
        </w:rPr>
        <w:t>des</w:t>
      </w:r>
      <w:r>
        <w:rPr>
          <w:spacing w:val="-4"/>
          <w:sz w:val="22"/>
        </w:rPr>
        <w:t> </w:t>
      </w:r>
      <w:r>
        <w:rPr>
          <w:sz w:val="22"/>
        </w:rPr>
        <w:t>consultations</w:t>
      </w:r>
      <w:r>
        <w:rPr>
          <w:spacing w:val="-2"/>
          <w:sz w:val="22"/>
        </w:rPr>
        <w:t> </w:t>
      </w:r>
      <w:r>
        <w:rPr>
          <w:sz w:val="22"/>
        </w:rPr>
        <w:t>interservices</w:t>
      </w:r>
      <w:r>
        <w:rPr>
          <w:spacing w:val="-2"/>
          <w:sz w:val="22"/>
        </w:rPr>
        <w:t> </w:t>
      </w:r>
      <w:r>
        <w:rPr>
          <w:sz w:val="22"/>
        </w:rPr>
        <w:t>et</w:t>
      </w:r>
      <w:r>
        <w:rPr>
          <w:spacing w:val="-1"/>
          <w:sz w:val="22"/>
        </w:rPr>
        <w:t> </w:t>
      </w:r>
      <w:r>
        <w:rPr>
          <w:sz w:val="22"/>
        </w:rPr>
        <w:t>des</w:t>
      </w:r>
      <w:r>
        <w:rPr>
          <w:spacing w:val="-2"/>
          <w:sz w:val="22"/>
        </w:rPr>
        <w:t> </w:t>
      </w:r>
      <w:r>
        <w:rPr>
          <w:sz w:val="22"/>
        </w:rPr>
        <w:t>consultations</w:t>
      </w:r>
      <w:r>
        <w:rPr>
          <w:spacing w:val="-2"/>
          <w:sz w:val="22"/>
        </w:rPr>
        <w:t> </w:t>
      </w:r>
      <w:r>
        <w:rPr>
          <w:sz w:val="22"/>
        </w:rPr>
        <w:t>au</w:t>
      </w:r>
      <w:r>
        <w:rPr>
          <w:spacing w:val="-5"/>
          <w:sz w:val="22"/>
        </w:rPr>
        <w:t> </w:t>
      </w:r>
      <w:r>
        <w:rPr>
          <w:sz w:val="22"/>
        </w:rPr>
        <w:t>sein</w:t>
      </w:r>
      <w:r>
        <w:rPr>
          <w:spacing w:val="-2"/>
          <w:sz w:val="22"/>
        </w:rPr>
        <w:t> </w:t>
      </w:r>
      <w:r>
        <w:rPr>
          <w:sz w:val="22"/>
        </w:rPr>
        <w:t>de</w:t>
      </w:r>
      <w:r>
        <w:rPr>
          <w:spacing w:val="-4"/>
          <w:sz w:val="22"/>
        </w:rPr>
        <w:t> </w:t>
      </w:r>
      <w:r>
        <w:rPr>
          <w:sz w:val="22"/>
        </w:rPr>
        <w:t>la</w:t>
      </w:r>
      <w:r>
        <w:rPr>
          <w:spacing w:val="-2"/>
          <w:sz w:val="22"/>
        </w:rPr>
        <w:t> </w:t>
      </w:r>
      <w:r>
        <w:rPr>
          <w:sz w:val="22"/>
        </w:rPr>
        <w:t>DG</w:t>
      </w:r>
      <w:r>
        <w:rPr>
          <w:spacing w:val="-4"/>
          <w:sz w:val="22"/>
        </w:rPr>
        <w:t> </w:t>
      </w:r>
      <w:r>
        <w:rPr>
          <w:sz w:val="22"/>
        </w:rPr>
        <w:t>AGRI,</w:t>
      </w:r>
      <w:r>
        <w:rPr>
          <w:spacing w:val="-2"/>
          <w:sz w:val="22"/>
        </w:rPr>
        <w:t> </w:t>
      </w:r>
      <w:r>
        <w:rPr>
          <w:sz w:val="22"/>
        </w:rPr>
        <w:t>y</w:t>
      </w:r>
      <w:r>
        <w:rPr>
          <w:spacing w:val="-5"/>
          <w:sz w:val="22"/>
        </w:rPr>
        <w:t> </w:t>
      </w:r>
      <w:r>
        <w:rPr>
          <w:sz w:val="22"/>
        </w:rPr>
        <w:t>contribuer</w:t>
      </w:r>
      <w:r>
        <w:rPr>
          <w:spacing w:val="-2"/>
          <w:sz w:val="22"/>
        </w:rPr>
        <w:t> </w:t>
      </w:r>
      <w:r>
        <w:rPr>
          <w:sz w:val="22"/>
        </w:rPr>
        <w:t>et</w:t>
      </w:r>
      <w:r>
        <w:rPr>
          <w:spacing w:val="-1"/>
          <w:sz w:val="22"/>
        </w:rPr>
        <w:t> </w:t>
      </w:r>
      <w:r>
        <w:rPr>
          <w:sz w:val="22"/>
        </w:rPr>
        <w:t>y répondre afin de garantir la cohérence avec les autres politiques de l’UE</w:t>
      </w:r>
    </w:p>
    <w:p>
      <w:pPr>
        <w:pStyle w:val="ListParagraph"/>
        <w:numPr>
          <w:ilvl w:val="1"/>
          <w:numId w:val="2"/>
        </w:numPr>
        <w:tabs>
          <w:tab w:pos="1092" w:val="left" w:leader="none"/>
          <w:tab w:pos="1093" w:val="left" w:leader="none"/>
        </w:tabs>
        <w:spacing w:line="240" w:lineRule="auto" w:before="1" w:after="0"/>
        <w:ind w:left="1092" w:right="718" w:hanging="361"/>
        <w:jc w:val="left"/>
        <w:rPr>
          <w:sz w:val="22"/>
        </w:rPr>
      </w:pPr>
      <w:r>
        <w:rPr>
          <w:sz w:val="22"/>
        </w:rPr>
        <w:t>Proposer</w:t>
      </w:r>
      <w:r>
        <w:rPr>
          <w:spacing w:val="-2"/>
          <w:sz w:val="22"/>
        </w:rPr>
        <w:t> </w:t>
      </w:r>
      <w:r>
        <w:rPr>
          <w:sz w:val="22"/>
        </w:rPr>
        <w:t>une</w:t>
      </w:r>
      <w:r>
        <w:rPr>
          <w:spacing w:val="-3"/>
          <w:sz w:val="22"/>
        </w:rPr>
        <w:t> </w:t>
      </w:r>
      <w:r>
        <w:rPr>
          <w:sz w:val="22"/>
        </w:rPr>
        <w:t>réponse</w:t>
      </w:r>
      <w:r>
        <w:rPr>
          <w:spacing w:val="-3"/>
          <w:sz w:val="22"/>
        </w:rPr>
        <w:t> </w:t>
      </w:r>
      <w:r>
        <w:rPr>
          <w:sz w:val="22"/>
        </w:rPr>
        <w:t>aux</w:t>
      </w:r>
      <w:r>
        <w:rPr>
          <w:spacing w:val="-3"/>
          <w:sz w:val="22"/>
        </w:rPr>
        <w:t> </w:t>
      </w:r>
      <w:r>
        <w:rPr>
          <w:sz w:val="22"/>
        </w:rPr>
        <w:t>questions</w:t>
      </w:r>
      <w:r>
        <w:rPr>
          <w:spacing w:val="-3"/>
          <w:sz w:val="22"/>
        </w:rPr>
        <w:t> </w:t>
      </w:r>
      <w:r>
        <w:rPr>
          <w:sz w:val="22"/>
        </w:rPr>
        <w:t>et</w:t>
      </w:r>
      <w:r>
        <w:rPr>
          <w:spacing w:val="-5"/>
          <w:sz w:val="22"/>
        </w:rPr>
        <w:t> </w:t>
      </w:r>
      <w:r>
        <w:rPr>
          <w:sz w:val="22"/>
        </w:rPr>
        <w:t>demandes</w:t>
      </w:r>
      <w:r>
        <w:rPr>
          <w:spacing w:val="-3"/>
          <w:sz w:val="22"/>
        </w:rPr>
        <w:t> </w:t>
      </w:r>
      <w:r>
        <w:rPr>
          <w:sz w:val="22"/>
        </w:rPr>
        <w:t>d’interprétation</w:t>
      </w:r>
      <w:r>
        <w:rPr>
          <w:spacing w:val="-3"/>
          <w:sz w:val="22"/>
        </w:rPr>
        <w:t> </w:t>
      </w:r>
      <w:r>
        <w:rPr>
          <w:sz w:val="22"/>
        </w:rPr>
        <w:t>émanant</w:t>
      </w:r>
      <w:r>
        <w:rPr>
          <w:spacing w:val="-2"/>
          <w:sz w:val="22"/>
        </w:rPr>
        <w:t> </w:t>
      </w:r>
      <w:r>
        <w:rPr>
          <w:sz w:val="22"/>
        </w:rPr>
        <w:t>d’autres</w:t>
      </w:r>
      <w:r>
        <w:rPr>
          <w:spacing w:val="-5"/>
          <w:sz w:val="22"/>
        </w:rPr>
        <w:t> </w:t>
      </w:r>
      <w:r>
        <w:rPr>
          <w:sz w:val="22"/>
        </w:rPr>
        <w:t>services,</w:t>
      </w:r>
      <w:r>
        <w:rPr>
          <w:spacing w:val="-3"/>
          <w:sz w:val="22"/>
        </w:rPr>
        <w:t> </w:t>
      </w:r>
      <w:r>
        <w:rPr>
          <w:sz w:val="22"/>
        </w:rPr>
        <w:t>d’autres institutions européennes, des autorités des États membres et des citoyens</w:t>
      </w:r>
    </w:p>
    <w:p>
      <w:pPr>
        <w:pStyle w:val="ListParagraph"/>
        <w:numPr>
          <w:ilvl w:val="1"/>
          <w:numId w:val="2"/>
        </w:numPr>
        <w:tabs>
          <w:tab w:pos="1092" w:val="left" w:leader="none"/>
          <w:tab w:pos="1093" w:val="left" w:leader="none"/>
        </w:tabs>
        <w:spacing w:line="251" w:lineRule="exact" w:before="0" w:after="0"/>
        <w:ind w:left="1092" w:right="0" w:hanging="361"/>
        <w:jc w:val="left"/>
        <w:rPr>
          <w:sz w:val="22"/>
        </w:rPr>
      </w:pPr>
      <w:r>
        <w:rPr>
          <w:sz w:val="22"/>
        </w:rPr>
        <w:t>Coordonner</w:t>
      </w:r>
      <w:r>
        <w:rPr>
          <w:spacing w:val="-6"/>
          <w:sz w:val="22"/>
        </w:rPr>
        <w:t> </w:t>
      </w:r>
      <w:r>
        <w:rPr>
          <w:sz w:val="22"/>
        </w:rPr>
        <w:t>et/ou</w:t>
      </w:r>
      <w:r>
        <w:rPr>
          <w:spacing w:val="-4"/>
          <w:sz w:val="22"/>
        </w:rPr>
        <w:t> </w:t>
      </w:r>
      <w:r>
        <w:rPr>
          <w:sz w:val="22"/>
        </w:rPr>
        <w:t>fournir</w:t>
      </w:r>
      <w:r>
        <w:rPr>
          <w:spacing w:val="-7"/>
          <w:sz w:val="22"/>
        </w:rPr>
        <w:t> </w:t>
      </w:r>
      <w:r>
        <w:rPr>
          <w:sz w:val="22"/>
        </w:rPr>
        <w:t>des</w:t>
      </w:r>
      <w:r>
        <w:rPr>
          <w:spacing w:val="-4"/>
          <w:sz w:val="22"/>
        </w:rPr>
        <w:t> </w:t>
      </w:r>
      <w:r>
        <w:rPr>
          <w:sz w:val="22"/>
        </w:rPr>
        <w:t>contributions</w:t>
      </w:r>
      <w:r>
        <w:rPr>
          <w:spacing w:val="-5"/>
          <w:sz w:val="22"/>
        </w:rPr>
        <w:t> </w:t>
      </w:r>
      <w:r>
        <w:rPr>
          <w:sz w:val="22"/>
        </w:rPr>
        <w:t>de</w:t>
      </w:r>
      <w:r>
        <w:rPr>
          <w:spacing w:val="-6"/>
          <w:sz w:val="22"/>
        </w:rPr>
        <w:t> </w:t>
      </w:r>
      <w:r>
        <w:rPr>
          <w:sz w:val="22"/>
        </w:rPr>
        <w:t>nature</w:t>
      </w:r>
      <w:r>
        <w:rPr>
          <w:spacing w:val="-4"/>
          <w:sz w:val="22"/>
        </w:rPr>
        <w:t> </w:t>
      </w:r>
      <w:r>
        <w:rPr>
          <w:sz w:val="22"/>
        </w:rPr>
        <w:t>thématique</w:t>
      </w:r>
      <w:r>
        <w:rPr>
          <w:spacing w:val="-5"/>
          <w:sz w:val="22"/>
        </w:rPr>
        <w:t> </w:t>
      </w:r>
      <w:r>
        <w:rPr>
          <w:sz w:val="22"/>
        </w:rPr>
        <w:t>ou</w:t>
      </w:r>
      <w:r>
        <w:rPr>
          <w:spacing w:val="-4"/>
          <w:sz w:val="22"/>
        </w:rPr>
        <w:t> </w:t>
      </w:r>
      <w:r>
        <w:rPr>
          <w:sz w:val="22"/>
        </w:rPr>
        <w:t>horizontale</w:t>
      </w:r>
      <w:r>
        <w:rPr>
          <w:spacing w:val="-7"/>
          <w:sz w:val="22"/>
        </w:rPr>
        <w:t> </w:t>
      </w:r>
      <w:r>
        <w:rPr>
          <w:sz w:val="22"/>
        </w:rPr>
        <w:t>pour</w:t>
      </w:r>
      <w:r>
        <w:rPr>
          <w:spacing w:val="-4"/>
          <w:sz w:val="22"/>
        </w:rPr>
        <w:t> </w:t>
      </w:r>
      <w:r>
        <w:rPr>
          <w:sz w:val="22"/>
        </w:rPr>
        <w:t>l’unité</w:t>
      </w:r>
      <w:r>
        <w:rPr>
          <w:spacing w:val="-4"/>
          <w:sz w:val="22"/>
        </w:rPr>
        <w:t> </w:t>
      </w:r>
      <w:r>
        <w:rPr>
          <w:spacing w:val="-5"/>
          <w:sz w:val="22"/>
        </w:rPr>
        <w:t>C3</w:t>
      </w:r>
    </w:p>
    <w:p>
      <w:pPr>
        <w:pStyle w:val="ListParagraph"/>
        <w:numPr>
          <w:ilvl w:val="1"/>
          <w:numId w:val="2"/>
        </w:numPr>
        <w:tabs>
          <w:tab w:pos="1092" w:val="left" w:leader="none"/>
          <w:tab w:pos="1093" w:val="left" w:leader="none"/>
        </w:tabs>
        <w:spacing w:line="240" w:lineRule="auto" w:before="1" w:after="0"/>
        <w:ind w:left="1092" w:right="1281" w:hanging="361"/>
        <w:jc w:val="left"/>
        <w:rPr>
          <w:sz w:val="22"/>
        </w:rPr>
      </w:pPr>
      <w:r>
        <w:rPr>
          <w:sz w:val="22"/>
        </w:rPr>
        <w:t>Fournir</w:t>
      </w:r>
      <w:r>
        <w:rPr>
          <w:spacing w:val="-4"/>
          <w:sz w:val="22"/>
        </w:rPr>
        <w:t> </w:t>
      </w:r>
      <w:r>
        <w:rPr>
          <w:sz w:val="22"/>
        </w:rPr>
        <w:t>les</w:t>
      </w:r>
      <w:r>
        <w:rPr>
          <w:spacing w:val="-4"/>
          <w:sz w:val="22"/>
        </w:rPr>
        <w:t> </w:t>
      </w:r>
      <w:r>
        <w:rPr>
          <w:sz w:val="22"/>
        </w:rPr>
        <w:t>informations</w:t>
      </w:r>
      <w:r>
        <w:rPr>
          <w:spacing w:val="-2"/>
          <w:sz w:val="22"/>
        </w:rPr>
        <w:t> </w:t>
      </w:r>
      <w:r>
        <w:rPr>
          <w:sz w:val="22"/>
        </w:rPr>
        <w:t>nécessaires</w:t>
      </w:r>
      <w:r>
        <w:rPr>
          <w:spacing w:val="-4"/>
          <w:sz w:val="22"/>
        </w:rPr>
        <w:t> </w:t>
      </w:r>
      <w:r>
        <w:rPr>
          <w:sz w:val="22"/>
        </w:rPr>
        <w:t>aux</w:t>
      </w:r>
      <w:r>
        <w:rPr>
          <w:spacing w:val="-2"/>
          <w:sz w:val="22"/>
        </w:rPr>
        <w:t> </w:t>
      </w:r>
      <w:r>
        <w:rPr>
          <w:sz w:val="22"/>
        </w:rPr>
        <w:t>audits</w:t>
      </w:r>
      <w:r>
        <w:rPr>
          <w:spacing w:val="-2"/>
          <w:sz w:val="22"/>
        </w:rPr>
        <w:t> </w:t>
      </w:r>
      <w:r>
        <w:rPr>
          <w:sz w:val="22"/>
        </w:rPr>
        <w:t>et</w:t>
      </w:r>
      <w:r>
        <w:rPr>
          <w:spacing w:val="-1"/>
          <w:sz w:val="22"/>
        </w:rPr>
        <w:t> </w:t>
      </w:r>
      <w:r>
        <w:rPr>
          <w:sz w:val="22"/>
        </w:rPr>
        <w:t>aux</w:t>
      </w:r>
      <w:r>
        <w:rPr>
          <w:spacing w:val="-5"/>
          <w:sz w:val="22"/>
        </w:rPr>
        <w:t> </w:t>
      </w:r>
      <w:r>
        <w:rPr>
          <w:sz w:val="22"/>
        </w:rPr>
        <w:t>contrôles</w:t>
      </w:r>
      <w:r>
        <w:rPr>
          <w:spacing w:val="-2"/>
          <w:sz w:val="22"/>
        </w:rPr>
        <w:t> </w:t>
      </w:r>
      <w:r>
        <w:rPr>
          <w:sz w:val="22"/>
        </w:rPr>
        <w:t>effectués</w:t>
      </w:r>
      <w:r>
        <w:rPr>
          <w:spacing w:val="-2"/>
          <w:sz w:val="22"/>
        </w:rPr>
        <w:t> </w:t>
      </w:r>
      <w:r>
        <w:rPr>
          <w:sz w:val="22"/>
        </w:rPr>
        <w:t>par</w:t>
      </w:r>
      <w:r>
        <w:rPr>
          <w:spacing w:val="-4"/>
          <w:sz w:val="22"/>
        </w:rPr>
        <w:t> </w:t>
      </w:r>
      <w:r>
        <w:rPr>
          <w:sz w:val="22"/>
        </w:rPr>
        <w:t>les</w:t>
      </w:r>
      <w:r>
        <w:rPr>
          <w:spacing w:val="-2"/>
          <w:sz w:val="22"/>
        </w:rPr>
        <w:t> </w:t>
      </w:r>
      <w:r>
        <w:rPr>
          <w:sz w:val="22"/>
        </w:rPr>
        <w:t>services</w:t>
      </w:r>
      <w:r>
        <w:rPr>
          <w:spacing w:val="-4"/>
          <w:sz w:val="22"/>
        </w:rPr>
        <w:t> </w:t>
      </w:r>
      <w:r>
        <w:rPr>
          <w:sz w:val="22"/>
        </w:rPr>
        <w:t>de</w:t>
      </w:r>
      <w:r>
        <w:rPr>
          <w:spacing w:val="-4"/>
          <w:sz w:val="22"/>
        </w:rPr>
        <w:t> </w:t>
      </w:r>
      <w:r>
        <w:rPr>
          <w:sz w:val="22"/>
        </w:rPr>
        <w:t>la Commission, l’OLAF ou la Cour des comptes européenne</w:t>
      </w:r>
    </w:p>
    <w:p>
      <w:pPr>
        <w:pStyle w:val="ListParagraph"/>
        <w:numPr>
          <w:ilvl w:val="1"/>
          <w:numId w:val="2"/>
        </w:numPr>
        <w:tabs>
          <w:tab w:pos="1092" w:val="left" w:leader="none"/>
          <w:tab w:pos="1093" w:val="left" w:leader="none"/>
        </w:tabs>
        <w:spacing w:line="252" w:lineRule="exact" w:before="1" w:after="0"/>
        <w:ind w:left="1092" w:right="0" w:hanging="361"/>
        <w:jc w:val="left"/>
        <w:rPr>
          <w:sz w:val="22"/>
        </w:rPr>
      </w:pPr>
      <w:r>
        <w:rPr>
          <w:sz w:val="22"/>
        </w:rPr>
        <w:t>Participer,</w:t>
      </w:r>
      <w:r>
        <w:rPr>
          <w:spacing w:val="-4"/>
          <w:sz w:val="22"/>
        </w:rPr>
        <w:t> </w:t>
      </w:r>
      <w:r>
        <w:rPr>
          <w:sz w:val="22"/>
        </w:rPr>
        <w:t>sur</w:t>
      </w:r>
      <w:r>
        <w:rPr>
          <w:spacing w:val="-4"/>
          <w:sz w:val="22"/>
        </w:rPr>
        <w:t> </w:t>
      </w:r>
      <w:r>
        <w:rPr>
          <w:sz w:val="22"/>
        </w:rPr>
        <w:t>demande,</w:t>
      </w:r>
      <w:r>
        <w:rPr>
          <w:spacing w:val="-3"/>
          <w:sz w:val="22"/>
        </w:rPr>
        <w:t> </w:t>
      </w:r>
      <w:r>
        <w:rPr>
          <w:sz w:val="22"/>
        </w:rPr>
        <w:t>aux</w:t>
      </w:r>
      <w:r>
        <w:rPr>
          <w:spacing w:val="-4"/>
          <w:sz w:val="22"/>
        </w:rPr>
        <w:t> </w:t>
      </w:r>
      <w:r>
        <w:rPr>
          <w:sz w:val="22"/>
        </w:rPr>
        <w:t>missions</w:t>
      </w:r>
      <w:r>
        <w:rPr>
          <w:spacing w:val="-6"/>
          <w:sz w:val="22"/>
        </w:rPr>
        <w:t> </w:t>
      </w:r>
      <w:r>
        <w:rPr>
          <w:sz w:val="22"/>
        </w:rPr>
        <w:t>d’audit</w:t>
      </w:r>
      <w:r>
        <w:rPr>
          <w:spacing w:val="-2"/>
          <w:sz w:val="22"/>
        </w:rPr>
        <w:t> </w:t>
      </w:r>
      <w:r>
        <w:rPr>
          <w:sz w:val="22"/>
        </w:rPr>
        <w:t>des</w:t>
      </w:r>
      <w:r>
        <w:rPr>
          <w:spacing w:val="-4"/>
          <w:sz w:val="22"/>
        </w:rPr>
        <w:t> </w:t>
      </w:r>
      <w:r>
        <w:rPr>
          <w:sz w:val="22"/>
        </w:rPr>
        <w:t>auditeurs</w:t>
      </w:r>
      <w:r>
        <w:rPr>
          <w:spacing w:val="-4"/>
          <w:sz w:val="22"/>
        </w:rPr>
        <w:t> </w:t>
      </w:r>
      <w:r>
        <w:rPr>
          <w:sz w:val="22"/>
        </w:rPr>
        <w:t>de</w:t>
      </w:r>
      <w:r>
        <w:rPr>
          <w:spacing w:val="-5"/>
          <w:sz w:val="22"/>
        </w:rPr>
        <w:t> </w:t>
      </w:r>
      <w:r>
        <w:rPr>
          <w:sz w:val="22"/>
        </w:rPr>
        <w:t>la</w:t>
      </w:r>
      <w:r>
        <w:rPr>
          <w:spacing w:val="-4"/>
          <w:sz w:val="22"/>
        </w:rPr>
        <w:t> </w:t>
      </w:r>
      <w:r>
        <w:rPr>
          <w:sz w:val="22"/>
        </w:rPr>
        <w:t>DG</w:t>
      </w:r>
      <w:r>
        <w:rPr>
          <w:spacing w:val="-5"/>
          <w:sz w:val="22"/>
        </w:rPr>
        <w:t> </w:t>
      </w:r>
      <w:r>
        <w:rPr>
          <w:spacing w:val="-4"/>
          <w:sz w:val="22"/>
        </w:rPr>
        <w:t>AGRI</w:t>
      </w:r>
    </w:p>
    <w:p>
      <w:pPr>
        <w:pStyle w:val="ListParagraph"/>
        <w:numPr>
          <w:ilvl w:val="1"/>
          <w:numId w:val="2"/>
        </w:numPr>
        <w:tabs>
          <w:tab w:pos="1092" w:val="left" w:leader="none"/>
          <w:tab w:pos="1093" w:val="left" w:leader="none"/>
        </w:tabs>
        <w:spacing w:line="252" w:lineRule="exact" w:before="0" w:after="0"/>
        <w:ind w:left="1092" w:right="0" w:hanging="361"/>
        <w:jc w:val="left"/>
        <w:rPr>
          <w:sz w:val="22"/>
        </w:rPr>
      </w:pPr>
      <w:r>
        <w:rPr>
          <w:sz w:val="22"/>
        </w:rPr>
        <w:t>Plans</w:t>
      </w:r>
      <w:r>
        <w:rPr>
          <w:spacing w:val="-8"/>
          <w:sz w:val="22"/>
        </w:rPr>
        <w:t> </w:t>
      </w:r>
      <w:r>
        <w:rPr>
          <w:sz w:val="22"/>
        </w:rPr>
        <w:t>d’action</w:t>
      </w:r>
      <w:r>
        <w:rPr>
          <w:spacing w:val="-4"/>
          <w:sz w:val="22"/>
        </w:rPr>
        <w:t> </w:t>
      </w:r>
      <w:r>
        <w:rPr>
          <w:sz w:val="22"/>
        </w:rPr>
        <w:t>de</w:t>
      </w:r>
      <w:r>
        <w:rPr>
          <w:spacing w:val="-3"/>
          <w:sz w:val="22"/>
        </w:rPr>
        <w:t> </w:t>
      </w:r>
      <w:r>
        <w:rPr>
          <w:sz w:val="22"/>
        </w:rPr>
        <w:t>suivi</w:t>
      </w:r>
      <w:r>
        <w:rPr>
          <w:spacing w:val="-3"/>
          <w:sz w:val="22"/>
        </w:rPr>
        <w:t> </w:t>
      </w:r>
      <w:r>
        <w:rPr>
          <w:sz w:val="22"/>
        </w:rPr>
        <w:t>résultant</w:t>
      </w:r>
      <w:r>
        <w:rPr>
          <w:spacing w:val="-2"/>
          <w:sz w:val="22"/>
        </w:rPr>
        <w:t> </w:t>
      </w:r>
      <w:r>
        <w:rPr>
          <w:sz w:val="22"/>
        </w:rPr>
        <w:t>de</w:t>
      </w:r>
      <w:r>
        <w:rPr>
          <w:spacing w:val="-4"/>
          <w:sz w:val="22"/>
        </w:rPr>
        <w:t> </w:t>
      </w:r>
      <w:r>
        <w:rPr>
          <w:sz w:val="22"/>
        </w:rPr>
        <w:t>réserves</w:t>
      </w:r>
      <w:r>
        <w:rPr>
          <w:spacing w:val="-4"/>
          <w:sz w:val="22"/>
        </w:rPr>
        <w:t> </w:t>
      </w:r>
      <w:r>
        <w:rPr>
          <w:sz w:val="22"/>
        </w:rPr>
        <w:t>liées</w:t>
      </w:r>
      <w:r>
        <w:rPr>
          <w:spacing w:val="-5"/>
          <w:sz w:val="22"/>
        </w:rPr>
        <w:t> </w:t>
      </w:r>
      <w:r>
        <w:rPr>
          <w:sz w:val="22"/>
        </w:rPr>
        <w:t>au</w:t>
      </w:r>
      <w:r>
        <w:rPr>
          <w:spacing w:val="-5"/>
          <w:sz w:val="22"/>
        </w:rPr>
        <w:t> </w:t>
      </w:r>
      <w:r>
        <w:rPr>
          <w:sz w:val="22"/>
        </w:rPr>
        <w:t>rapport</w:t>
      </w:r>
      <w:r>
        <w:rPr>
          <w:spacing w:val="-6"/>
          <w:sz w:val="22"/>
        </w:rPr>
        <w:t> </w:t>
      </w:r>
      <w:r>
        <w:rPr>
          <w:sz w:val="22"/>
        </w:rPr>
        <w:t>annuel</w:t>
      </w:r>
      <w:r>
        <w:rPr>
          <w:spacing w:val="-2"/>
          <w:sz w:val="22"/>
        </w:rPr>
        <w:t> d’activité</w:t>
      </w:r>
    </w:p>
    <w:p>
      <w:pPr>
        <w:pStyle w:val="ListParagraph"/>
        <w:numPr>
          <w:ilvl w:val="1"/>
          <w:numId w:val="2"/>
        </w:numPr>
        <w:tabs>
          <w:tab w:pos="1092" w:val="left" w:leader="none"/>
          <w:tab w:pos="1093" w:val="left" w:leader="none"/>
        </w:tabs>
        <w:spacing w:line="240" w:lineRule="auto" w:before="0" w:after="0"/>
        <w:ind w:left="1092" w:right="232" w:hanging="361"/>
        <w:jc w:val="left"/>
        <w:rPr>
          <w:sz w:val="22"/>
        </w:rPr>
      </w:pPr>
      <w:r>
        <w:rPr>
          <w:sz w:val="22"/>
        </w:rPr>
        <w:t>Analyser,</w:t>
      </w:r>
      <w:r>
        <w:rPr>
          <w:spacing w:val="-2"/>
          <w:sz w:val="22"/>
        </w:rPr>
        <w:t> </w:t>
      </w:r>
      <w:r>
        <w:rPr>
          <w:sz w:val="22"/>
        </w:rPr>
        <w:t>dans</w:t>
      </w:r>
      <w:r>
        <w:rPr>
          <w:spacing w:val="-4"/>
          <w:sz w:val="22"/>
        </w:rPr>
        <w:t> </w:t>
      </w:r>
      <w:r>
        <w:rPr>
          <w:sz w:val="22"/>
        </w:rPr>
        <w:t>la</w:t>
      </w:r>
      <w:r>
        <w:rPr>
          <w:spacing w:val="-2"/>
          <w:sz w:val="22"/>
        </w:rPr>
        <w:t> </w:t>
      </w:r>
      <w:r>
        <w:rPr>
          <w:sz w:val="22"/>
        </w:rPr>
        <w:t>mesure</w:t>
      </w:r>
      <w:r>
        <w:rPr>
          <w:spacing w:val="-4"/>
          <w:sz w:val="22"/>
        </w:rPr>
        <w:t> </w:t>
      </w:r>
      <w:r>
        <w:rPr>
          <w:sz w:val="22"/>
        </w:rPr>
        <w:t>du</w:t>
      </w:r>
      <w:r>
        <w:rPr>
          <w:spacing w:val="-2"/>
          <w:sz w:val="22"/>
        </w:rPr>
        <w:t> </w:t>
      </w:r>
      <w:r>
        <w:rPr>
          <w:sz w:val="22"/>
        </w:rPr>
        <w:t>possible,</w:t>
      </w:r>
      <w:r>
        <w:rPr>
          <w:spacing w:val="-2"/>
          <w:sz w:val="22"/>
        </w:rPr>
        <w:t> </w:t>
      </w:r>
      <w:r>
        <w:rPr>
          <w:sz w:val="22"/>
        </w:rPr>
        <w:t>les</w:t>
      </w:r>
      <w:r>
        <w:rPr>
          <w:spacing w:val="-4"/>
          <w:sz w:val="22"/>
        </w:rPr>
        <w:t> </w:t>
      </w:r>
      <w:r>
        <w:rPr>
          <w:sz w:val="22"/>
        </w:rPr>
        <w:t>rapports</w:t>
      </w:r>
      <w:r>
        <w:rPr>
          <w:spacing w:val="-2"/>
          <w:sz w:val="22"/>
        </w:rPr>
        <w:t> </w:t>
      </w:r>
      <w:r>
        <w:rPr>
          <w:sz w:val="22"/>
        </w:rPr>
        <w:t>d’audit</w:t>
      </w:r>
      <w:r>
        <w:rPr>
          <w:spacing w:val="-4"/>
          <w:sz w:val="22"/>
        </w:rPr>
        <w:t> </w:t>
      </w:r>
      <w:r>
        <w:rPr>
          <w:sz w:val="22"/>
        </w:rPr>
        <w:t>des</w:t>
      </w:r>
      <w:r>
        <w:rPr>
          <w:spacing w:val="-4"/>
          <w:sz w:val="22"/>
        </w:rPr>
        <w:t> </w:t>
      </w:r>
      <w:r>
        <w:rPr>
          <w:sz w:val="22"/>
        </w:rPr>
        <w:t>services</w:t>
      </w:r>
      <w:r>
        <w:rPr>
          <w:spacing w:val="-2"/>
          <w:sz w:val="22"/>
        </w:rPr>
        <w:t> </w:t>
      </w:r>
      <w:r>
        <w:rPr>
          <w:sz w:val="22"/>
        </w:rPr>
        <w:t>de</w:t>
      </w:r>
      <w:r>
        <w:rPr>
          <w:spacing w:val="-2"/>
          <w:sz w:val="22"/>
        </w:rPr>
        <w:t> </w:t>
      </w:r>
      <w:r>
        <w:rPr>
          <w:sz w:val="22"/>
        </w:rPr>
        <w:t>la</w:t>
      </w:r>
      <w:r>
        <w:rPr>
          <w:spacing w:val="-2"/>
          <w:sz w:val="22"/>
        </w:rPr>
        <w:t> </w:t>
      </w:r>
      <w:r>
        <w:rPr>
          <w:sz w:val="22"/>
        </w:rPr>
        <w:t>Commission</w:t>
      </w:r>
      <w:r>
        <w:rPr>
          <w:spacing w:val="-2"/>
          <w:sz w:val="22"/>
        </w:rPr>
        <w:t> </w:t>
      </w:r>
      <w:r>
        <w:rPr>
          <w:sz w:val="22"/>
        </w:rPr>
        <w:t>et</w:t>
      </w:r>
      <w:r>
        <w:rPr>
          <w:spacing w:val="-1"/>
          <w:sz w:val="22"/>
        </w:rPr>
        <w:t> </w:t>
      </w:r>
      <w:r>
        <w:rPr>
          <w:sz w:val="22"/>
        </w:rPr>
        <w:t>de</w:t>
      </w:r>
      <w:r>
        <w:rPr>
          <w:spacing w:val="-4"/>
          <w:sz w:val="22"/>
        </w:rPr>
        <w:t> </w:t>
      </w:r>
      <w:r>
        <w:rPr>
          <w:sz w:val="22"/>
        </w:rPr>
        <w:t>la</w:t>
      </w:r>
      <w:r>
        <w:rPr>
          <w:spacing w:val="-2"/>
          <w:sz w:val="22"/>
        </w:rPr>
        <w:t> </w:t>
      </w:r>
      <w:r>
        <w:rPr>
          <w:sz w:val="22"/>
        </w:rPr>
        <w:t>Cour</w:t>
      </w:r>
      <w:r>
        <w:rPr>
          <w:spacing w:val="-2"/>
          <w:sz w:val="22"/>
        </w:rPr>
        <w:t> </w:t>
      </w:r>
      <w:r>
        <w:rPr>
          <w:sz w:val="22"/>
        </w:rPr>
        <w:t>des comptes européenne.</w:t>
      </w:r>
    </w:p>
    <w:p>
      <w:pPr>
        <w:spacing w:after="0" w:line="240" w:lineRule="auto"/>
        <w:jc w:val="left"/>
        <w:rPr>
          <w:sz w:val="22"/>
        </w:rPr>
        <w:sectPr>
          <w:footerReference w:type="default" r:id="rId5"/>
          <w:type w:val="continuous"/>
          <w:pgSz w:w="11910" w:h="16840"/>
          <w:pgMar w:footer="690" w:header="0" w:top="520" w:bottom="880" w:left="480" w:right="740"/>
          <w:pgNumType w:start="1"/>
        </w:sectPr>
      </w:pPr>
    </w:p>
    <w:p>
      <w:pPr>
        <w:pStyle w:val="BodyText"/>
        <w:spacing w:before="62"/>
        <w:ind w:left="372"/>
      </w:pPr>
      <w:r>
        <w:rPr/>
        <w:t>Toutes</w:t>
      </w:r>
      <w:r>
        <w:rPr>
          <w:spacing w:val="-8"/>
        </w:rPr>
        <w:t> </w:t>
      </w:r>
      <w:r>
        <w:rPr/>
        <w:t>les</w:t>
      </w:r>
      <w:r>
        <w:rPr>
          <w:spacing w:val="-3"/>
        </w:rPr>
        <w:t> </w:t>
      </w:r>
      <w:r>
        <w:rPr/>
        <w:t>tâches</w:t>
      </w:r>
      <w:r>
        <w:rPr>
          <w:spacing w:val="-4"/>
        </w:rPr>
        <w:t> </w:t>
      </w:r>
      <w:r>
        <w:rPr/>
        <w:t>seront</w:t>
      </w:r>
      <w:r>
        <w:rPr>
          <w:spacing w:val="-2"/>
        </w:rPr>
        <w:t> </w:t>
      </w:r>
      <w:r>
        <w:rPr/>
        <w:t>exécutées</w:t>
      </w:r>
      <w:r>
        <w:rPr>
          <w:spacing w:val="-4"/>
        </w:rPr>
        <w:t> </w:t>
      </w:r>
      <w:r>
        <w:rPr/>
        <w:t>sous</w:t>
      </w:r>
      <w:r>
        <w:rPr>
          <w:spacing w:val="-5"/>
        </w:rPr>
        <w:t> </w:t>
      </w:r>
      <w:r>
        <w:rPr/>
        <w:t>la</w:t>
      </w:r>
      <w:r>
        <w:rPr>
          <w:spacing w:val="-4"/>
        </w:rPr>
        <w:t> </w:t>
      </w:r>
      <w:r>
        <w:rPr/>
        <w:t>supervision</w:t>
      </w:r>
      <w:r>
        <w:rPr>
          <w:spacing w:val="-6"/>
        </w:rPr>
        <w:t> </w:t>
      </w:r>
      <w:r>
        <w:rPr/>
        <w:t>d’un</w:t>
      </w:r>
      <w:r>
        <w:rPr>
          <w:spacing w:val="-3"/>
        </w:rPr>
        <w:t> </w:t>
      </w:r>
      <w:r>
        <w:rPr>
          <w:spacing w:val="-2"/>
        </w:rPr>
        <w:t>fonctionnaire.</w:t>
      </w:r>
    </w:p>
    <w:p>
      <w:pPr>
        <w:pStyle w:val="BodyText"/>
        <w:rPr>
          <w:sz w:val="24"/>
        </w:rPr>
      </w:pPr>
    </w:p>
    <w:p>
      <w:pPr>
        <w:pStyle w:val="BodyText"/>
        <w:rPr>
          <w:sz w:val="24"/>
        </w:rPr>
      </w:pPr>
    </w:p>
    <w:p>
      <w:pPr>
        <w:pStyle w:val="ListParagraph"/>
        <w:numPr>
          <w:ilvl w:val="0"/>
          <w:numId w:val="2"/>
        </w:numPr>
        <w:tabs>
          <w:tab w:pos="799" w:val="left" w:leader="none"/>
          <w:tab w:pos="800" w:val="left" w:leader="none"/>
        </w:tabs>
        <w:spacing w:line="240" w:lineRule="auto" w:before="214" w:after="0"/>
        <w:ind w:left="799" w:right="0" w:hanging="428"/>
        <w:jc w:val="left"/>
        <w:rPr>
          <w:b/>
          <w:sz w:val="24"/>
        </w:rPr>
      </w:pPr>
      <w:r>
        <w:rPr>
          <w:b/>
          <w:sz w:val="24"/>
          <w:u w:val="single"/>
        </w:rPr>
        <w:t>Principales</w:t>
      </w:r>
      <w:r>
        <w:rPr>
          <w:b/>
          <w:spacing w:val="-8"/>
          <w:sz w:val="24"/>
          <w:u w:val="single"/>
        </w:rPr>
        <w:t> </w:t>
      </w:r>
      <w:r>
        <w:rPr>
          <w:b/>
          <w:spacing w:val="-2"/>
          <w:sz w:val="24"/>
          <w:u w:val="single"/>
        </w:rPr>
        <w:t>qualifications</w:t>
      </w:r>
    </w:p>
    <w:p>
      <w:pPr>
        <w:pStyle w:val="BodyText"/>
        <w:rPr>
          <w:b/>
          <w:sz w:val="16"/>
        </w:rPr>
      </w:pPr>
    </w:p>
    <w:p>
      <w:pPr>
        <w:pStyle w:val="Heading1"/>
        <w:numPr>
          <w:ilvl w:val="0"/>
          <w:numId w:val="3"/>
        </w:numPr>
        <w:tabs>
          <w:tab w:pos="1040" w:val="left" w:leader="none"/>
        </w:tabs>
        <w:spacing w:line="240" w:lineRule="auto" w:before="91" w:after="0"/>
        <w:ind w:left="1039" w:right="0" w:hanging="241"/>
        <w:jc w:val="left"/>
      </w:pPr>
      <w:r>
        <w:rPr/>
        <w:t>Critères</w:t>
      </w:r>
      <w:r>
        <w:rPr>
          <w:spacing w:val="-6"/>
        </w:rPr>
        <w:t> </w:t>
      </w:r>
      <w:r>
        <w:rPr>
          <w:spacing w:val="-2"/>
        </w:rPr>
        <w:t>d’éligibilité</w:t>
      </w:r>
    </w:p>
    <w:p>
      <w:pPr>
        <w:pStyle w:val="BodyText"/>
        <w:spacing w:before="5"/>
        <w:rPr>
          <w:b/>
          <w:sz w:val="21"/>
        </w:rPr>
      </w:pPr>
    </w:p>
    <w:p>
      <w:pPr>
        <w:pStyle w:val="BodyText"/>
        <w:ind w:left="799" w:right="108"/>
        <w:jc w:val="both"/>
      </w:pPr>
      <w:r>
        <w:rPr/>
        <w:t>Le candidat doit remplir les critères d’éligibilité ci-après pour pouvoir être détaché auprès de la Commission. Par conséquent,</w:t>
      </w:r>
      <w:r>
        <w:rPr>
          <w:spacing w:val="-2"/>
        </w:rPr>
        <w:t> </w:t>
      </w:r>
      <w:r>
        <w:rPr/>
        <w:t>le candidat</w:t>
      </w:r>
      <w:r>
        <w:rPr>
          <w:spacing w:val="-1"/>
        </w:rPr>
        <w:t> </w:t>
      </w:r>
      <w:r>
        <w:rPr/>
        <w:t>qui ne remplira pas tous ces critères</w:t>
      </w:r>
      <w:r>
        <w:rPr>
          <w:spacing w:val="-2"/>
        </w:rPr>
        <w:t> </w:t>
      </w:r>
      <w:r>
        <w:rPr/>
        <w:t>sera automatiquement éliminé de la procédure de sélection.</w:t>
      </w:r>
    </w:p>
    <w:p>
      <w:pPr>
        <w:pStyle w:val="BodyText"/>
        <w:spacing w:before="1"/>
      </w:pPr>
    </w:p>
    <w:p>
      <w:pPr>
        <w:pStyle w:val="ListParagraph"/>
        <w:numPr>
          <w:ilvl w:val="0"/>
          <w:numId w:val="4"/>
        </w:numPr>
        <w:tabs>
          <w:tab w:pos="1081" w:val="left" w:leader="none"/>
        </w:tabs>
        <w:spacing w:line="240" w:lineRule="auto" w:before="0" w:after="0"/>
        <w:ind w:left="1080" w:right="109" w:hanging="281"/>
        <w:jc w:val="both"/>
        <w:rPr>
          <w:sz w:val="22"/>
        </w:rPr>
      </w:pPr>
      <w:r>
        <w:rPr>
          <w:sz w:val="22"/>
          <w:u w:val="single"/>
        </w:rPr>
        <w:t>Expérience professionnelle</w:t>
      </w:r>
      <w:r>
        <w:rPr>
          <w:sz w:val="22"/>
        </w:rPr>
        <w:t>: posséder une expérience professionnelle d’au moins trois ans dans des fonctions administratives, juridiques, scientifiques, techniques, de conseil ou de supervision, à un grade équivalant au groupe de fonctions administrateur AD;</w:t>
      </w:r>
    </w:p>
    <w:p>
      <w:pPr>
        <w:pStyle w:val="BodyText"/>
        <w:spacing w:before="1"/>
      </w:pPr>
    </w:p>
    <w:p>
      <w:pPr>
        <w:pStyle w:val="ListParagraph"/>
        <w:numPr>
          <w:ilvl w:val="0"/>
          <w:numId w:val="4"/>
        </w:numPr>
        <w:tabs>
          <w:tab w:pos="1081" w:val="left" w:leader="none"/>
        </w:tabs>
        <w:spacing w:line="240" w:lineRule="auto" w:before="1" w:after="0"/>
        <w:ind w:left="1080" w:right="107" w:hanging="281"/>
        <w:jc w:val="both"/>
        <w:rPr>
          <w:sz w:val="22"/>
        </w:rPr>
      </w:pPr>
      <w:r>
        <w:rPr>
          <w:sz w:val="22"/>
          <w:u w:val="single"/>
        </w:rPr>
        <w:t>Ancienneté</w:t>
      </w:r>
      <w:r>
        <w:rPr>
          <w:sz w:val="22"/>
        </w:rPr>
        <w:t>: avoir une ancienneté d’au moins un an auprès de son employeur, c’est-à-dire être employé depuis au moins un an par un employeur éligible au sens de l’article 1er de la décision END, dans un cadre statutaire ou contractuel avant le détachement;</w:t>
      </w:r>
    </w:p>
    <w:p>
      <w:pPr>
        <w:pStyle w:val="BodyText"/>
        <w:spacing w:before="9"/>
        <w:rPr>
          <w:sz w:val="21"/>
        </w:rPr>
      </w:pPr>
    </w:p>
    <w:p>
      <w:pPr>
        <w:pStyle w:val="ListParagraph"/>
        <w:numPr>
          <w:ilvl w:val="0"/>
          <w:numId w:val="4"/>
        </w:numPr>
        <w:tabs>
          <w:tab w:pos="1081" w:val="left" w:leader="none"/>
        </w:tabs>
        <w:spacing w:line="240" w:lineRule="auto" w:before="1" w:after="0"/>
        <w:ind w:left="1080" w:right="105" w:hanging="281"/>
        <w:jc w:val="both"/>
        <w:rPr>
          <w:sz w:val="22"/>
        </w:rPr>
      </w:pPr>
      <w:r>
        <w:rPr>
          <w:sz w:val="22"/>
          <w:u w:val="single"/>
        </w:rPr>
        <w:t>Compétences</w:t>
      </w:r>
      <w:r>
        <w:rPr>
          <w:sz w:val="22"/>
        </w:rPr>
        <w:t>linguistiques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sz w:val="22"/>
        </w:rPr>
        <w:t>confiées.</w:t>
      </w:r>
    </w:p>
    <w:p>
      <w:pPr>
        <w:pStyle w:val="BodyText"/>
        <w:spacing w:before="4"/>
        <w:rPr>
          <w:sz w:val="24"/>
        </w:rPr>
      </w:pPr>
    </w:p>
    <w:p>
      <w:pPr>
        <w:pStyle w:val="Heading1"/>
        <w:numPr>
          <w:ilvl w:val="0"/>
          <w:numId w:val="3"/>
        </w:numPr>
        <w:tabs>
          <w:tab w:pos="1081" w:val="left" w:leader="none"/>
        </w:tabs>
        <w:spacing w:line="240" w:lineRule="auto" w:before="0" w:after="0"/>
        <w:ind w:left="1080" w:right="0" w:hanging="282"/>
        <w:jc w:val="left"/>
      </w:pPr>
      <w:r>
        <w:rPr>
          <w:u w:val="single"/>
        </w:rPr>
        <w:t>Les</w:t>
      </w:r>
      <w:r>
        <w:rPr>
          <w:spacing w:val="-2"/>
          <w:u w:val="single"/>
        </w:rPr>
        <w:t> </w:t>
      </w:r>
      <w:r>
        <w:rPr>
          <w:u w:val="single"/>
        </w:rPr>
        <w:t>critères</w:t>
      </w:r>
      <w:r>
        <w:rPr>
          <w:spacing w:val="-4"/>
          <w:u w:val="single"/>
        </w:rPr>
        <w:t> </w:t>
      </w:r>
      <w:r>
        <w:rPr>
          <w:u w:val="single"/>
        </w:rPr>
        <w:t>de</w:t>
      </w:r>
      <w:r>
        <w:rPr>
          <w:spacing w:val="-1"/>
          <w:u w:val="single"/>
        </w:rPr>
        <w:t> </w:t>
      </w:r>
      <w:r>
        <w:rPr>
          <w:spacing w:val="-2"/>
          <w:u w:val="single"/>
        </w:rPr>
        <w:t>sélection</w:t>
      </w:r>
    </w:p>
    <w:p>
      <w:pPr>
        <w:pStyle w:val="BodyText"/>
        <w:spacing w:before="9"/>
        <w:rPr>
          <w:b/>
          <w:sz w:val="15"/>
        </w:rPr>
      </w:pPr>
    </w:p>
    <w:p>
      <w:pPr>
        <w:pStyle w:val="BodyText"/>
        <w:spacing w:line="253" w:lineRule="exact" w:before="91"/>
        <w:ind w:left="1080"/>
      </w:pPr>
      <w:r>
        <w:rPr>
          <w:spacing w:val="-2"/>
          <w:u w:val="single"/>
        </w:rPr>
        <w:t>Diplôme</w:t>
      </w:r>
    </w:p>
    <w:p>
      <w:pPr>
        <w:pStyle w:val="BodyText"/>
        <w:spacing w:line="252" w:lineRule="exact"/>
        <w:ind w:left="1080"/>
      </w:pPr>
      <w:r>
        <w:rPr/>
        <w:t>—</w:t>
      </w:r>
      <w:r>
        <w:rPr>
          <w:spacing w:val="-5"/>
        </w:rPr>
        <w:t> </w:t>
      </w:r>
      <w:r>
        <w:rPr/>
        <w:t>diplôme</w:t>
      </w:r>
      <w:r>
        <w:rPr>
          <w:spacing w:val="-5"/>
        </w:rPr>
        <w:t> </w:t>
      </w:r>
      <w:r>
        <w:rPr/>
        <w:t>universitaire</w:t>
      </w:r>
      <w:r>
        <w:rPr>
          <w:spacing w:val="-4"/>
        </w:rPr>
        <w:t> </w:t>
      </w:r>
      <w:r>
        <w:rPr>
          <w:spacing w:val="-5"/>
        </w:rPr>
        <w:t>ou</w:t>
      </w:r>
    </w:p>
    <w:p>
      <w:pPr>
        <w:pStyle w:val="BodyText"/>
        <w:spacing w:line="252" w:lineRule="exact"/>
        <w:ind w:left="1080"/>
      </w:pPr>
      <w:r>
        <w:rPr/>
        <w:t>formation</w:t>
      </w:r>
      <w:r>
        <w:rPr>
          <w:spacing w:val="-10"/>
        </w:rPr>
        <w:t> </w:t>
      </w:r>
      <w:r>
        <w:rPr/>
        <w:t>professionnelle</w:t>
      </w:r>
      <w:r>
        <w:rPr>
          <w:spacing w:val="-6"/>
        </w:rPr>
        <w:t> </w:t>
      </w:r>
      <w:r>
        <w:rPr/>
        <w:t>ou</w:t>
      </w:r>
      <w:r>
        <w:rPr>
          <w:spacing w:val="-5"/>
        </w:rPr>
        <w:t> </w:t>
      </w:r>
      <w:r>
        <w:rPr/>
        <w:t>expérience</w:t>
      </w:r>
      <w:r>
        <w:rPr>
          <w:spacing w:val="-5"/>
        </w:rPr>
        <w:t> </w:t>
      </w:r>
      <w:r>
        <w:rPr/>
        <w:t>professionnelle</w:t>
      </w:r>
      <w:r>
        <w:rPr>
          <w:spacing w:val="-5"/>
        </w:rPr>
        <w:t> </w:t>
      </w:r>
      <w:r>
        <w:rPr/>
        <w:t>de</w:t>
      </w:r>
      <w:r>
        <w:rPr>
          <w:spacing w:val="-5"/>
        </w:rPr>
        <w:t> </w:t>
      </w:r>
      <w:r>
        <w:rPr/>
        <w:t>niveau</w:t>
      </w:r>
      <w:r>
        <w:rPr>
          <w:spacing w:val="-5"/>
        </w:rPr>
        <w:t> </w:t>
      </w:r>
      <w:r>
        <w:rPr>
          <w:spacing w:val="-2"/>
        </w:rPr>
        <w:t>équivalent</w:t>
      </w:r>
    </w:p>
    <w:p>
      <w:pPr>
        <w:pStyle w:val="BodyText"/>
        <w:spacing w:before="1"/>
      </w:pPr>
    </w:p>
    <w:p>
      <w:pPr>
        <w:pStyle w:val="BodyText"/>
        <w:ind w:left="1190"/>
      </w:pPr>
      <w:r>
        <w:rPr/>
        <w:t>dans</w:t>
      </w:r>
      <w:r>
        <w:rPr>
          <w:spacing w:val="-5"/>
        </w:rPr>
        <w:t> </w:t>
      </w:r>
      <w:r>
        <w:rPr/>
        <w:t>le</w:t>
      </w:r>
      <w:r>
        <w:rPr>
          <w:spacing w:val="-3"/>
        </w:rPr>
        <w:t> </w:t>
      </w:r>
      <w:r>
        <w:rPr/>
        <w:t>(s)</w:t>
      </w:r>
      <w:r>
        <w:rPr>
          <w:spacing w:val="-3"/>
        </w:rPr>
        <w:t> </w:t>
      </w:r>
      <w:r>
        <w:rPr/>
        <w:t>domaine </w:t>
      </w:r>
      <w:r>
        <w:rPr>
          <w:spacing w:val="-4"/>
        </w:rPr>
        <w:t>(s):</w:t>
      </w:r>
    </w:p>
    <w:p>
      <w:pPr>
        <w:pStyle w:val="BodyText"/>
        <w:spacing w:before="1"/>
        <w:ind w:left="1080" w:right="7171"/>
      </w:pPr>
      <w:r>
        <w:rPr>
          <w:spacing w:val="-2"/>
        </w:rPr>
        <w:t>l’agriculture, </w:t>
      </w:r>
      <w:r>
        <w:rPr/>
        <w:t>développement</w:t>
      </w:r>
      <w:r>
        <w:rPr>
          <w:spacing w:val="-14"/>
        </w:rPr>
        <w:t> </w:t>
      </w:r>
      <w:r>
        <w:rPr/>
        <w:t>rural,</w:t>
      </w:r>
    </w:p>
    <w:p>
      <w:pPr>
        <w:pStyle w:val="BodyText"/>
        <w:spacing w:before="1"/>
        <w:ind w:left="1080" w:right="5418"/>
      </w:pPr>
      <w:r>
        <w:rPr/>
        <w:t>gestion</w:t>
      </w:r>
      <w:r>
        <w:rPr>
          <w:spacing w:val="-7"/>
        </w:rPr>
        <w:t> </w:t>
      </w:r>
      <w:r>
        <w:rPr/>
        <w:t>des</w:t>
      </w:r>
      <w:r>
        <w:rPr>
          <w:spacing w:val="-7"/>
        </w:rPr>
        <w:t> </w:t>
      </w:r>
      <w:r>
        <w:rPr/>
        <w:t>programmes</w:t>
      </w:r>
      <w:r>
        <w:rPr>
          <w:spacing w:val="-7"/>
        </w:rPr>
        <w:t> </w:t>
      </w:r>
      <w:r>
        <w:rPr/>
        <w:t>et</w:t>
      </w:r>
      <w:r>
        <w:rPr>
          <w:spacing w:val="-9"/>
        </w:rPr>
        <w:t> </w:t>
      </w:r>
      <w:r>
        <w:rPr/>
        <w:t>des</w:t>
      </w:r>
      <w:r>
        <w:rPr>
          <w:spacing w:val="-7"/>
        </w:rPr>
        <w:t> </w:t>
      </w:r>
      <w:r>
        <w:rPr/>
        <w:t>projets, </w:t>
      </w:r>
      <w:r>
        <w:rPr>
          <w:spacing w:val="-2"/>
        </w:rPr>
        <w:t>économie</w:t>
      </w:r>
    </w:p>
    <w:p>
      <w:pPr>
        <w:pStyle w:val="BodyText"/>
        <w:spacing w:line="251" w:lineRule="exact"/>
        <w:ind w:left="1080"/>
      </w:pPr>
      <w:r>
        <w:rPr>
          <w:spacing w:val="-2"/>
        </w:rPr>
        <w:t>environnement</w:t>
      </w:r>
    </w:p>
    <w:p>
      <w:pPr>
        <w:pStyle w:val="BodyText"/>
      </w:pPr>
    </w:p>
    <w:p>
      <w:pPr>
        <w:pStyle w:val="BodyText"/>
        <w:ind w:left="1080"/>
      </w:pPr>
      <w:r>
        <w:rPr>
          <w:u w:val="single"/>
        </w:rPr>
        <w:t>Expérience</w:t>
      </w:r>
      <w:r>
        <w:rPr>
          <w:spacing w:val="-4"/>
          <w:u w:val="single"/>
        </w:rPr>
        <w:t> </w:t>
      </w:r>
      <w:r>
        <w:rPr>
          <w:spacing w:val="-2"/>
          <w:u w:val="single"/>
        </w:rPr>
        <w:t>professionnelle</w:t>
      </w:r>
    </w:p>
    <w:p>
      <w:pPr>
        <w:pStyle w:val="BodyText"/>
        <w:spacing w:before="1"/>
        <w:rPr>
          <w:sz w:val="14"/>
        </w:rPr>
      </w:pPr>
    </w:p>
    <w:p>
      <w:pPr>
        <w:pStyle w:val="BodyText"/>
        <w:spacing w:before="92"/>
        <w:ind w:left="1080"/>
      </w:pPr>
      <w:r>
        <w:rPr>
          <w:u w:val="single"/>
        </w:rPr>
        <w:t>3</w:t>
      </w:r>
      <w:r>
        <w:rPr>
          <w:spacing w:val="-8"/>
          <w:u w:val="single"/>
        </w:rPr>
        <w:t> </w:t>
      </w:r>
      <w:r>
        <w:rPr>
          <w:u w:val="single"/>
        </w:rPr>
        <w:t>ans</w:t>
      </w:r>
      <w:r>
        <w:rPr>
          <w:spacing w:val="-6"/>
          <w:u w:val="single"/>
        </w:rPr>
        <w:t> </w:t>
      </w:r>
      <w:r>
        <w:rPr>
          <w:u w:val="single"/>
        </w:rPr>
        <w:t>d’expérience</w:t>
      </w:r>
      <w:r>
        <w:rPr>
          <w:spacing w:val="-5"/>
          <w:u w:val="single"/>
        </w:rPr>
        <w:t> </w:t>
      </w:r>
      <w:r>
        <w:rPr>
          <w:u w:val="single"/>
        </w:rPr>
        <w:t>professionnelle</w:t>
      </w:r>
      <w:r>
        <w:rPr>
          <w:spacing w:val="-6"/>
          <w:u w:val="single"/>
        </w:rPr>
        <w:t> </w:t>
      </w:r>
      <w:r>
        <w:rPr>
          <w:u w:val="single"/>
        </w:rPr>
        <w:t>dans</w:t>
      </w:r>
      <w:r>
        <w:rPr>
          <w:spacing w:val="-8"/>
          <w:u w:val="single"/>
        </w:rPr>
        <w:t> </w:t>
      </w:r>
      <w:r>
        <w:rPr>
          <w:u w:val="single"/>
        </w:rPr>
        <w:t>l’administration</w:t>
      </w:r>
      <w:r>
        <w:rPr>
          <w:spacing w:val="-3"/>
          <w:u w:val="single"/>
        </w:rPr>
        <w:t> </w:t>
      </w:r>
      <w:r>
        <w:rPr>
          <w:u w:val="single"/>
        </w:rPr>
        <w:t>publique,</w:t>
      </w:r>
      <w:r>
        <w:rPr>
          <w:spacing w:val="-6"/>
          <w:u w:val="single"/>
        </w:rPr>
        <w:t> </w:t>
      </w:r>
      <w:r>
        <w:rPr>
          <w:u w:val="single"/>
        </w:rPr>
        <w:t>l’université</w:t>
      </w:r>
      <w:r>
        <w:rPr>
          <w:spacing w:val="-6"/>
          <w:u w:val="single"/>
        </w:rPr>
        <w:t> </w:t>
      </w:r>
      <w:r>
        <w:rPr>
          <w:u w:val="single"/>
        </w:rPr>
        <w:t>ou</w:t>
      </w:r>
      <w:r>
        <w:rPr>
          <w:spacing w:val="-5"/>
          <w:u w:val="single"/>
        </w:rPr>
        <w:t> </w:t>
      </w:r>
      <w:r>
        <w:rPr>
          <w:u w:val="single"/>
        </w:rPr>
        <w:t>l’institut</w:t>
      </w:r>
      <w:r>
        <w:rPr>
          <w:spacing w:val="-5"/>
          <w:u w:val="single"/>
        </w:rPr>
        <w:t> </w:t>
      </w:r>
      <w:r>
        <w:rPr>
          <w:u w:val="single"/>
        </w:rPr>
        <w:t>de</w:t>
      </w:r>
      <w:r>
        <w:rPr>
          <w:spacing w:val="-7"/>
          <w:u w:val="single"/>
        </w:rPr>
        <w:t> </w:t>
      </w:r>
      <w:r>
        <w:rPr>
          <w:spacing w:val="-2"/>
          <w:u w:val="single"/>
        </w:rPr>
        <w:t>recherche</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6"/>
        </w:rPr>
      </w:pPr>
    </w:p>
    <w:p>
      <w:pPr>
        <w:pStyle w:val="BodyText"/>
        <w:spacing w:before="92"/>
        <w:ind w:left="1080"/>
      </w:pPr>
      <w:r>
        <w:rPr>
          <w:u w:val="single"/>
        </w:rPr>
        <w:t>Langue</w:t>
      </w:r>
      <w:r>
        <w:rPr>
          <w:spacing w:val="-5"/>
          <w:u w:val="single"/>
        </w:rPr>
        <w:t> </w:t>
      </w:r>
      <w:r>
        <w:rPr>
          <w:u w:val="single"/>
        </w:rPr>
        <w:t>(s)</w:t>
      </w:r>
      <w:r>
        <w:rPr>
          <w:spacing w:val="-6"/>
          <w:u w:val="single"/>
        </w:rPr>
        <w:t> </w:t>
      </w:r>
      <w:r>
        <w:rPr>
          <w:u w:val="single"/>
        </w:rPr>
        <w:t>nécessaire</w:t>
      </w:r>
      <w:r>
        <w:rPr>
          <w:spacing w:val="-4"/>
          <w:u w:val="single"/>
        </w:rPr>
        <w:t> </w:t>
      </w:r>
      <w:r>
        <w:rPr>
          <w:u w:val="single"/>
        </w:rPr>
        <w:t>(s)</w:t>
      </w:r>
      <w:r>
        <w:rPr>
          <w:spacing w:val="-7"/>
          <w:u w:val="single"/>
        </w:rPr>
        <w:t> </w:t>
      </w:r>
      <w:r>
        <w:rPr>
          <w:u w:val="single"/>
        </w:rPr>
        <w:t>pour</w:t>
      </w:r>
      <w:r>
        <w:rPr>
          <w:spacing w:val="-4"/>
          <w:u w:val="single"/>
        </w:rPr>
        <w:t> </w:t>
      </w:r>
      <w:r>
        <w:rPr>
          <w:u w:val="single"/>
        </w:rPr>
        <w:t>l’accomplissement</w:t>
      </w:r>
      <w:r>
        <w:rPr>
          <w:spacing w:val="-4"/>
          <w:u w:val="single"/>
        </w:rPr>
        <w:t> </w:t>
      </w:r>
      <w:r>
        <w:rPr>
          <w:u w:val="single"/>
        </w:rPr>
        <w:t>des</w:t>
      </w:r>
      <w:r>
        <w:rPr>
          <w:spacing w:val="-8"/>
          <w:u w:val="single"/>
        </w:rPr>
        <w:t> </w:t>
      </w:r>
      <w:r>
        <w:rPr>
          <w:spacing w:val="-2"/>
          <w:u w:val="single"/>
        </w:rPr>
        <w:t>tâches</w:t>
      </w:r>
    </w:p>
    <w:p>
      <w:pPr>
        <w:pStyle w:val="BodyText"/>
        <w:rPr>
          <w:sz w:val="14"/>
        </w:rPr>
      </w:pPr>
    </w:p>
    <w:p>
      <w:pPr>
        <w:pStyle w:val="BodyText"/>
        <w:spacing w:before="92"/>
        <w:ind w:left="1080" w:right="7171"/>
      </w:pPr>
      <w:r>
        <w:rPr>
          <w:u w:val="single"/>
        </w:rPr>
        <w:t>Slovaque</w:t>
      </w:r>
      <w:r>
        <w:rPr>
          <w:spacing w:val="-14"/>
          <w:u w:val="single"/>
        </w:rPr>
        <w:t> </w:t>
      </w:r>
      <w:r>
        <w:rPr>
          <w:u w:val="single"/>
        </w:rPr>
        <w:t>ou</w:t>
      </w:r>
      <w:r>
        <w:rPr>
          <w:spacing w:val="-14"/>
          <w:u w:val="single"/>
        </w:rPr>
        <w:t> </w:t>
      </w:r>
      <w:r>
        <w:rPr>
          <w:u w:val="single"/>
        </w:rPr>
        <w:t>Tchèque</w:t>
      </w:r>
      <w:r>
        <w:rPr/>
        <w:t> </w:t>
      </w:r>
      <w:r>
        <w:rPr>
          <w:spacing w:val="-2"/>
          <w:u w:val="single"/>
        </w:rPr>
        <w:t>Anglais</w:t>
      </w:r>
    </w:p>
    <w:p>
      <w:pPr>
        <w:pStyle w:val="BodyText"/>
        <w:rPr>
          <w:sz w:val="20"/>
        </w:rPr>
      </w:pPr>
    </w:p>
    <w:p>
      <w:pPr>
        <w:pStyle w:val="BodyText"/>
        <w:spacing w:before="8"/>
        <w:rPr>
          <w:sz w:val="16"/>
        </w:rPr>
      </w:pPr>
    </w:p>
    <w:p>
      <w:pPr>
        <w:pStyle w:val="ListParagraph"/>
        <w:numPr>
          <w:ilvl w:val="0"/>
          <w:numId w:val="2"/>
        </w:numPr>
        <w:tabs>
          <w:tab w:pos="799" w:val="left" w:leader="none"/>
          <w:tab w:pos="800" w:val="left" w:leader="none"/>
        </w:tabs>
        <w:spacing w:line="240" w:lineRule="auto" w:before="90" w:after="0"/>
        <w:ind w:left="799" w:right="0" w:hanging="428"/>
        <w:jc w:val="left"/>
        <w:rPr>
          <w:b/>
          <w:sz w:val="24"/>
        </w:rPr>
      </w:pPr>
      <w:r>
        <w:rPr>
          <w:b/>
          <w:sz w:val="24"/>
          <w:u w:val="single"/>
        </w:rPr>
        <w:t>Soumission</w:t>
      </w:r>
      <w:r>
        <w:rPr>
          <w:b/>
          <w:spacing w:val="-7"/>
          <w:sz w:val="24"/>
          <w:u w:val="single"/>
        </w:rPr>
        <w:t> </w:t>
      </w:r>
      <w:r>
        <w:rPr>
          <w:b/>
          <w:sz w:val="24"/>
          <w:u w:val="single"/>
        </w:rPr>
        <w:t>des</w:t>
      </w:r>
      <w:r>
        <w:rPr>
          <w:b/>
          <w:spacing w:val="-7"/>
          <w:sz w:val="24"/>
          <w:u w:val="single"/>
        </w:rPr>
        <w:t> </w:t>
      </w:r>
      <w:r>
        <w:rPr>
          <w:b/>
          <w:sz w:val="24"/>
          <w:u w:val="single"/>
        </w:rPr>
        <w:t>candidatures</w:t>
      </w:r>
      <w:r>
        <w:rPr>
          <w:b/>
          <w:spacing w:val="-7"/>
          <w:sz w:val="24"/>
          <w:u w:val="single"/>
        </w:rPr>
        <w:t> </w:t>
      </w:r>
      <w:r>
        <w:rPr>
          <w:b/>
          <w:sz w:val="24"/>
          <w:u w:val="single"/>
        </w:rPr>
        <w:t>et</w:t>
      </w:r>
      <w:r>
        <w:rPr>
          <w:b/>
          <w:spacing w:val="-7"/>
          <w:sz w:val="24"/>
          <w:u w:val="single"/>
        </w:rPr>
        <w:t> </w:t>
      </w:r>
      <w:r>
        <w:rPr>
          <w:b/>
          <w:sz w:val="24"/>
          <w:u w:val="single"/>
        </w:rPr>
        <w:t>procédure</w:t>
      </w:r>
      <w:r>
        <w:rPr>
          <w:b/>
          <w:spacing w:val="-8"/>
          <w:sz w:val="24"/>
          <w:u w:val="single"/>
        </w:rPr>
        <w:t> </w:t>
      </w:r>
      <w:r>
        <w:rPr>
          <w:b/>
          <w:sz w:val="24"/>
          <w:u w:val="single"/>
        </w:rPr>
        <w:t>de</w:t>
      </w:r>
      <w:r>
        <w:rPr>
          <w:b/>
          <w:spacing w:val="-8"/>
          <w:sz w:val="24"/>
          <w:u w:val="single"/>
        </w:rPr>
        <w:t> </w:t>
      </w:r>
      <w:r>
        <w:rPr>
          <w:b/>
          <w:spacing w:val="-2"/>
          <w:sz w:val="24"/>
          <w:u w:val="single"/>
        </w:rPr>
        <w:t>sélection</w:t>
      </w:r>
    </w:p>
    <w:p>
      <w:pPr>
        <w:spacing w:after="0" w:line="240" w:lineRule="auto"/>
        <w:jc w:val="left"/>
        <w:rPr>
          <w:sz w:val="24"/>
        </w:rPr>
        <w:sectPr>
          <w:pgSz w:w="11910" w:h="16840"/>
          <w:pgMar w:header="0" w:footer="690" w:top="1300" w:bottom="880" w:left="480" w:right="740"/>
        </w:sectPr>
      </w:pPr>
    </w:p>
    <w:p>
      <w:pPr>
        <w:spacing w:line="242" w:lineRule="auto" w:before="64"/>
        <w:ind w:left="799" w:right="277" w:firstLine="0"/>
        <w:jc w:val="both"/>
        <w:rPr>
          <w:b/>
          <w:sz w:val="22"/>
        </w:rPr>
      </w:pPr>
      <w:r>
        <w:rPr/>
        <w:pict>
          <v:rect style="position:absolute;margin-left:63.984001pt;margin-top:27.409552pt;width:3.72pt;height:.48pt;mso-position-horizontal-relative:page;mso-position-vertical-relative:paragraph;z-index:-15826432" id="docshape2" filled="true" fillcolor="#0000ff" stroked="false">
            <v:fill type="solid"/>
            <w10:wrap type="none"/>
          </v:rect>
        </w:pict>
      </w:r>
      <w:r>
        <w:rPr>
          <w:sz w:val="22"/>
        </w:rPr>
        <w:t>Les candidats doivent envoyer leur candidature selon le </w:t>
      </w:r>
      <w:r>
        <w:rPr>
          <w:b/>
          <w:sz w:val="22"/>
        </w:rPr>
        <w:t>format de CV Europass </w:t>
      </w:r>
      <w:hyperlink r:id="rId8">
        <w:r>
          <w:rPr>
            <w:color w:val="0000FF"/>
            <w:sz w:val="22"/>
          </w:rPr>
          <w:t>(</w:t>
        </w:r>
      </w:hyperlink>
      <w:hyperlink r:id="rId9">
        <w:r>
          <w:rPr>
            <w:sz w:val="22"/>
          </w:rPr>
          <w:t>http://europass.cedefop.europa.eu/en/documents/curriculum-vitae)</w:t>
        </w:r>
      </w:hyperlink>
      <w:r>
        <w:rPr>
          <w:sz w:val="22"/>
        </w:rPr>
        <w:t> en anglais, français ou allemand </w:t>
      </w:r>
      <w:r>
        <w:rPr>
          <w:b/>
          <w:sz w:val="22"/>
          <w:u w:val="single"/>
        </w:rPr>
        <w:t>uniquement à la représentation permanente/mission diplomatique de leur pays auprès de l’UE</w:t>
      </w:r>
      <w:r>
        <w:rPr>
          <w:sz w:val="22"/>
        </w:rPr>
        <w:t>, qui la transmettra aux services compétents de la Commission dans le délai fixé par cette dernière. Le CV doit mentionner la date de naissance et la nationalité du candidat. </w:t>
      </w:r>
      <w:r>
        <w:rPr>
          <w:b/>
          <w:sz w:val="22"/>
        </w:rPr>
        <w:t>Le non-respect de cette procédure ou des délais invalidera automatiquement la candidature.</w:t>
      </w:r>
    </w:p>
    <w:p>
      <w:pPr>
        <w:pStyle w:val="BodyText"/>
        <w:spacing w:before="8"/>
        <w:rPr>
          <w:b/>
          <w:sz w:val="20"/>
        </w:rPr>
      </w:pPr>
    </w:p>
    <w:p>
      <w:pPr>
        <w:pStyle w:val="BodyText"/>
        <w:ind w:left="799" w:right="266"/>
        <w:jc w:val="both"/>
      </w:pPr>
      <w:r>
        <w:rPr/>
        <w:t>Les candidats sont priés de ne pas joindre à leur candidature d’autres documents (tels que copie de carte d’identité, copie des diplômes et attestations d’expérience professionnelle,...). Ces documents leur seront demandés, le cas échéant, à un stade ultérieur.</w:t>
      </w:r>
    </w:p>
    <w:p>
      <w:pPr>
        <w:pStyle w:val="BodyText"/>
        <w:spacing w:before="2"/>
        <w:ind w:left="799"/>
        <w:jc w:val="both"/>
      </w:pPr>
      <w:r>
        <w:rPr/>
        <w:t>Les</w:t>
      </w:r>
      <w:r>
        <w:rPr>
          <w:spacing w:val="-6"/>
        </w:rPr>
        <w:t> </w:t>
      </w:r>
      <w:r>
        <w:rPr/>
        <w:t>candidats</w:t>
      </w:r>
      <w:r>
        <w:rPr>
          <w:spacing w:val="-4"/>
        </w:rPr>
        <w:t> </w:t>
      </w:r>
      <w:r>
        <w:rPr/>
        <w:t>seront</w:t>
      </w:r>
      <w:r>
        <w:rPr>
          <w:spacing w:val="-3"/>
        </w:rPr>
        <w:t> </w:t>
      </w:r>
      <w:r>
        <w:rPr/>
        <w:t>informés</w:t>
      </w:r>
      <w:r>
        <w:rPr>
          <w:spacing w:val="-4"/>
        </w:rPr>
        <w:t> </w:t>
      </w:r>
      <w:r>
        <w:rPr/>
        <w:t>du</w:t>
      </w:r>
      <w:r>
        <w:rPr>
          <w:spacing w:val="-4"/>
        </w:rPr>
        <w:t> </w:t>
      </w:r>
      <w:r>
        <w:rPr/>
        <w:t>suivi</w:t>
      </w:r>
      <w:r>
        <w:rPr>
          <w:spacing w:val="-3"/>
        </w:rPr>
        <w:t> </w:t>
      </w:r>
      <w:r>
        <w:rPr/>
        <w:t>de</w:t>
      </w:r>
      <w:r>
        <w:rPr>
          <w:spacing w:val="-5"/>
        </w:rPr>
        <w:t> </w:t>
      </w:r>
      <w:r>
        <w:rPr/>
        <w:t>leur</w:t>
      </w:r>
      <w:r>
        <w:rPr>
          <w:spacing w:val="-4"/>
        </w:rPr>
        <w:t> </w:t>
      </w:r>
      <w:r>
        <w:rPr/>
        <w:t>candidature</w:t>
      </w:r>
      <w:r>
        <w:rPr>
          <w:spacing w:val="-4"/>
        </w:rPr>
        <w:t> </w:t>
      </w:r>
      <w:r>
        <w:rPr/>
        <w:t>par</w:t>
      </w:r>
      <w:r>
        <w:rPr>
          <w:spacing w:val="-6"/>
        </w:rPr>
        <w:t> </w:t>
      </w:r>
      <w:r>
        <w:rPr/>
        <w:t>l’unité</w:t>
      </w:r>
      <w:r>
        <w:rPr>
          <w:spacing w:val="-3"/>
        </w:rPr>
        <w:t> </w:t>
      </w:r>
      <w:r>
        <w:rPr>
          <w:spacing w:val="-2"/>
        </w:rPr>
        <w:t>concernée.</w:t>
      </w:r>
    </w:p>
    <w:p>
      <w:pPr>
        <w:pStyle w:val="ListParagraph"/>
        <w:numPr>
          <w:ilvl w:val="0"/>
          <w:numId w:val="2"/>
        </w:numPr>
        <w:tabs>
          <w:tab w:pos="800" w:val="left" w:leader="none"/>
        </w:tabs>
        <w:spacing w:line="240" w:lineRule="auto" w:before="5" w:after="0"/>
        <w:ind w:left="799" w:right="0" w:hanging="428"/>
        <w:jc w:val="both"/>
        <w:rPr>
          <w:b/>
          <w:sz w:val="24"/>
        </w:rPr>
      </w:pPr>
      <w:r>
        <w:rPr>
          <w:b/>
          <w:sz w:val="24"/>
          <w:u w:val="single"/>
        </w:rPr>
        <w:t>Conditions</w:t>
      </w:r>
      <w:r>
        <w:rPr>
          <w:b/>
          <w:spacing w:val="-8"/>
          <w:sz w:val="24"/>
          <w:u w:val="single"/>
        </w:rPr>
        <w:t> </w:t>
      </w:r>
      <w:r>
        <w:rPr>
          <w:b/>
          <w:sz w:val="24"/>
          <w:u w:val="single"/>
        </w:rPr>
        <w:t>du</w:t>
      </w:r>
      <w:r>
        <w:rPr>
          <w:b/>
          <w:spacing w:val="-7"/>
          <w:sz w:val="24"/>
          <w:u w:val="single"/>
        </w:rPr>
        <w:t> </w:t>
      </w:r>
      <w:r>
        <w:rPr>
          <w:b/>
          <w:spacing w:val="-2"/>
          <w:sz w:val="24"/>
          <w:u w:val="single"/>
        </w:rPr>
        <w:t>détachement</w:t>
      </w:r>
    </w:p>
    <w:p>
      <w:pPr>
        <w:pStyle w:val="BodyText"/>
        <w:spacing w:before="6"/>
        <w:rPr>
          <w:b/>
          <w:sz w:val="15"/>
        </w:rPr>
      </w:pPr>
    </w:p>
    <w:p>
      <w:pPr>
        <w:spacing w:line="240" w:lineRule="auto" w:before="92"/>
        <w:ind w:left="799" w:right="281" w:firstLine="0"/>
        <w:jc w:val="both"/>
        <w:rPr>
          <w:sz w:val="22"/>
        </w:rPr>
      </w:pPr>
      <w:r>
        <w:rPr>
          <w:sz w:val="22"/>
        </w:rPr>
        <w:t>Les détachements sont régis par la </w:t>
      </w:r>
      <w:r>
        <w:rPr>
          <w:b/>
          <w:sz w:val="22"/>
        </w:rPr>
        <w:t>décision de la Commission C (2008) 6866 du 12/11/2008 relative au régime applicable </w:t>
      </w:r>
      <w:r>
        <w:rPr>
          <w:sz w:val="22"/>
        </w:rPr>
        <w:t>aux experts nationaux détachés et aux experts nationaux en formation professionnelle auprès des services de la Commission (décision END).</w:t>
      </w:r>
    </w:p>
    <w:p>
      <w:pPr>
        <w:pStyle w:val="BodyText"/>
        <w:ind w:left="799" w:right="284"/>
        <w:jc w:val="both"/>
      </w:pPr>
      <w:r>
        <w:rPr/>
        <w:t>L’END restera employé et rémunéré par son employeur pendant toute la durée du détachement. Il restera également couvert par le système de sécurité sociale national.</w:t>
      </w:r>
    </w:p>
    <w:p>
      <w:pPr>
        <w:pStyle w:val="BodyText"/>
        <w:ind w:left="799" w:right="284"/>
        <w:jc w:val="both"/>
      </w:pPr>
      <w:r>
        <w:rPr/>
        <w:t>Sauf pour les END sans frais, des indemnités peuvent être versées par la Commission à l’END qui remplit les conditions prévues à l’article 17 de la décision END.</w:t>
      </w:r>
    </w:p>
    <w:p>
      <w:pPr>
        <w:pStyle w:val="BodyText"/>
      </w:pPr>
    </w:p>
    <w:p>
      <w:pPr>
        <w:pStyle w:val="BodyText"/>
        <w:ind w:left="799" w:right="286"/>
        <w:jc w:val="both"/>
      </w:pPr>
      <w:r>
        <w:rPr/>
        <w:t>Durant le détachement, l’END sera soumis aux obligations de confidentialité, de loyauté et d’absence de conflit d’intérêt prévues par les articles 6 et 7 de la décision END.</w:t>
      </w:r>
    </w:p>
    <w:p>
      <w:pPr>
        <w:pStyle w:val="BodyText"/>
        <w:ind w:left="799"/>
        <w:jc w:val="both"/>
      </w:pPr>
      <w:r>
        <w:rPr/>
        <w:t>Tout</w:t>
      </w:r>
      <w:r>
        <w:rPr>
          <w:spacing w:val="-5"/>
        </w:rPr>
        <w:t> </w:t>
      </w:r>
      <w:r>
        <w:rPr/>
        <w:t>document</w:t>
      </w:r>
      <w:r>
        <w:rPr>
          <w:spacing w:val="-2"/>
        </w:rPr>
        <w:t> </w:t>
      </w:r>
      <w:r>
        <w:rPr/>
        <w:t>inexact,</w:t>
      </w:r>
      <w:r>
        <w:rPr>
          <w:spacing w:val="-6"/>
        </w:rPr>
        <w:t> </w:t>
      </w:r>
      <w:r>
        <w:rPr/>
        <w:t>incomplet</w:t>
      </w:r>
      <w:r>
        <w:rPr>
          <w:spacing w:val="-3"/>
        </w:rPr>
        <w:t> </w:t>
      </w:r>
      <w:r>
        <w:rPr/>
        <w:t>ou</w:t>
      </w:r>
      <w:r>
        <w:rPr>
          <w:spacing w:val="-3"/>
        </w:rPr>
        <w:t> </w:t>
      </w:r>
      <w:r>
        <w:rPr/>
        <w:t>manquant</w:t>
      </w:r>
      <w:r>
        <w:rPr>
          <w:spacing w:val="-5"/>
        </w:rPr>
        <w:t> </w:t>
      </w:r>
      <w:r>
        <w:rPr/>
        <w:t>pourra</w:t>
      </w:r>
      <w:r>
        <w:rPr>
          <w:spacing w:val="-6"/>
        </w:rPr>
        <w:t> </w:t>
      </w:r>
      <w:r>
        <w:rPr/>
        <w:t>entraîner</w:t>
      </w:r>
      <w:r>
        <w:rPr>
          <w:spacing w:val="-5"/>
        </w:rPr>
        <w:t> </w:t>
      </w:r>
      <w:r>
        <w:rPr/>
        <w:t>l’annulation</w:t>
      </w:r>
      <w:r>
        <w:rPr>
          <w:spacing w:val="-6"/>
        </w:rPr>
        <w:t> </w:t>
      </w:r>
      <w:r>
        <w:rPr/>
        <w:t>de</w:t>
      </w:r>
      <w:r>
        <w:rPr>
          <w:spacing w:val="-5"/>
        </w:rPr>
        <w:t> </w:t>
      </w:r>
      <w:r>
        <w:rPr/>
        <w:t>la</w:t>
      </w:r>
      <w:r>
        <w:rPr>
          <w:spacing w:val="-5"/>
        </w:rPr>
        <w:t> </w:t>
      </w:r>
      <w:r>
        <w:rPr>
          <w:spacing w:val="-2"/>
        </w:rPr>
        <w:t>candidature.</w:t>
      </w:r>
    </w:p>
    <w:p>
      <w:pPr>
        <w:pStyle w:val="BodyText"/>
        <w:spacing w:before="1"/>
      </w:pPr>
    </w:p>
    <w:p>
      <w:pPr>
        <w:pStyle w:val="BodyText"/>
        <w:ind w:left="799" w:right="281"/>
        <w:jc w:val="both"/>
      </w:pPr>
      <w:r>
        <w:rPr/>
        <w:t>Le personnel affecté dans une </w:t>
      </w:r>
      <w:r>
        <w:rPr>
          <w:b/>
        </w:rPr>
        <w:t>délégation de l’Union européenne </w:t>
      </w:r>
      <w:r>
        <w:rPr/>
        <w:t>devra disposer d’une habilitation de sécurité [jusqu’au niveau SECRET UE/EU SECRET, conformément à la décision (UE, Euratom) 2015/444 de la Commission du 13 mars 2015, JO L 72 du 17.3.2015, p. 53].</w:t>
      </w:r>
    </w:p>
    <w:p>
      <w:pPr>
        <w:pStyle w:val="BodyText"/>
        <w:ind w:left="799" w:right="114"/>
        <w:jc w:val="both"/>
      </w:pPr>
      <w:r>
        <w:rPr/>
        <w:t>Le candidat choisi aura l’obligation de lancer cette procédure d’habilitation de sécurité avant d’obtenir la confirmation de son détachement.</w:t>
      </w:r>
    </w:p>
    <w:p>
      <w:pPr>
        <w:pStyle w:val="BodyText"/>
        <w:spacing w:before="5"/>
        <w:rPr>
          <w:sz w:val="24"/>
        </w:rPr>
      </w:pPr>
    </w:p>
    <w:p>
      <w:pPr>
        <w:pStyle w:val="ListParagraph"/>
        <w:numPr>
          <w:ilvl w:val="0"/>
          <w:numId w:val="2"/>
        </w:numPr>
        <w:tabs>
          <w:tab w:pos="799" w:val="left" w:leader="none"/>
          <w:tab w:pos="800" w:val="left" w:leader="none"/>
        </w:tabs>
        <w:spacing w:line="240" w:lineRule="auto" w:before="0" w:after="0"/>
        <w:ind w:left="799" w:right="0" w:hanging="428"/>
        <w:jc w:val="left"/>
        <w:rPr>
          <w:b/>
          <w:sz w:val="24"/>
        </w:rPr>
      </w:pPr>
      <w:r>
        <w:rPr>
          <w:b/>
          <w:sz w:val="24"/>
          <w:u w:val="single"/>
        </w:rPr>
        <w:t>Traitement</w:t>
      </w:r>
      <w:r>
        <w:rPr>
          <w:b/>
          <w:spacing w:val="-5"/>
          <w:sz w:val="24"/>
          <w:u w:val="single"/>
        </w:rPr>
        <w:t> </w:t>
      </w:r>
      <w:r>
        <w:rPr>
          <w:b/>
          <w:sz w:val="24"/>
          <w:u w:val="single"/>
        </w:rPr>
        <w:t>des</w:t>
      </w:r>
      <w:r>
        <w:rPr>
          <w:b/>
          <w:spacing w:val="-4"/>
          <w:sz w:val="24"/>
          <w:u w:val="single"/>
        </w:rPr>
        <w:t> </w:t>
      </w:r>
      <w:r>
        <w:rPr>
          <w:b/>
          <w:sz w:val="24"/>
          <w:u w:val="single"/>
        </w:rPr>
        <w:t>données</w:t>
      </w:r>
      <w:r>
        <w:rPr>
          <w:b/>
          <w:spacing w:val="-3"/>
          <w:sz w:val="24"/>
          <w:u w:val="single"/>
        </w:rPr>
        <w:t> </w:t>
      </w:r>
      <w:r>
        <w:rPr>
          <w:b/>
          <w:sz w:val="24"/>
          <w:u w:val="single"/>
        </w:rPr>
        <w:t>à</w:t>
      </w:r>
      <w:r>
        <w:rPr>
          <w:b/>
          <w:spacing w:val="-4"/>
          <w:sz w:val="24"/>
          <w:u w:val="single"/>
        </w:rPr>
        <w:t> </w:t>
      </w:r>
      <w:r>
        <w:rPr>
          <w:b/>
          <w:sz w:val="24"/>
          <w:u w:val="single"/>
        </w:rPr>
        <w:t>caractère</w:t>
      </w:r>
      <w:r>
        <w:rPr>
          <w:b/>
          <w:spacing w:val="-5"/>
          <w:sz w:val="24"/>
          <w:u w:val="single"/>
        </w:rPr>
        <w:t> </w:t>
      </w:r>
      <w:r>
        <w:rPr>
          <w:b/>
          <w:spacing w:val="-2"/>
          <w:sz w:val="24"/>
          <w:u w:val="single"/>
        </w:rPr>
        <w:t>personnel</w:t>
      </w:r>
    </w:p>
    <w:p>
      <w:pPr>
        <w:pStyle w:val="BodyText"/>
        <w:spacing w:before="7"/>
        <w:rPr>
          <w:b/>
          <w:sz w:val="15"/>
        </w:rPr>
      </w:pPr>
    </w:p>
    <w:p>
      <w:pPr>
        <w:pStyle w:val="BodyText"/>
        <w:spacing w:before="92"/>
        <w:ind w:left="799" w:right="279"/>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w:t>
      </w:r>
      <w:r>
        <w:rPr>
          <w:spacing w:val="-3"/>
        </w:rPr>
        <w:t> </w:t>
      </w:r>
      <w:r>
        <w:rPr/>
        <w:t>de</w:t>
      </w:r>
      <w:r>
        <w:rPr>
          <w:spacing w:val="-1"/>
        </w:rPr>
        <w:t> </w:t>
      </w:r>
      <w:r>
        <w:rPr/>
        <w:t>l’unité</w:t>
      </w:r>
      <w:r>
        <w:rPr>
          <w:spacing w:val="-1"/>
        </w:rPr>
        <w:t> </w:t>
      </w:r>
      <w:r>
        <w:rPr/>
        <w:t>HR.DDG.B4.</w:t>
      </w:r>
      <w:r>
        <w:rPr>
          <w:spacing w:val="-1"/>
        </w:rPr>
        <w:t> </w:t>
      </w:r>
      <w:r>
        <w:rPr/>
        <w:t>Ce</w:t>
      </w:r>
      <w:r>
        <w:rPr>
          <w:spacing w:val="-1"/>
        </w:rPr>
        <w:t> </w:t>
      </w:r>
      <w:r>
        <w:rPr/>
        <w:t>traitement est basé</w:t>
      </w:r>
      <w:r>
        <w:rPr>
          <w:spacing w:val="-3"/>
        </w:rPr>
        <w:t> </w:t>
      </w:r>
      <w:r>
        <w:rPr/>
        <w:t>sur</w:t>
      </w:r>
      <w:r>
        <w:rPr>
          <w:spacing w:val="-1"/>
        </w:rPr>
        <w:t> </w:t>
      </w:r>
      <w:r>
        <w:rPr/>
        <w:t>la</w:t>
      </w:r>
      <w:r>
        <w:rPr>
          <w:spacing w:val="-3"/>
        </w:rPr>
        <w:t> </w:t>
      </w:r>
      <w:r>
        <w:rPr/>
        <w:t>décision</w:t>
      </w:r>
      <w:r>
        <w:rPr>
          <w:spacing w:val="-1"/>
        </w:rPr>
        <w:t> </w:t>
      </w:r>
      <w:r>
        <w:rPr/>
        <w:t>END</w:t>
      </w:r>
      <w:r>
        <w:rPr>
          <w:spacing w:val="-2"/>
        </w:rPr>
        <w:t> </w:t>
      </w:r>
      <w:r>
        <w:rPr/>
        <w:t>et sur</w:t>
      </w:r>
      <w:r>
        <w:rPr>
          <w:spacing w:val="-1"/>
        </w:rPr>
        <w:t> </w:t>
      </w:r>
      <w:r>
        <w:rPr/>
        <w:t>le</w:t>
      </w:r>
      <w:r>
        <w:rPr>
          <w:spacing w:val="-3"/>
        </w:rPr>
        <w:t> </w:t>
      </w:r>
      <w:r>
        <w:rPr/>
        <w:t>règlement (UE)</w:t>
      </w:r>
      <w:r>
        <w:rPr>
          <w:spacing w:val="-3"/>
        </w:rPr>
        <w:t> </w:t>
      </w:r>
      <w:r>
        <w:rPr/>
        <w:t>2018/1725. Les données sont conservées par les services compétents pendant 10 ans à compter de la fin du détachement (2 ans pour les experts non sélectionnés ou non détachés).</w:t>
      </w:r>
    </w:p>
    <w:p>
      <w:pPr>
        <w:pStyle w:val="BodyText"/>
        <w:ind w:left="799" w:right="281"/>
        <w:jc w:val="both"/>
      </w:pPr>
      <w:r>
        <w:rPr/>
        <w:t>Vous avez des droits spécifiques en qualité de «personne concernée» au titre du chapitre III (articles 14-25) du règlement (UE)</w:t>
      </w:r>
      <w:r>
        <w:rPr>
          <w:spacing w:val="-1"/>
        </w:rPr>
        <w:t> </w:t>
      </w:r>
      <w:r>
        <w:rPr/>
        <w:t>2018/1725, en</w:t>
      </w:r>
      <w:r>
        <w:rPr>
          <w:spacing w:val="-1"/>
        </w:rPr>
        <w:t> </w:t>
      </w:r>
      <w:r>
        <w:rPr/>
        <w:t>particulier</w:t>
      </w:r>
      <w:r>
        <w:rPr>
          <w:spacing w:val="-1"/>
        </w:rPr>
        <w:t> </w:t>
      </w:r>
      <w:r>
        <w:rPr/>
        <w:t>le</w:t>
      </w:r>
      <w:r>
        <w:rPr>
          <w:spacing w:val="-1"/>
        </w:rPr>
        <w:t> </w:t>
      </w:r>
      <w:r>
        <w:rPr/>
        <w:t>droit de</w:t>
      </w:r>
      <w:r>
        <w:rPr>
          <w:spacing w:val="-1"/>
        </w:rPr>
        <w:t> </w:t>
      </w:r>
      <w:r>
        <w:rPr/>
        <w:t>consulter,</w:t>
      </w:r>
      <w:r>
        <w:rPr>
          <w:spacing w:val="-2"/>
        </w:rPr>
        <w:t> </w:t>
      </w:r>
      <w:r>
        <w:rPr/>
        <w:t>de</w:t>
      </w:r>
      <w:r>
        <w:rPr>
          <w:spacing w:val="-1"/>
        </w:rPr>
        <w:t> </w:t>
      </w:r>
      <w:r>
        <w:rPr/>
        <w:t>rectifier ou</w:t>
      </w:r>
      <w:r>
        <w:rPr>
          <w:spacing w:val="-2"/>
        </w:rPr>
        <w:t> </w:t>
      </w:r>
      <w:r>
        <w:rPr/>
        <w:t>de supprimer vos</w:t>
      </w:r>
      <w:r>
        <w:rPr>
          <w:spacing w:val="-1"/>
        </w:rPr>
        <w:t> </w:t>
      </w:r>
      <w:r>
        <w:rPr/>
        <w:t>données</w:t>
      </w:r>
      <w:r>
        <w:rPr>
          <w:spacing w:val="-3"/>
        </w:rPr>
        <w:t> </w:t>
      </w:r>
      <w:r>
        <w:rPr/>
        <w:t>à caractère personnel et le droit d’en restreindre le traitement. Le cas échéant, vous avez également le droit de vous opposer au traitement ou le droit à la portabilité des données.</w:t>
      </w:r>
    </w:p>
    <w:p>
      <w:pPr>
        <w:pStyle w:val="BodyText"/>
        <w:ind w:left="799" w:right="281"/>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figurent ci-dessous.</w:t>
      </w:r>
    </w:p>
    <w:p>
      <w:pPr>
        <w:pStyle w:val="BodyText"/>
        <w:spacing w:before="6"/>
      </w:pPr>
    </w:p>
    <w:p>
      <w:pPr>
        <w:pStyle w:val="Heading1"/>
        <w:ind w:left="799" w:firstLine="0"/>
      </w:pPr>
      <w:r>
        <w:rPr>
          <w:spacing w:val="-2"/>
          <w:u w:val="single"/>
        </w:rPr>
        <w:t>Coordonnées</w:t>
      </w:r>
    </w:p>
    <w:p>
      <w:pPr>
        <w:pStyle w:val="BodyText"/>
        <w:spacing w:before="10"/>
        <w:rPr>
          <w:b/>
          <w:sz w:val="21"/>
        </w:rPr>
      </w:pPr>
    </w:p>
    <w:p>
      <w:pPr>
        <w:pStyle w:val="ListParagraph"/>
        <w:numPr>
          <w:ilvl w:val="0"/>
          <w:numId w:val="5"/>
        </w:numPr>
        <w:tabs>
          <w:tab w:pos="1081" w:val="left" w:leader="none"/>
        </w:tabs>
        <w:spacing w:line="266" w:lineRule="exact" w:before="0" w:after="0"/>
        <w:ind w:left="1080" w:right="0" w:hanging="282"/>
        <w:jc w:val="both"/>
        <w:rPr>
          <w:b/>
          <w:sz w:val="22"/>
        </w:rPr>
      </w:pPr>
      <w:r>
        <w:rPr>
          <w:b/>
          <w:sz w:val="22"/>
        </w:rPr>
        <w:t>Responsable</w:t>
      </w:r>
      <w:r>
        <w:rPr>
          <w:b/>
          <w:spacing w:val="-4"/>
          <w:sz w:val="22"/>
        </w:rPr>
        <w:t> </w:t>
      </w:r>
      <w:r>
        <w:rPr>
          <w:b/>
          <w:sz w:val="22"/>
        </w:rPr>
        <w:t>du</w:t>
      </w:r>
      <w:r>
        <w:rPr>
          <w:b/>
          <w:spacing w:val="-5"/>
          <w:sz w:val="22"/>
        </w:rPr>
        <w:t> </w:t>
      </w:r>
      <w:r>
        <w:rPr>
          <w:b/>
          <w:spacing w:val="-2"/>
          <w:sz w:val="22"/>
        </w:rPr>
        <w:t>traitement</w:t>
      </w:r>
    </w:p>
    <w:p>
      <w:pPr>
        <w:pStyle w:val="BodyText"/>
        <w:ind w:left="1080" w:right="287"/>
        <w:jc w:val="both"/>
      </w:pPr>
      <w:r>
        <w:rPr/>
        <w:t>Si vous souhaitez exercer vos droits en vertu du règlement (UE) 2018/1725, si vous avez des commentaires, des questions ou des préoccupations, ou si vous souhaitez porter plainte concernant la collecte et l’utilisation de vos données à caractère personnel, n’hésitez pas à contacter le responsable du traitement des données, HR.DDG.B.4, </w:t>
      </w:r>
      <w:hyperlink r:id="rId10">
        <w:r>
          <w:rPr>
            <w:color w:val="0000FF"/>
            <w:u w:val="single" w:color="0000FF"/>
          </w:rPr>
          <w:t>HR-MAIL-B4@ec.europa.eu</w:t>
        </w:r>
      </w:hyperlink>
    </w:p>
    <w:p>
      <w:pPr>
        <w:spacing w:after="0"/>
        <w:jc w:val="both"/>
        <w:sectPr>
          <w:pgSz w:w="11910" w:h="16840"/>
          <w:pgMar w:header="0" w:footer="690" w:top="1320" w:bottom="880" w:left="480" w:right="740"/>
        </w:sectPr>
      </w:pPr>
    </w:p>
    <w:p>
      <w:pPr>
        <w:pStyle w:val="Heading1"/>
        <w:numPr>
          <w:ilvl w:val="0"/>
          <w:numId w:val="5"/>
        </w:numPr>
        <w:tabs>
          <w:tab w:pos="1081" w:val="left" w:leader="none"/>
        </w:tabs>
        <w:spacing w:line="266" w:lineRule="exact" w:before="74" w:after="0"/>
        <w:ind w:left="1080" w:right="0" w:hanging="282"/>
        <w:jc w:val="both"/>
      </w:pPr>
      <w:r>
        <w:rPr/>
        <w:t>Délégué</w:t>
      </w:r>
      <w:r>
        <w:rPr>
          <w:spacing w:val="-5"/>
        </w:rPr>
        <w:t> </w:t>
      </w:r>
      <w:r>
        <w:rPr/>
        <w:t>à</w:t>
      </w:r>
      <w:r>
        <w:rPr>
          <w:spacing w:val="-2"/>
        </w:rPr>
        <w:t> </w:t>
      </w:r>
      <w:r>
        <w:rPr/>
        <w:t>la</w:t>
      </w:r>
      <w:r>
        <w:rPr>
          <w:spacing w:val="-5"/>
        </w:rPr>
        <w:t> </w:t>
      </w:r>
      <w:r>
        <w:rPr/>
        <w:t>protection</w:t>
      </w:r>
      <w:r>
        <w:rPr>
          <w:spacing w:val="-2"/>
        </w:rPr>
        <w:t> </w:t>
      </w:r>
      <w:r>
        <w:rPr/>
        <w:t>des</w:t>
      </w:r>
      <w:r>
        <w:rPr>
          <w:spacing w:val="-3"/>
        </w:rPr>
        <w:t> </w:t>
      </w:r>
      <w:r>
        <w:rPr/>
        <w:t>données</w:t>
      </w:r>
      <w:r>
        <w:rPr>
          <w:spacing w:val="-2"/>
        </w:rPr>
        <w:t> </w:t>
      </w:r>
      <w:r>
        <w:rPr/>
        <w:t>(DPD)</w:t>
      </w:r>
      <w:r>
        <w:rPr>
          <w:spacing w:val="-2"/>
        </w:rPr>
        <w:t> </w:t>
      </w:r>
      <w:r>
        <w:rPr/>
        <w:t>de</w:t>
      </w:r>
      <w:r>
        <w:rPr>
          <w:spacing w:val="-2"/>
        </w:rPr>
        <w:t> </w:t>
      </w:r>
      <w:r>
        <w:rPr/>
        <w:t>la</w:t>
      </w:r>
      <w:r>
        <w:rPr>
          <w:spacing w:val="-2"/>
        </w:rPr>
        <w:t> Commission</w:t>
      </w:r>
    </w:p>
    <w:p>
      <w:pPr>
        <w:pStyle w:val="BodyText"/>
        <w:ind w:left="1080" w:right="281"/>
        <w:jc w:val="both"/>
      </w:pPr>
      <w:r>
        <w:rPr/>
        <w:t>Vous pouvez prendre contact avec le délégué à la protection des données (</w:t>
      </w:r>
      <w:hyperlink r:id="rId11">
        <w:r>
          <w:rPr>
            <w:color w:val="0000FF"/>
            <w:u w:val="single" w:color="0000FF"/>
          </w:rPr>
          <w:t>DATA-PROTECTION-</w:t>
        </w:r>
      </w:hyperlink>
      <w:r>
        <w:rPr>
          <w:color w:val="0000FF"/>
        </w:rPr>
        <w:t> </w:t>
      </w:r>
      <w:hyperlink r:id="rId11">
        <w:r>
          <w:rPr>
            <w:color w:val="0000FF"/>
            <w:u w:val="single" w:color="0000FF"/>
          </w:rPr>
          <w:t>OFFICER@ec.europa.eu</w:t>
        </w:r>
      </w:hyperlink>
      <w:r>
        <w:rPr>
          <w:u w:val="single" w:color="0000FF"/>
        </w:rPr>
        <w:t>)</w:t>
      </w:r>
      <w:r>
        <w:rPr>
          <w:spacing w:val="-1"/>
          <w:u w:val="single" w:color="0000FF"/>
        </w:rPr>
        <w:t> </w:t>
      </w:r>
      <w:r>
        <w:rPr/>
        <w:t>pour</w:t>
      </w:r>
      <w:r>
        <w:rPr>
          <w:spacing w:val="-2"/>
        </w:rPr>
        <w:t> </w:t>
      </w:r>
      <w:r>
        <w:rPr/>
        <w:t>des</w:t>
      </w:r>
      <w:r>
        <w:rPr>
          <w:spacing w:val="-2"/>
        </w:rPr>
        <w:t> </w:t>
      </w:r>
      <w:r>
        <w:rPr/>
        <w:t>questions</w:t>
      </w:r>
      <w:r>
        <w:rPr>
          <w:spacing w:val="-2"/>
        </w:rPr>
        <w:t> </w:t>
      </w:r>
      <w:r>
        <w:rPr/>
        <w:t>relatives</w:t>
      </w:r>
      <w:r>
        <w:rPr>
          <w:spacing w:val="-4"/>
        </w:rPr>
        <w:t> </w:t>
      </w:r>
      <w:r>
        <w:rPr/>
        <w:t>au</w:t>
      </w:r>
      <w:r>
        <w:rPr>
          <w:spacing w:val="-2"/>
        </w:rPr>
        <w:t> </w:t>
      </w:r>
      <w:r>
        <w:rPr/>
        <w:t>traitement</w:t>
      </w:r>
      <w:r>
        <w:rPr>
          <w:spacing w:val="-1"/>
        </w:rPr>
        <w:t> </w:t>
      </w:r>
      <w:r>
        <w:rPr/>
        <w:t>de</w:t>
      </w:r>
      <w:r>
        <w:rPr>
          <w:spacing w:val="-2"/>
        </w:rPr>
        <w:t> </w:t>
      </w:r>
      <w:r>
        <w:rPr/>
        <w:t>vos</w:t>
      </w:r>
      <w:r>
        <w:rPr>
          <w:spacing w:val="-2"/>
        </w:rPr>
        <w:t> </w:t>
      </w:r>
      <w:r>
        <w:rPr/>
        <w:t>données</w:t>
      </w:r>
      <w:r>
        <w:rPr>
          <w:spacing w:val="-2"/>
        </w:rPr>
        <w:t> </w:t>
      </w:r>
      <w:r>
        <w:rPr/>
        <w:t>à</w:t>
      </w:r>
      <w:r>
        <w:rPr>
          <w:spacing w:val="-2"/>
        </w:rPr>
        <w:t> </w:t>
      </w:r>
      <w:r>
        <w:rPr/>
        <w:t>caractère</w:t>
      </w:r>
      <w:r>
        <w:rPr>
          <w:spacing w:val="-2"/>
        </w:rPr>
        <w:t> </w:t>
      </w:r>
      <w:r>
        <w:rPr/>
        <w:t>personnel conformément au règlement (UE) 2018/1725.</w:t>
      </w:r>
    </w:p>
    <w:p>
      <w:pPr>
        <w:pStyle w:val="BodyText"/>
        <w:spacing w:before="4"/>
      </w:pPr>
    </w:p>
    <w:p>
      <w:pPr>
        <w:pStyle w:val="Heading1"/>
        <w:numPr>
          <w:ilvl w:val="0"/>
          <w:numId w:val="5"/>
        </w:numPr>
        <w:tabs>
          <w:tab w:pos="1081" w:val="left" w:leader="none"/>
        </w:tabs>
        <w:spacing w:line="266" w:lineRule="exact" w:before="0" w:after="0"/>
        <w:ind w:left="1080" w:right="0" w:hanging="282"/>
        <w:jc w:val="both"/>
      </w:pPr>
      <w:r>
        <w:rPr/>
        <w:t>Contrôleur</w:t>
      </w:r>
      <w:r>
        <w:rPr>
          <w:spacing w:val="-4"/>
        </w:rPr>
        <w:t> </w:t>
      </w:r>
      <w:r>
        <w:rPr/>
        <w:t>européen</w:t>
      </w:r>
      <w:r>
        <w:rPr>
          <w:spacing w:val="-3"/>
        </w:rPr>
        <w:t> </w:t>
      </w:r>
      <w:r>
        <w:rPr/>
        <w:t>de</w:t>
      </w:r>
      <w:r>
        <w:rPr>
          <w:spacing w:val="-5"/>
        </w:rPr>
        <w:t> </w:t>
      </w:r>
      <w:r>
        <w:rPr/>
        <w:t>la</w:t>
      </w:r>
      <w:r>
        <w:rPr>
          <w:spacing w:val="-3"/>
        </w:rPr>
        <w:t> </w:t>
      </w:r>
      <w:r>
        <w:rPr/>
        <w:t>protection</w:t>
      </w:r>
      <w:r>
        <w:rPr>
          <w:spacing w:val="-4"/>
        </w:rPr>
        <w:t> </w:t>
      </w:r>
      <w:r>
        <w:rPr/>
        <w:t>des</w:t>
      </w:r>
      <w:r>
        <w:rPr>
          <w:spacing w:val="-3"/>
        </w:rPr>
        <w:t> </w:t>
      </w:r>
      <w:r>
        <w:rPr/>
        <w:t>données</w:t>
      </w:r>
      <w:r>
        <w:rPr>
          <w:spacing w:val="-4"/>
        </w:rPr>
        <w:t> </w:t>
      </w:r>
      <w:r>
        <w:rPr>
          <w:spacing w:val="-2"/>
        </w:rPr>
        <w:t>(CEPD)</w:t>
      </w:r>
    </w:p>
    <w:p>
      <w:pPr>
        <w:pStyle w:val="BodyText"/>
        <w:ind w:left="1080" w:right="281"/>
        <w:jc w:val="both"/>
      </w:pPr>
      <w:r>
        <w:rPr/>
        <w:pict>
          <v:rect style="position:absolute;margin-left:540.460022pt;margin-top:11.46955pt;width:3.6pt;height:.48001pt;mso-position-horizontal-relative:page;mso-position-vertical-relative:paragraph;z-index:15729152" id="docshape3" filled="true" fillcolor="#000000" stroked="false">
            <v:fill type="solid"/>
            <w10:wrap type="none"/>
          </v:rect>
        </w:pict>
      </w:r>
      <w:r>
        <w:rPr/>
        <w:t>Vous avez le droit de saisir le Contrôleur européen de la protection des données</w:t>
      </w:r>
      <w:r>
        <w:rPr>
          <w:u w:val="single"/>
        </w:rPr>
        <w:t> (</w:t>
      </w:r>
      <w:hyperlink r:id="rId12">
        <w:r>
          <w:rPr>
            <w:color w:val="0000FF"/>
            <w:u w:val="single" w:color="000000"/>
          </w:rPr>
          <w:t>edps@edps.europa.eu</w:t>
        </w:r>
      </w:hyperlink>
      <w:r>
        <w:rPr/>
        <w:t>) pour déposer une plainte si vous estimez que les droits dont vous jouissez en vertu du règlement (UE) 2018/1725 ont été enfreints à la suite du traitement de vos données à caractère personnel effectué par le responsable de ce traitement.</w:t>
      </w:r>
    </w:p>
    <w:p>
      <w:pPr>
        <w:pStyle w:val="BodyText"/>
        <w:ind w:left="1080" w:right="105"/>
        <w:jc w:val="both"/>
      </w:pPr>
      <w:r>
        <w:rPr/>
        <w:t>À l’attention des candidats de pays tiers: vos données personnelles peuvent être utilisées aux fins des vérifications nécessaires.</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 w:name="Verdana">
    <w:altName w:val="Verdana"/>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6.435425pt;width:56.1pt;height:10.95pt;mso-position-horizontal-relative:page;mso-position-vertical-relative:page;z-index:-15826432"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80" w:hanging="281"/>
      </w:pPr>
      <w:rPr>
        <w:rFonts w:hint="default" w:ascii="Verdana" w:hAnsi="Verdana" w:eastAsia="Verdana" w:cs="Verdana"/>
        <w:b w:val="0"/>
        <w:bCs w:val="0"/>
        <w:i w:val="0"/>
        <w:iCs w:val="0"/>
        <w:w w:val="100"/>
        <w:sz w:val="22"/>
        <w:szCs w:val="22"/>
        <w:lang w:val="fr-FR" w:eastAsia="en-US" w:bidi="ar-SA"/>
      </w:rPr>
    </w:lvl>
    <w:lvl w:ilvl="1">
      <w:start w:val="0"/>
      <w:numFmt w:val="bullet"/>
      <w:lvlText w:val="•"/>
      <w:lvlJc w:val="left"/>
      <w:pPr>
        <w:ind w:left="2040" w:hanging="281"/>
      </w:pPr>
      <w:rPr>
        <w:rFonts w:hint="default"/>
        <w:lang w:val="fr-FR" w:eastAsia="en-US" w:bidi="ar-SA"/>
      </w:rPr>
    </w:lvl>
    <w:lvl w:ilvl="2">
      <w:start w:val="0"/>
      <w:numFmt w:val="bullet"/>
      <w:lvlText w:val="•"/>
      <w:lvlJc w:val="left"/>
      <w:pPr>
        <w:ind w:left="3001" w:hanging="281"/>
      </w:pPr>
      <w:rPr>
        <w:rFonts w:hint="default"/>
        <w:lang w:val="fr-FR" w:eastAsia="en-US" w:bidi="ar-SA"/>
      </w:rPr>
    </w:lvl>
    <w:lvl w:ilvl="3">
      <w:start w:val="0"/>
      <w:numFmt w:val="bullet"/>
      <w:lvlText w:val="•"/>
      <w:lvlJc w:val="left"/>
      <w:pPr>
        <w:ind w:left="3961" w:hanging="281"/>
      </w:pPr>
      <w:rPr>
        <w:rFonts w:hint="default"/>
        <w:lang w:val="fr-FR" w:eastAsia="en-US" w:bidi="ar-SA"/>
      </w:rPr>
    </w:lvl>
    <w:lvl w:ilvl="4">
      <w:start w:val="0"/>
      <w:numFmt w:val="bullet"/>
      <w:lvlText w:val="•"/>
      <w:lvlJc w:val="left"/>
      <w:pPr>
        <w:ind w:left="4922" w:hanging="281"/>
      </w:pPr>
      <w:rPr>
        <w:rFonts w:hint="default"/>
        <w:lang w:val="fr-FR" w:eastAsia="en-US" w:bidi="ar-SA"/>
      </w:rPr>
    </w:lvl>
    <w:lvl w:ilvl="5">
      <w:start w:val="0"/>
      <w:numFmt w:val="bullet"/>
      <w:lvlText w:val="•"/>
      <w:lvlJc w:val="left"/>
      <w:pPr>
        <w:ind w:left="5883" w:hanging="281"/>
      </w:pPr>
      <w:rPr>
        <w:rFonts w:hint="default"/>
        <w:lang w:val="fr-FR" w:eastAsia="en-US" w:bidi="ar-SA"/>
      </w:rPr>
    </w:lvl>
    <w:lvl w:ilvl="6">
      <w:start w:val="0"/>
      <w:numFmt w:val="bullet"/>
      <w:lvlText w:val="•"/>
      <w:lvlJc w:val="left"/>
      <w:pPr>
        <w:ind w:left="6843" w:hanging="281"/>
      </w:pPr>
      <w:rPr>
        <w:rFonts w:hint="default"/>
        <w:lang w:val="fr-FR" w:eastAsia="en-US" w:bidi="ar-SA"/>
      </w:rPr>
    </w:lvl>
    <w:lvl w:ilvl="7">
      <w:start w:val="0"/>
      <w:numFmt w:val="bullet"/>
      <w:lvlText w:val="•"/>
      <w:lvlJc w:val="left"/>
      <w:pPr>
        <w:ind w:left="7804" w:hanging="281"/>
      </w:pPr>
      <w:rPr>
        <w:rFonts w:hint="default"/>
        <w:lang w:val="fr-FR" w:eastAsia="en-US" w:bidi="ar-SA"/>
      </w:rPr>
    </w:lvl>
    <w:lvl w:ilvl="8">
      <w:start w:val="0"/>
      <w:numFmt w:val="bullet"/>
      <w:lvlText w:val="•"/>
      <w:lvlJc w:val="left"/>
      <w:pPr>
        <w:ind w:left="8765" w:hanging="281"/>
      </w:pPr>
      <w:rPr>
        <w:rFonts w:hint="default"/>
        <w:lang w:val="fr-FR" w:eastAsia="en-US" w:bidi="ar-SA"/>
      </w:rPr>
    </w:lvl>
  </w:abstractNum>
  <w:abstractNum w:abstractNumId="3">
    <w:multiLevelType w:val="hybridMultilevel"/>
    <w:lvl w:ilvl="0">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fr-FR" w:eastAsia="en-US" w:bidi="ar-SA"/>
      </w:rPr>
    </w:lvl>
    <w:lvl w:ilvl="1">
      <w:start w:val="0"/>
      <w:numFmt w:val="bullet"/>
      <w:lvlText w:val="•"/>
      <w:lvlJc w:val="left"/>
      <w:pPr>
        <w:ind w:left="2040" w:hanging="281"/>
      </w:pPr>
      <w:rPr>
        <w:rFonts w:hint="default"/>
        <w:lang w:val="fr-FR" w:eastAsia="en-US" w:bidi="ar-SA"/>
      </w:rPr>
    </w:lvl>
    <w:lvl w:ilvl="2">
      <w:start w:val="0"/>
      <w:numFmt w:val="bullet"/>
      <w:lvlText w:val="•"/>
      <w:lvlJc w:val="left"/>
      <w:pPr>
        <w:ind w:left="3001" w:hanging="281"/>
      </w:pPr>
      <w:rPr>
        <w:rFonts w:hint="default"/>
        <w:lang w:val="fr-FR" w:eastAsia="en-US" w:bidi="ar-SA"/>
      </w:rPr>
    </w:lvl>
    <w:lvl w:ilvl="3">
      <w:start w:val="0"/>
      <w:numFmt w:val="bullet"/>
      <w:lvlText w:val="•"/>
      <w:lvlJc w:val="left"/>
      <w:pPr>
        <w:ind w:left="3961" w:hanging="281"/>
      </w:pPr>
      <w:rPr>
        <w:rFonts w:hint="default"/>
        <w:lang w:val="fr-FR" w:eastAsia="en-US" w:bidi="ar-SA"/>
      </w:rPr>
    </w:lvl>
    <w:lvl w:ilvl="4">
      <w:start w:val="0"/>
      <w:numFmt w:val="bullet"/>
      <w:lvlText w:val="•"/>
      <w:lvlJc w:val="left"/>
      <w:pPr>
        <w:ind w:left="4922" w:hanging="281"/>
      </w:pPr>
      <w:rPr>
        <w:rFonts w:hint="default"/>
        <w:lang w:val="fr-FR" w:eastAsia="en-US" w:bidi="ar-SA"/>
      </w:rPr>
    </w:lvl>
    <w:lvl w:ilvl="5">
      <w:start w:val="0"/>
      <w:numFmt w:val="bullet"/>
      <w:lvlText w:val="•"/>
      <w:lvlJc w:val="left"/>
      <w:pPr>
        <w:ind w:left="5883" w:hanging="281"/>
      </w:pPr>
      <w:rPr>
        <w:rFonts w:hint="default"/>
        <w:lang w:val="fr-FR" w:eastAsia="en-US" w:bidi="ar-SA"/>
      </w:rPr>
    </w:lvl>
    <w:lvl w:ilvl="6">
      <w:start w:val="0"/>
      <w:numFmt w:val="bullet"/>
      <w:lvlText w:val="•"/>
      <w:lvlJc w:val="left"/>
      <w:pPr>
        <w:ind w:left="6843" w:hanging="281"/>
      </w:pPr>
      <w:rPr>
        <w:rFonts w:hint="default"/>
        <w:lang w:val="fr-FR" w:eastAsia="en-US" w:bidi="ar-SA"/>
      </w:rPr>
    </w:lvl>
    <w:lvl w:ilvl="7">
      <w:start w:val="0"/>
      <w:numFmt w:val="bullet"/>
      <w:lvlText w:val="•"/>
      <w:lvlJc w:val="left"/>
      <w:pPr>
        <w:ind w:left="7804" w:hanging="281"/>
      </w:pPr>
      <w:rPr>
        <w:rFonts w:hint="default"/>
        <w:lang w:val="fr-FR" w:eastAsia="en-US" w:bidi="ar-SA"/>
      </w:rPr>
    </w:lvl>
    <w:lvl w:ilvl="8">
      <w:start w:val="0"/>
      <w:numFmt w:val="bullet"/>
      <w:lvlText w:val="•"/>
      <w:lvlJc w:val="left"/>
      <w:pPr>
        <w:ind w:left="8765" w:hanging="281"/>
      </w:pPr>
      <w:rPr>
        <w:rFonts w:hint="default"/>
        <w:lang w:val="fr-FR" w:eastAsia="en-US" w:bidi="ar-SA"/>
      </w:rPr>
    </w:lvl>
  </w:abstractNum>
  <w:abstractNum w:abstractNumId="2">
    <w:multiLevelType w:val="hybridMultilevel"/>
    <w:lvl w:ilvl="0">
      <w:start w:val="1"/>
      <w:numFmt w:val="lowerLetter"/>
      <w:lvlText w:val="%1)"/>
      <w:lvlJc w:val="left"/>
      <w:pPr>
        <w:ind w:left="1039" w:hanging="240"/>
        <w:jc w:val="left"/>
      </w:pPr>
      <w:rPr>
        <w:rFonts w:hint="default" w:ascii="Times New Roman" w:hAnsi="Times New Roman" w:eastAsia="Times New Roman" w:cs="Times New Roman"/>
        <w:b/>
        <w:bCs/>
        <w:i w:val="0"/>
        <w:iCs w:val="0"/>
        <w:w w:val="100"/>
        <w:sz w:val="22"/>
        <w:szCs w:val="22"/>
        <w:lang w:val="fr-FR" w:eastAsia="en-US" w:bidi="ar-SA"/>
      </w:rPr>
    </w:lvl>
    <w:lvl w:ilvl="1">
      <w:start w:val="0"/>
      <w:numFmt w:val="bullet"/>
      <w:lvlText w:val="•"/>
      <w:lvlJc w:val="left"/>
      <w:pPr>
        <w:ind w:left="2004" w:hanging="240"/>
      </w:pPr>
      <w:rPr>
        <w:rFonts w:hint="default"/>
        <w:lang w:val="fr-FR" w:eastAsia="en-US" w:bidi="ar-SA"/>
      </w:rPr>
    </w:lvl>
    <w:lvl w:ilvl="2">
      <w:start w:val="0"/>
      <w:numFmt w:val="bullet"/>
      <w:lvlText w:val="•"/>
      <w:lvlJc w:val="left"/>
      <w:pPr>
        <w:ind w:left="2969" w:hanging="240"/>
      </w:pPr>
      <w:rPr>
        <w:rFonts w:hint="default"/>
        <w:lang w:val="fr-FR" w:eastAsia="en-US" w:bidi="ar-SA"/>
      </w:rPr>
    </w:lvl>
    <w:lvl w:ilvl="3">
      <w:start w:val="0"/>
      <w:numFmt w:val="bullet"/>
      <w:lvlText w:val="•"/>
      <w:lvlJc w:val="left"/>
      <w:pPr>
        <w:ind w:left="3933" w:hanging="240"/>
      </w:pPr>
      <w:rPr>
        <w:rFonts w:hint="default"/>
        <w:lang w:val="fr-FR" w:eastAsia="en-US" w:bidi="ar-SA"/>
      </w:rPr>
    </w:lvl>
    <w:lvl w:ilvl="4">
      <w:start w:val="0"/>
      <w:numFmt w:val="bullet"/>
      <w:lvlText w:val="•"/>
      <w:lvlJc w:val="left"/>
      <w:pPr>
        <w:ind w:left="4898" w:hanging="240"/>
      </w:pPr>
      <w:rPr>
        <w:rFonts w:hint="default"/>
        <w:lang w:val="fr-FR" w:eastAsia="en-US" w:bidi="ar-SA"/>
      </w:rPr>
    </w:lvl>
    <w:lvl w:ilvl="5">
      <w:start w:val="0"/>
      <w:numFmt w:val="bullet"/>
      <w:lvlText w:val="•"/>
      <w:lvlJc w:val="left"/>
      <w:pPr>
        <w:ind w:left="5863" w:hanging="240"/>
      </w:pPr>
      <w:rPr>
        <w:rFonts w:hint="default"/>
        <w:lang w:val="fr-FR" w:eastAsia="en-US" w:bidi="ar-SA"/>
      </w:rPr>
    </w:lvl>
    <w:lvl w:ilvl="6">
      <w:start w:val="0"/>
      <w:numFmt w:val="bullet"/>
      <w:lvlText w:val="•"/>
      <w:lvlJc w:val="left"/>
      <w:pPr>
        <w:ind w:left="6827" w:hanging="240"/>
      </w:pPr>
      <w:rPr>
        <w:rFonts w:hint="default"/>
        <w:lang w:val="fr-FR" w:eastAsia="en-US" w:bidi="ar-SA"/>
      </w:rPr>
    </w:lvl>
    <w:lvl w:ilvl="7">
      <w:start w:val="0"/>
      <w:numFmt w:val="bullet"/>
      <w:lvlText w:val="•"/>
      <w:lvlJc w:val="left"/>
      <w:pPr>
        <w:ind w:left="7792" w:hanging="240"/>
      </w:pPr>
      <w:rPr>
        <w:rFonts w:hint="default"/>
        <w:lang w:val="fr-FR" w:eastAsia="en-US" w:bidi="ar-SA"/>
      </w:rPr>
    </w:lvl>
    <w:lvl w:ilvl="8">
      <w:start w:val="0"/>
      <w:numFmt w:val="bullet"/>
      <w:lvlText w:val="•"/>
      <w:lvlJc w:val="left"/>
      <w:pPr>
        <w:ind w:left="8757" w:hanging="240"/>
      </w:pPr>
      <w:rPr>
        <w:rFonts w:hint="default"/>
        <w:lang w:val="fr-FR" w:eastAsia="en-US" w:bidi="ar-SA"/>
      </w:rPr>
    </w:lvl>
  </w:abstractNum>
  <w:abstractNum w:abstractNumId="0">
    <w:multiLevelType w:val="hybridMultilevel"/>
    <w:lvl w:ilvl="0">
      <w:start w:val="0"/>
      <w:numFmt w:val="bullet"/>
      <w:lvlText w:val=""/>
      <w:lvlJc w:val="left"/>
      <w:pPr>
        <w:ind w:left="321" w:hanging="217"/>
      </w:pPr>
      <w:rPr>
        <w:rFonts w:hint="default" w:ascii="Wingdings 2" w:hAnsi="Wingdings 2" w:eastAsia="Wingdings 2" w:cs="Wingdings 2"/>
        <w:b/>
        <w:bCs/>
        <w:i w:val="0"/>
        <w:iCs w:val="0"/>
        <w:spacing w:val="2"/>
        <w:w w:val="99"/>
        <w:sz w:val="22"/>
        <w:szCs w:val="22"/>
        <w:lang w:val="fr-FR" w:eastAsia="en-US" w:bidi="ar-SA"/>
      </w:rPr>
    </w:lvl>
    <w:lvl w:ilvl="1">
      <w:start w:val="0"/>
      <w:numFmt w:val="bullet"/>
      <w:lvlText w:val=""/>
      <w:lvlJc w:val="left"/>
      <w:pPr>
        <w:ind w:left="1089" w:hanging="276"/>
      </w:pPr>
      <w:rPr>
        <w:rFonts w:hint="default" w:ascii="Wingdings 2" w:hAnsi="Wingdings 2" w:eastAsia="Wingdings 2" w:cs="Wingdings 2"/>
        <w:b/>
        <w:bCs/>
        <w:i w:val="0"/>
        <w:iCs w:val="0"/>
        <w:w w:val="99"/>
        <w:sz w:val="24"/>
        <w:szCs w:val="24"/>
        <w:lang w:val="fr-FR" w:eastAsia="en-US" w:bidi="ar-SA"/>
      </w:rPr>
    </w:lvl>
    <w:lvl w:ilvl="2">
      <w:start w:val="0"/>
      <w:numFmt w:val="bullet"/>
      <w:lvlText w:val="•"/>
      <w:lvlJc w:val="left"/>
      <w:pPr>
        <w:ind w:left="2065" w:hanging="276"/>
      </w:pPr>
      <w:rPr>
        <w:rFonts w:hint="default"/>
        <w:lang w:val="fr-FR" w:eastAsia="en-US" w:bidi="ar-SA"/>
      </w:rPr>
    </w:lvl>
    <w:lvl w:ilvl="3">
      <w:start w:val="0"/>
      <w:numFmt w:val="bullet"/>
      <w:lvlText w:val="•"/>
      <w:lvlJc w:val="left"/>
      <w:pPr>
        <w:ind w:left="3050" w:hanging="276"/>
      </w:pPr>
      <w:rPr>
        <w:rFonts w:hint="default"/>
        <w:lang w:val="fr-FR" w:eastAsia="en-US" w:bidi="ar-SA"/>
      </w:rPr>
    </w:lvl>
    <w:lvl w:ilvl="4">
      <w:start w:val="0"/>
      <w:numFmt w:val="bullet"/>
      <w:lvlText w:val="•"/>
      <w:lvlJc w:val="left"/>
      <w:pPr>
        <w:ind w:left="4035" w:hanging="276"/>
      </w:pPr>
      <w:rPr>
        <w:rFonts w:hint="default"/>
        <w:lang w:val="fr-FR" w:eastAsia="en-US" w:bidi="ar-SA"/>
      </w:rPr>
    </w:lvl>
    <w:lvl w:ilvl="5">
      <w:start w:val="0"/>
      <w:numFmt w:val="bullet"/>
      <w:lvlText w:val="•"/>
      <w:lvlJc w:val="left"/>
      <w:pPr>
        <w:ind w:left="5020" w:hanging="276"/>
      </w:pPr>
      <w:rPr>
        <w:rFonts w:hint="default"/>
        <w:lang w:val="fr-FR" w:eastAsia="en-US" w:bidi="ar-SA"/>
      </w:rPr>
    </w:lvl>
    <w:lvl w:ilvl="6">
      <w:start w:val="0"/>
      <w:numFmt w:val="bullet"/>
      <w:lvlText w:val="•"/>
      <w:lvlJc w:val="left"/>
      <w:pPr>
        <w:ind w:left="6005" w:hanging="276"/>
      </w:pPr>
      <w:rPr>
        <w:rFonts w:hint="default"/>
        <w:lang w:val="fr-FR" w:eastAsia="en-US" w:bidi="ar-SA"/>
      </w:rPr>
    </w:lvl>
    <w:lvl w:ilvl="7">
      <w:start w:val="0"/>
      <w:numFmt w:val="bullet"/>
      <w:lvlText w:val="•"/>
      <w:lvlJc w:val="left"/>
      <w:pPr>
        <w:ind w:left="6990" w:hanging="276"/>
      </w:pPr>
      <w:rPr>
        <w:rFonts w:hint="default"/>
        <w:lang w:val="fr-FR" w:eastAsia="en-US" w:bidi="ar-SA"/>
      </w:rPr>
    </w:lvl>
    <w:lvl w:ilvl="8">
      <w:start w:val="0"/>
      <w:numFmt w:val="bullet"/>
      <w:lvlText w:val="•"/>
      <w:lvlJc w:val="left"/>
      <w:pPr>
        <w:ind w:left="7975" w:hanging="276"/>
      </w:pPr>
      <w:rPr>
        <w:rFonts w:hint="default"/>
        <w:lang w:val="fr-FR" w:eastAsia="en-US" w:bidi="ar-SA"/>
      </w:rPr>
    </w:lvl>
  </w:abstractNum>
  <w:abstractNum w:abstractNumId="1">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fr-FR" w:eastAsia="en-US" w:bidi="ar-SA"/>
      </w:rPr>
    </w:lvl>
    <w:lvl w:ilvl="1">
      <w:start w:val="0"/>
      <w:numFmt w:val="bullet"/>
      <w:lvlText w:val="-"/>
      <w:lvlJc w:val="left"/>
      <w:pPr>
        <w:ind w:left="1092" w:hanging="361"/>
      </w:pPr>
      <w:rPr>
        <w:rFonts w:hint="default" w:ascii="Times New Roman" w:hAnsi="Times New Roman" w:eastAsia="Times New Roman" w:cs="Times New Roman"/>
        <w:b w:val="0"/>
        <w:bCs w:val="0"/>
        <w:i w:val="0"/>
        <w:iCs w:val="0"/>
        <w:w w:val="100"/>
        <w:sz w:val="22"/>
        <w:szCs w:val="22"/>
        <w:lang w:val="fr-FR" w:eastAsia="en-US" w:bidi="ar-SA"/>
      </w:rPr>
    </w:lvl>
    <w:lvl w:ilvl="2">
      <w:start w:val="0"/>
      <w:numFmt w:val="bullet"/>
      <w:lvlText w:val="•"/>
      <w:lvlJc w:val="left"/>
      <w:pPr>
        <w:ind w:left="2165" w:hanging="361"/>
      </w:pPr>
      <w:rPr>
        <w:rFonts w:hint="default"/>
        <w:lang w:val="fr-FR" w:eastAsia="en-US" w:bidi="ar-SA"/>
      </w:rPr>
    </w:lvl>
    <w:lvl w:ilvl="3">
      <w:start w:val="0"/>
      <w:numFmt w:val="bullet"/>
      <w:lvlText w:val="•"/>
      <w:lvlJc w:val="left"/>
      <w:pPr>
        <w:ind w:left="3230" w:hanging="361"/>
      </w:pPr>
      <w:rPr>
        <w:rFonts w:hint="default"/>
        <w:lang w:val="fr-FR" w:eastAsia="en-US" w:bidi="ar-SA"/>
      </w:rPr>
    </w:lvl>
    <w:lvl w:ilvl="4">
      <w:start w:val="0"/>
      <w:numFmt w:val="bullet"/>
      <w:lvlText w:val="•"/>
      <w:lvlJc w:val="left"/>
      <w:pPr>
        <w:ind w:left="4295" w:hanging="361"/>
      </w:pPr>
      <w:rPr>
        <w:rFonts w:hint="default"/>
        <w:lang w:val="fr-FR" w:eastAsia="en-US" w:bidi="ar-SA"/>
      </w:rPr>
    </w:lvl>
    <w:lvl w:ilvl="5">
      <w:start w:val="0"/>
      <w:numFmt w:val="bullet"/>
      <w:lvlText w:val="•"/>
      <w:lvlJc w:val="left"/>
      <w:pPr>
        <w:ind w:left="5360" w:hanging="361"/>
      </w:pPr>
      <w:rPr>
        <w:rFonts w:hint="default"/>
        <w:lang w:val="fr-FR" w:eastAsia="en-US" w:bidi="ar-SA"/>
      </w:rPr>
    </w:lvl>
    <w:lvl w:ilvl="6">
      <w:start w:val="0"/>
      <w:numFmt w:val="bullet"/>
      <w:lvlText w:val="•"/>
      <w:lvlJc w:val="left"/>
      <w:pPr>
        <w:ind w:left="6425" w:hanging="361"/>
      </w:pPr>
      <w:rPr>
        <w:rFonts w:hint="default"/>
        <w:lang w:val="fr-FR" w:eastAsia="en-US" w:bidi="ar-SA"/>
      </w:rPr>
    </w:lvl>
    <w:lvl w:ilvl="7">
      <w:start w:val="0"/>
      <w:numFmt w:val="bullet"/>
      <w:lvlText w:val="•"/>
      <w:lvlJc w:val="left"/>
      <w:pPr>
        <w:ind w:left="7490" w:hanging="361"/>
      </w:pPr>
      <w:rPr>
        <w:rFonts w:hint="default"/>
        <w:lang w:val="fr-FR" w:eastAsia="en-US" w:bidi="ar-SA"/>
      </w:rPr>
    </w:lvl>
    <w:lvl w:ilvl="8">
      <w:start w:val="0"/>
      <w:numFmt w:val="bullet"/>
      <w:lvlText w:val="•"/>
      <w:lvlJc w:val="left"/>
      <w:pPr>
        <w:ind w:left="8556" w:hanging="361"/>
      </w:pPr>
      <w:rPr>
        <w:rFonts w:hint="default"/>
        <w:lang w:val="fr-FR" w:eastAsia="en-US" w:bidi="ar-SA"/>
      </w:rPr>
    </w:lvl>
  </w:abstract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ind w:left="1080" w:hanging="282"/>
      <w:outlineLvl w:val="1"/>
    </w:pPr>
    <w:rPr>
      <w:rFonts w:ascii="Times New Roman" w:hAnsi="Times New Roman" w:eastAsia="Times New Roman" w:cs="Times New Roman"/>
      <w:b/>
      <w:bCs/>
      <w:sz w:val="22"/>
      <w:szCs w:val="22"/>
      <w:lang w:val="fr-FR" w:eastAsia="en-US" w:bidi="ar-SA"/>
    </w:rPr>
  </w:style>
  <w:style w:styleId="ListParagraph" w:type="paragraph">
    <w:name w:val="List Paragraph"/>
    <w:basedOn w:val="Normal"/>
    <w:uiPriority w:val="1"/>
    <w:qFormat/>
    <w:pPr>
      <w:ind w:left="1092" w:hanging="361"/>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Mariusz-Stefan.MIGAS@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http://europass.cedefop.europa.eu/en/documents/curriculum-vitae)"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2023-03-15T16:15:18Z</dcterms:created>
  <dcterms:modified xsi:type="dcterms:W3CDTF">2023-03-15T16:15:18Z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