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8006"/>
        <w:rPr>
          <w:sz w:val="20"/>
        </w:rPr>
      </w:pPr>
      <w:r>
        <w:rPr>
          <w:sz w:val="20"/>
        </w:rPr>
        <w:pict>
          <v:group style="width:141pt;height:12pt;mso-position-horizontal-relative:char;mso-position-vertical-relative:line" id="docshapegroup2" coordorigin="0,0" coordsize="2820,240">
            <v:shape style="position:absolute;left:0;top:0;width:2820;height:240" type="#_x0000_t75" id="docshape3" stroked="false">
              <v:imagedata r:id="rId6" o:title=""/>
            </v:shape>
            <v:shape style="position:absolute;left:0;top:0;width:360;height:240" type="#_x0000_t75" id="docshape4" stroked="false">
              <v:imagedata r:id="rId7" o:title=""/>
            </v:shape>
            <v:shape style="position:absolute;left:0;top:0;width:2820;height:240" type="#_x0000_t202" id="docshape5" filled="false" stroked="false">
              <v:textbox inset="0,0,0,0">
                <w:txbxContent>
                  <w:p>
                    <w:pPr>
                      <w:spacing w:before="50"/>
                      <w:ind w:left="427" w:right="0" w:firstLine="0"/>
                      <w:jc w:val="left"/>
                      <w:rPr>
                        <w:rFonts w:ascii="Arial"/>
                        <w:sz w:val="13"/>
                      </w:rPr>
                    </w:pPr>
                    <w:r>
                      <w:rPr>
                        <w:rFonts w:ascii="Arial"/>
                        <w:w w:val="105"/>
                        <w:sz w:val="13"/>
                      </w:rPr>
                      <w:t>Ref.</w:t>
                    </w:r>
                    <w:r>
                      <w:rPr>
                        <w:rFonts w:ascii="Arial"/>
                        <w:spacing w:val="-7"/>
                        <w:w w:val="105"/>
                        <w:sz w:val="13"/>
                      </w:rPr>
                      <w:t> </w:t>
                    </w:r>
                    <w:r>
                      <w:rPr>
                        <w:rFonts w:ascii="Arial"/>
                        <w:w w:val="105"/>
                        <w:sz w:val="13"/>
                      </w:rPr>
                      <w:t>Ares(2023)1451778</w:t>
                    </w:r>
                    <w:r>
                      <w:rPr>
                        <w:rFonts w:ascii="Arial"/>
                        <w:spacing w:val="-7"/>
                        <w:w w:val="105"/>
                        <w:sz w:val="13"/>
                      </w:rPr>
                      <w:t> </w:t>
                    </w:r>
                    <w:r>
                      <w:rPr>
                        <w:rFonts w:ascii="Arial"/>
                        <w:w w:val="105"/>
                        <w:sz w:val="13"/>
                      </w:rPr>
                      <w:t>-</w:t>
                    </w:r>
                    <w:r>
                      <w:rPr>
                        <w:rFonts w:ascii="Arial"/>
                        <w:spacing w:val="-7"/>
                        <w:w w:val="105"/>
                        <w:sz w:val="13"/>
                      </w:rPr>
                      <w:t> </w:t>
                    </w:r>
                    <w:r>
                      <w:rPr>
                        <w:rFonts w:ascii="Arial"/>
                        <w:spacing w:val="-2"/>
                        <w:w w:val="105"/>
                        <w:sz w:val="13"/>
                      </w:rPr>
                      <w:t>28/02/2023</w:t>
                    </w:r>
                  </w:p>
                </w:txbxContent>
              </v:textbox>
              <w10:wrap type="none"/>
            </v:shape>
          </v:group>
        </w:pict>
      </w:r>
      <w:r>
        <w:rPr>
          <w:sz w:val="20"/>
        </w:rPr>
      </w:r>
    </w:p>
    <w:p>
      <w:pPr>
        <w:pStyle w:val="BodyText"/>
        <w:rPr>
          <w:sz w:val="20"/>
        </w:rPr>
      </w:pPr>
    </w:p>
    <w:p>
      <w:pPr>
        <w:pStyle w:val="BodyText"/>
        <w:rPr>
          <w:sz w:val="20"/>
        </w:rPr>
      </w:pPr>
    </w:p>
    <w:p>
      <w:pPr>
        <w:pStyle w:val="BodyText"/>
        <w:spacing w:before="5"/>
        <w:rPr>
          <w:sz w:val="26"/>
        </w:rPr>
      </w:pPr>
    </w:p>
    <w:p>
      <w:pPr>
        <w:spacing w:before="90"/>
        <w:ind w:left="5096" w:right="0" w:firstLine="0"/>
        <w:jc w:val="left"/>
        <w:rPr>
          <w:b/>
          <w:sz w:val="24"/>
        </w:rPr>
      </w:pPr>
      <w:r>
        <w:rPr/>
        <w:drawing>
          <wp:anchor distT="0" distB="0" distL="0" distR="0" allowOverlap="1" layoutInCell="1" locked="0" behindDoc="0" simplePos="0" relativeHeight="15729664">
            <wp:simplePos x="0" y="0"/>
            <wp:positionH relativeFrom="page">
              <wp:posOffset>521334</wp:posOffset>
            </wp:positionH>
            <wp:positionV relativeFrom="paragraph">
              <wp:posOffset>-515834</wp:posOffset>
            </wp:positionV>
            <wp:extent cx="1371600" cy="676275"/>
            <wp:effectExtent l="0" t="0" r="0" b="0"/>
            <wp:wrapNone/>
            <wp:docPr id="1" name="image3.png"/>
            <wp:cNvGraphicFramePr>
              <a:graphicFrameLocks noChangeAspect="1"/>
            </wp:cNvGraphicFramePr>
            <a:graphic>
              <a:graphicData uri="http://schemas.openxmlformats.org/drawingml/2006/picture">
                <pic:pic>
                  <pic:nvPicPr>
                    <pic:cNvPr id="2" name="image3.png"/>
                    <pic:cNvPicPr/>
                  </pic:nvPicPr>
                  <pic:blipFill>
                    <a:blip r:embed="rId8"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62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7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8"/>
      </w:tblGrid>
      <w:tr>
        <w:trPr>
          <w:trHeight w:val="635" w:hRule="atLeast"/>
        </w:trPr>
        <w:tc>
          <w:tcPr>
            <w:tcW w:w="4359" w:type="dxa"/>
          </w:tcPr>
          <w:p>
            <w:pPr>
              <w:pStyle w:val="TableParagraph"/>
              <w:spacing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before="36"/>
              <w:rPr>
                <w:sz w:val="24"/>
              </w:rPr>
            </w:pPr>
            <w:r>
              <w:rPr>
                <w:spacing w:val="-2"/>
                <w:sz w:val="24"/>
              </w:rPr>
              <w:t>(DG-DIR-UNITE)</w:t>
            </w:r>
          </w:p>
        </w:tc>
        <w:tc>
          <w:tcPr>
            <w:tcW w:w="5598" w:type="dxa"/>
          </w:tcPr>
          <w:p>
            <w:pPr>
              <w:pStyle w:val="TableParagraph"/>
              <w:spacing w:before="61"/>
              <w:rPr>
                <w:b/>
                <w:sz w:val="24"/>
              </w:rPr>
            </w:pPr>
            <w:r>
              <w:rPr>
                <w:b/>
                <w:spacing w:val="-2"/>
                <w:sz w:val="24"/>
              </w:rPr>
              <w:t>INTPA-</w:t>
            </w:r>
            <w:r>
              <w:rPr>
                <w:b/>
                <w:spacing w:val="-5"/>
                <w:sz w:val="24"/>
              </w:rPr>
              <w:t>G4</w:t>
            </w:r>
          </w:p>
        </w:tc>
      </w:tr>
      <w:tr>
        <w:trPr>
          <w:trHeight w:val="203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line="278" w:lineRule="auto" w:before="37"/>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line="276" w:lineRule="auto"/>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8" w:type="dxa"/>
          </w:tcPr>
          <w:p>
            <w:pPr>
              <w:pStyle w:val="TableParagraph"/>
              <w:spacing w:line="276" w:lineRule="auto"/>
              <w:ind w:right="1345"/>
              <w:rPr>
                <w:b/>
                <w:sz w:val="22"/>
              </w:rPr>
            </w:pPr>
            <w:r>
              <w:rPr>
                <w:b/>
                <w:sz w:val="22"/>
              </w:rPr>
              <w:t>Gabriella Fesus </w:t>
            </w:r>
            <w:hyperlink r:id="rId9">
              <w:r>
                <w:rPr>
                  <w:b/>
                  <w:color w:val="0562C1"/>
                  <w:spacing w:val="-2"/>
                  <w:sz w:val="22"/>
                  <w:u w:val="single" w:color="0562C1"/>
                </w:rPr>
                <w:t>gabriella.fesus@ec.europa.eu</w:t>
              </w:r>
            </w:hyperlink>
          </w:p>
          <w:p>
            <w:pPr>
              <w:pStyle w:val="TableParagraph"/>
              <w:rPr>
                <w:b/>
                <w:sz w:val="22"/>
              </w:rPr>
            </w:pPr>
            <w:r>
              <w:rPr>
                <w:b/>
                <w:sz w:val="22"/>
              </w:rPr>
              <w:t>+32</w:t>
            </w:r>
            <w:r>
              <w:rPr>
                <w:b/>
                <w:spacing w:val="-2"/>
                <w:sz w:val="22"/>
              </w:rPr>
              <w:t> </w:t>
            </w:r>
            <w:r>
              <w:rPr>
                <w:b/>
                <w:sz w:val="22"/>
              </w:rPr>
              <w:t>229-</w:t>
            </w:r>
            <w:r>
              <w:rPr>
                <w:b/>
                <w:spacing w:val="-2"/>
                <w:sz w:val="22"/>
              </w:rPr>
              <w:t>80566</w:t>
            </w:r>
          </w:p>
          <w:p>
            <w:pPr>
              <w:pStyle w:val="TableParagraph"/>
              <w:spacing w:before="37"/>
              <w:rPr>
                <w:b/>
                <w:sz w:val="22"/>
              </w:rPr>
            </w:pPr>
            <w:r>
              <w:rPr>
                <w:b/>
                <w:w w:val="100"/>
                <w:sz w:val="22"/>
              </w:rPr>
              <w:t>1</w:t>
            </w:r>
          </w:p>
          <w:p>
            <w:pPr>
              <w:pStyle w:val="TableParagraph"/>
              <w:spacing w:before="37"/>
              <w:rPr>
                <w:b/>
                <w:sz w:val="22"/>
              </w:rPr>
            </w:pPr>
            <w:r>
              <w:rPr>
                <w:b/>
                <w:sz w:val="22"/>
              </w:rPr>
              <w:t>2ème</w:t>
            </w:r>
            <w:r>
              <w:rPr>
                <w:b/>
                <w:spacing w:val="-5"/>
                <w:sz w:val="22"/>
              </w:rPr>
              <w:t> </w:t>
            </w:r>
            <w:r>
              <w:rPr>
                <w:b/>
                <w:sz w:val="22"/>
              </w:rPr>
              <w:t>quadrimestre</w:t>
            </w:r>
            <w:r>
              <w:rPr>
                <w:b/>
                <w:spacing w:val="-3"/>
                <w:sz w:val="22"/>
              </w:rPr>
              <w:t> </w:t>
            </w:r>
            <w:r>
              <w:rPr>
                <w:b/>
                <w:spacing w:val="-2"/>
                <w:sz w:val="22"/>
              </w:rPr>
              <w:t>2023</w:t>
            </w:r>
            <w:r>
              <w:rPr>
                <w:b/>
                <w:spacing w:val="-2"/>
                <w:sz w:val="22"/>
                <w:vertAlign w:val="superscript"/>
              </w:rPr>
              <w:t>1</w:t>
            </w:r>
          </w:p>
          <w:p>
            <w:pPr>
              <w:pStyle w:val="TableParagraph"/>
              <w:spacing w:before="38"/>
              <w:rPr>
                <w:b/>
                <w:sz w:val="22"/>
              </w:rPr>
            </w:pPr>
            <w:r>
              <w:rPr>
                <w:b/>
                <w:sz w:val="22"/>
              </w:rPr>
              <w:t>1-2 </w:t>
            </w:r>
            <w:r>
              <w:rPr>
                <w:b/>
                <w:spacing w:val="-5"/>
                <w:sz w:val="22"/>
              </w:rPr>
              <w:t>ans</w:t>
            </w:r>
          </w:p>
          <w:p>
            <w:pPr>
              <w:pStyle w:val="TableParagraph"/>
              <w:spacing w:before="40"/>
              <w:rPr>
                <w:b/>
                <w:sz w:val="22"/>
              </w:rPr>
            </w:pPr>
            <w:r>
              <w:rPr>
                <w:rFonts w:ascii="Wingdings 2" w:hAnsi="Wingdings 2"/>
                <w:b/>
                <w:sz w:val="22"/>
              </w:rPr>
              <w:t></w:t>
            </w:r>
            <w:r>
              <w:rPr>
                <w:spacing w:val="-5"/>
                <w:sz w:val="22"/>
              </w:rPr>
              <w:t> </w:t>
            </w:r>
            <w:r>
              <w:rPr>
                <w:b/>
                <w:sz w:val="22"/>
              </w:rPr>
              <w:t>Bruxelles</w:t>
            </w:r>
            <w:r>
              <w:rPr>
                <w:b/>
                <w:spacing w:val="50"/>
                <w:sz w:val="22"/>
              </w:rPr>
              <w:t> </w:t>
            </w:r>
            <w:r>
              <w:rPr>
                <w:rFonts w:ascii="Wingdings 2" w:hAnsi="Wingdings 2"/>
                <w:b/>
                <w:sz w:val="22"/>
              </w:rPr>
              <w:t></w:t>
            </w:r>
            <w:r>
              <w:rPr>
                <w:spacing w:val="-1"/>
                <w:sz w:val="22"/>
              </w:rPr>
              <w:t> </w:t>
            </w:r>
            <w:r>
              <w:rPr>
                <w:b/>
                <w:sz w:val="22"/>
              </w:rPr>
              <w:t>Luxembourg</w:t>
            </w:r>
            <w:r>
              <w:rPr>
                <w:b/>
                <w:spacing w:val="49"/>
                <w:sz w:val="22"/>
              </w:rPr>
              <w:t> </w:t>
            </w:r>
            <w:r>
              <w:rPr>
                <w:rFonts w:ascii="Wingdings 2" w:hAnsi="Wingdings 2"/>
                <w:b/>
                <w:sz w:val="22"/>
              </w:rPr>
              <w:t></w:t>
            </w:r>
            <w:r>
              <w:rPr>
                <w:sz w:val="22"/>
              </w:rPr>
              <w:t> </w:t>
            </w:r>
            <w:r>
              <w:rPr>
                <w:b/>
                <w:sz w:val="22"/>
              </w:rPr>
              <w:t>Autre: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8" w:type="dxa"/>
          </w:tcPr>
          <w:p>
            <w:pPr>
              <w:pStyle w:val="TableParagraph"/>
              <w:numPr>
                <w:ilvl w:val="0"/>
                <w:numId w:val="1"/>
              </w:numPr>
              <w:tabs>
                <w:tab w:pos="469" w:val="left" w:leader="none"/>
                <w:tab w:pos="2893" w:val="left" w:leader="none"/>
                <w:tab w:pos="3313" w:val="left" w:leader="none"/>
              </w:tabs>
              <w:spacing w:line="240" w:lineRule="auto" w:before="27" w:after="0"/>
              <w:ind w:left="468" w:right="0" w:hanging="308"/>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b/>
                <w:spacing w:val="-10"/>
                <w:sz w:val="22"/>
              </w:rPr>
              <w:t></w:t>
            </w:r>
            <w:r>
              <w:rPr>
                <w:sz w:val="22"/>
              </w:rPr>
              <w:tab/>
            </w:r>
            <w:r>
              <w:rPr>
                <w:b/>
                <w:sz w:val="22"/>
              </w:rPr>
              <w:t>Sans</w:t>
            </w:r>
            <w:r>
              <w:rPr>
                <w:b/>
                <w:spacing w:val="-6"/>
                <w:sz w:val="22"/>
              </w:rPr>
              <w:t> </w:t>
            </w:r>
            <w:r>
              <w:rPr>
                <w:b/>
                <w:spacing w:val="-4"/>
                <w:sz w:val="22"/>
              </w:rPr>
              <w:t>frais</w:t>
            </w:r>
          </w:p>
        </w:tc>
      </w:tr>
      <w:tr>
        <w:trPr>
          <w:trHeight w:val="2112" w:hRule="atLeast"/>
        </w:trPr>
        <w:tc>
          <w:tcPr>
            <w:tcW w:w="9957" w:type="dxa"/>
            <w:gridSpan w:val="2"/>
          </w:tcPr>
          <w:p>
            <w:pPr>
              <w:pStyle w:val="TableParagraph"/>
              <w:spacing w:before="183"/>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numPr>
                <w:ilvl w:val="0"/>
                <w:numId w:val="2"/>
              </w:numPr>
              <w:tabs>
                <w:tab w:pos="523" w:val="left" w:leader="none"/>
                <w:tab w:pos="524" w:val="left" w:leader="none"/>
              </w:tabs>
              <w:spacing w:line="240" w:lineRule="auto" w:before="37"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40" w:lineRule="auto" w:before="38"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40" w:lineRule="auto" w:before="37"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40" w:lineRule="auto" w:before="38"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40" w:lineRule="auto" w:before="39"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3"/>
        </w:numPr>
        <w:tabs>
          <w:tab w:pos="1401" w:val="left" w:leader="none"/>
          <w:tab w:pos="1403" w:val="left" w:leader="none"/>
        </w:tabs>
        <w:spacing w:line="240" w:lineRule="auto" w:before="0" w:after="0"/>
        <w:ind w:left="1402" w:right="0" w:hanging="431"/>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9"/>
        <w:rPr>
          <w:b/>
          <w:sz w:val="15"/>
        </w:rPr>
      </w:pPr>
    </w:p>
    <w:p>
      <w:pPr>
        <w:spacing w:before="90"/>
        <w:ind w:left="972" w:right="130" w:firstLine="0"/>
        <w:jc w:val="left"/>
        <w:rPr>
          <w:sz w:val="24"/>
        </w:rPr>
      </w:pPr>
      <w:r>
        <w:rPr>
          <w:sz w:val="24"/>
        </w:rPr>
        <w:t>Contribuer à la définition, à la promotion et à la mise en œuvre des politiques et des interventions de l'UE visant à réduire les inégalités dans les pays partenaires, ce qui constitue un dossier important et un domaine en pleine expansion au sein de la DG INTPA. Contribuer à l'élaboration d'orientations thématiques et au soutien (notamment lorsque de nouvelles initiatives sont envisagées) des directions géographiques et à la diffusion des connaissances. Contribuer aux analyses politiques prospectives, aux briefings, aux notes d'orientation, au matériel de formation sur les inégalités. Assurer la représentation</w:t>
      </w:r>
      <w:r>
        <w:rPr>
          <w:spacing w:val="-3"/>
          <w:sz w:val="24"/>
        </w:rPr>
        <w:t> </w:t>
      </w:r>
      <w:r>
        <w:rPr>
          <w:sz w:val="24"/>
        </w:rPr>
        <w:t>de</w:t>
      </w:r>
      <w:r>
        <w:rPr>
          <w:spacing w:val="-3"/>
          <w:sz w:val="24"/>
        </w:rPr>
        <w:t> </w:t>
      </w:r>
      <w:r>
        <w:rPr>
          <w:sz w:val="24"/>
        </w:rPr>
        <w:t>la</w:t>
      </w:r>
      <w:r>
        <w:rPr>
          <w:spacing w:val="-4"/>
          <w:sz w:val="24"/>
        </w:rPr>
        <w:t> </w:t>
      </w:r>
      <w:r>
        <w:rPr>
          <w:sz w:val="24"/>
        </w:rPr>
        <w:t>Commission</w:t>
      </w:r>
      <w:r>
        <w:rPr>
          <w:spacing w:val="-3"/>
          <w:sz w:val="24"/>
        </w:rPr>
        <w:t> </w:t>
      </w:r>
      <w:r>
        <w:rPr>
          <w:sz w:val="24"/>
        </w:rPr>
        <w:t>dans</w:t>
      </w:r>
      <w:r>
        <w:rPr>
          <w:spacing w:val="-3"/>
          <w:sz w:val="24"/>
        </w:rPr>
        <w:t> </w:t>
      </w:r>
      <w:r>
        <w:rPr>
          <w:sz w:val="24"/>
        </w:rPr>
        <w:t>le</w:t>
      </w:r>
      <w:r>
        <w:rPr>
          <w:spacing w:val="-4"/>
          <w:sz w:val="24"/>
        </w:rPr>
        <w:t> </w:t>
      </w:r>
      <w:r>
        <w:rPr>
          <w:sz w:val="24"/>
        </w:rPr>
        <w:t>débat</w:t>
      </w:r>
      <w:r>
        <w:rPr>
          <w:spacing w:val="-3"/>
          <w:sz w:val="24"/>
        </w:rPr>
        <w:t> </w:t>
      </w:r>
      <w:r>
        <w:rPr>
          <w:sz w:val="24"/>
        </w:rPr>
        <w:t>politique</w:t>
      </w:r>
      <w:r>
        <w:rPr>
          <w:spacing w:val="-4"/>
          <w:sz w:val="24"/>
        </w:rPr>
        <w:t> </w:t>
      </w:r>
      <w:r>
        <w:rPr>
          <w:sz w:val="24"/>
        </w:rPr>
        <w:t>plus</w:t>
      </w:r>
      <w:r>
        <w:rPr>
          <w:spacing w:val="-3"/>
          <w:sz w:val="24"/>
        </w:rPr>
        <w:t> </w:t>
      </w:r>
      <w:r>
        <w:rPr>
          <w:sz w:val="24"/>
        </w:rPr>
        <w:t>large,</w:t>
      </w:r>
      <w:r>
        <w:rPr>
          <w:spacing w:val="-3"/>
          <w:sz w:val="24"/>
        </w:rPr>
        <w:t> </w:t>
      </w:r>
      <w:r>
        <w:rPr>
          <w:sz w:val="24"/>
        </w:rPr>
        <w:t>notamment</w:t>
      </w:r>
      <w:r>
        <w:rPr>
          <w:spacing w:val="-3"/>
          <w:sz w:val="24"/>
        </w:rPr>
        <w:t> </w:t>
      </w:r>
      <w:r>
        <w:rPr>
          <w:sz w:val="24"/>
        </w:rPr>
        <w:t>avec</w:t>
      </w:r>
      <w:r>
        <w:rPr>
          <w:spacing w:val="-4"/>
          <w:sz w:val="24"/>
        </w:rPr>
        <w:t> </w:t>
      </w:r>
      <w:r>
        <w:rPr>
          <w:sz w:val="24"/>
        </w:rPr>
        <w:t>les</w:t>
      </w:r>
      <w:r>
        <w:rPr>
          <w:spacing w:val="-3"/>
          <w:sz w:val="24"/>
        </w:rPr>
        <w:t> </w:t>
      </w:r>
      <w:r>
        <w:rPr>
          <w:sz w:val="24"/>
        </w:rPr>
        <w:t>institutions</w:t>
      </w:r>
      <w:r>
        <w:rPr>
          <w:spacing w:val="-3"/>
          <w:sz w:val="24"/>
        </w:rPr>
        <w:t> </w:t>
      </w:r>
      <w:r>
        <w:rPr>
          <w:sz w:val="24"/>
        </w:rPr>
        <w:t>de l'UE, les États membres, les organisations internationales et les autres parties prenantes.</w:t>
      </w:r>
    </w:p>
    <w:p>
      <w:pPr>
        <w:pStyle w:val="BodyText"/>
        <w:spacing w:before="5"/>
        <w:rPr>
          <w:sz w:val="24"/>
        </w:rPr>
      </w:pPr>
    </w:p>
    <w:p>
      <w:pPr>
        <w:pStyle w:val="ListParagraph"/>
        <w:numPr>
          <w:ilvl w:val="0"/>
          <w:numId w:val="3"/>
        </w:numPr>
        <w:tabs>
          <w:tab w:pos="1039" w:val="left" w:leader="none"/>
          <w:tab w:pos="1040" w:val="left" w:leader="none"/>
        </w:tabs>
        <w:spacing w:line="240" w:lineRule="auto" w:before="1" w:after="0"/>
        <w:ind w:left="103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3"/>
        </w:numPr>
        <w:tabs>
          <w:tab w:pos="1280" w:val="left" w:leader="none"/>
        </w:tabs>
        <w:spacing w:line="240" w:lineRule="auto" w:before="91" w:after="0"/>
        <w:ind w:left="1279" w:right="0" w:hanging="241"/>
        <w:jc w:val="left"/>
      </w:pPr>
      <w:r>
        <w:rPr>
          <w:u w:val="single"/>
        </w:rPr>
        <w:t>Critères</w:t>
      </w:r>
      <w:r>
        <w:rPr>
          <w:spacing w:val="-6"/>
          <w:u w:val="single"/>
        </w:rPr>
        <w:t> </w:t>
      </w:r>
      <w:r>
        <w:rPr>
          <w:spacing w:val="-2"/>
          <w:u w:val="single"/>
        </w:rPr>
        <w:t>d'éligibilité</w:t>
      </w:r>
    </w:p>
    <w:p>
      <w:pPr>
        <w:pStyle w:val="BodyText"/>
        <w:spacing w:before="8"/>
        <w:rPr>
          <w:b/>
          <w:sz w:val="13"/>
        </w:rPr>
      </w:pPr>
    </w:p>
    <w:p>
      <w:pPr>
        <w:pStyle w:val="BodyText"/>
        <w:spacing w:before="91"/>
        <w:ind w:left="1320" w:right="108" w:hanging="281"/>
        <w:jc w:val="both"/>
      </w:pPr>
      <w:r>
        <w:rPr/>
        <w:t>Les critères d'éligibilité suivants doivent être remplis par le candidat afin d'être détaché auprès de la Commission. Par conséquent, le candidat qui ne remplit pas tous ces critères sera automatiquement éliminé du processus de sélection.</w:t>
      </w:r>
    </w:p>
    <w:p>
      <w:pPr>
        <w:pStyle w:val="ListParagraph"/>
        <w:numPr>
          <w:ilvl w:val="2"/>
          <w:numId w:val="3"/>
        </w:numPr>
        <w:tabs>
          <w:tab w:pos="1321" w:val="left" w:leader="none"/>
        </w:tabs>
        <w:spacing w:line="240" w:lineRule="auto" w:before="0" w:after="0"/>
        <w:ind w:left="1320" w:right="105" w:hanging="281"/>
        <w:jc w:val="both"/>
        <w:rPr>
          <w:sz w:val="22"/>
        </w:rPr>
      </w:pPr>
      <w:r>
        <w:rPr>
          <w:sz w:val="22"/>
        </w:rPr>
        <w:t>Expérience professionnelle : au moins trois ans d'expérience professionnelle dans des fonctions administratives, juridiques, scientifiques, techniques, de conseil ou de contrôle, équivalentes à celles du groupe de fonctions AD ;</w:t>
      </w:r>
    </w:p>
    <w:p>
      <w:pPr>
        <w:pStyle w:val="ListParagraph"/>
        <w:numPr>
          <w:ilvl w:val="2"/>
          <w:numId w:val="3"/>
        </w:numPr>
        <w:tabs>
          <w:tab w:pos="1321" w:val="left" w:leader="none"/>
        </w:tabs>
        <w:spacing w:line="240" w:lineRule="auto" w:before="2" w:after="0"/>
        <w:ind w:left="1320" w:right="105" w:hanging="281"/>
        <w:jc w:val="both"/>
        <w:rPr>
          <w:sz w:val="22"/>
        </w:rPr>
      </w:pPr>
      <w:r>
        <w:rPr>
          <w:sz w:val="22"/>
        </w:rPr>
        <w:t>Ancienneté : les candidats doivent avoir au moins un an d'ancienneté chez leur employeur, c'est-à-dire</w:t>
      </w:r>
      <w:r>
        <w:rPr>
          <w:spacing w:val="80"/>
          <w:sz w:val="22"/>
        </w:rPr>
        <w:t> </w:t>
      </w:r>
      <w:r>
        <w:rPr>
          <w:sz w:val="22"/>
        </w:rPr>
        <w:t>avoir travaillé pour un employeur éligible tel que décrit à l'art. 1 de la décision END, sur une base permanente ou contractuelle, pendant au moins un an avant le détachement ;</w:t>
      </w:r>
    </w:p>
    <w:p>
      <w:pPr>
        <w:pStyle w:val="BodyText"/>
        <w:rPr>
          <w:sz w:val="20"/>
        </w:rPr>
      </w:pPr>
    </w:p>
    <w:p>
      <w:pPr>
        <w:pStyle w:val="BodyText"/>
        <w:spacing w:before="6"/>
        <w:rPr>
          <w:sz w:val="24"/>
        </w:rPr>
      </w:pPr>
      <w:r>
        <w:rPr/>
        <w:pict>
          <v:rect style="position:absolute;margin-left:42.599998pt;margin-top:15.317929pt;width:144.050pt;height:.72pt;mso-position-horizontal-relative:page;mso-position-vertical-relative:paragraph;z-index:-15728128;mso-wrap-distance-left:0;mso-wrap-distance-right:0" id="docshape6" filled="true" fillcolor="#000000" stroked="false">
            <v:fill type="solid"/>
            <w10:wrap type="topAndBottom"/>
          </v:rect>
        </w:pict>
      </w:r>
    </w:p>
    <w:p>
      <w:pPr>
        <w:spacing w:before="100"/>
        <w:ind w:left="612" w:right="0" w:firstLine="0"/>
        <w:jc w:val="left"/>
        <w:rPr>
          <w:rFonts w:ascii="Calibri" w:hAnsi="Calibri"/>
          <w:sz w:val="20"/>
        </w:rPr>
      </w:pPr>
      <w:r>
        <w:rPr>
          <w:rFonts w:ascii="Calibri" w:hAnsi="Calibri"/>
          <w:sz w:val="20"/>
          <w:vertAlign w:val="superscript"/>
        </w:rPr>
        <w:t>1</w:t>
      </w:r>
      <w:r>
        <w:rPr>
          <w:rFonts w:ascii="Calibri" w:hAnsi="Calibri"/>
          <w:spacing w:val="-6"/>
          <w:sz w:val="20"/>
          <w:vertAlign w:val="baseline"/>
        </w:rPr>
        <w:t> </w:t>
      </w:r>
      <w:r>
        <w:rPr>
          <w:rFonts w:ascii="Calibri" w:hAnsi="Calibri"/>
          <w:sz w:val="20"/>
          <w:vertAlign w:val="baseline"/>
        </w:rPr>
        <w:t>Ces</w:t>
      </w:r>
      <w:r>
        <w:rPr>
          <w:rFonts w:ascii="Calibri" w:hAnsi="Calibri"/>
          <w:spacing w:val="-5"/>
          <w:sz w:val="20"/>
          <w:vertAlign w:val="baseline"/>
        </w:rPr>
        <w:t> </w:t>
      </w:r>
      <w:r>
        <w:rPr>
          <w:rFonts w:ascii="Calibri" w:hAnsi="Calibri"/>
          <w:sz w:val="20"/>
          <w:vertAlign w:val="baseline"/>
        </w:rPr>
        <w:t>mentions</w:t>
      </w:r>
      <w:r>
        <w:rPr>
          <w:rFonts w:ascii="Calibri" w:hAnsi="Calibri"/>
          <w:spacing w:val="-7"/>
          <w:sz w:val="20"/>
          <w:vertAlign w:val="baseline"/>
        </w:rPr>
        <w:t> </w:t>
      </w:r>
      <w:r>
        <w:rPr>
          <w:rFonts w:ascii="Calibri" w:hAnsi="Calibri"/>
          <w:sz w:val="20"/>
          <w:vertAlign w:val="baseline"/>
        </w:rPr>
        <w:t>ne</w:t>
      </w:r>
      <w:r>
        <w:rPr>
          <w:rFonts w:ascii="Calibri" w:hAnsi="Calibri"/>
          <w:spacing w:val="-4"/>
          <w:sz w:val="20"/>
          <w:vertAlign w:val="baseline"/>
        </w:rPr>
        <w:t> </w:t>
      </w:r>
      <w:r>
        <w:rPr>
          <w:rFonts w:ascii="Calibri" w:hAnsi="Calibri"/>
          <w:sz w:val="20"/>
          <w:vertAlign w:val="baseline"/>
        </w:rPr>
        <w:t>sont</w:t>
      </w:r>
      <w:r>
        <w:rPr>
          <w:rFonts w:ascii="Calibri" w:hAnsi="Calibri"/>
          <w:spacing w:val="-5"/>
          <w:sz w:val="20"/>
          <w:vertAlign w:val="baseline"/>
        </w:rPr>
        <w:t> </w:t>
      </w:r>
      <w:r>
        <w:rPr>
          <w:rFonts w:ascii="Calibri" w:hAnsi="Calibri"/>
          <w:sz w:val="20"/>
          <w:vertAlign w:val="baseline"/>
        </w:rPr>
        <w:t>données</w:t>
      </w:r>
      <w:r>
        <w:rPr>
          <w:rFonts w:ascii="Calibri" w:hAnsi="Calibri"/>
          <w:spacing w:val="-7"/>
          <w:sz w:val="20"/>
          <w:vertAlign w:val="baseline"/>
        </w:rPr>
        <w:t> </w:t>
      </w:r>
      <w:r>
        <w:rPr>
          <w:rFonts w:ascii="Calibri" w:hAnsi="Calibri"/>
          <w:sz w:val="20"/>
          <w:vertAlign w:val="baseline"/>
        </w:rPr>
        <w:t>qu’à</w:t>
      </w:r>
      <w:r>
        <w:rPr>
          <w:rFonts w:ascii="Calibri" w:hAnsi="Calibri"/>
          <w:spacing w:val="-5"/>
          <w:sz w:val="20"/>
          <w:vertAlign w:val="baseline"/>
        </w:rPr>
        <w:t> </w:t>
      </w:r>
      <w:r>
        <w:rPr>
          <w:rFonts w:ascii="Calibri" w:hAnsi="Calibri"/>
          <w:sz w:val="20"/>
          <w:vertAlign w:val="baseline"/>
        </w:rPr>
        <w:t>titre</w:t>
      </w:r>
      <w:r>
        <w:rPr>
          <w:rFonts w:ascii="Calibri" w:hAnsi="Calibri"/>
          <w:spacing w:val="-6"/>
          <w:sz w:val="20"/>
          <w:vertAlign w:val="baseline"/>
        </w:rPr>
        <w:t> </w:t>
      </w:r>
      <w:r>
        <w:rPr>
          <w:rFonts w:ascii="Calibri" w:hAnsi="Calibri"/>
          <w:sz w:val="20"/>
          <w:vertAlign w:val="baseline"/>
        </w:rPr>
        <w:t>indicatif</w:t>
      </w:r>
      <w:r>
        <w:rPr>
          <w:rFonts w:ascii="Calibri" w:hAnsi="Calibri"/>
          <w:spacing w:val="-5"/>
          <w:sz w:val="20"/>
          <w:vertAlign w:val="baseline"/>
        </w:rPr>
        <w:t> </w:t>
      </w:r>
      <w:r>
        <w:rPr>
          <w:rFonts w:ascii="Calibri" w:hAnsi="Calibri"/>
          <w:sz w:val="20"/>
          <w:vertAlign w:val="baseline"/>
        </w:rPr>
        <w:t>(Art.4</w:t>
      </w:r>
      <w:r>
        <w:rPr>
          <w:rFonts w:ascii="Calibri" w:hAnsi="Calibri"/>
          <w:spacing w:val="-5"/>
          <w:sz w:val="20"/>
          <w:vertAlign w:val="baseline"/>
        </w:rPr>
        <w:t> </w:t>
      </w:r>
      <w:r>
        <w:rPr>
          <w:rFonts w:ascii="Calibri" w:hAnsi="Calibri"/>
          <w:sz w:val="20"/>
          <w:vertAlign w:val="baseline"/>
        </w:rPr>
        <w:t>de</w:t>
      </w:r>
      <w:r>
        <w:rPr>
          <w:rFonts w:ascii="Calibri" w:hAnsi="Calibri"/>
          <w:spacing w:val="-4"/>
          <w:sz w:val="20"/>
          <w:vertAlign w:val="baseline"/>
        </w:rPr>
        <w:t> </w:t>
      </w:r>
      <w:r>
        <w:rPr>
          <w:rFonts w:ascii="Calibri" w:hAnsi="Calibri"/>
          <w:sz w:val="20"/>
          <w:vertAlign w:val="baseline"/>
        </w:rPr>
        <w:t>la</w:t>
      </w:r>
      <w:r>
        <w:rPr>
          <w:rFonts w:ascii="Calibri" w:hAnsi="Calibri"/>
          <w:spacing w:val="-6"/>
          <w:sz w:val="20"/>
          <w:vertAlign w:val="baseline"/>
        </w:rPr>
        <w:t> </w:t>
      </w:r>
      <w:r>
        <w:rPr>
          <w:rFonts w:ascii="Calibri" w:hAnsi="Calibri"/>
          <w:sz w:val="20"/>
          <w:vertAlign w:val="baseline"/>
        </w:rPr>
        <w:t>Décision</w:t>
      </w:r>
      <w:r>
        <w:rPr>
          <w:rFonts w:ascii="Calibri" w:hAnsi="Calibri"/>
          <w:spacing w:val="-4"/>
          <w:sz w:val="20"/>
          <w:vertAlign w:val="baseline"/>
        </w:rPr>
        <w:t> SNE)</w:t>
      </w:r>
    </w:p>
    <w:p>
      <w:pPr>
        <w:spacing w:after="0"/>
        <w:jc w:val="left"/>
        <w:rPr>
          <w:rFonts w:ascii="Calibri" w:hAnsi="Calibri"/>
          <w:sz w:val="20"/>
        </w:rPr>
        <w:sectPr>
          <w:footerReference w:type="default" r:id="rId5"/>
          <w:type w:val="continuous"/>
          <w:pgSz w:w="11910" w:h="16840"/>
          <w:pgMar w:footer="560" w:header="0" w:top="560" w:bottom="740" w:left="240" w:right="740"/>
          <w:pgNumType w:start="1"/>
        </w:sectPr>
      </w:pPr>
    </w:p>
    <w:p>
      <w:pPr>
        <w:pStyle w:val="ListParagraph"/>
        <w:numPr>
          <w:ilvl w:val="2"/>
          <w:numId w:val="3"/>
        </w:numPr>
        <w:tabs>
          <w:tab w:pos="1321" w:val="left" w:leader="none"/>
        </w:tabs>
        <w:spacing w:line="240" w:lineRule="auto" w:before="68" w:after="0"/>
        <w:ind w:left="1320" w:right="107" w:hanging="281"/>
        <w:jc w:val="both"/>
        <w:rPr>
          <w:sz w:val="22"/>
        </w:rPr>
      </w:pPr>
      <w:r>
        <w:rPr>
          <w:sz w:val="22"/>
        </w:rPr>
        <w:t>Compétences linguistiques : connaissance approfondie d'une des langues de l'UE et connaissance satisfaisante d'une autre langue de l'UE dans la mesure nécessaire à l'exercice des fonctions. L'END d'un pays tiers doit apporter la preuve d'une connaissance approfondie d'une langue de l'UE nécessaire à l'exercice de ses fonctions.</w:t>
      </w:r>
    </w:p>
    <w:p>
      <w:pPr>
        <w:pStyle w:val="BodyText"/>
        <w:spacing w:before="7"/>
      </w:pPr>
    </w:p>
    <w:p>
      <w:pPr>
        <w:pStyle w:val="Heading1"/>
        <w:numPr>
          <w:ilvl w:val="1"/>
          <w:numId w:val="3"/>
        </w:numPr>
        <w:tabs>
          <w:tab w:pos="1333" w:val="left" w:leader="none"/>
        </w:tabs>
        <w:spacing w:line="240" w:lineRule="auto" w:before="0" w:after="0"/>
        <w:ind w:left="1332" w:right="0" w:hanging="294"/>
        <w:jc w:val="left"/>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line="252" w:lineRule="exact" w:before="91"/>
        <w:ind w:left="1320"/>
      </w:pPr>
      <w:r>
        <w:rPr>
          <w:spacing w:val="-2"/>
          <w:u w:val="single"/>
        </w:rPr>
        <w:t>Diplôme</w:t>
      </w:r>
    </w:p>
    <w:p>
      <w:pPr>
        <w:pStyle w:val="ListParagraph"/>
        <w:numPr>
          <w:ilvl w:val="2"/>
          <w:numId w:val="3"/>
        </w:numPr>
        <w:tabs>
          <w:tab w:pos="1446" w:val="left" w:leader="none"/>
        </w:tabs>
        <w:spacing w:line="252" w:lineRule="exact" w:before="0" w:after="0"/>
        <w:ind w:left="1445" w:right="0" w:hanging="126"/>
        <w:jc w:val="left"/>
        <w:rPr>
          <w:sz w:val="22"/>
        </w:rPr>
      </w:pPr>
      <w:r>
        <w:rPr>
          <w:sz w:val="22"/>
        </w:rPr>
        <w:t>un</w:t>
      </w:r>
      <w:r>
        <w:rPr>
          <w:spacing w:val="-3"/>
          <w:sz w:val="22"/>
        </w:rPr>
        <w:t> </w:t>
      </w:r>
      <w:r>
        <w:rPr>
          <w:sz w:val="22"/>
        </w:rPr>
        <w:t>diplôme</w:t>
      </w:r>
      <w:r>
        <w:rPr>
          <w:spacing w:val="-3"/>
          <w:sz w:val="22"/>
        </w:rPr>
        <w:t> </w:t>
      </w:r>
      <w:r>
        <w:rPr>
          <w:sz w:val="22"/>
        </w:rPr>
        <w:t>universitaire</w:t>
      </w:r>
      <w:r>
        <w:rPr>
          <w:spacing w:val="-4"/>
          <w:sz w:val="22"/>
        </w:rPr>
        <w:t> </w:t>
      </w:r>
      <w:r>
        <w:rPr>
          <w:spacing w:val="-5"/>
          <w:sz w:val="22"/>
        </w:rPr>
        <w:t>ou</w:t>
      </w:r>
    </w:p>
    <w:p>
      <w:pPr>
        <w:pStyle w:val="ListParagraph"/>
        <w:numPr>
          <w:ilvl w:val="2"/>
          <w:numId w:val="3"/>
        </w:numPr>
        <w:tabs>
          <w:tab w:pos="1532" w:val="left" w:leader="none"/>
        </w:tabs>
        <w:spacing w:line="240" w:lineRule="auto" w:before="2" w:after="0"/>
        <w:ind w:left="1320" w:right="165" w:firstLine="0"/>
        <w:jc w:val="left"/>
        <w:rPr>
          <w:sz w:val="22"/>
        </w:rPr>
      </w:pPr>
      <w:r>
        <w:rPr>
          <w:sz w:val="22"/>
        </w:rPr>
        <w:t>une</w:t>
      </w:r>
      <w:r>
        <w:rPr>
          <w:spacing w:val="80"/>
          <w:sz w:val="22"/>
        </w:rPr>
        <w:t> </w:t>
      </w:r>
      <w:r>
        <w:rPr>
          <w:sz w:val="22"/>
        </w:rPr>
        <w:t>formation</w:t>
      </w:r>
      <w:r>
        <w:rPr>
          <w:spacing w:val="80"/>
          <w:sz w:val="22"/>
        </w:rPr>
        <w:t> </w:t>
      </w:r>
      <w:r>
        <w:rPr>
          <w:sz w:val="22"/>
        </w:rPr>
        <w:t>professionnelle</w:t>
      </w:r>
      <w:r>
        <w:rPr>
          <w:spacing w:val="80"/>
          <w:sz w:val="22"/>
        </w:rPr>
        <w:t> </w:t>
      </w:r>
      <w:r>
        <w:rPr>
          <w:sz w:val="22"/>
        </w:rPr>
        <w:t>ou</w:t>
      </w:r>
      <w:r>
        <w:rPr>
          <w:spacing w:val="80"/>
          <w:sz w:val="22"/>
        </w:rPr>
        <w:t> </w:t>
      </w:r>
      <w:r>
        <w:rPr>
          <w:sz w:val="22"/>
        </w:rPr>
        <w:t>l'expérience</w:t>
      </w:r>
      <w:r>
        <w:rPr>
          <w:spacing w:val="80"/>
          <w:sz w:val="22"/>
        </w:rPr>
        <w:t> </w:t>
      </w:r>
      <w:r>
        <w:rPr>
          <w:sz w:val="22"/>
        </w:rPr>
        <w:t>professionnelle</w:t>
      </w:r>
      <w:r>
        <w:rPr>
          <w:spacing w:val="80"/>
          <w:sz w:val="22"/>
        </w:rPr>
        <w:t> </w:t>
      </w:r>
      <w:r>
        <w:rPr>
          <w:sz w:val="22"/>
        </w:rPr>
        <w:t>d'un</w:t>
      </w:r>
      <w:r>
        <w:rPr>
          <w:spacing w:val="80"/>
          <w:sz w:val="22"/>
        </w:rPr>
        <w:t> </w:t>
      </w:r>
      <w:r>
        <w:rPr>
          <w:sz w:val="22"/>
        </w:rPr>
        <w:t>niveau</w:t>
      </w:r>
      <w:r>
        <w:rPr>
          <w:spacing w:val="80"/>
          <w:sz w:val="22"/>
        </w:rPr>
        <w:t> </w:t>
      </w:r>
      <w:r>
        <w:rPr>
          <w:sz w:val="22"/>
        </w:rPr>
        <w:t>équivalent</w:t>
      </w:r>
      <w:r>
        <w:rPr>
          <w:spacing w:val="80"/>
          <w:sz w:val="22"/>
        </w:rPr>
        <w:t> </w:t>
      </w:r>
      <w:r>
        <w:rPr>
          <w:sz w:val="22"/>
        </w:rPr>
        <w:t>dans</w:t>
      </w:r>
      <w:r>
        <w:rPr>
          <w:spacing w:val="80"/>
          <w:sz w:val="22"/>
        </w:rPr>
        <w:t> </w:t>
      </w:r>
      <w:r>
        <w:rPr>
          <w:sz w:val="22"/>
        </w:rPr>
        <w:t>le(s) domaine(s) : Développement économique, sciences politiques et sociales, droit, administration publique.</w:t>
      </w:r>
    </w:p>
    <w:p>
      <w:pPr>
        <w:pStyle w:val="BodyText"/>
        <w:spacing w:before="10"/>
        <w:rPr>
          <w:sz w:val="21"/>
        </w:rPr>
      </w:pPr>
    </w:p>
    <w:p>
      <w:pPr>
        <w:pStyle w:val="BodyText"/>
        <w:spacing w:line="252" w:lineRule="exact" w:before="1"/>
        <w:ind w:left="1320"/>
      </w:pPr>
      <w:r>
        <w:rPr>
          <w:u w:val="single"/>
        </w:rPr>
        <w:t>Expérience</w:t>
      </w:r>
      <w:r>
        <w:rPr>
          <w:spacing w:val="-4"/>
          <w:u w:val="single"/>
        </w:rPr>
        <w:t> </w:t>
      </w:r>
      <w:r>
        <w:rPr>
          <w:spacing w:val="-2"/>
          <w:u w:val="single"/>
        </w:rPr>
        <w:t>professionnelle</w:t>
      </w:r>
    </w:p>
    <w:p>
      <w:pPr>
        <w:pStyle w:val="BodyText"/>
        <w:spacing w:line="242" w:lineRule="auto"/>
        <w:ind w:left="1320"/>
      </w:pPr>
      <w:r>
        <w:rPr/>
        <w:t>Une</w:t>
      </w:r>
      <w:r>
        <w:rPr>
          <w:spacing w:val="24"/>
        </w:rPr>
        <w:t> </w:t>
      </w:r>
      <w:r>
        <w:rPr/>
        <w:t>capacité</w:t>
      </w:r>
      <w:r>
        <w:rPr>
          <w:spacing w:val="24"/>
        </w:rPr>
        <w:t> </w:t>
      </w:r>
      <w:r>
        <w:rPr/>
        <w:t>professionnelle</w:t>
      </w:r>
      <w:r>
        <w:rPr>
          <w:spacing w:val="24"/>
        </w:rPr>
        <w:t> </w:t>
      </w:r>
      <w:r>
        <w:rPr/>
        <w:t>en</w:t>
      </w:r>
      <w:r>
        <w:rPr>
          <w:spacing w:val="24"/>
        </w:rPr>
        <w:t> </w:t>
      </w:r>
      <w:r>
        <w:rPr/>
        <w:t>matière</w:t>
      </w:r>
      <w:r>
        <w:rPr>
          <w:spacing w:val="24"/>
        </w:rPr>
        <w:t> </w:t>
      </w:r>
      <w:r>
        <w:rPr/>
        <w:t>de</w:t>
      </w:r>
      <w:r>
        <w:rPr>
          <w:spacing w:val="22"/>
        </w:rPr>
        <w:t> </w:t>
      </w:r>
      <w:r>
        <w:rPr/>
        <w:t>formulation</w:t>
      </w:r>
      <w:r>
        <w:rPr>
          <w:spacing w:val="24"/>
        </w:rPr>
        <w:t> </w:t>
      </w:r>
      <w:r>
        <w:rPr/>
        <w:t>et</w:t>
      </w:r>
      <w:r>
        <w:rPr>
          <w:spacing w:val="25"/>
        </w:rPr>
        <w:t> </w:t>
      </w:r>
      <w:r>
        <w:rPr/>
        <w:t>d'analyse</w:t>
      </w:r>
      <w:r>
        <w:rPr>
          <w:spacing w:val="25"/>
        </w:rPr>
        <w:t> </w:t>
      </w:r>
      <w:r>
        <w:rPr/>
        <w:t>des</w:t>
      </w:r>
      <w:r>
        <w:rPr>
          <w:spacing w:val="25"/>
        </w:rPr>
        <w:t> </w:t>
      </w:r>
      <w:r>
        <w:rPr/>
        <w:t>politiques</w:t>
      </w:r>
      <w:r>
        <w:rPr>
          <w:spacing w:val="25"/>
        </w:rPr>
        <w:t> </w:t>
      </w:r>
      <w:r>
        <w:rPr/>
        <w:t>dans</w:t>
      </w:r>
      <w:r>
        <w:rPr>
          <w:spacing w:val="24"/>
        </w:rPr>
        <w:t> </w:t>
      </w:r>
      <w:r>
        <w:rPr/>
        <w:t>le</w:t>
      </w:r>
      <w:r>
        <w:rPr>
          <w:spacing w:val="24"/>
        </w:rPr>
        <w:t> </w:t>
      </w:r>
      <w:r>
        <w:rPr/>
        <w:t>domaine</w:t>
      </w:r>
      <w:r>
        <w:rPr>
          <w:spacing w:val="24"/>
        </w:rPr>
        <w:t> </w:t>
      </w:r>
      <w:r>
        <w:rPr/>
        <w:t>des inégalités est essentielle. Une expérience dans ce domaine serait un atout.</w:t>
      </w:r>
    </w:p>
    <w:p>
      <w:pPr>
        <w:pStyle w:val="BodyText"/>
        <w:spacing w:before="8"/>
        <w:rPr>
          <w:sz w:val="21"/>
        </w:rPr>
      </w:pPr>
    </w:p>
    <w:p>
      <w:pPr>
        <w:pStyle w:val="BodyText"/>
        <w:ind w:left="1320" w:right="4647"/>
      </w:pPr>
      <w:r>
        <w:rPr>
          <w:u w:val="single"/>
        </w:rPr>
        <w:t>Langue(s)</w:t>
      </w:r>
      <w:r>
        <w:rPr>
          <w:spacing w:val="-8"/>
          <w:u w:val="single"/>
        </w:rPr>
        <w:t> </w:t>
      </w:r>
      <w:r>
        <w:rPr>
          <w:u w:val="single"/>
        </w:rPr>
        <w:t>nécessaire(s)</w:t>
      </w:r>
      <w:r>
        <w:rPr>
          <w:spacing w:val="-4"/>
          <w:u w:val="single"/>
        </w:rPr>
        <w:t> </w:t>
      </w:r>
      <w:r>
        <w:rPr>
          <w:u w:val="single"/>
        </w:rPr>
        <w:t>à</w:t>
      </w:r>
      <w:r>
        <w:rPr>
          <w:spacing w:val="-8"/>
          <w:u w:val="single"/>
        </w:rPr>
        <w:t> </w:t>
      </w:r>
      <w:r>
        <w:rPr>
          <w:u w:val="single"/>
        </w:rPr>
        <w:t>l'exercice</w:t>
      </w:r>
      <w:r>
        <w:rPr>
          <w:spacing w:val="-7"/>
          <w:u w:val="single"/>
        </w:rPr>
        <w:t> </w:t>
      </w:r>
      <w:r>
        <w:rPr>
          <w:u w:val="single"/>
        </w:rPr>
        <w:t>des</w:t>
      </w:r>
      <w:r>
        <w:rPr>
          <w:spacing w:val="-7"/>
          <w:u w:val="single"/>
        </w:rPr>
        <w:t> </w:t>
      </w:r>
      <w:r>
        <w:rPr>
          <w:u w:val="single"/>
        </w:rPr>
        <w:t>fonctions</w:t>
      </w:r>
      <w:r>
        <w:rPr/>
        <w:t> </w:t>
      </w:r>
      <w:r>
        <w:rPr>
          <w:spacing w:val="-2"/>
        </w:rPr>
        <w:t>Anglais</w:t>
      </w:r>
    </w:p>
    <w:p>
      <w:pPr>
        <w:pStyle w:val="BodyText"/>
        <w:spacing w:line="251" w:lineRule="exact"/>
        <w:ind w:left="1320"/>
      </w:pPr>
      <w:r>
        <w:rPr/>
        <w:t>Une</w:t>
      </w:r>
      <w:r>
        <w:rPr>
          <w:spacing w:val="-6"/>
        </w:rPr>
        <w:t> </w:t>
      </w:r>
      <w:r>
        <w:rPr/>
        <w:t>bonne</w:t>
      </w:r>
      <w:r>
        <w:rPr>
          <w:spacing w:val="-3"/>
        </w:rPr>
        <w:t> </w:t>
      </w:r>
      <w:r>
        <w:rPr/>
        <w:t>maîtrise</w:t>
      </w:r>
      <w:r>
        <w:rPr>
          <w:spacing w:val="-4"/>
        </w:rPr>
        <w:t> </w:t>
      </w:r>
      <w:r>
        <w:rPr/>
        <w:t>de</w:t>
      </w:r>
      <w:r>
        <w:rPr>
          <w:spacing w:val="-3"/>
        </w:rPr>
        <w:t> </w:t>
      </w:r>
      <w:r>
        <w:rPr/>
        <w:t>l'anglais</w:t>
      </w:r>
      <w:r>
        <w:rPr>
          <w:spacing w:val="-4"/>
        </w:rPr>
        <w:t> </w:t>
      </w:r>
      <w:r>
        <w:rPr/>
        <w:t>est</w:t>
      </w:r>
      <w:r>
        <w:rPr>
          <w:spacing w:val="-2"/>
        </w:rPr>
        <w:t> </w:t>
      </w:r>
      <w:r>
        <w:rPr/>
        <w:t>essentielle.</w:t>
      </w:r>
      <w:r>
        <w:rPr>
          <w:spacing w:val="-6"/>
        </w:rPr>
        <w:t> </w:t>
      </w:r>
      <w:r>
        <w:rPr/>
        <w:t>La</w:t>
      </w:r>
      <w:r>
        <w:rPr>
          <w:spacing w:val="-3"/>
        </w:rPr>
        <w:t> </w:t>
      </w:r>
      <w:r>
        <w:rPr/>
        <w:t>connaissance</w:t>
      </w:r>
      <w:r>
        <w:rPr>
          <w:spacing w:val="-4"/>
        </w:rPr>
        <w:t> </w:t>
      </w:r>
      <w:r>
        <w:rPr/>
        <w:t>d'autres</w:t>
      </w:r>
      <w:r>
        <w:rPr>
          <w:spacing w:val="-3"/>
        </w:rPr>
        <w:t> </w:t>
      </w:r>
      <w:r>
        <w:rPr/>
        <w:t>langues</w:t>
      </w:r>
      <w:r>
        <w:rPr>
          <w:spacing w:val="-4"/>
        </w:rPr>
        <w:t> </w:t>
      </w:r>
      <w:r>
        <w:rPr/>
        <w:t>est</w:t>
      </w:r>
      <w:r>
        <w:rPr>
          <w:spacing w:val="-2"/>
        </w:rPr>
        <w:t> </w:t>
      </w:r>
      <w:r>
        <w:rPr/>
        <w:t>un</w:t>
      </w:r>
      <w:r>
        <w:rPr>
          <w:spacing w:val="-6"/>
        </w:rPr>
        <w:t> </w:t>
      </w:r>
      <w:r>
        <w:rPr>
          <w:spacing w:val="-2"/>
        </w:rPr>
        <w:t>atout.</w:t>
      </w:r>
    </w:p>
    <w:p>
      <w:pPr>
        <w:pStyle w:val="BodyText"/>
        <w:spacing w:before="6"/>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line="240" w:lineRule="auto" w:before="92"/>
        <w:ind w:left="1039" w:right="277" w:firstLine="0"/>
        <w:jc w:val="both"/>
        <w:rPr>
          <w:b/>
          <w:sz w:val="22"/>
        </w:rPr>
      </w:pPr>
      <w:r>
        <w:rPr>
          <w:sz w:val="22"/>
        </w:rPr>
        <w:t>Les candidats doivent envoyer leur candidature sous format </w:t>
      </w:r>
      <w:r>
        <w:rPr>
          <w:b/>
          <w:sz w:val="22"/>
        </w:rPr>
        <w:t>CV Europass </w:t>
      </w:r>
      <w:r>
        <w:rPr>
          <w:sz w:val="22"/>
        </w:rPr>
        <w:t>(</w:t>
      </w:r>
      <w:hyperlink r:id="rId10">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p>
    <w:p>
      <w:pPr>
        <w:pStyle w:val="BodyText"/>
        <w:rPr>
          <w:b/>
        </w:rPr>
      </w:pPr>
    </w:p>
    <w:p>
      <w:pPr>
        <w:pStyle w:val="BodyText"/>
        <w:spacing w:before="1"/>
        <w:ind w:left="1039" w:right="280"/>
        <w:jc w:val="both"/>
      </w:pPr>
      <w:r>
        <w:rPr/>
        <w:t>Les candidats sont priés de ne pas joindre à leur candidature d'autres documents (tels que copie de carte d'identité, copie des diplômes et attestations d'expérience professionnelle,…). Ces documents leur seront demandés, le cas échéant, à un stade ultérieur de la procédure de sélection.</w:t>
      </w:r>
    </w:p>
    <w:p>
      <w:pPr>
        <w:pStyle w:val="BodyText"/>
      </w:pPr>
    </w:p>
    <w:p>
      <w:pPr>
        <w:pStyle w:val="BodyText"/>
        <w:spacing w:before="1"/>
        <w:ind w:left="103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BodyText"/>
        <w:spacing w:before="4"/>
        <w:rPr>
          <w:sz w:val="24"/>
        </w:rPr>
      </w:pPr>
    </w:p>
    <w:p>
      <w:pPr>
        <w:pStyle w:val="ListParagraph"/>
        <w:numPr>
          <w:ilvl w:val="0"/>
          <w:numId w:val="3"/>
        </w:numPr>
        <w:tabs>
          <w:tab w:pos="1039" w:val="left" w:leader="none"/>
          <w:tab w:pos="1040" w:val="left" w:leader="none"/>
        </w:tabs>
        <w:spacing w:line="240" w:lineRule="auto" w:before="0" w:after="0"/>
        <w:ind w:left="103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612" w:right="130" w:firstLine="0"/>
        <w:jc w:val="left"/>
        <w:rPr>
          <w:sz w:val="22"/>
        </w:rPr>
      </w:pPr>
      <w:r>
        <w:rPr>
          <w:sz w:val="22"/>
        </w:rPr>
        <w:t>Le</w:t>
      </w:r>
      <w:r>
        <w:rPr>
          <w:spacing w:val="-2"/>
          <w:sz w:val="22"/>
        </w:rPr>
        <w:t> </w:t>
      </w:r>
      <w:r>
        <w:rPr>
          <w:sz w:val="22"/>
        </w:rPr>
        <w:t>détachement</w:t>
      </w:r>
      <w:r>
        <w:rPr>
          <w:spacing w:val="-2"/>
          <w:sz w:val="22"/>
        </w:rPr>
        <w:t> </w:t>
      </w:r>
      <w:r>
        <w:rPr>
          <w:sz w:val="22"/>
        </w:rPr>
        <w:t>sera</w:t>
      </w:r>
      <w:r>
        <w:rPr>
          <w:spacing w:val="-2"/>
          <w:sz w:val="22"/>
        </w:rPr>
        <w:t> </w:t>
      </w:r>
      <w:r>
        <w:rPr>
          <w:sz w:val="22"/>
        </w:rPr>
        <w:t>régi</w:t>
      </w:r>
      <w:r>
        <w:rPr>
          <w:spacing w:val="-1"/>
          <w:sz w:val="22"/>
        </w:rPr>
        <w:t> </w:t>
      </w:r>
      <w:r>
        <w:rPr>
          <w:sz w:val="22"/>
        </w:rPr>
        <w:t>par</w:t>
      </w:r>
      <w:r>
        <w:rPr>
          <w:spacing w:val="-1"/>
          <w:sz w:val="22"/>
        </w:rPr>
        <w:t> </w:t>
      </w:r>
      <w:r>
        <w:rPr>
          <w:sz w:val="22"/>
        </w:rPr>
        <w:t>la</w:t>
      </w:r>
      <w:r>
        <w:rPr>
          <w:spacing w:val="-1"/>
          <w:sz w:val="22"/>
        </w:rPr>
        <w:t> </w:t>
      </w:r>
      <w:r>
        <w:rPr>
          <w:b/>
          <w:sz w:val="22"/>
        </w:rPr>
        <w:t>décision</w:t>
      </w:r>
      <w:r>
        <w:rPr>
          <w:b/>
          <w:spacing w:val="-2"/>
          <w:sz w:val="22"/>
        </w:rPr>
        <w:t> </w:t>
      </w:r>
      <w:r>
        <w:rPr>
          <w:b/>
          <w:sz w:val="22"/>
        </w:rPr>
        <w:t>C(2008)6866</w:t>
      </w:r>
      <w:r>
        <w:rPr>
          <w:b/>
          <w:spacing w:val="-5"/>
          <w:sz w:val="22"/>
        </w:rPr>
        <w:t> </w:t>
      </w:r>
      <w:r>
        <w:rPr>
          <w:b/>
          <w:sz w:val="22"/>
        </w:rPr>
        <w:t>de</w:t>
      </w:r>
      <w:r>
        <w:rPr>
          <w:b/>
          <w:spacing w:val="-2"/>
          <w:sz w:val="22"/>
        </w:rPr>
        <w:t> </w:t>
      </w:r>
      <w:r>
        <w:rPr>
          <w:b/>
          <w:sz w:val="22"/>
        </w:rPr>
        <w:t>la</w:t>
      </w:r>
      <w:r>
        <w:rPr>
          <w:b/>
          <w:spacing w:val="-2"/>
          <w:sz w:val="22"/>
        </w:rPr>
        <w:t> </w:t>
      </w:r>
      <w:r>
        <w:rPr>
          <w:b/>
          <w:sz w:val="22"/>
        </w:rPr>
        <w:t>Commission</w:t>
      </w:r>
      <w:r>
        <w:rPr>
          <w:b/>
          <w:spacing w:val="-2"/>
          <w:sz w:val="22"/>
        </w:rPr>
        <w:t> </w:t>
      </w:r>
      <w:r>
        <w:rPr>
          <w:b/>
          <w:sz w:val="22"/>
        </w:rPr>
        <w:t>du</w:t>
      </w:r>
      <w:r>
        <w:rPr>
          <w:b/>
          <w:spacing w:val="-3"/>
          <w:sz w:val="22"/>
        </w:rPr>
        <w:t> </w:t>
      </w:r>
      <w:r>
        <w:rPr>
          <w:b/>
          <w:sz w:val="22"/>
        </w:rPr>
        <w:t>12/11/2008</w:t>
      </w:r>
      <w:r>
        <w:rPr>
          <w:b/>
          <w:spacing w:val="-2"/>
          <w:sz w:val="22"/>
        </w:rPr>
        <w:t> </w:t>
      </w:r>
      <w:r>
        <w:rPr>
          <w:sz w:val="22"/>
        </w:rPr>
        <w:t>fixant</w:t>
      </w:r>
      <w:r>
        <w:rPr>
          <w:spacing w:val="-1"/>
          <w:sz w:val="22"/>
        </w:rPr>
        <w:t> </w:t>
      </w:r>
      <w:r>
        <w:rPr>
          <w:sz w:val="22"/>
        </w:rPr>
        <w:t>les</w:t>
      </w:r>
      <w:r>
        <w:rPr>
          <w:spacing w:val="-4"/>
          <w:sz w:val="22"/>
        </w:rPr>
        <w:t> </w:t>
      </w:r>
      <w:r>
        <w:rPr>
          <w:sz w:val="22"/>
        </w:rPr>
        <w:t>règles</w:t>
      </w:r>
      <w:r>
        <w:rPr>
          <w:spacing w:val="-3"/>
          <w:sz w:val="22"/>
        </w:rPr>
        <w:t> </w:t>
      </w:r>
      <w:r>
        <w:rPr>
          <w:sz w:val="22"/>
        </w:rPr>
        <w:t>relatives au détachement auprès de la Commission d'experts nationaux et d'experts nationaux en formation professionnelle (décision SNE).</w:t>
      </w:r>
    </w:p>
    <w:p>
      <w:pPr>
        <w:pStyle w:val="BodyText"/>
        <w:spacing w:before="1"/>
      </w:pPr>
    </w:p>
    <w:p>
      <w:pPr>
        <w:pStyle w:val="BodyText"/>
        <w:spacing w:before="1"/>
        <w:ind w:left="612"/>
      </w:pPr>
      <w:r>
        <w:rPr/>
        <w:t>L'END</w:t>
      </w:r>
      <w:r>
        <w:rPr>
          <w:spacing w:val="-4"/>
        </w:rPr>
        <w:t> </w:t>
      </w:r>
      <w:r>
        <w:rPr/>
        <w:t>restera</w:t>
      </w:r>
      <w:r>
        <w:rPr>
          <w:spacing w:val="-1"/>
        </w:rPr>
        <w:t> </w:t>
      </w:r>
      <w:r>
        <w:rPr/>
        <w:t>employé</w:t>
      </w:r>
      <w:r>
        <w:rPr>
          <w:spacing w:val="-3"/>
        </w:rPr>
        <w:t> </w:t>
      </w:r>
      <w:r>
        <w:rPr/>
        <w:t>et</w:t>
      </w:r>
      <w:r>
        <w:rPr>
          <w:spacing w:val="-4"/>
        </w:rPr>
        <w:t> </w:t>
      </w:r>
      <w:r>
        <w:rPr/>
        <w:t>rémunéré</w:t>
      </w:r>
      <w:r>
        <w:rPr>
          <w:spacing w:val="-2"/>
        </w:rPr>
        <w:t> </w:t>
      </w:r>
      <w:r>
        <w:rPr/>
        <w:t>par</w:t>
      </w:r>
      <w:r>
        <w:rPr>
          <w:spacing w:val="-4"/>
        </w:rPr>
        <w:t> </w:t>
      </w:r>
      <w:r>
        <w:rPr/>
        <w:t>son</w:t>
      </w:r>
      <w:r>
        <w:rPr>
          <w:spacing w:val="-5"/>
        </w:rPr>
        <w:t> </w:t>
      </w:r>
      <w:r>
        <w:rPr/>
        <w:t>employeur</w:t>
      </w:r>
      <w:r>
        <w:rPr>
          <w:spacing w:val="-2"/>
        </w:rPr>
        <w:t> </w:t>
      </w:r>
      <w:r>
        <w:rPr/>
        <w:t>pendant</w:t>
      </w:r>
      <w:r>
        <w:rPr>
          <w:spacing w:val="-2"/>
        </w:rPr>
        <w:t> </w:t>
      </w:r>
      <w:r>
        <w:rPr/>
        <w:t>le</w:t>
      </w:r>
      <w:r>
        <w:rPr>
          <w:spacing w:val="-2"/>
        </w:rPr>
        <w:t> </w:t>
      </w:r>
      <w:r>
        <w:rPr/>
        <w:t>détachement.</w:t>
      </w:r>
      <w:r>
        <w:rPr>
          <w:spacing w:val="-3"/>
        </w:rPr>
        <w:t> </w:t>
      </w:r>
      <w:r>
        <w:rPr/>
        <w:t>Il</w:t>
      </w:r>
      <w:r>
        <w:rPr>
          <w:spacing w:val="-2"/>
        </w:rPr>
        <w:t> </w:t>
      </w:r>
      <w:r>
        <w:rPr/>
        <w:t>reste</w:t>
      </w:r>
      <w:r>
        <w:rPr>
          <w:spacing w:val="-2"/>
        </w:rPr>
        <w:t> </w:t>
      </w:r>
      <w:r>
        <w:rPr/>
        <w:t>également</w:t>
      </w:r>
      <w:r>
        <w:rPr>
          <w:spacing w:val="-2"/>
        </w:rPr>
        <w:t> </w:t>
      </w:r>
      <w:r>
        <w:rPr/>
        <w:t>couvert</w:t>
      </w:r>
      <w:r>
        <w:rPr>
          <w:spacing w:val="-2"/>
        </w:rPr>
        <w:t> </w:t>
      </w:r>
      <w:r>
        <w:rPr/>
        <w:t>par</w:t>
      </w:r>
      <w:r>
        <w:rPr>
          <w:spacing w:val="-5"/>
        </w:rPr>
        <w:t> </w:t>
      </w:r>
      <w:r>
        <w:rPr/>
        <w:t>le système national de sécurité sociale.</w:t>
      </w:r>
    </w:p>
    <w:p>
      <w:pPr>
        <w:pStyle w:val="BodyText"/>
        <w:spacing w:before="10"/>
        <w:rPr>
          <w:sz w:val="21"/>
        </w:rPr>
      </w:pPr>
    </w:p>
    <w:p>
      <w:pPr>
        <w:pStyle w:val="BodyText"/>
        <w:spacing w:before="1"/>
        <w:ind w:left="612" w:right="991"/>
        <w:jc w:val="both"/>
      </w:pPr>
      <w:r>
        <w:rPr/>
        <w:t>Sauf</w:t>
      </w:r>
      <w:r>
        <w:rPr>
          <w:spacing w:val="-2"/>
        </w:rPr>
        <w:t> </w:t>
      </w:r>
      <w:r>
        <w:rPr/>
        <w:t>pour</w:t>
      </w:r>
      <w:r>
        <w:rPr>
          <w:spacing w:val="-4"/>
        </w:rPr>
        <w:t> </w:t>
      </w:r>
      <w:r>
        <w:rPr/>
        <w:t>les</w:t>
      </w:r>
      <w:r>
        <w:rPr>
          <w:spacing w:val="-2"/>
        </w:rPr>
        <w:t> </w:t>
      </w:r>
      <w:r>
        <w:rPr/>
        <w:t>END</w:t>
      </w:r>
      <w:r>
        <w:rPr>
          <w:spacing w:val="-3"/>
        </w:rPr>
        <w:t> </w:t>
      </w:r>
      <w:r>
        <w:rPr/>
        <w:t>exempts</w:t>
      </w:r>
      <w:r>
        <w:rPr>
          <w:spacing w:val="-4"/>
        </w:rPr>
        <w:t> </w:t>
      </w:r>
      <w:r>
        <w:rPr/>
        <w:t>de coûts,</w:t>
      </w:r>
      <w:r>
        <w:rPr>
          <w:spacing w:val="-2"/>
        </w:rPr>
        <w:t> </w:t>
      </w:r>
      <w:r>
        <w:rPr/>
        <w:t>des</w:t>
      </w:r>
      <w:r>
        <w:rPr>
          <w:spacing w:val="-4"/>
        </w:rPr>
        <w:t> </w:t>
      </w:r>
      <w:r>
        <w:rPr/>
        <w:t>indemnités</w:t>
      </w:r>
      <w:r>
        <w:rPr>
          <w:spacing w:val="-1"/>
        </w:rPr>
        <w:t> </w:t>
      </w:r>
      <w:r>
        <w:rPr/>
        <w:t>peuvent</w:t>
      </w:r>
      <w:r>
        <w:rPr>
          <w:spacing w:val="-1"/>
        </w:rPr>
        <w:t> </w:t>
      </w:r>
      <w:r>
        <w:rPr/>
        <w:t>être</w:t>
      </w:r>
      <w:r>
        <w:rPr>
          <w:spacing w:val="-4"/>
        </w:rPr>
        <w:t> </w:t>
      </w:r>
      <w:r>
        <w:rPr/>
        <w:t>accordées</w:t>
      </w:r>
      <w:r>
        <w:rPr>
          <w:spacing w:val="-1"/>
        </w:rPr>
        <w:t> </w:t>
      </w:r>
      <w:r>
        <w:rPr/>
        <w:t>par</w:t>
      </w:r>
      <w:r>
        <w:rPr>
          <w:spacing w:val="-4"/>
        </w:rPr>
        <w:t> </w:t>
      </w:r>
      <w:r>
        <w:rPr/>
        <w:t>la</w:t>
      </w:r>
      <w:r>
        <w:rPr>
          <w:spacing w:val="-4"/>
        </w:rPr>
        <w:t> </w:t>
      </w:r>
      <w:r>
        <w:rPr/>
        <w:t>Commission</w:t>
      </w:r>
      <w:r>
        <w:rPr>
          <w:spacing w:val="-2"/>
        </w:rPr>
        <w:t> </w:t>
      </w:r>
      <w:r>
        <w:rPr/>
        <w:t>aux</w:t>
      </w:r>
      <w:r>
        <w:rPr>
          <w:spacing w:val="-2"/>
        </w:rPr>
        <w:t> </w:t>
      </w:r>
      <w:r>
        <w:rPr/>
        <w:t>END remplissant les conditions prévues à l'art. 17 de la décision relative aux END.</w:t>
      </w:r>
    </w:p>
    <w:p>
      <w:pPr>
        <w:pStyle w:val="BodyText"/>
        <w:ind w:left="612" w:right="107"/>
        <w:jc w:val="both"/>
      </w:pPr>
      <w:r>
        <w:rPr/>
        <w:t>Pendant</w:t>
      </w:r>
      <w:r>
        <w:rPr>
          <w:spacing w:val="-1"/>
        </w:rPr>
        <w:t> </w:t>
      </w:r>
      <w:r>
        <w:rPr/>
        <w:t>le</w:t>
      </w:r>
      <w:r>
        <w:rPr>
          <w:spacing w:val="-1"/>
        </w:rPr>
        <w:t> </w:t>
      </w:r>
      <w:r>
        <w:rPr/>
        <w:t>détachement,</w:t>
      </w:r>
      <w:r>
        <w:rPr>
          <w:spacing w:val="-2"/>
        </w:rPr>
        <w:t> </w:t>
      </w:r>
      <w:r>
        <w:rPr/>
        <w:t>les</w:t>
      </w:r>
      <w:r>
        <w:rPr>
          <w:spacing w:val="-4"/>
        </w:rPr>
        <w:t> </w:t>
      </w:r>
      <w:r>
        <w:rPr/>
        <w:t>END</w:t>
      </w:r>
      <w:r>
        <w:rPr>
          <w:spacing w:val="-3"/>
        </w:rPr>
        <w:t> </w:t>
      </w:r>
      <w:r>
        <w:rPr/>
        <w:t>sont</w:t>
      </w:r>
      <w:r>
        <w:rPr>
          <w:spacing w:val="-1"/>
        </w:rPr>
        <w:t> </w:t>
      </w:r>
      <w:r>
        <w:rPr/>
        <w:t>soumis à</w:t>
      </w:r>
      <w:r>
        <w:rPr>
          <w:spacing w:val="-2"/>
        </w:rPr>
        <w:t> </w:t>
      </w:r>
      <w:r>
        <w:rPr/>
        <w:t>des</w:t>
      </w:r>
      <w:r>
        <w:rPr>
          <w:spacing w:val="-4"/>
        </w:rPr>
        <w:t> </w:t>
      </w:r>
      <w:r>
        <w:rPr/>
        <w:t>obligations</w:t>
      </w:r>
      <w:r>
        <w:rPr>
          <w:spacing w:val="-2"/>
        </w:rPr>
        <w:t> </w:t>
      </w:r>
      <w:r>
        <w:rPr/>
        <w:t>de</w:t>
      </w:r>
      <w:r>
        <w:rPr>
          <w:spacing w:val="-3"/>
        </w:rPr>
        <w:t> </w:t>
      </w:r>
      <w:r>
        <w:rPr/>
        <w:t>confidentialité,</w:t>
      </w:r>
      <w:r>
        <w:rPr>
          <w:spacing w:val="-3"/>
        </w:rPr>
        <w:t> </w:t>
      </w:r>
      <w:r>
        <w:rPr/>
        <w:t>de</w:t>
      </w:r>
      <w:r>
        <w:rPr>
          <w:spacing w:val="-2"/>
        </w:rPr>
        <w:t> </w:t>
      </w:r>
      <w:r>
        <w:rPr/>
        <w:t>loyauté</w:t>
      </w:r>
      <w:r>
        <w:rPr>
          <w:spacing w:val="-2"/>
        </w:rPr>
        <w:t> </w:t>
      </w:r>
      <w:r>
        <w:rPr/>
        <w:t>et</w:t>
      </w:r>
      <w:r>
        <w:rPr>
          <w:spacing w:val="-1"/>
        </w:rPr>
        <w:t> </w:t>
      </w:r>
      <w:r>
        <w:rPr/>
        <w:t>d'absence</w:t>
      </w:r>
      <w:r>
        <w:rPr>
          <w:spacing w:val="-4"/>
        </w:rPr>
        <w:t> </w:t>
      </w:r>
      <w:r>
        <w:rPr/>
        <w:t>de</w:t>
      </w:r>
      <w:r>
        <w:rPr>
          <w:spacing w:val="-2"/>
        </w:rPr>
        <w:t> </w:t>
      </w:r>
      <w:r>
        <w:rPr/>
        <w:t>conflit d'intérêts, comme le prévoient</w:t>
      </w:r>
      <w:r>
        <w:rPr>
          <w:spacing w:val="-1"/>
        </w:rPr>
        <w:t> </w:t>
      </w:r>
      <w:r>
        <w:rPr/>
        <w:t>les</w:t>
      </w:r>
      <w:r>
        <w:rPr>
          <w:spacing w:val="-2"/>
        </w:rPr>
        <w:t> </w:t>
      </w:r>
      <w:r>
        <w:rPr/>
        <w:t>art. 6 et 7 de la décision relative aux END. Si un</w:t>
      </w:r>
      <w:r>
        <w:rPr>
          <w:spacing w:val="-3"/>
        </w:rPr>
        <w:t> </w:t>
      </w:r>
      <w:r>
        <w:rPr/>
        <w:t>document est inexact,</w:t>
      </w:r>
      <w:r>
        <w:rPr>
          <w:spacing w:val="-3"/>
        </w:rPr>
        <w:t> </w:t>
      </w:r>
      <w:r>
        <w:rPr/>
        <w:t>incomplet ou manquant, la demande peut être annulée.</w:t>
      </w:r>
    </w:p>
    <w:p>
      <w:pPr>
        <w:pStyle w:val="BodyText"/>
        <w:spacing w:before="10"/>
        <w:rPr>
          <w:sz w:val="21"/>
        </w:rPr>
      </w:pPr>
    </w:p>
    <w:p>
      <w:pPr>
        <w:pStyle w:val="BodyText"/>
        <w:ind w:left="612" w:right="130"/>
      </w:pPr>
      <w:r>
        <w:rPr/>
        <w:t>Le personnel affecté dans une </w:t>
      </w:r>
      <w:r>
        <w:rPr>
          <w:b/>
        </w:rPr>
        <w:t>délégation de l'Union européenne </w:t>
      </w:r>
      <w:r>
        <w:rPr/>
        <w:t>doit posséder une habilitation de sécurité (jusqu'au</w:t>
      </w:r>
      <w:r>
        <w:rPr>
          <w:spacing w:val="-2"/>
        </w:rPr>
        <w:t> </w:t>
      </w:r>
      <w:r>
        <w:rPr/>
        <w:t>niveau</w:t>
      </w:r>
      <w:r>
        <w:rPr>
          <w:spacing w:val="-2"/>
        </w:rPr>
        <w:t> </w:t>
      </w:r>
      <w:r>
        <w:rPr/>
        <w:t>SECRET</w:t>
      </w:r>
      <w:r>
        <w:rPr>
          <w:spacing w:val="-4"/>
        </w:rPr>
        <w:t> </w:t>
      </w:r>
      <w:r>
        <w:rPr/>
        <w:t>UE/EU</w:t>
      </w:r>
      <w:r>
        <w:rPr>
          <w:spacing w:val="-3"/>
        </w:rPr>
        <w:t> </w:t>
      </w:r>
      <w:r>
        <w:rPr/>
        <w:t>SECRET</w:t>
      </w:r>
      <w:r>
        <w:rPr>
          <w:spacing w:val="-1"/>
        </w:rPr>
        <w:t> </w:t>
      </w:r>
      <w:r>
        <w:rPr/>
        <w:t>selon</w:t>
      </w:r>
      <w:r>
        <w:rPr>
          <w:spacing w:val="-2"/>
        </w:rPr>
        <w:t> </w:t>
      </w:r>
      <w:r>
        <w:rPr/>
        <w:t>la</w:t>
      </w:r>
      <w:r>
        <w:rPr>
          <w:spacing w:val="-1"/>
        </w:rPr>
        <w:t> </w:t>
      </w:r>
      <w:r>
        <w:rPr/>
        <w:t>décision</w:t>
      </w:r>
      <w:r>
        <w:rPr>
          <w:spacing w:val="-4"/>
        </w:rPr>
        <w:t> </w:t>
      </w:r>
      <w:r>
        <w:rPr/>
        <w:t>(UE,</w:t>
      </w:r>
      <w:r>
        <w:rPr>
          <w:spacing w:val="-2"/>
        </w:rPr>
        <w:t> </w:t>
      </w:r>
      <w:r>
        <w:rPr/>
        <w:t>Euratom)</w:t>
      </w:r>
      <w:r>
        <w:rPr>
          <w:spacing w:val="-1"/>
        </w:rPr>
        <w:t> </w:t>
      </w:r>
      <w:r>
        <w:rPr/>
        <w:t>2015/444</w:t>
      </w:r>
      <w:r>
        <w:rPr>
          <w:spacing w:val="-1"/>
        </w:rPr>
        <w:t> </w:t>
      </w:r>
      <w:r>
        <w:rPr/>
        <w:t>de</w:t>
      </w:r>
      <w:r>
        <w:rPr>
          <w:spacing w:val="-2"/>
        </w:rPr>
        <w:t> </w:t>
      </w:r>
      <w:r>
        <w:rPr/>
        <w:t>la</w:t>
      </w:r>
      <w:r>
        <w:rPr>
          <w:spacing w:val="-2"/>
        </w:rPr>
        <w:t> </w:t>
      </w:r>
      <w:r>
        <w:rPr/>
        <w:t>Commission</w:t>
      </w:r>
      <w:r>
        <w:rPr>
          <w:spacing w:val="-2"/>
        </w:rPr>
        <w:t> </w:t>
      </w:r>
      <w:r>
        <w:rPr/>
        <w:t>du</w:t>
      </w:r>
      <w:r>
        <w:rPr>
          <w:spacing w:val="-4"/>
        </w:rPr>
        <w:t> </w:t>
      </w:r>
      <w:r>
        <w:rPr/>
        <w:t>13 mars 2015, JO L 72 du 17.03.2015, p. 53).</w:t>
      </w:r>
    </w:p>
    <w:p>
      <w:pPr>
        <w:pStyle w:val="BodyText"/>
        <w:spacing w:before="2"/>
        <w:ind w:left="612"/>
      </w:pPr>
      <w:r>
        <w:rPr/>
        <w:t>Le</w:t>
      </w:r>
      <w:r>
        <w:rPr>
          <w:spacing w:val="-2"/>
        </w:rPr>
        <w:t> </w:t>
      </w:r>
      <w:r>
        <w:rPr/>
        <w:t>candidat</w:t>
      </w:r>
      <w:r>
        <w:rPr>
          <w:spacing w:val="-1"/>
        </w:rPr>
        <w:t> </w:t>
      </w:r>
      <w:r>
        <w:rPr/>
        <w:t>sélectionné</w:t>
      </w:r>
      <w:r>
        <w:rPr>
          <w:spacing w:val="-1"/>
        </w:rPr>
        <w:t> </w:t>
      </w:r>
      <w:r>
        <w:rPr/>
        <w:t>a</w:t>
      </w:r>
      <w:r>
        <w:rPr>
          <w:spacing w:val="-4"/>
        </w:rPr>
        <w:t> </w:t>
      </w:r>
      <w:r>
        <w:rPr/>
        <w:t>l'obligation</w:t>
      </w:r>
      <w:r>
        <w:rPr>
          <w:spacing w:val="-2"/>
        </w:rPr>
        <w:t> </w:t>
      </w:r>
      <w:r>
        <w:rPr/>
        <w:t>de</w:t>
      </w:r>
      <w:r>
        <w:rPr>
          <w:spacing w:val="-2"/>
        </w:rPr>
        <w:t> </w:t>
      </w:r>
      <w:r>
        <w:rPr/>
        <w:t>lancer</w:t>
      </w:r>
      <w:r>
        <w:rPr>
          <w:spacing w:val="-4"/>
        </w:rPr>
        <w:t> </w:t>
      </w:r>
      <w:r>
        <w:rPr/>
        <w:t>la procédure</w:t>
      </w:r>
      <w:r>
        <w:rPr>
          <w:spacing w:val="-4"/>
        </w:rPr>
        <w:t> </w:t>
      </w:r>
      <w:r>
        <w:rPr/>
        <w:t>de</w:t>
      </w:r>
      <w:r>
        <w:rPr>
          <w:spacing w:val="-2"/>
        </w:rPr>
        <w:t> </w:t>
      </w:r>
      <w:r>
        <w:rPr/>
        <w:t>contrôle</w:t>
      </w:r>
      <w:r>
        <w:rPr>
          <w:spacing w:val="-2"/>
        </w:rPr>
        <w:t> </w:t>
      </w:r>
      <w:r>
        <w:rPr/>
        <w:t>avant</w:t>
      </w:r>
      <w:r>
        <w:rPr>
          <w:spacing w:val="-4"/>
        </w:rPr>
        <w:t> </w:t>
      </w:r>
      <w:r>
        <w:rPr/>
        <w:t>d'obtenir</w:t>
      </w:r>
      <w:r>
        <w:rPr>
          <w:spacing w:val="-4"/>
        </w:rPr>
        <w:t> </w:t>
      </w:r>
      <w:r>
        <w:rPr/>
        <w:t>la</w:t>
      </w:r>
      <w:r>
        <w:rPr>
          <w:spacing w:val="-2"/>
        </w:rPr>
        <w:t> </w:t>
      </w:r>
      <w:r>
        <w:rPr/>
        <w:t>confirmation</w:t>
      </w:r>
      <w:r>
        <w:rPr>
          <w:spacing w:val="-2"/>
        </w:rPr>
        <w:t> </w:t>
      </w:r>
      <w:r>
        <w:rPr/>
        <w:t>de</w:t>
      </w:r>
      <w:r>
        <w:rPr>
          <w:spacing w:val="-4"/>
        </w:rPr>
        <w:t> </w:t>
      </w:r>
      <w:r>
        <w:rPr/>
        <w:t>son </w:t>
      </w:r>
      <w:r>
        <w:rPr>
          <w:spacing w:val="-2"/>
        </w:rPr>
        <w:t>détachement.</w:t>
      </w:r>
    </w:p>
    <w:p>
      <w:pPr>
        <w:spacing w:after="0"/>
        <w:sectPr>
          <w:pgSz w:w="11910" w:h="16840"/>
          <w:pgMar w:header="0" w:footer="560" w:top="1040" w:bottom="880" w:left="240" w:right="740"/>
        </w:sectPr>
      </w:pPr>
    </w:p>
    <w:p>
      <w:pPr>
        <w:pStyle w:val="ListParagraph"/>
        <w:numPr>
          <w:ilvl w:val="0"/>
          <w:numId w:val="3"/>
        </w:numPr>
        <w:tabs>
          <w:tab w:pos="1039" w:val="left" w:leader="none"/>
          <w:tab w:pos="1040" w:val="left" w:leader="none"/>
        </w:tabs>
        <w:spacing w:line="240" w:lineRule="auto" w:before="73" w:after="0"/>
        <w:ind w:left="103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2"/>
          <w:sz w:val="24"/>
          <w:u w:val="single"/>
        </w:rPr>
        <w:t> </w:t>
      </w:r>
      <w:r>
        <w:rPr>
          <w:b/>
          <w:sz w:val="24"/>
          <w:u w:val="single"/>
        </w:rPr>
        <w:t>à</w:t>
      </w:r>
      <w:r>
        <w:rPr>
          <w:b/>
          <w:spacing w:val="-3"/>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103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spacing w:before="1"/>
      </w:pPr>
    </w:p>
    <w:p>
      <w:pPr>
        <w:pStyle w:val="BodyText"/>
        <w:ind w:left="1039" w:right="286"/>
        <w:jc w:val="both"/>
      </w:pPr>
      <w:r>
        <w:rPr/>
        <w:t>Les données des END seront conservées pendant 10 ans à compter de la fin du détachement (2 ans pour les END dont la candidature n'a pas été retenue ou a été retirée).</w:t>
      </w:r>
    </w:p>
    <w:p>
      <w:pPr>
        <w:pStyle w:val="BodyText"/>
        <w:spacing w:before="11"/>
        <w:rPr>
          <w:sz w:val="21"/>
        </w:rPr>
      </w:pPr>
    </w:p>
    <w:p>
      <w:pPr>
        <w:pStyle w:val="BodyText"/>
        <w:ind w:left="1039" w:right="287"/>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pPr>
    </w:p>
    <w:p>
      <w:pPr>
        <w:pStyle w:val="BodyText"/>
        <w:spacing w:before="1"/>
        <w:ind w:left="103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ind w:left="1039" w:firstLine="0"/>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4"/>
        </w:numPr>
        <w:tabs>
          <w:tab w:pos="1333" w:val="left" w:leader="none"/>
        </w:tabs>
        <w:spacing w:line="252" w:lineRule="exact" w:before="91" w:after="0"/>
        <w:ind w:left="1332" w:right="0" w:hanging="294"/>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1039" w:right="286"/>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 </w:t>
      </w:r>
      <w:hyperlink r:id="rId11">
        <w:r>
          <w:rPr>
            <w:color w:val="0462C1"/>
            <w:u w:val="single" w:color="0462C1"/>
          </w:rPr>
          <w:t>HR-END@ec.europa.eu</w:t>
        </w:r>
      </w:hyperlink>
    </w:p>
    <w:p>
      <w:pPr>
        <w:pStyle w:val="BodyText"/>
        <w:rPr>
          <w:sz w:val="20"/>
        </w:rPr>
      </w:pPr>
    </w:p>
    <w:p>
      <w:pPr>
        <w:pStyle w:val="BodyText"/>
        <w:rPr>
          <w:sz w:val="16"/>
        </w:rPr>
      </w:pPr>
    </w:p>
    <w:p>
      <w:pPr>
        <w:pStyle w:val="Heading1"/>
        <w:numPr>
          <w:ilvl w:val="0"/>
          <w:numId w:val="4"/>
        </w:numPr>
        <w:tabs>
          <w:tab w:pos="1333" w:val="left" w:leader="none"/>
        </w:tabs>
        <w:spacing w:line="240" w:lineRule="auto" w:before="91" w:after="0"/>
        <w:ind w:left="1332" w:right="0" w:hanging="294"/>
        <w:jc w:val="both"/>
        <w:rPr>
          <w:b w:val="0"/>
        </w:rPr>
      </w:pPr>
      <w:r>
        <w:rPr/>
        <w:t>Le</w:t>
      </w:r>
      <w:r>
        <w:rPr>
          <w:spacing w:val="-4"/>
        </w:rPr>
        <w:t> </w:t>
      </w:r>
      <w:r>
        <w:rPr/>
        <w:t>délégué</w:t>
      </w:r>
      <w:r>
        <w:rPr>
          <w:spacing w:val="-2"/>
        </w:rPr>
        <w:t> </w:t>
      </w:r>
      <w:r>
        <w:rPr/>
        <w:t>à</w:t>
      </w:r>
      <w:r>
        <w:rPr>
          <w:spacing w:val="-5"/>
        </w:rPr>
        <w:t> </w:t>
      </w:r>
      <w:r>
        <w:rPr/>
        <w:t>la</w:t>
      </w:r>
      <w:r>
        <w:rPr>
          <w:spacing w:val="-1"/>
        </w:rPr>
        <w:t> </w:t>
      </w:r>
      <w:r>
        <w:rPr/>
        <w:t>protection</w:t>
      </w:r>
      <w:r>
        <w:rPr>
          <w:spacing w:val="-5"/>
        </w:rPr>
        <w:t> </w:t>
      </w:r>
      <w:r>
        <w:rPr/>
        <w:t>des</w:t>
      </w:r>
      <w:r>
        <w:rPr>
          <w:spacing w:val="-2"/>
        </w:rPr>
        <w:t> </w:t>
      </w:r>
      <w:r>
        <w:rPr/>
        <w:t>données</w:t>
      </w:r>
      <w:r>
        <w:rPr>
          <w:spacing w:val="-3"/>
        </w:rPr>
        <w:t> </w:t>
      </w:r>
      <w:r>
        <w:rPr/>
        <w:t>(DPD)</w:t>
      </w:r>
      <w:r>
        <w:rPr>
          <w:spacing w:val="-2"/>
        </w:rPr>
        <w:t> </w:t>
      </w:r>
      <w:r>
        <w:rPr/>
        <w:t>de</w:t>
      </w:r>
      <w:r>
        <w:rPr>
          <w:spacing w:val="-5"/>
        </w:rPr>
        <w:t> </w:t>
      </w:r>
      <w:r>
        <w:rPr/>
        <w:t>la</w:t>
      </w:r>
      <w:r>
        <w:rPr>
          <w:spacing w:val="-4"/>
        </w:rPr>
        <w:t> </w:t>
      </w:r>
      <w:r>
        <w:rPr>
          <w:spacing w:val="-2"/>
        </w:rPr>
        <w:t>Commission</w:t>
      </w:r>
    </w:p>
    <w:p>
      <w:pPr>
        <w:pStyle w:val="BodyText"/>
        <w:spacing w:before="2"/>
        <w:ind w:left="1039" w:right="278"/>
        <w:jc w:val="both"/>
      </w:pPr>
      <w:r>
        <w:rPr/>
        <w:t>Vous pouvez contacter le délégué à la protection des données (</w:t>
      </w:r>
      <w:hyperlink r:id="rId12">
        <w:r>
          <w:rPr>
            <w:color w:val="0000FF"/>
            <w:u w:val="single" w:color="0000FF"/>
          </w:rPr>
          <w:t>DATA-PROTECTION-</w:t>
        </w:r>
      </w:hyperlink>
      <w:r>
        <w:rPr>
          <w:color w:val="0000FF"/>
        </w:rPr>
        <w:t> </w:t>
      </w:r>
      <w:hyperlink r:id="rId12">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4"/>
        </w:numPr>
        <w:tabs>
          <w:tab w:pos="1333" w:val="left" w:leader="none"/>
        </w:tabs>
        <w:spacing w:line="250" w:lineRule="exact" w:before="0" w:after="0"/>
        <w:ind w:left="1332" w:right="0" w:hanging="294"/>
        <w:jc w:val="both"/>
      </w:pPr>
      <w:r>
        <w:rPr/>
        <w:t>Le</w:t>
      </w:r>
      <w:r>
        <w:rPr>
          <w:spacing w:val="-6"/>
        </w:rPr>
        <w:t> </w:t>
      </w:r>
      <w:r>
        <w:rPr/>
        <w:t>contrôleur</w:t>
      </w:r>
      <w:r>
        <w:rPr>
          <w:spacing w:val="-3"/>
        </w:rPr>
        <w:t> </w:t>
      </w:r>
      <w:r>
        <w:rPr/>
        <w:t>européen</w:t>
      </w:r>
      <w:r>
        <w:rPr>
          <w:spacing w:val="-3"/>
        </w:rPr>
        <w:t> </w:t>
      </w:r>
      <w:r>
        <w:rPr/>
        <w:t>de</w:t>
      </w:r>
      <w:r>
        <w:rPr>
          <w:spacing w:val="-3"/>
        </w:rPr>
        <w:t> </w:t>
      </w:r>
      <w:r>
        <w:rPr/>
        <w:t>la</w:t>
      </w:r>
      <w:r>
        <w:rPr>
          <w:spacing w:val="-4"/>
        </w:rPr>
        <w:t> </w:t>
      </w:r>
      <w:r>
        <w:rPr/>
        <w:t>protection</w:t>
      </w:r>
      <w:r>
        <w:rPr>
          <w:spacing w:val="-3"/>
        </w:rPr>
        <w:t> </w:t>
      </w:r>
      <w:r>
        <w:rPr/>
        <w:t>des</w:t>
      </w:r>
      <w:r>
        <w:rPr>
          <w:spacing w:val="-3"/>
        </w:rPr>
        <w:t> </w:t>
      </w:r>
      <w:r>
        <w:rPr/>
        <w:t>données</w:t>
      </w:r>
      <w:r>
        <w:rPr>
          <w:spacing w:val="-3"/>
        </w:rPr>
        <w:t> </w:t>
      </w:r>
      <w:r>
        <w:rPr>
          <w:spacing w:val="-2"/>
        </w:rPr>
        <w:t>(CEPD)</w:t>
      </w:r>
    </w:p>
    <w:p>
      <w:pPr>
        <w:pStyle w:val="BodyText"/>
        <w:ind w:left="1039" w:right="278"/>
        <w:jc w:val="both"/>
      </w:pPr>
      <w:r>
        <w:rPr/>
        <w:t>Vous avez le droit de saisir le contrôleur européen de la protection des données (</w:t>
      </w:r>
      <w:hyperlink r:id="rId13">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1039"/>
      </w:pPr>
      <w:r>
        <w:rPr/>
        <w:t>À l'attention des candidats</w:t>
      </w:r>
      <w:r>
        <w:rPr>
          <w:spacing w:val="-2"/>
        </w:rPr>
        <w:t> </w:t>
      </w:r>
      <w:r>
        <w:rPr/>
        <w:t>ressortissants de pays tiers: vos données personnelles peuvent être utilisées aux fins des vérifications nécessaires.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spacing w:before="124"/>
        <w:ind w:left="100" w:right="0" w:firstLine="0"/>
        <w:jc w:val="left"/>
        <w:rPr>
          <w:rFonts w:ascii="Cambria"/>
          <w:sz w:val="16"/>
        </w:rPr>
      </w:pPr>
      <w:r>
        <w:rPr>
          <w:position w:val="-3"/>
        </w:rPr>
        <w:drawing>
          <wp:inline distT="0" distB="0" distL="0" distR="0">
            <wp:extent cx="165100" cy="114300"/>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165100" cy="114300"/>
                    </a:xfrm>
                    <a:prstGeom prst="rect">
                      <a:avLst/>
                    </a:prstGeom>
                  </pic:spPr>
                </pic:pic>
              </a:graphicData>
            </a:graphic>
          </wp:inline>
        </w:drawing>
      </w:r>
      <w:r>
        <w:rPr>
          <w:position w:val="-3"/>
        </w:rPr>
      </w:r>
      <w:r>
        <w:rPr>
          <w:spacing w:val="56"/>
          <w:sz w:val="20"/>
        </w:rPr>
        <w:t> </w:t>
      </w:r>
      <w:r>
        <w:rPr>
          <w:rFonts w:ascii="Cambria"/>
          <w:w w:val="90"/>
          <w:sz w:val="16"/>
        </w:rPr>
        <w:t>Electronically</w:t>
      </w:r>
      <w:r>
        <w:rPr>
          <w:rFonts w:ascii="Cambria"/>
          <w:spacing w:val="11"/>
          <w:sz w:val="16"/>
        </w:rPr>
        <w:t> </w:t>
      </w:r>
      <w:r>
        <w:rPr>
          <w:rFonts w:ascii="Cambria"/>
          <w:w w:val="90"/>
          <w:sz w:val="16"/>
        </w:rPr>
        <w:t>signed</w:t>
      </w:r>
      <w:r>
        <w:rPr>
          <w:rFonts w:ascii="Cambria"/>
          <w:spacing w:val="11"/>
          <w:sz w:val="16"/>
        </w:rPr>
        <w:t> </w:t>
      </w:r>
      <w:r>
        <w:rPr>
          <w:rFonts w:ascii="Cambria"/>
          <w:w w:val="90"/>
          <w:sz w:val="16"/>
        </w:rPr>
        <w:t>on</w:t>
      </w:r>
      <w:r>
        <w:rPr>
          <w:rFonts w:ascii="Cambria"/>
          <w:spacing w:val="10"/>
          <w:sz w:val="16"/>
        </w:rPr>
        <w:t> </w:t>
      </w:r>
      <w:r>
        <w:rPr>
          <w:rFonts w:ascii="Cambria"/>
          <w:w w:val="90"/>
          <w:sz w:val="16"/>
        </w:rPr>
        <w:t>28/02/2023</w:t>
      </w:r>
      <w:r>
        <w:rPr>
          <w:rFonts w:ascii="Cambria"/>
          <w:spacing w:val="11"/>
          <w:sz w:val="16"/>
        </w:rPr>
        <w:t> </w:t>
      </w:r>
      <w:r>
        <w:rPr>
          <w:rFonts w:ascii="Cambria"/>
          <w:w w:val="90"/>
          <w:sz w:val="16"/>
        </w:rPr>
        <w:t>11:28</w:t>
      </w:r>
      <w:r>
        <w:rPr>
          <w:rFonts w:ascii="Cambria"/>
          <w:spacing w:val="11"/>
          <w:sz w:val="16"/>
        </w:rPr>
        <w:t> </w:t>
      </w:r>
      <w:r>
        <w:rPr>
          <w:rFonts w:ascii="Cambria"/>
          <w:w w:val="90"/>
          <w:sz w:val="16"/>
        </w:rPr>
        <w:t>(UTC+01)</w:t>
      </w:r>
      <w:r>
        <w:rPr>
          <w:rFonts w:ascii="Cambria"/>
          <w:spacing w:val="10"/>
          <w:sz w:val="16"/>
        </w:rPr>
        <w:t> </w:t>
      </w:r>
      <w:r>
        <w:rPr>
          <w:rFonts w:ascii="Cambria"/>
          <w:w w:val="90"/>
          <w:sz w:val="16"/>
        </w:rPr>
        <w:t>in</w:t>
      </w:r>
      <w:r>
        <w:rPr>
          <w:rFonts w:ascii="Cambria"/>
          <w:spacing w:val="10"/>
          <w:sz w:val="16"/>
        </w:rPr>
        <w:t> </w:t>
      </w:r>
      <w:r>
        <w:rPr>
          <w:rFonts w:ascii="Cambria"/>
          <w:w w:val="90"/>
          <w:sz w:val="16"/>
        </w:rPr>
        <w:t>accordance</w:t>
      </w:r>
      <w:r>
        <w:rPr>
          <w:rFonts w:ascii="Cambria"/>
          <w:spacing w:val="10"/>
          <w:sz w:val="16"/>
        </w:rPr>
        <w:t> </w:t>
      </w:r>
      <w:r>
        <w:rPr>
          <w:rFonts w:ascii="Cambria"/>
          <w:w w:val="90"/>
          <w:sz w:val="16"/>
        </w:rPr>
        <w:t>with</w:t>
      </w:r>
      <w:r>
        <w:rPr>
          <w:rFonts w:ascii="Cambria"/>
          <w:spacing w:val="11"/>
          <w:sz w:val="16"/>
        </w:rPr>
        <w:t> </w:t>
      </w:r>
      <w:r>
        <w:rPr>
          <w:rFonts w:ascii="Cambria"/>
          <w:w w:val="90"/>
          <w:sz w:val="16"/>
        </w:rPr>
        <w:t>Article</w:t>
      </w:r>
      <w:r>
        <w:rPr>
          <w:rFonts w:ascii="Cambria"/>
          <w:spacing w:val="11"/>
          <w:sz w:val="16"/>
        </w:rPr>
        <w:t> </w:t>
      </w:r>
      <w:r>
        <w:rPr>
          <w:rFonts w:ascii="Cambria"/>
          <w:w w:val="90"/>
          <w:sz w:val="16"/>
        </w:rPr>
        <w:t>11</w:t>
      </w:r>
      <w:r>
        <w:rPr>
          <w:rFonts w:ascii="Cambria"/>
          <w:spacing w:val="11"/>
          <w:sz w:val="16"/>
        </w:rPr>
        <w:t> </w:t>
      </w:r>
      <w:r>
        <w:rPr>
          <w:rFonts w:ascii="Cambria"/>
          <w:w w:val="90"/>
          <w:sz w:val="16"/>
        </w:rPr>
        <w:t>of</w:t>
      </w:r>
      <w:r>
        <w:rPr>
          <w:rFonts w:ascii="Cambria"/>
          <w:spacing w:val="10"/>
          <w:sz w:val="16"/>
        </w:rPr>
        <w:t> </w:t>
      </w:r>
      <w:r>
        <w:rPr>
          <w:rFonts w:ascii="Cambria"/>
          <w:w w:val="90"/>
          <w:sz w:val="16"/>
        </w:rPr>
        <w:t>Commission</w:t>
      </w:r>
      <w:r>
        <w:rPr>
          <w:rFonts w:ascii="Cambria"/>
          <w:spacing w:val="11"/>
          <w:sz w:val="16"/>
        </w:rPr>
        <w:t> </w:t>
      </w:r>
      <w:r>
        <w:rPr>
          <w:rFonts w:ascii="Cambria"/>
          <w:w w:val="90"/>
          <w:sz w:val="16"/>
        </w:rPr>
        <w:t>Decision</w:t>
      </w:r>
      <w:r>
        <w:rPr>
          <w:rFonts w:ascii="Cambria"/>
          <w:spacing w:val="10"/>
          <w:sz w:val="16"/>
        </w:rPr>
        <w:t> </w:t>
      </w:r>
      <w:r>
        <w:rPr>
          <w:rFonts w:ascii="Cambria"/>
          <w:w w:val="90"/>
          <w:sz w:val="16"/>
        </w:rPr>
        <w:t>(EU)</w:t>
      </w:r>
      <w:r>
        <w:rPr>
          <w:rFonts w:ascii="Cambria"/>
          <w:spacing w:val="10"/>
          <w:sz w:val="16"/>
        </w:rPr>
        <w:t> </w:t>
      </w:r>
      <w:r>
        <w:rPr>
          <w:rFonts w:ascii="Cambria"/>
          <w:w w:val="90"/>
          <w:sz w:val="16"/>
        </w:rPr>
        <w:t>2021/2121</w:t>
      </w:r>
    </w:p>
    <w:sectPr>
      <w:pgSz w:w="11910" w:h="16840"/>
      <w:pgMar w:header="0" w:footer="560" w:top="1040" w:bottom="740" w:left="24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052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02-</w:t>
                </w:r>
                <w:r>
                  <w:rPr>
                    <w:spacing w:val="-4"/>
                    <w:sz w:val="16"/>
                  </w:rPr>
                  <w:t>2023</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332" w:hanging="293"/>
      </w:pPr>
      <w:rPr>
        <w:rFonts w:hint="default" w:ascii="Times New Roman" w:hAnsi="Times New Roman" w:eastAsia="Times New Roman" w:cs="Times New Roman"/>
        <w:w w:val="100"/>
        <w:lang w:val="fr-FR" w:eastAsia="en-US" w:bidi="ar-SA"/>
      </w:rPr>
    </w:lvl>
    <w:lvl w:ilvl="1">
      <w:start w:val="0"/>
      <w:numFmt w:val="bullet"/>
      <w:lvlText w:val="•"/>
      <w:lvlJc w:val="left"/>
      <w:pPr>
        <w:ind w:left="2298" w:hanging="293"/>
      </w:pPr>
      <w:rPr>
        <w:rFonts w:hint="default"/>
        <w:lang w:val="fr-FR" w:eastAsia="en-US" w:bidi="ar-SA"/>
      </w:rPr>
    </w:lvl>
    <w:lvl w:ilvl="2">
      <w:start w:val="0"/>
      <w:numFmt w:val="bullet"/>
      <w:lvlText w:val="•"/>
      <w:lvlJc w:val="left"/>
      <w:pPr>
        <w:ind w:left="3257" w:hanging="293"/>
      </w:pPr>
      <w:rPr>
        <w:rFonts w:hint="default"/>
        <w:lang w:val="fr-FR" w:eastAsia="en-US" w:bidi="ar-SA"/>
      </w:rPr>
    </w:lvl>
    <w:lvl w:ilvl="3">
      <w:start w:val="0"/>
      <w:numFmt w:val="bullet"/>
      <w:lvlText w:val="•"/>
      <w:lvlJc w:val="left"/>
      <w:pPr>
        <w:ind w:left="4215" w:hanging="293"/>
      </w:pPr>
      <w:rPr>
        <w:rFonts w:hint="default"/>
        <w:lang w:val="fr-FR" w:eastAsia="en-US" w:bidi="ar-SA"/>
      </w:rPr>
    </w:lvl>
    <w:lvl w:ilvl="4">
      <w:start w:val="0"/>
      <w:numFmt w:val="bullet"/>
      <w:lvlText w:val="•"/>
      <w:lvlJc w:val="left"/>
      <w:pPr>
        <w:ind w:left="5174" w:hanging="293"/>
      </w:pPr>
      <w:rPr>
        <w:rFonts w:hint="default"/>
        <w:lang w:val="fr-FR" w:eastAsia="en-US" w:bidi="ar-SA"/>
      </w:rPr>
    </w:lvl>
    <w:lvl w:ilvl="5">
      <w:start w:val="0"/>
      <w:numFmt w:val="bullet"/>
      <w:lvlText w:val="•"/>
      <w:lvlJc w:val="left"/>
      <w:pPr>
        <w:ind w:left="6133" w:hanging="293"/>
      </w:pPr>
      <w:rPr>
        <w:rFonts w:hint="default"/>
        <w:lang w:val="fr-FR" w:eastAsia="en-US" w:bidi="ar-SA"/>
      </w:rPr>
    </w:lvl>
    <w:lvl w:ilvl="6">
      <w:start w:val="0"/>
      <w:numFmt w:val="bullet"/>
      <w:lvlText w:val="•"/>
      <w:lvlJc w:val="left"/>
      <w:pPr>
        <w:ind w:left="7091" w:hanging="293"/>
      </w:pPr>
      <w:rPr>
        <w:rFonts w:hint="default"/>
        <w:lang w:val="fr-FR" w:eastAsia="en-US" w:bidi="ar-SA"/>
      </w:rPr>
    </w:lvl>
    <w:lvl w:ilvl="7">
      <w:start w:val="0"/>
      <w:numFmt w:val="bullet"/>
      <w:lvlText w:val="•"/>
      <w:lvlJc w:val="left"/>
      <w:pPr>
        <w:ind w:left="8050" w:hanging="293"/>
      </w:pPr>
      <w:rPr>
        <w:rFonts w:hint="default"/>
        <w:lang w:val="fr-FR" w:eastAsia="en-US" w:bidi="ar-SA"/>
      </w:rPr>
    </w:lvl>
    <w:lvl w:ilvl="8">
      <w:start w:val="0"/>
      <w:numFmt w:val="bullet"/>
      <w:lvlText w:val="•"/>
      <w:lvlJc w:val="left"/>
      <w:pPr>
        <w:ind w:left="9009" w:hanging="293"/>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3" w:hanging="252"/>
      </w:pPr>
      <w:rPr>
        <w:rFonts w:hint="default"/>
        <w:lang w:val="fr-FR" w:eastAsia="en-US" w:bidi="ar-SA"/>
      </w:rPr>
    </w:lvl>
    <w:lvl w:ilvl="3">
      <w:start w:val="0"/>
      <w:numFmt w:val="bullet"/>
      <w:lvlText w:val="•"/>
      <w:lvlJc w:val="left"/>
      <w:pPr>
        <w:ind w:left="3066" w:hanging="252"/>
      </w:pPr>
      <w:rPr>
        <w:rFonts w:hint="default"/>
        <w:lang w:val="fr-FR" w:eastAsia="en-US" w:bidi="ar-SA"/>
      </w:rPr>
    </w:lvl>
    <w:lvl w:ilvl="4">
      <w:start w:val="0"/>
      <w:numFmt w:val="bullet"/>
      <w:lvlText w:val="•"/>
      <w:lvlJc w:val="left"/>
      <w:pPr>
        <w:ind w:left="4049" w:hanging="252"/>
      </w:pPr>
      <w:rPr>
        <w:rFonts w:hint="default"/>
        <w:lang w:val="fr-FR" w:eastAsia="en-US" w:bidi="ar-SA"/>
      </w:rPr>
    </w:lvl>
    <w:lvl w:ilvl="5">
      <w:start w:val="0"/>
      <w:numFmt w:val="bullet"/>
      <w:lvlText w:val="•"/>
      <w:lvlJc w:val="left"/>
      <w:pPr>
        <w:ind w:left="5032" w:hanging="252"/>
      </w:pPr>
      <w:rPr>
        <w:rFonts w:hint="default"/>
        <w:lang w:val="fr-FR" w:eastAsia="en-US" w:bidi="ar-SA"/>
      </w:rPr>
    </w:lvl>
    <w:lvl w:ilvl="6">
      <w:start w:val="0"/>
      <w:numFmt w:val="bullet"/>
      <w:lvlText w:val="•"/>
      <w:lvlJc w:val="left"/>
      <w:pPr>
        <w:ind w:left="6015" w:hanging="252"/>
      </w:pPr>
      <w:rPr>
        <w:rFonts w:hint="default"/>
        <w:lang w:val="fr-FR" w:eastAsia="en-US" w:bidi="ar-SA"/>
      </w:rPr>
    </w:lvl>
    <w:lvl w:ilvl="7">
      <w:start w:val="0"/>
      <w:numFmt w:val="bullet"/>
      <w:lvlText w:val="•"/>
      <w:lvlJc w:val="left"/>
      <w:pPr>
        <w:ind w:left="6998" w:hanging="252"/>
      </w:pPr>
      <w:rPr>
        <w:rFonts w:hint="default"/>
        <w:lang w:val="fr-FR" w:eastAsia="en-US" w:bidi="ar-SA"/>
      </w:rPr>
    </w:lvl>
    <w:lvl w:ilvl="8">
      <w:start w:val="0"/>
      <w:numFmt w:val="bullet"/>
      <w:lvlText w:val="•"/>
      <w:lvlJc w:val="left"/>
      <w:pPr>
        <w:ind w:left="7981" w:hanging="252"/>
      </w:pPr>
      <w:rPr>
        <w:rFonts w:hint="default"/>
        <w:lang w:val="fr-FR" w:eastAsia="en-US" w:bidi="ar-SA"/>
      </w:rPr>
    </w:lvl>
  </w:abstractNum>
  <w:abstractNum w:abstractNumId="0">
    <w:multiLevelType w:val="hybridMultilevel"/>
    <w:lvl w:ilvl="0">
      <w:start w:val="0"/>
      <w:numFmt w:val="bullet"/>
      <w:lvlText w:val=""/>
      <w:lvlJc w:val="left"/>
      <w:pPr>
        <w:ind w:left="468" w:hanging="308"/>
      </w:pPr>
      <w:rPr>
        <w:rFonts w:hint="default" w:ascii="Wingdings 2" w:hAnsi="Wingdings 2" w:eastAsia="Wingdings 2" w:cs="Wingdings 2"/>
        <w:b/>
        <w:bCs/>
        <w:i w:val="0"/>
        <w:iCs w:val="0"/>
        <w:w w:val="100"/>
        <w:sz w:val="22"/>
        <w:szCs w:val="22"/>
        <w:lang w:val="fr-FR" w:eastAsia="en-US" w:bidi="ar-SA"/>
      </w:rPr>
    </w:lvl>
    <w:lvl w:ilvl="1">
      <w:start w:val="0"/>
      <w:numFmt w:val="bullet"/>
      <w:lvlText w:val="•"/>
      <w:lvlJc w:val="left"/>
      <w:pPr>
        <w:ind w:left="972" w:hanging="308"/>
      </w:pPr>
      <w:rPr>
        <w:rFonts w:hint="default"/>
        <w:lang w:val="fr-FR" w:eastAsia="en-US" w:bidi="ar-SA"/>
      </w:rPr>
    </w:lvl>
    <w:lvl w:ilvl="2">
      <w:start w:val="0"/>
      <w:numFmt w:val="bullet"/>
      <w:lvlText w:val="•"/>
      <w:lvlJc w:val="left"/>
      <w:pPr>
        <w:ind w:left="1485" w:hanging="308"/>
      </w:pPr>
      <w:rPr>
        <w:rFonts w:hint="default"/>
        <w:lang w:val="fr-FR" w:eastAsia="en-US" w:bidi="ar-SA"/>
      </w:rPr>
    </w:lvl>
    <w:lvl w:ilvl="3">
      <w:start w:val="0"/>
      <w:numFmt w:val="bullet"/>
      <w:lvlText w:val="•"/>
      <w:lvlJc w:val="left"/>
      <w:pPr>
        <w:ind w:left="1998" w:hanging="308"/>
      </w:pPr>
      <w:rPr>
        <w:rFonts w:hint="default"/>
        <w:lang w:val="fr-FR" w:eastAsia="en-US" w:bidi="ar-SA"/>
      </w:rPr>
    </w:lvl>
    <w:lvl w:ilvl="4">
      <w:start w:val="0"/>
      <w:numFmt w:val="bullet"/>
      <w:lvlText w:val="•"/>
      <w:lvlJc w:val="left"/>
      <w:pPr>
        <w:ind w:left="2511" w:hanging="308"/>
      </w:pPr>
      <w:rPr>
        <w:rFonts w:hint="default"/>
        <w:lang w:val="fr-FR" w:eastAsia="en-US" w:bidi="ar-SA"/>
      </w:rPr>
    </w:lvl>
    <w:lvl w:ilvl="5">
      <w:start w:val="0"/>
      <w:numFmt w:val="bullet"/>
      <w:lvlText w:val="•"/>
      <w:lvlJc w:val="left"/>
      <w:pPr>
        <w:ind w:left="3024" w:hanging="308"/>
      </w:pPr>
      <w:rPr>
        <w:rFonts w:hint="default"/>
        <w:lang w:val="fr-FR" w:eastAsia="en-US" w:bidi="ar-SA"/>
      </w:rPr>
    </w:lvl>
    <w:lvl w:ilvl="6">
      <w:start w:val="0"/>
      <w:numFmt w:val="bullet"/>
      <w:lvlText w:val="•"/>
      <w:lvlJc w:val="left"/>
      <w:pPr>
        <w:ind w:left="3536" w:hanging="308"/>
      </w:pPr>
      <w:rPr>
        <w:rFonts w:hint="default"/>
        <w:lang w:val="fr-FR" w:eastAsia="en-US" w:bidi="ar-SA"/>
      </w:rPr>
    </w:lvl>
    <w:lvl w:ilvl="7">
      <w:start w:val="0"/>
      <w:numFmt w:val="bullet"/>
      <w:lvlText w:val="•"/>
      <w:lvlJc w:val="left"/>
      <w:pPr>
        <w:ind w:left="4049" w:hanging="308"/>
      </w:pPr>
      <w:rPr>
        <w:rFonts w:hint="default"/>
        <w:lang w:val="fr-FR" w:eastAsia="en-US" w:bidi="ar-SA"/>
      </w:rPr>
    </w:lvl>
    <w:lvl w:ilvl="8">
      <w:start w:val="0"/>
      <w:numFmt w:val="bullet"/>
      <w:lvlText w:val="•"/>
      <w:lvlJc w:val="left"/>
      <w:pPr>
        <w:ind w:left="4562" w:hanging="308"/>
      </w:pPr>
      <w:rPr>
        <w:rFonts w:hint="default"/>
        <w:lang w:val="fr-FR" w:eastAsia="en-US" w:bidi="ar-SA"/>
      </w:rPr>
    </w:lvl>
  </w:abstractNum>
  <w:abstractNum w:abstractNumId="2">
    <w:multiLevelType w:val="hybridMultilevel"/>
    <w:lvl w:ilvl="0">
      <w:start w:val="1"/>
      <w:numFmt w:val="decimal"/>
      <w:lvlText w:val="%1."/>
      <w:lvlJc w:val="left"/>
      <w:pPr>
        <w:ind w:left="1402" w:hanging="430"/>
        <w:jc w:val="righ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27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32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590" w:hanging="281"/>
      </w:pPr>
      <w:rPr>
        <w:rFonts w:hint="default"/>
        <w:lang w:val="fr-FR" w:eastAsia="en-US" w:bidi="ar-SA"/>
      </w:rPr>
    </w:lvl>
    <w:lvl w:ilvl="4">
      <w:start w:val="0"/>
      <w:numFmt w:val="bullet"/>
      <w:lvlText w:val="•"/>
      <w:lvlJc w:val="left"/>
      <w:pPr>
        <w:ind w:left="3781" w:hanging="281"/>
      </w:pPr>
      <w:rPr>
        <w:rFonts w:hint="default"/>
        <w:lang w:val="fr-FR" w:eastAsia="en-US" w:bidi="ar-SA"/>
      </w:rPr>
    </w:lvl>
    <w:lvl w:ilvl="5">
      <w:start w:val="0"/>
      <w:numFmt w:val="bullet"/>
      <w:lvlText w:val="•"/>
      <w:lvlJc w:val="left"/>
      <w:pPr>
        <w:ind w:left="4972" w:hanging="281"/>
      </w:pPr>
      <w:rPr>
        <w:rFonts w:hint="default"/>
        <w:lang w:val="fr-FR" w:eastAsia="en-US" w:bidi="ar-SA"/>
      </w:rPr>
    </w:lvl>
    <w:lvl w:ilvl="6">
      <w:start w:val="0"/>
      <w:numFmt w:val="bullet"/>
      <w:lvlText w:val="•"/>
      <w:lvlJc w:val="left"/>
      <w:pPr>
        <w:ind w:left="6163" w:hanging="281"/>
      </w:pPr>
      <w:rPr>
        <w:rFonts w:hint="default"/>
        <w:lang w:val="fr-FR" w:eastAsia="en-US" w:bidi="ar-SA"/>
      </w:rPr>
    </w:lvl>
    <w:lvl w:ilvl="7">
      <w:start w:val="0"/>
      <w:numFmt w:val="bullet"/>
      <w:lvlText w:val="•"/>
      <w:lvlJc w:val="left"/>
      <w:pPr>
        <w:ind w:left="7354" w:hanging="281"/>
      </w:pPr>
      <w:rPr>
        <w:rFonts w:hint="default"/>
        <w:lang w:val="fr-FR" w:eastAsia="en-US" w:bidi="ar-SA"/>
      </w:rPr>
    </w:lvl>
    <w:lvl w:ilvl="8">
      <w:start w:val="0"/>
      <w:numFmt w:val="bullet"/>
      <w:lvlText w:val="•"/>
      <w:lvlJc w:val="left"/>
      <w:pPr>
        <w:ind w:left="8544" w:hanging="281"/>
      </w:pPr>
      <w:rPr>
        <w:rFonts w:hint="default"/>
        <w:lang w:val="fr-FR" w:eastAsia="en-US" w:bidi="ar-SA"/>
      </w:rPr>
    </w:lvl>
  </w:abstract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332" w:hanging="294"/>
      <w:jc w:val="both"/>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1039"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hyperlink" Target="mailto:gabriella.fesus@ec.europa.eu" TargetMode="External"/><Relationship Id="rId10" Type="http://schemas.openxmlformats.org/officeDocument/2006/relationships/hyperlink" Target="http://europass.cedefop.europa.eu/fr/documents/curriculum-vitae" TargetMode="External"/><Relationship Id="rId11" Type="http://schemas.openxmlformats.org/officeDocument/2006/relationships/hyperlink" Target="mailto:HR-END@ec.europa.eu" TargetMode="External"/><Relationship Id="rId12" Type="http://schemas.openxmlformats.org/officeDocument/2006/relationships/hyperlink" Target="mailto:DATA-PROTECTION-OFFICER@ec.europa.eu" TargetMode="External"/><Relationship Id="rId13" Type="http://schemas.openxmlformats.org/officeDocument/2006/relationships/hyperlink" Target="mailto:edps@edps.europa.eu"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VATANSEVER Yasemin (INTPA)</dc:creator>
  <dcterms:created xsi:type="dcterms:W3CDTF">2023-03-15T16:43:11Z</dcterms:created>
  <dcterms:modified xsi:type="dcterms:W3CDTF">2023-03-15T16:43:11Z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2023-02-28T00:00:00Z</vt:filetime>
  </property>
  <property fmtid="{D5CDD505-2E9C-101B-9397-08002B2CF9AE}" pid="3" name="Creator">
    <vt:lpwstr>PDF CoDe 5.2109.568.0 (c) 2002-2021 European Commission</vt:lpwstr>
  </property>
  <property fmtid="{D5CDD505-2E9C-101B-9397-08002B2CF9AE}" pid="4" name="LastSaved">
    <vt:filetime>2023-03-15T00:00:00Z</vt:filetime>
  </property>
  <property fmtid="{D5CDD505-2E9C-101B-9397-08002B2CF9AE}" pid="5" name="Producer">
    <vt:lpwstr>PDF CoDe 5.2109.568.0 (c) 2002-2021 European Commission; modified using OpenPDF 1.3.26</vt:lpwstr>
  </property>
</Properties>
</file>