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0D" w:rsidRDefault="00DE02F0">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B4000D" w:rsidRDefault="00DE02F0">
      <w:pPr>
        <w:spacing w:before="81"/>
        <w:ind w:left="1380" w:right="1716"/>
        <w:jc w:val="center"/>
        <w:rPr>
          <w:b/>
          <w:sz w:val="24"/>
        </w:rPr>
      </w:pP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B4000D" w:rsidRDefault="00B4000D">
      <w:pPr>
        <w:pStyle w:val="BodyText"/>
        <w:spacing w:before="11"/>
        <w:rPr>
          <w:b/>
          <w:sz w:val="23"/>
        </w:rPr>
      </w:pPr>
    </w:p>
    <w:p w:rsidR="00B4000D" w:rsidRDefault="00DE02F0">
      <w:pPr>
        <w:ind w:left="1380" w:right="1718"/>
        <w:jc w:val="center"/>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B4000D" w:rsidRDefault="00B4000D">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B4000D">
        <w:trPr>
          <w:trHeight w:val="611"/>
        </w:trPr>
        <w:tc>
          <w:tcPr>
            <w:tcW w:w="4359" w:type="dxa"/>
          </w:tcPr>
          <w:p w:rsidR="00B4000D" w:rsidRDefault="00DE02F0">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B4000D" w:rsidRDefault="00DE02F0">
            <w:pPr>
              <w:pStyle w:val="TableParagraph"/>
              <w:spacing w:line="274" w:lineRule="exact"/>
              <w:rPr>
                <w:sz w:val="24"/>
              </w:rPr>
            </w:pPr>
            <w:r>
              <w:rPr>
                <w:spacing w:val="-2"/>
                <w:sz w:val="24"/>
              </w:rPr>
              <w:t>(DG-DIR-UNITE)</w:t>
            </w:r>
          </w:p>
        </w:tc>
        <w:tc>
          <w:tcPr>
            <w:tcW w:w="5597" w:type="dxa"/>
          </w:tcPr>
          <w:p w:rsidR="00B4000D" w:rsidRDefault="00DE02F0">
            <w:pPr>
              <w:pStyle w:val="TableParagraph"/>
              <w:spacing w:before="162"/>
              <w:rPr>
                <w:sz w:val="24"/>
              </w:rPr>
            </w:pPr>
            <w:r>
              <w:rPr>
                <w:sz w:val="24"/>
              </w:rPr>
              <w:t>DG</w:t>
            </w:r>
            <w:r>
              <w:rPr>
                <w:spacing w:val="-5"/>
                <w:sz w:val="24"/>
              </w:rPr>
              <w:t xml:space="preserve"> </w:t>
            </w:r>
            <w:r>
              <w:rPr>
                <w:spacing w:val="-2"/>
                <w:sz w:val="24"/>
              </w:rPr>
              <w:t>RTD.03</w:t>
            </w:r>
          </w:p>
        </w:tc>
      </w:tr>
      <w:tr w:rsidR="00B4000D">
        <w:trPr>
          <w:trHeight w:val="1977"/>
        </w:trPr>
        <w:tc>
          <w:tcPr>
            <w:tcW w:w="4359" w:type="dxa"/>
            <w:vMerge w:val="restart"/>
          </w:tcPr>
          <w:p w:rsidR="00B4000D" w:rsidRDefault="00DE02F0">
            <w:pPr>
              <w:pStyle w:val="TableParagraph"/>
              <w:spacing w:line="251" w:lineRule="exact"/>
              <w:rPr>
                <w:b/>
              </w:rPr>
            </w:pPr>
            <w:r>
              <w:rPr>
                <w:b/>
              </w:rPr>
              <w:t>Chef</w:t>
            </w:r>
            <w:r>
              <w:rPr>
                <w:b/>
                <w:spacing w:val="-4"/>
              </w:rPr>
              <w:t xml:space="preserve"> </w:t>
            </w:r>
            <w:r>
              <w:rPr>
                <w:b/>
              </w:rPr>
              <w:t>d’unité</w:t>
            </w:r>
            <w:r>
              <w:rPr>
                <w:b/>
                <w:spacing w:val="-5"/>
              </w:rPr>
              <w:t xml:space="preserve"> </w:t>
            </w:r>
            <w:r>
              <w:rPr>
                <w:b/>
                <w:spacing w:val="-10"/>
              </w:rPr>
              <w:t>:</w:t>
            </w:r>
          </w:p>
          <w:p w:rsidR="00B4000D" w:rsidRDefault="00DE02F0">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B4000D" w:rsidRDefault="00DE02F0">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B4000D" w:rsidRDefault="00DE02F0">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B4000D" w:rsidRDefault="00DE02F0">
            <w:pPr>
              <w:pStyle w:val="TableParagraph"/>
              <w:ind w:right="2113"/>
              <w:rPr>
                <w:sz w:val="24"/>
              </w:rPr>
            </w:pPr>
            <w:r>
              <w:rPr>
                <w:sz w:val="24"/>
              </w:rPr>
              <w:t xml:space="preserve">Gilles LAROCHE </w:t>
            </w:r>
            <w:hyperlink r:id="rId8">
              <w:r>
                <w:rPr>
                  <w:spacing w:val="-2"/>
                  <w:sz w:val="24"/>
                </w:rPr>
                <w:t>Gilles.Laroche@ec.europa.eu</w:t>
              </w:r>
            </w:hyperlink>
            <w:r>
              <w:rPr>
                <w:spacing w:val="-2"/>
                <w:sz w:val="24"/>
              </w:rPr>
              <w:t xml:space="preserve"> 91122</w:t>
            </w:r>
          </w:p>
          <w:p w:rsidR="00B4000D" w:rsidRDefault="00DE02F0">
            <w:pPr>
              <w:pStyle w:val="TableParagraph"/>
              <w:rPr>
                <w:sz w:val="24"/>
              </w:rPr>
            </w:pPr>
            <w:r>
              <w:rPr>
                <w:sz w:val="24"/>
              </w:rPr>
              <w:t>1</w:t>
            </w:r>
          </w:p>
          <w:p w:rsidR="00B4000D" w:rsidRDefault="00DE02F0">
            <w:pPr>
              <w:pStyle w:val="TableParagraph"/>
              <w:rPr>
                <w:b/>
              </w:rPr>
            </w:pPr>
            <w:r>
              <w:rPr>
                <w:b/>
              </w:rPr>
              <w:t>Troisième</w:t>
            </w:r>
            <w:r>
              <w:rPr>
                <w:b/>
                <w:spacing w:val="-6"/>
              </w:rPr>
              <w:t xml:space="preserve"> </w:t>
            </w:r>
            <w:r>
              <w:rPr>
                <w:b/>
              </w:rPr>
              <w:t>trimestre</w:t>
            </w:r>
            <w:r>
              <w:rPr>
                <w:b/>
                <w:spacing w:val="-4"/>
              </w:rPr>
              <w:t xml:space="preserve"> 2023</w:t>
            </w:r>
            <w:r>
              <w:rPr>
                <w:b/>
                <w:spacing w:val="-4"/>
                <w:vertAlign w:val="superscript"/>
              </w:rPr>
              <w:t>1</w:t>
            </w:r>
          </w:p>
          <w:p w:rsidR="00B4000D" w:rsidRDefault="00DE02F0">
            <w:pPr>
              <w:pStyle w:val="TableParagraph"/>
              <w:spacing w:line="250" w:lineRule="exact"/>
              <w:rPr>
                <w:b/>
              </w:rPr>
            </w:pPr>
            <w:r>
              <w:rPr>
                <w:b/>
              </w:rPr>
              <w:t xml:space="preserve">1 </w:t>
            </w:r>
            <w:r>
              <w:rPr>
                <w:b/>
                <w:spacing w:val="-5"/>
              </w:rPr>
              <w:t>an</w:t>
            </w:r>
            <w:r>
              <w:rPr>
                <w:b/>
                <w:spacing w:val="-5"/>
                <w:vertAlign w:val="superscript"/>
              </w:rPr>
              <w:t>1</w:t>
            </w:r>
          </w:p>
          <w:p w:rsidR="00B4000D" w:rsidRDefault="00DE02F0">
            <w:pPr>
              <w:pStyle w:val="TableParagraph"/>
              <w:spacing w:line="250" w:lineRule="exact"/>
              <w:rPr>
                <w:b/>
              </w:rPr>
            </w:pPr>
            <w:r>
              <w:t>X</w:t>
            </w:r>
            <w:r>
              <w:rPr>
                <w:spacing w:val="-5"/>
              </w:rPr>
              <w:t xml:space="preserve"> </w:t>
            </w:r>
            <w:r>
              <w:rPr>
                <w:b/>
              </w:rPr>
              <w:t>Bruxelles</w:t>
            </w:r>
            <w:r>
              <w:rPr>
                <w:b/>
                <w:spacing w:val="50"/>
              </w:rPr>
              <w:t xml:space="preserve"> </w:t>
            </w:r>
            <w:r>
              <w:rPr>
                <w:rFonts w:ascii="Wingdings 2" w:hAnsi="Wingdings 2"/>
              </w:rPr>
              <w:t></w:t>
            </w:r>
            <w:r>
              <w:rPr>
                <w:spacing w:val="-2"/>
              </w:rPr>
              <w:t xml:space="preserve"> </w:t>
            </w:r>
            <w:r>
              <w:rPr>
                <w:b/>
              </w:rPr>
              <w:t>Luxembourg</w:t>
            </w:r>
            <w:r>
              <w:rPr>
                <w:b/>
                <w:spacing w:val="50"/>
              </w:rPr>
              <w:t xml:space="preserve"> </w:t>
            </w:r>
            <w:r>
              <w:rPr>
                <w:rFonts w:ascii="Wingdings 2" w:hAnsi="Wingdings 2"/>
              </w:rPr>
              <w:t></w:t>
            </w:r>
            <w:r>
              <w:rPr>
                <w:spacing w:val="-2"/>
              </w:rPr>
              <w:t xml:space="preserve"> </w:t>
            </w:r>
            <w:r>
              <w:t>A</w:t>
            </w:r>
            <w:r>
              <w:rPr>
                <w:b/>
              </w:rPr>
              <w:t>utre:</w:t>
            </w:r>
            <w:r>
              <w:rPr>
                <w:b/>
                <w:spacing w:val="-3"/>
              </w:rPr>
              <w:t xml:space="preserve"> </w:t>
            </w:r>
            <w:r>
              <w:rPr>
                <w:b/>
                <w:spacing w:val="-2"/>
              </w:rPr>
              <w:t>……………..</w:t>
            </w:r>
          </w:p>
        </w:tc>
      </w:tr>
      <w:tr w:rsidR="00B4000D">
        <w:trPr>
          <w:trHeight w:val="544"/>
        </w:trPr>
        <w:tc>
          <w:tcPr>
            <w:tcW w:w="4359" w:type="dxa"/>
            <w:vMerge/>
            <w:tcBorders>
              <w:top w:val="nil"/>
            </w:tcBorders>
          </w:tcPr>
          <w:p w:rsidR="00B4000D" w:rsidRDefault="00B4000D">
            <w:pPr>
              <w:rPr>
                <w:sz w:val="2"/>
                <w:szCs w:val="2"/>
              </w:rPr>
            </w:pPr>
          </w:p>
        </w:tc>
        <w:tc>
          <w:tcPr>
            <w:tcW w:w="5597" w:type="dxa"/>
          </w:tcPr>
          <w:p w:rsidR="00B4000D" w:rsidRDefault="00DE02F0">
            <w:pPr>
              <w:pStyle w:val="TableParagraph"/>
              <w:tabs>
                <w:tab w:val="left" w:pos="487"/>
                <w:tab w:val="left" w:pos="2911"/>
                <w:tab w:val="left" w:pos="3384"/>
              </w:tabs>
              <w:spacing w:before="140"/>
              <w:rPr>
                <w:b/>
              </w:rPr>
            </w:pPr>
            <w:r>
              <w:rPr>
                <w:spacing w:val="-10"/>
              </w:rPr>
              <w:t>X</w:t>
            </w:r>
            <w:r>
              <w:tab/>
            </w:r>
            <w:r>
              <w:rPr>
                <w:b/>
              </w:rPr>
              <w:t>Avec</w:t>
            </w:r>
            <w:r>
              <w:rPr>
                <w:b/>
                <w:spacing w:val="-4"/>
              </w:rPr>
              <w:t xml:space="preserve"> </w:t>
            </w:r>
            <w:r>
              <w:rPr>
                <w:b/>
                <w:spacing w:val="-2"/>
              </w:rPr>
              <w:t>indemnités</w:t>
            </w:r>
            <w:r>
              <w:rPr>
                <w:b/>
              </w:rPr>
              <w:tab/>
            </w:r>
            <w:r>
              <w:rPr>
                <w:rFonts w:ascii="Wingdings 2" w:hAnsi="Wingdings 2"/>
                <w:spacing w:val="-10"/>
              </w:rPr>
              <w:t></w:t>
            </w:r>
            <w:r>
              <w:tab/>
            </w:r>
            <w:r>
              <w:rPr>
                <w:b/>
              </w:rPr>
              <w:t>Sans</w:t>
            </w:r>
            <w:r>
              <w:rPr>
                <w:b/>
                <w:spacing w:val="-6"/>
              </w:rPr>
              <w:t xml:space="preserve"> </w:t>
            </w:r>
            <w:r>
              <w:rPr>
                <w:b/>
                <w:spacing w:val="-2"/>
              </w:rPr>
              <w:t>frais</w:t>
            </w:r>
          </w:p>
        </w:tc>
      </w:tr>
      <w:tr w:rsidR="00B4000D">
        <w:trPr>
          <w:trHeight w:val="2113"/>
        </w:trPr>
        <w:tc>
          <w:tcPr>
            <w:tcW w:w="9956" w:type="dxa"/>
            <w:gridSpan w:val="2"/>
          </w:tcPr>
          <w:p w:rsidR="00B4000D" w:rsidRDefault="00DE02F0">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B4000D" w:rsidRDefault="00B4000D">
            <w:pPr>
              <w:pStyle w:val="TableParagraph"/>
              <w:spacing w:before="4"/>
              <w:ind w:left="0"/>
              <w:rPr>
                <w:b/>
                <w:sz w:val="21"/>
              </w:rPr>
            </w:pPr>
          </w:p>
          <w:p w:rsidR="00B4000D" w:rsidRDefault="00DE02F0">
            <w:pPr>
              <w:pStyle w:val="TableParagraph"/>
              <w:tabs>
                <w:tab w:val="left" w:pos="487"/>
              </w:tabs>
              <w:spacing w:before="1"/>
              <w:rPr>
                <w:b/>
              </w:rPr>
            </w:pPr>
            <w:r>
              <w:rPr>
                <w:spacing w:val="-10"/>
              </w:rPr>
              <w:t>X</w:t>
            </w:r>
            <w:r>
              <w:tab/>
            </w:r>
            <w:r>
              <w:rPr>
                <w:b/>
              </w:rPr>
              <w:t>aux</w:t>
            </w:r>
            <w:r>
              <w:rPr>
                <w:b/>
                <w:spacing w:val="-6"/>
              </w:rPr>
              <w:t xml:space="preserve"> </w:t>
            </w:r>
            <w:r>
              <w:rPr>
                <w:b/>
              </w:rPr>
              <w:t>pays</w:t>
            </w:r>
            <w:r>
              <w:rPr>
                <w:b/>
                <w:spacing w:val="-2"/>
              </w:rPr>
              <w:t xml:space="preserve"> </w:t>
            </w:r>
            <w:r>
              <w:rPr>
                <w:b/>
              </w:rPr>
              <w:t>AELE</w:t>
            </w:r>
            <w:r>
              <w:rPr>
                <w:b/>
                <w:spacing w:val="-3"/>
              </w:rPr>
              <w:t xml:space="preserve"> </w:t>
            </w:r>
            <w:r>
              <w:rPr>
                <w:b/>
              </w:rPr>
              <w:t>suivants</w:t>
            </w:r>
            <w:r>
              <w:rPr>
                <w:b/>
                <w:spacing w:val="-1"/>
              </w:rPr>
              <w:t xml:space="preserve"> </w:t>
            </w:r>
            <w:r>
              <w:rPr>
                <w:b/>
                <w:spacing w:val="-10"/>
              </w:rPr>
              <w:t>:</w:t>
            </w:r>
          </w:p>
          <w:p w:rsidR="00B4000D" w:rsidRDefault="00DE02F0">
            <w:pPr>
              <w:pStyle w:val="TableParagraph"/>
              <w:spacing w:before="6" w:line="252" w:lineRule="exact"/>
              <w:ind w:left="849"/>
              <w:rPr>
                <w:b/>
              </w:rPr>
            </w:pPr>
            <w:r>
              <w:rPr>
                <w:b/>
              </w:rPr>
              <w:t>X</w:t>
            </w:r>
            <w:r>
              <w:rPr>
                <w:b/>
                <w:spacing w:val="-3"/>
              </w:rPr>
              <w:t xml:space="preserve"> </w:t>
            </w:r>
            <w:r>
              <w:rPr>
                <w:b/>
              </w:rPr>
              <w:t>Islande</w:t>
            </w:r>
            <w:r>
              <w:rPr>
                <w:b/>
                <w:spacing w:val="-2"/>
              </w:rPr>
              <w:t xml:space="preserve"> </w:t>
            </w:r>
            <w:r>
              <w:rPr>
                <w:b/>
              </w:rPr>
              <w:t>X</w:t>
            </w:r>
            <w:r>
              <w:rPr>
                <w:b/>
                <w:spacing w:val="-2"/>
              </w:rPr>
              <w:t xml:space="preserve"> </w:t>
            </w:r>
            <w:r>
              <w:rPr>
                <w:b/>
              </w:rPr>
              <w:t>Liechtenstein</w:t>
            </w:r>
            <w:r>
              <w:rPr>
                <w:b/>
                <w:spacing w:val="-4"/>
              </w:rPr>
              <w:t xml:space="preserve"> </w:t>
            </w:r>
            <w:r>
              <w:rPr>
                <w:b/>
              </w:rPr>
              <w:t>X</w:t>
            </w:r>
            <w:r>
              <w:rPr>
                <w:b/>
                <w:spacing w:val="-3"/>
              </w:rPr>
              <w:t xml:space="preserve"> </w:t>
            </w:r>
            <w:r>
              <w:rPr>
                <w:b/>
              </w:rPr>
              <w:t>Norvège</w:t>
            </w:r>
            <w:r>
              <w:rPr>
                <w:b/>
                <w:spacing w:val="-3"/>
              </w:rPr>
              <w:t xml:space="preserve"> </w:t>
            </w:r>
            <w:r>
              <w:rPr>
                <w:rFonts w:ascii="Wingdings 2" w:hAnsi="Wingdings 2"/>
              </w:rPr>
              <w:t></w:t>
            </w:r>
            <w:r>
              <w:rPr>
                <w:spacing w:val="52"/>
              </w:rPr>
              <w:t xml:space="preserve"> </w:t>
            </w:r>
            <w:r>
              <w:rPr>
                <w:b/>
                <w:spacing w:val="-2"/>
              </w:rPr>
              <w:t>Suisse</w:t>
            </w:r>
          </w:p>
          <w:p w:rsidR="00B4000D" w:rsidRDefault="005B06E8">
            <w:pPr>
              <w:pStyle w:val="TableParagraph"/>
              <w:spacing w:line="252" w:lineRule="exact"/>
              <w:ind w:left="849"/>
              <w:rPr>
                <w:b/>
              </w:rPr>
            </w:pPr>
            <w:r>
              <w:rPr>
                <w:rFonts w:ascii="Wingdings 2" w:hAnsi="Wingdings 2"/>
              </w:rPr>
              <w:t></w:t>
            </w:r>
            <w:bookmarkStart w:id="0" w:name="_GoBack"/>
            <w:bookmarkEnd w:id="0"/>
            <w:r w:rsidR="00DE02F0">
              <w:rPr>
                <w:b/>
                <w:spacing w:val="-7"/>
              </w:rPr>
              <w:t xml:space="preserve"> </w:t>
            </w:r>
            <w:r w:rsidR="00DE02F0">
              <w:rPr>
                <w:b/>
              </w:rPr>
              <w:t>Accord</w:t>
            </w:r>
            <w:r w:rsidR="00DE02F0">
              <w:rPr>
                <w:b/>
                <w:spacing w:val="-4"/>
              </w:rPr>
              <w:t xml:space="preserve"> </w:t>
            </w:r>
            <w:r w:rsidR="00DE02F0">
              <w:rPr>
                <w:b/>
              </w:rPr>
              <w:t>AELE-EEE</w:t>
            </w:r>
            <w:r w:rsidR="00DE02F0">
              <w:rPr>
                <w:b/>
                <w:spacing w:val="-5"/>
              </w:rPr>
              <w:t xml:space="preserve"> </w:t>
            </w:r>
            <w:r w:rsidR="00DE02F0">
              <w:rPr>
                <w:b/>
              </w:rPr>
              <w:t>in-</w:t>
            </w:r>
            <w:proofErr w:type="spellStart"/>
            <w:r w:rsidR="00DE02F0">
              <w:rPr>
                <w:b/>
              </w:rPr>
              <w:t>Kind</w:t>
            </w:r>
            <w:proofErr w:type="spellEnd"/>
            <w:r w:rsidR="00DE02F0">
              <w:rPr>
                <w:b/>
                <w:spacing w:val="-7"/>
              </w:rPr>
              <w:t xml:space="preserve"> </w:t>
            </w:r>
            <w:r w:rsidR="00DE02F0">
              <w:rPr>
                <w:b/>
              </w:rPr>
              <w:t>(Islande,</w:t>
            </w:r>
            <w:r w:rsidR="00DE02F0">
              <w:rPr>
                <w:b/>
                <w:spacing w:val="-4"/>
              </w:rPr>
              <w:t xml:space="preserve"> </w:t>
            </w:r>
            <w:r w:rsidR="00DE02F0">
              <w:rPr>
                <w:b/>
              </w:rPr>
              <w:t>Liechtenstein,</w:t>
            </w:r>
            <w:r w:rsidR="00DE02F0">
              <w:rPr>
                <w:b/>
                <w:spacing w:val="-3"/>
              </w:rPr>
              <w:t xml:space="preserve"> </w:t>
            </w:r>
            <w:r w:rsidR="00DE02F0">
              <w:rPr>
                <w:b/>
                <w:spacing w:val="-2"/>
              </w:rPr>
              <w:t>Norvège)</w:t>
            </w:r>
          </w:p>
          <w:p w:rsidR="00B4000D" w:rsidRDefault="00DE02F0">
            <w:pPr>
              <w:pStyle w:val="TableParagraph"/>
              <w:numPr>
                <w:ilvl w:val="0"/>
                <w:numId w:val="3"/>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B4000D" w:rsidRDefault="00DE02F0">
            <w:pPr>
              <w:pStyle w:val="TableParagraph"/>
              <w:numPr>
                <w:ilvl w:val="0"/>
                <w:numId w:val="3"/>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B4000D" w:rsidRDefault="00B4000D">
      <w:pPr>
        <w:pStyle w:val="BodyText"/>
        <w:spacing w:before="1"/>
        <w:rPr>
          <w:b/>
          <w:sz w:val="24"/>
        </w:rPr>
      </w:pPr>
    </w:p>
    <w:p w:rsidR="00B4000D" w:rsidRDefault="00DE02F0">
      <w:pPr>
        <w:pStyle w:val="ListParagraph"/>
        <w:numPr>
          <w:ilvl w:val="0"/>
          <w:numId w:val="4"/>
        </w:numPr>
        <w:tabs>
          <w:tab w:val="left" w:pos="799"/>
          <w:tab w:val="left" w:pos="80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B4000D" w:rsidRDefault="00B4000D">
      <w:pPr>
        <w:pStyle w:val="BodyText"/>
        <w:spacing w:before="7"/>
        <w:rPr>
          <w:b/>
          <w:sz w:val="15"/>
        </w:rPr>
      </w:pPr>
    </w:p>
    <w:p w:rsidR="00B4000D" w:rsidRDefault="00DE02F0" w:rsidP="00DE02F0">
      <w:pPr>
        <w:pStyle w:val="BodyText"/>
        <w:spacing w:before="92"/>
        <w:ind w:left="372" w:right="342"/>
        <w:jc w:val="both"/>
      </w:pPr>
      <w:r w:rsidRPr="00DE02F0">
        <w:t xml:space="preserve">L’expert national détaché (END) contribuera à la coordination et à la mise en œuvre efficace des projets du mécanisme de conseil scientifique de la Commission européenne (Science </w:t>
      </w:r>
      <w:proofErr w:type="spellStart"/>
      <w:r w:rsidRPr="00DE02F0">
        <w:t>Advice</w:t>
      </w:r>
      <w:proofErr w:type="spellEnd"/>
      <w:r w:rsidRPr="00DE02F0">
        <w:t xml:space="preserve"> </w:t>
      </w:r>
      <w:proofErr w:type="spellStart"/>
      <w:r w:rsidRPr="00DE02F0">
        <w:t>Mechanism</w:t>
      </w:r>
      <w:proofErr w:type="spellEnd"/>
      <w:r w:rsidRPr="00DE02F0">
        <w:t xml:space="preserve">). Ces activités, à l'interface entre la science et l'élaboration des politiques de l'UE, soutiennent le développement d'avis scientifiques aux politiques sur divers sujets tels que la transition énergétique, le dépistage du cancer et le système « one- </w:t>
      </w:r>
      <w:proofErr w:type="spellStart"/>
      <w:r w:rsidRPr="00DE02F0">
        <w:t>health</w:t>
      </w:r>
      <w:proofErr w:type="spellEnd"/>
      <w:r w:rsidRPr="00DE02F0">
        <w:t xml:space="preserve"> ».</w:t>
      </w:r>
    </w:p>
    <w:p w:rsidR="00B4000D" w:rsidRDefault="00B4000D">
      <w:pPr>
        <w:pStyle w:val="BodyText"/>
        <w:spacing w:before="10"/>
        <w:rPr>
          <w:sz w:val="21"/>
        </w:rPr>
      </w:pPr>
    </w:p>
    <w:p w:rsidR="00B4000D" w:rsidRDefault="00DE02F0">
      <w:pPr>
        <w:pStyle w:val="BodyText"/>
        <w:ind w:left="372"/>
      </w:pPr>
      <w:r>
        <w:rPr>
          <w:u w:val="single"/>
        </w:rPr>
        <w:t>L’expert</w:t>
      </w:r>
      <w:r>
        <w:rPr>
          <w:spacing w:val="-7"/>
          <w:u w:val="single"/>
        </w:rPr>
        <w:t xml:space="preserve"> </w:t>
      </w:r>
      <w:r>
        <w:rPr>
          <w:u w:val="single"/>
        </w:rPr>
        <w:t>national</w:t>
      </w:r>
      <w:r>
        <w:rPr>
          <w:spacing w:val="-3"/>
          <w:u w:val="single"/>
        </w:rPr>
        <w:t xml:space="preserve"> </w:t>
      </w:r>
      <w:r>
        <w:rPr>
          <w:u w:val="single"/>
        </w:rPr>
        <w:t>participera</w:t>
      </w:r>
      <w:r>
        <w:rPr>
          <w:spacing w:val="-4"/>
          <w:u w:val="single"/>
        </w:rPr>
        <w:t xml:space="preserve"> </w:t>
      </w:r>
      <w:r>
        <w:rPr>
          <w:u w:val="single"/>
        </w:rPr>
        <w:t>aux</w:t>
      </w:r>
      <w:r>
        <w:rPr>
          <w:spacing w:val="-7"/>
          <w:u w:val="single"/>
        </w:rPr>
        <w:t xml:space="preserve"> </w:t>
      </w:r>
      <w:r>
        <w:rPr>
          <w:u w:val="single"/>
        </w:rPr>
        <w:t>tâches</w:t>
      </w:r>
      <w:r>
        <w:rPr>
          <w:spacing w:val="-4"/>
          <w:u w:val="single"/>
        </w:rPr>
        <w:t xml:space="preserve"> </w:t>
      </w:r>
      <w:r>
        <w:rPr>
          <w:spacing w:val="-2"/>
          <w:u w:val="single"/>
        </w:rPr>
        <w:t>suivantes:</w:t>
      </w:r>
    </w:p>
    <w:p w:rsidR="00B4000D" w:rsidRDefault="00DE02F0">
      <w:pPr>
        <w:pStyle w:val="BodyText"/>
        <w:spacing w:before="2"/>
        <w:ind w:left="372" w:right="104"/>
        <w:jc w:val="both"/>
      </w:pPr>
      <w:r w:rsidRPr="00DE02F0">
        <w:t>Contribuer à la conception et à la préparation de rapports. Recherche, vérification/élaboration de données ; travail analytique; préparation de briefings et discours. L’END sera aussi amené à parler en public, préparera des rapports de réunions et d'autres activités déterminantes pour l'élaboration des politiques et la définition des options au niveau de l'UE.</w:t>
      </w:r>
    </w:p>
    <w:p w:rsidR="00B4000D" w:rsidRDefault="00B4000D">
      <w:pPr>
        <w:pStyle w:val="BodyText"/>
        <w:spacing w:before="11"/>
        <w:rPr>
          <w:sz w:val="21"/>
        </w:rPr>
      </w:pPr>
    </w:p>
    <w:p w:rsidR="00B4000D" w:rsidRDefault="00DE02F0">
      <w:pPr>
        <w:pStyle w:val="BodyText"/>
        <w:ind w:left="372" w:right="109"/>
        <w:jc w:val="both"/>
      </w:pPr>
      <w:r>
        <w:t>L’expert national détaché travaillera sous la supervision d’un administrateur. Sans faire atteinte au principe de la coopération loyale entre les administrations nationales/régionales et européennes, l’expert national détaché ne travaillera pas sur des cas individuels ayant des liens avec des dossiers qu’elle/il aurait eu à traiter dans son administration nationale dans les deux ans précédant son entrée en service à la Commission, ou sur des cas directement connexes.</w:t>
      </w:r>
    </w:p>
    <w:p w:rsidR="00B4000D" w:rsidRDefault="00B4000D">
      <w:pPr>
        <w:pStyle w:val="BodyText"/>
        <w:spacing w:before="11"/>
        <w:rPr>
          <w:sz w:val="21"/>
        </w:rPr>
      </w:pPr>
    </w:p>
    <w:p w:rsidR="00B4000D" w:rsidRDefault="00DE02F0">
      <w:pPr>
        <w:pStyle w:val="BodyText"/>
        <w:ind w:left="372"/>
      </w:pPr>
      <w:r>
        <w:t>En aucun cas il/elle ne sera autorisé(e) à représenter la Commission et engager cette dernière que ce soit au niveau financier ou autre, ou à négocier au nom de la Commission.</w:t>
      </w:r>
    </w:p>
    <w:p w:rsidR="00B4000D" w:rsidRDefault="00B4000D">
      <w:pPr>
        <w:pStyle w:val="BodyText"/>
        <w:spacing w:before="5"/>
      </w:pPr>
    </w:p>
    <w:p w:rsidR="00B4000D" w:rsidRDefault="00DE02F0">
      <w:pPr>
        <w:pStyle w:val="ListParagraph"/>
        <w:numPr>
          <w:ilvl w:val="0"/>
          <w:numId w:val="4"/>
        </w:numPr>
        <w:tabs>
          <w:tab w:val="left" w:pos="799"/>
          <w:tab w:val="left" w:pos="800"/>
        </w:tabs>
        <w:rPr>
          <w:b/>
          <w:sz w:val="24"/>
        </w:rPr>
      </w:pPr>
      <w:r>
        <w:rPr>
          <w:b/>
          <w:sz w:val="24"/>
          <w:u w:val="single"/>
        </w:rPr>
        <w:t>Qualifications</w:t>
      </w:r>
      <w:r>
        <w:rPr>
          <w:b/>
          <w:spacing w:val="-9"/>
          <w:sz w:val="24"/>
          <w:u w:val="single"/>
        </w:rPr>
        <w:t xml:space="preserve"> </w:t>
      </w:r>
      <w:r>
        <w:rPr>
          <w:b/>
          <w:spacing w:val="-2"/>
          <w:sz w:val="24"/>
          <w:u w:val="single"/>
        </w:rPr>
        <w:t>requises</w:t>
      </w:r>
    </w:p>
    <w:p w:rsidR="00B4000D" w:rsidRDefault="00B4000D">
      <w:pPr>
        <w:pStyle w:val="BodyText"/>
        <w:rPr>
          <w:b/>
          <w:sz w:val="20"/>
        </w:rPr>
      </w:pPr>
    </w:p>
    <w:p w:rsidR="00B4000D" w:rsidRDefault="00B4000D">
      <w:pPr>
        <w:pStyle w:val="BodyText"/>
        <w:rPr>
          <w:b/>
          <w:sz w:val="20"/>
        </w:rPr>
      </w:pPr>
    </w:p>
    <w:p w:rsidR="00B4000D" w:rsidRDefault="005B06E8">
      <w:pPr>
        <w:pStyle w:val="BodyText"/>
        <w:spacing w:before="3"/>
        <w:rPr>
          <w:b/>
          <w:sz w:val="12"/>
        </w:rPr>
      </w:pPr>
      <w:r>
        <w:pict>
          <v:rect id="docshape2" o:spid="_x0000_s1027" style="position:absolute;margin-left:42.6pt;margin-top:8.25pt;width:2in;height:.6pt;z-index:-15728640;mso-wrap-distance-left:0;mso-wrap-distance-right:0;mso-position-horizontal-relative:page" fillcolor="black" stroked="f">
            <w10:wrap type="topAndBottom" anchorx="page"/>
          </v:rect>
        </w:pict>
      </w:r>
    </w:p>
    <w:p w:rsidR="00B4000D" w:rsidRDefault="00DE02F0">
      <w:pPr>
        <w:spacing w:before="103"/>
        <w:ind w:left="372" w:right="637"/>
        <w:rPr>
          <w:sz w:val="20"/>
        </w:rPr>
      </w:pPr>
      <w:r>
        <w:rPr>
          <w:sz w:val="20"/>
          <w:vertAlign w:val="superscript"/>
        </w:rPr>
        <w:t>1</w:t>
      </w:r>
      <w:r>
        <w:rPr>
          <w:sz w:val="20"/>
        </w:rPr>
        <w:t xml:space="preserve"> Les précisions liées à la date de prise de fonctions et à la durée du détachement sont données à titre indicatif</w:t>
      </w:r>
      <w:r>
        <w:rPr>
          <w:spacing w:val="40"/>
          <w:sz w:val="20"/>
        </w:rPr>
        <w:t xml:space="preserve"> </w:t>
      </w:r>
      <w:r>
        <w:rPr>
          <w:sz w:val="20"/>
        </w:rPr>
        <w:t>uniquement (article 4 de la décision END).</w:t>
      </w:r>
    </w:p>
    <w:p w:rsidR="00B4000D" w:rsidRDefault="00B4000D">
      <w:pPr>
        <w:rPr>
          <w:sz w:val="20"/>
        </w:rPr>
        <w:sectPr w:rsidR="00B4000D">
          <w:footerReference w:type="default" r:id="rId9"/>
          <w:type w:val="continuous"/>
          <w:pgSz w:w="11910" w:h="16840"/>
          <w:pgMar w:top="520" w:right="740" w:bottom="880" w:left="480" w:header="0" w:footer="690" w:gutter="0"/>
          <w:pgNumType w:start="1"/>
          <w:cols w:space="720"/>
        </w:sectPr>
      </w:pPr>
    </w:p>
    <w:p w:rsidR="00B4000D" w:rsidRDefault="00DE02F0">
      <w:pPr>
        <w:pStyle w:val="Heading1"/>
        <w:numPr>
          <w:ilvl w:val="1"/>
          <w:numId w:val="4"/>
        </w:numPr>
        <w:tabs>
          <w:tab w:val="left" w:pos="1040"/>
        </w:tabs>
        <w:spacing w:before="73"/>
        <w:ind w:hanging="241"/>
        <w:rPr>
          <w:u w:val="none"/>
        </w:rPr>
      </w:pPr>
      <w:r>
        <w:rPr>
          <w:u w:val="none"/>
        </w:rPr>
        <w:lastRenderedPageBreak/>
        <w:t>Critères</w:t>
      </w:r>
      <w:r>
        <w:rPr>
          <w:spacing w:val="-6"/>
          <w:u w:val="none"/>
        </w:rPr>
        <w:t xml:space="preserve"> </w:t>
      </w:r>
      <w:r>
        <w:rPr>
          <w:spacing w:val="-2"/>
          <w:u w:val="none"/>
        </w:rPr>
        <w:t>d'éligibilité</w:t>
      </w:r>
    </w:p>
    <w:p w:rsidR="00B4000D" w:rsidRDefault="00B4000D">
      <w:pPr>
        <w:pStyle w:val="BodyText"/>
        <w:spacing w:before="7"/>
        <w:rPr>
          <w:b/>
          <w:sz w:val="21"/>
        </w:rPr>
      </w:pPr>
    </w:p>
    <w:p w:rsidR="00B4000D" w:rsidRDefault="00DE02F0">
      <w:pPr>
        <w:pStyle w:val="BodyText"/>
        <w:ind w:left="799" w:right="113"/>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B4000D" w:rsidRDefault="00B4000D">
      <w:pPr>
        <w:pStyle w:val="BodyText"/>
        <w:spacing w:before="1"/>
      </w:pPr>
    </w:p>
    <w:p w:rsidR="00B4000D" w:rsidRDefault="00DE02F0">
      <w:pPr>
        <w:pStyle w:val="ListParagraph"/>
        <w:numPr>
          <w:ilvl w:val="2"/>
          <w:numId w:val="4"/>
        </w:numPr>
        <w:tabs>
          <w:tab w:val="left" w:pos="1081"/>
        </w:tabs>
        <w:ind w:right="113"/>
        <w:jc w:val="both"/>
      </w:pPr>
      <w:r>
        <w:t>Expérience professionnelle : posséder une expérience professionnelle d'au moins trois ans dans des fonctions administratives, judiciaires, scientifiques, techniques, de conseil ou de supervision, à un grade équivalant au groupe de fonctions administrateur AD;</w:t>
      </w:r>
    </w:p>
    <w:p w:rsidR="00B4000D" w:rsidRDefault="00B4000D">
      <w:pPr>
        <w:pStyle w:val="BodyText"/>
        <w:spacing w:before="1"/>
      </w:pPr>
    </w:p>
    <w:p w:rsidR="00B4000D" w:rsidRDefault="00DE02F0">
      <w:pPr>
        <w:pStyle w:val="ListParagraph"/>
        <w:numPr>
          <w:ilvl w:val="2"/>
          <w:numId w:val="4"/>
        </w:numPr>
        <w:tabs>
          <w:tab w:val="left" w:pos="1081"/>
        </w:tabs>
        <w:ind w:right="104"/>
        <w:jc w:val="both"/>
      </w:pPr>
      <w:r>
        <w:t>Ancienneté de service : avoir une ancienneté d'au moins un an auprès de son employeur, c'est-à-dire être employé</w:t>
      </w:r>
      <w:r>
        <w:rPr>
          <w:spacing w:val="-1"/>
        </w:rPr>
        <w:t xml:space="preserve"> </w:t>
      </w:r>
      <w:r>
        <w:t>depuis</w:t>
      </w:r>
      <w:r>
        <w:rPr>
          <w:spacing w:val="-1"/>
        </w:rPr>
        <w:t xml:space="preserve"> </w:t>
      </w:r>
      <w:r>
        <w:t>au</w:t>
      </w:r>
      <w:r>
        <w:rPr>
          <w:spacing w:val="-1"/>
        </w:rPr>
        <w:t xml:space="preserve"> </w:t>
      </w:r>
      <w:r>
        <w:t>moins</w:t>
      </w:r>
      <w:r>
        <w:rPr>
          <w:spacing w:val="-1"/>
        </w:rPr>
        <w:t xml:space="preserve"> </w:t>
      </w:r>
      <w:r>
        <w:t>un</w:t>
      </w:r>
      <w:r>
        <w:rPr>
          <w:spacing w:val="-1"/>
        </w:rPr>
        <w:t xml:space="preserve"> </w:t>
      </w:r>
      <w:r>
        <w:t>an</w:t>
      </w:r>
      <w:r>
        <w:rPr>
          <w:spacing w:val="-1"/>
        </w:rPr>
        <w:t xml:space="preserve"> </w:t>
      </w:r>
      <w:r>
        <w:t>par</w:t>
      </w:r>
      <w:r>
        <w:rPr>
          <w:spacing w:val="-1"/>
        </w:rPr>
        <w:t xml:space="preserve"> </w:t>
      </w:r>
      <w:r>
        <w:t>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le détachement;</w:t>
      </w:r>
    </w:p>
    <w:p w:rsidR="00B4000D" w:rsidRDefault="00B4000D">
      <w:pPr>
        <w:pStyle w:val="BodyText"/>
        <w:spacing w:before="10"/>
        <w:rPr>
          <w:sz w:val="21"/>
        </w:rPr>
      </w:pPr>
    </w:p>
    <w:p w:rsidR="00B4000D" w:rsidRDefault="00DE02F0">
      <w:pPr>
        <w:pStyle w:val="ListParagraph"/>
        <w:numPr>
          <w:ilvl w:val="2"/>
          <w:numId w:val="4"/>
        </w:numPr>
        <w:tabs>
          <w:tab w:val="left" w:pos="1081"/>
        </w:tabs>
        <w:ind w:right="105"/>
        <w:jc w:val="both"/>
      </w:pPr>
      <w:r>
        <w:t>Compétences linguistiques : avoir une connaissance approfondie d'une des langues de l'Union européenne</w:t>
      </w:r>
      <w:r>
        <w:rPr>
          <w:spacing w:val="40"/>
        </w:rPr>
        <w:t xml:space="preserve"> </w:t>
      </w:r>
      <w:r>
        <w:t xml:space="preserve">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rPr>
        <w:t>confiées.</w:t>
      </w:r>
    </w:p>
    <w:p w:rsidR="00B4000D" w:rsidRDefault="00B4000D">
      <w:pPr>
        <w:pStyle w:val="BodyText"/>
        <w:spacing w:before="5"/>
        <w:rPr>
          <w:sz w:val="24"/>
        </w:rPr>
      </w:pPr>
    </w:p>
    <w:p w:rsidR="00B4000D" w:rsidRDefault="00DE02F0">
      <w:pPr>
        <w:pStyle w:val="Heading1"/>
        <w:numPr>
          <w:ilvl w:val="1"/>
          <w:numId w:val="4"/>
        </w:numPr>
        <w:tabs>
          <w:tab w:val="left" w:pos="1081"/>
        </w:tabs>
        <w:ind w:left="1080" w:hanging="282"/>
        <w:rPr>
          <w:u w:val="none"/>
        </w:rPr>
      </w:pPr>
      <w:r>
        <w:t>Critères</w:t>
      </w:r>
      <w:r>
        <w:rPr>
          <w:spacing w:val="-3"/>
        </w:rPr>
        <w:t xml:space="preserve"> </w:t>
      </w:r>
      <w:r>
        <w:t>de</w:t>
      </w:r>
      <w:r>
        <w:rPr>
          <w:spacing w:val="-3"/>
        </w:rPr>
        <w:t xml:space="preserve"> </w:t>
      </w:r>
      <w:r>
        <w:rPr>
          <w:spacing w:val="-2"/>
        </w:rPr>
        <w:t>sélection</w:t>
      </w:r>
    </w:p>
    <w:p w:rsidR="00B4000D" w:rsidRDefault="00B4000D">
      <w:pPr>
        <w:pStyle w:val="BodyText"/>
        <w:spacing w:before="9"/>
        <w:rPr>
          <w:b/>
          <w:sz w:val="15"/>
        </w:rPr>
      </w:pPr>
    </w:p>
    <w:p w:rsidR="00B4000D" w:rsidRDefault="00DE02F0">
      <w:pPr>
        <w:pStyle w:val="BodyText"/>
        <w:spacing w:before="91" w:line="252" w:lineRule="exact"/>
        <w:ind w:left="1080"/>
      </w:pPr>
      <w:r>
        <w:rPr>
          <w:spacing w:val="-2"/>
          <w:u w:val="single"/>
        </w:rPr>
        <w:t>Diplôme</w:t>
      </w:r>
    </w:p>
    <w:p w:rsidR="00B4000D" w:rsidRDefault="00DE02F0">
      <w:pPr>
        <w:pStyle w:val="ListParagraph"/>
        <w:numPr>
          <w:ilvl w:val="0"/>
          <w:numId w:val="2"/>
        </w:numPr>
        <w:tabs>
          <w:tab w:val="left" w:pos="1206"/>
        </w:tabs>
        <w:spacing w:line="252" w:lineRule="exact"/>
        <w:ind w:left="1205" w:hanging="126"/>
      </w:pPr>
      <w:proofErr w:type="gramStart"/>
      <w:r>
        <w:t>diplôme</w:t>
      </w:r>
      <w:proofErr w:type="gramEnd"/>
      <w:r>
        <w:rPr>
          <w:spacing w:val="-4"/>
        </w:rPr>
        <w:t xml:space="preserve"> </w:t>
      </w:r>
      <w:r>
        <w:t>universitaire</w:t>
      </w:r>
      <w:r>
        <w:rPr>
          <w:spacing w:val="-4"/>
        </w:rPr>
        <w:t xml:space="preserve"> </w:t>
      </w:r>
      <w:r>
        <w:rPr>
          <w:spacing w:val="-5"/>
        </w:rPr>
        <w:t>ou</w:t>
      </w:r>
    </w:p>
    <w:p w:rsidR="00B4000D" w:rsidRDefault="00DE02F0">
      <w:pPr>
        <w:pStyle w:val="ListParagraph"/>
        <w:numPr>
          <w:ilvl w:val="0"/>
          <w:numId w:val="2"/>
        </w:numPr>
        <w:tabs>
          <w:tab w:val="left" w:pos="1206"/>
        </w:tabs>
        <w:spacing w:line="480" w:lineRule="auto"/>
        <w:ind w:right="2655" w:hanging="111"/>
      </w:pPr>
      <w:proofErr w:type="gramStart"/>
      <w:r>
        <w:t>formation</w:t>
      </w:r>
      <w:proofErr w:type="gramEnd"/>
      <w:r>
        <w:rPr>
          <w:spacing w:val="-2"/>
        </w:rPr>
        <w:t xml:space="preserve"> </w:t>
      </w:r>
      <w:r>
        <w:t>professionnelle</w:t>
      </w:r>
      <w:r>
        <w:rPr>
          <w:spacing w:val="-4"/>
        </w:rPr>
        <w:t xml:space="preserve"> </w:t>
      </w:r>
      <w:r>
        <w:t>ou</w:t>
      </w:r>
      <w:r>
        <w:rPr>
          <w:spacing w:val="-2"/>
        </w:rPr>
        <w:t xml:space="preserve"> </w:t>
      </w:r>
      <w:r>
        <w:t>expérience</w:t>
      </w:r>
      <w:r>
        <w:rPr>
          <w:spacing w:val="-4"/>
        </w:rPr>
        <w:t xml:space="preserve"> </w:t>
      </w:r>
      <w:r>
        <w:t>professionnelle</w:t>
      </w:r>
      <w:r>
        <w:rPr>
          <w:spacing w:val="-4"/>
        </w:rPr>
        <w:t xml:space="preserve"> </w:t>
      </w:r>
      <w:r>
        <w:t>de</w:t>
      </w:r>
      <w:r>
        <w:rPr>
          <w:spacing w:val="-2"/>
        </w:rPr>
        <w:t xml:space="preserve"> </w:t>
      </w:r>
      <w:r>
        <w:t>niveau</w:t>
      </w:r>
      <w:r>
        <w:rPr>
          <w:spacing w:val="-2"/>
        </w:rPr>
        <w:t xml:space="preserve"> </w:t>
      </w:r>
      <w:r>
        <w:t>équivalent dans le(s) domaine(s) :</w:t>
      </w:r>
    </w:p>
    <w:p w:rsidR="00B4000D" w:rsidRDefault="00DE02F0">
      <w:pPr>
        <w:pStyle w:val="BodyText"/>
        <w:spacing w:before="1"/>
        <w:ind w:left="1080" w:right="6716"/>
      </w:pPr>
      <w:r>
        <w:t xml:space="preserve">Diplôme universitaire </w:t>
      </w:r>
      <w:r>
        <w:rPr>
          <w:u w:val="single"/>
        </w:rPr>
        <w:t>Expérience</w:t>
      </w:r>
      <w:r>
        <w:rPr>
          <w:spacing w:val="-14"/>
          <w:u w:val="single"/>
        </w:rPr>
        <w:t xml:space="preserve"> </w:t>
      </w:r>
      <w:r>
        <w:rPr>
          <w:u w:val="single"/>
        </w:rPr>
        <w:t>professionnelle</w:t>
      </w:r>
    </w:p>
    <w:p w:rsidR="00B4000D" w:rsidRDefault="00B4000D">
      <w:pPr>
        <w:pStyle w:val="BodyText"/>
        <w:rPr>
          <w:sz w:val="14"/>
        </w:rPr>
      </w:pPr>
    </w:p>
    <w:p w:rsidR="00B4000D" w:rsidRDefault="00DE02F0">
      <w:pPr>
        <w:pStyle w:val="BodyText"/>
        <w:spacing w:before="92" w:line="480" w:lineRule="auto"/>
        <w:ind w:left="1080" w:right="2145"/>
      </w:pPr>
      <w:r>
        <w:t>Trois</w:t>
      </w:r>
      <w:r>
        <w:rPr>
          <w:spacing w:val="-5"/>
        </w:rPr>
        <w:t xml:space="preserve"> </w:t>
      </w:r>
      <w:r>
        <w:t>années</w:t>
      </w:r>
      <w:r>
        <w:rPr>
          <w:spacing w:val="-3"/>
        </w:rPr>
        <w:t xml:space="preserve"> </w:t>
      </w:r>
      <w:r>
        <w:t>dans</w:t>
      </w:r>
      <w:r>
        <w:rPr>
          <w:spacing w:val="-5"/>
        </w:rPr>
        <w:t xml:space="preserve"> </w:t>
      </w:r>
      <w:r>
        <w:t>la</w:t>
      </w:r>
      <w:r>
        <w:rPr>
          <w:spacing w:val="-3"/>
        </w:rPr>
        <w:t xml:space="preserve"> </w:t>
      </w:r>
      <w:r>
        <w:t>Recherche</w:t>
      </w:r>
      <w:r>
        <w:rPr>
          <w:spacing w:val="-3"/>
        </w:rPr>
        <w:t xml:space="preserve"> </w:t>
      </w:r>
      <w:r>
        <w:t>&amp;</w:t>
      </w:r>
      <w:r>
        <w:rPr>
          <w:spacing w:val="-5"/>
        </w:rPr>
        <w:t xml:space="preserve"> </w:t>
      </w:r>
      <w:r>
        <w:t>Innovation</w:t>
      </w:r>
      <w:r>
        <w:rPr>
          <w:spacing w:val="-3"/>
        </w:rPr>
        <w:t xml:space="preserve"> </w:t>
      </w:r>
      <w:r>
        <w:t>ou</w:t>
      </w:r>
      <w:r>
        <w:rPr>
          <w:spacing w:val="-6"/>
        </w:rPr>
        <w:t xml:space="preserve"> </w:t>
      </w:r>
      <w:r>
        <w:t>l’Administration</w:t>
      </w:r>
      <w:r>
        <w:rPr>
          <w:spacing w:val="-3"/>
        </w:rPr>
        <w:t xml:space="preserve"> </w:t>
      </w:r>
      <w:r>
        <w:t xml:space="preserve">publique </w:t>
      </w:r>
      <w:r>
        <w:rPr>
          <w:u w:val="single"/>
        </w:rPr>
        <w:t>Langue(s) nécessaire(s) pour l'accomplissement des tâches</w:t>
      </w:r>
    </w:p>
    <w:p w:rsidR="00B4000D" w:rsidRDefault="005B06E8">
      <w:pPr>
        <w:pStyle w:val="BodyText"/>
        <w:spacing w:before="1"/>
        <w:ind w:left="1080"/>
      </w:pPr>
      <w:r>
        <w:pict>
          <v:rect id="docshape3" o:spid="_x0000_s1026" style="position:absolute;left:0;text-align:left;margin-left:498.45pt;margin-top:11.5pt;width:2.65pt;height:.5pt;z-index:15729152;mso-position-horizontal-relative:page" fillcolor="black" stroked="f">
            <w10:wrap anchorx="page"/>
          </v:rect>
        </w:pict>
      </w:r>
      <w:r w:rsidR="00DE02F0">
        <w:t>Une</w:t>
      </w:r>
      <w:r w:rsidR="00DE02F0">
        <w:rPr>
          <w:spacing w:val="-4"/>
        </w:rPr>
        <w:t xml:space="preserve"> </w:t>
      </w:r>
      <w:r w:rsidR="00DE02F0">
        <w:t>maîtrise</w:t>
      </w:r>
      <w:r w:rsidR="00DE02F0">
        <w:rPr>
          <w:spacing w:val="-3"/>
        </w:rPr>
        <w:t xml:space="preserve"> </w:t>
      </w:r>
      <w:r w:rsidR="00DE02F0">
        <w:t>aboutie</w:t>
      </w:r>
      <w:r w:rsidR="00DE02F0">
        <w:rPr>
          <w:spacing w:val="-5"/>
        </w:rPr>
        <w:t xml:space="preserve"> </w:t>
      </w:r>
      <w:r w:rsidR="00DE02F0">
        <w:t>de</w:t>
      </w:r>
      <w:r w:rsidR="00DE02F0">
        <w:rPr>
          <w:spacing w:val="-4"/>
        </w:rPr>
        <w:t xml:space="preserve"> </w:t>
      </w:r>
      <w:r w:rsidR="00DE02F0">
        <w:t>l’anglais</w:t>
      </w:r>
      <w:r w:rsidR="00DE02F0">
        <w:rPr>
          <w:spacing w:val="-3"/>
        </w:rPr>
        <w:t xml:space="preserve"> </w:t>
      </w:r>
      <w:r w:rsidR="00DE02F0">
        <w:t>est</w:t>
      </w:r>
      <w:r w:rsidR="00DE02F0">
        <w:rPr>
          <w:spacing w:val="-4"/>
        </w:rPr>
        <w:t xml:space="preserve"> </w:t>
      </w:r>
      <w:r w:rsidR="00DE02F0">
        <w:t>essentielle.</w:t>
      </w:r>
      <w:r w:rsidR="00DE02F0">
        <w:rPr>
          <w:spacing w:val="-6"/>
        </w:rPr>
        <w:t xml:space="preserve"> </w:t>
      </w:r>
      <w:r w:rsidR="00DE02F0">
        <w:t>Toute</w:t>
      </w:r>
      <w:r w:rsidR="00DE02F0">
        <w:rPr>
          <w:spacing w:val="-5"/>
        </w:rPr>
        <w:t xml:space="preserve"> </w:t>
      </w:r>
      <w:r w:rsidR="00DE02F0">
        <w:t>autre</w:t>
      </w:r>
      <w:r w:rsidR="00DE02F0">
        <w:rPr>
          <w:spacing w:val="-3"/>
        </w:rPr>
        <w:t xml:space="preserve"> </w:t>
      </w:r>
      <w:r w:rsidR="00DE02F0">
        <w:t>langue</w:t>
      </w:r>
      <w:r w:rsidR="00DE02F0">
        <w:rPr>
          <w:spacing w:val="-4"/>
        </w:rPr>
        <w:t xml:space="preserve"> </w:t>
      </w:r>
      <w:r w:rsidR="00DE02F0">
        <w:t>est</w:t>
      </w:r>
      <w:r w:rsidR="00DE02F0">
        <w:rPr>
          <w:spacing w:val="-2"/>
        </w:rPr>
        <w:t xml:space="preserve"> </w:t>
      </w:r>
      <w:r w:rsidR="00DE02F0">
        <w:t>un</w:t>
      </w:r>
      <w:r w:rsidR="00DE02F0">
        <w:rPr>
          <w:spacing w:val="-6"/>
        </w:rPr>
        <w:t xml:space="preserve"> </w:t>
      </w:r>
      <w:r w:rsidR="00DE02F0">
        <w:t>atout</w:t>
      </w:r>
      <w:r w:rsidR="00DE02F0">
        <w:rPr>
          <w:spacing w:val="-2"/>
        </w:rPr>
        <w:t xml:space="preserve"> supplémentaire.</w:t>
      </w:r>
    </w:p>
    <w:p w:rsidR="00B4000D" w:rsidRDefault="00B4000D">
      <w:pPr>
        <w:pStyle w:val="BodyText"/>
        <w:rPr>
          <w:sz w:val="20"/>
        </w:rPr>
      </w:pPr>
    </w:p>
    <w:p w:rsidR="00B4000D" w:rsidRDefault="00B4000D">
      <w:pPr>
        <w:pStyle w:val="BodyText"/>
        <w:spacing w:before="6"/>
        <w:rPr>
          <w:sz w:val="16"/>
        </w:rPr>
      </w:pPr>
    </w:p>
    <w:p w:rsidR="00B4000D" w:rsidRDefault="00DE02F0">
      <w:pPr>
        <w:pStyle w:val="ListParagraph"/>
        <w:numPr>
          <w:ilvl w:val="0"/>
          <w:numId w:val="4"/>
        </w:numPr>
        <w:tabs>
          <w:tab w:val="left" w:pos="799"/>
          <w:tab w:val="left" w:pos="800"/>
        </w:tabs>
        <w:spacing w:before="90"/>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B4000D" w:rsidRDefault="00B4000D">
      <w:pPr>
        <w:pStyle w:val="BodyText"/>
        <w:spacing w:before="7"/>
        <w:rPr>
          <w:b/>
          <w:sz w:val="15"/>
        </w:rPr>
      </w:pPr>
    </w:p>
    <w:p w:rsidR="00B4000D" w:rsidRDefault="00DE02F0">
      <w:pPr>
        <w:spacing w:before="92"/>
        <w:ind w:left="799" w:right="277"/>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B4000D" w:rsidRDefault="00DE02F0">
      <w:pPr>
        <w:pStyle w:val="BodyText"/>
        <w:spacing w:before="1"/>
        <w:ind w:left="799"/>
        <w:jc w:val="both"/>
      </w:pPr>
      <w:r>
        <w:t>Les</w:t>
      </w:r>
      <w:r>
        <w:rPr>
          <w:spacing w:val="-6"/>
        </w:rPr>
        <w:t xml:space="preserve"> </w:t>
      </w:r>
      <w:r>
        <w:t>candidats</w:t>
      </w:r>
      <w:r>
        <w:rPr>
          <w:spacing w:val="-4"/>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3"/>
        </w:rPr>
        <w:t xml:space="preserve"> </w:t>
      </w:r>
      <w:r>
        <w:t>de</w:t>
      </w:r>
      <w:r>
        <w:rPr>
          <w:spacing w:val="-5"/>
        </w:rPr>
        <w:t xml:space="preserve"> </w:t>
      </w:r>
      <w:r>
        <w:t>leur</w:t>
      </w:r>
      <w:r>
        <w:rPr>
          <w:spacing w:val="-4"/>
        </w:rPr>
        <w:t xml:space="preserve"> </w:t>
      </w:r>
      <w:r>
        <w:t>candidature</w:t>
      </w:r>
      <w:r>
        <w:rPr>
          <w:spacing w:val="-3"/>
        </w:rPr>
        <w:t xml:space="preserve"> </w:t>
      </w:r>
      <w:r>
        <w:t>par</w:t>
      </w:r>
      <w:r>
        <w:rPr>
          <w:spacing w:val="-6"/>
        </w:rPr>
        <w:t xml:space="preserve"> </w:t>
      </w:r>
      <w:r>
        <w:t>l'unité</w:t>
      </w:r>
      <w:r>
        <w:rPr>
          <w:spacing w:val="-3"/>
        </w:rPr>
        <w:t xml:space="preserve"> </w:t>
      </w:r>
      <w:r>
        <w:rPr>
          <w:spacing w:val="-2"/>
        </w:rPr>
        <w:t>concernée.</w:t>
      </w:r>
    </w:p>
    <w:p w:rsidR="00B4000D" w:rsidRDefault="00DE02F0">
      <w:pPr>
        <w:pStyle w:val="ListParagraph"/>
        <w:numPr>
          <w:ilvl w:val="0"/>
          <w:numId w:val="4"/>
        </w:numPr>
        <w:tabs>
          <w:tab w:val="left" w:pos="800"/>
        </w:tabs>
        <w:spacing w:before="4"/>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B4000D" w:rsidRDefault="00B4000D">
      <w:pPr>
        <w:pStyle w:val="BodyText"/>
        <w:spacing w:before="7"/>
        <w:rPr>
          <w:b/>
          <w:sz w:val="15"/>
        </w:rPr>
      </w:pPr>
    </w:p>
    <w:p w:rsidR="00B4000D" w:rsidRDefault="00DE02F0">
      <w:pPr>
        <w:pStyle w:val="BodyText"/>
        <w:spacing w:before="92"/>
        <w:ind w:left="799" w:right="278"/>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 xml:space="preserve">relative au régime applicable aux experts nationaux détachés et aux experts nationaux en formation professionnelle auprès des services de la Commission (décision END). Le texte de cette décision est disponible sur </w:t>
      </w:r>
      <w:hyperlink r:id="rId11">
        <w:r>
          <w:rPr>
            <w:color w:val="0000FF"/>
            <w:spacing w:val="-2"/>
            <w:u w:val="single" w:color="0000FF"/>
          </w:rPr>
          <w:t>http://ec.europa.eu/civil_service/job/sne/index_fr.htm</w:t>
        </w:r>
        <w:r>
          <w:rPr>
            <w:spacing w:val="-2"/>
          </w:rPr>
          <w:t>.</w:t>
        </w:r>
      </w:hyperlink>
    </w:p>
    <w:p w:rsidR="00B4000D" w:rsidRDefault="00B4000D">
      <w:pPr>
        <w:jc w:val="both"/>
        <w:sectPr w:rsidR="00B4000D">
          <w:pgSz w:w="11910" w:h="16840"/>
          <w:pgMar w:top="1040" w:right="740" w:bottom="880" w:left="480" w:header="0" w:footer="690" w:gutter="0"/>
          <w:cols w:space="720"/>
        </w:sectPr>
      </w:pPr>
    </w:p>
    <w:p w:rsidR="00B4000D" w:rsidRDefault="00DE02F0">
      <w:pPr>
        <w:pStyle w:val="BodyText"/>
        <w:spacing w:before="68"/>
        <w:ind w:left="799"/>
      </w:pPr>
      <w:r>
        <w:lastRenderedPageBreak/>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couvert par la sécurité sociale nationale durant son détachement.</w:t>
      </w:r>
    </w:p>
    <w:p w:rsidR="00B4000D" w:rsidRDefault="00DE02F0">
      <w:pPr>
        <w:pStyle w:val="BodyText"/>
        <w:spacing w:before="1"/>
        <w:ind w:left="79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B4000D" w:rsidRDefault="00DE02F0">
      <w:pPr>
        <w:pStyle w:val="BodyText"/>
        <w:ind w:left="799"/>
      </w:pPr>
      <w:r>
        <w:t>Durant</w:t>
      </w:r>
      <w:r>
        <w:rPr>
          <w:spacing w:val="29"/>
        </w:rPr>
        <w:t xml:space="preserve"> </w:t>
      </w:r>
      <w:r>
        <w:t>le</w:t>
      </w:r>
      <w:r>
        <w:rPr>
          <w:spacing w:val="28"/>
        </w:rPr>
        <w:t xml:space="preserve"> </w:t>
      </w:r>
      <w:r>
        <w:t>détachement,</w:t>
      </w:r>
      <w:r>
        <w:rPr>
          <w:spacing w:val="30"/>
        </w:rPr>
        <w:t xml:space="preserve"> </w:t>
      </w:r>
      <w:r>
        <w:t>l'END</w:t>
      </w:r>
      <w:r>
        <w:rPr>
          <w:spacing w:val="32"/>
        </w:rPr>
        <w:t xml:space="preserve"> </w:t>
      </w:r>
      <w:r>
        <w:t>sera</w:t>
      </w:r>
      <w:r>
        <w:rPr>
          <w:spacing w:val="28"/>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1"/>
        </w:rPr>
        <w:t xml:space="preserve"> </w:t>
      </w:r>
      <w:r>
        <w:t>confidentialité,</w:t>
      </w:r>
      <w:r>
        <w:rPr>
          <w:spacing w:val="28"/>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B4000D" w:rsidRDefault="00DE02F0">
      <w:pPr>
        <w:pStyle w:val="BodyText"/>
        <w:spacing w:before="1"/>
        <w:ind w:left="79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B4000D" w:rsidRDefault="00B4000D">
      <w:pPr>
        <w:pStyle w:val="BodyText"/>
        <w:spacing w:before="8"/>
        <w:rPr>
          <w:sz w:val="20"/>
        </w:rPr>
      </w:pPr>
    </w:p>
    <w:p w:rsidR="00B4000D" w:rsidRDefault="00DE02F0">
      <w:pPr>
        <w:pStyle w:val="BodyText"/>
        <w:spacing w:before="1"/>
        <w:ind w:left="799" w:right="106"/>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B4000D" w:rsidRDefault="00B4000D">
      <w:pPr>
        <w:pStyle w:val="BodyText"/>
        <w:spacing w:before="6"/>
        <w:rPr>
          <w:sz w:val="24"/>
        </w:rPr>
      </w:pPr>
    </w:p>
    <w:p w:rsidR="00B4000D" w:rsidRDefault="00DE02F0">
      <w:pPr>
        <w:pStyle w:val="ListParagraph"/>
        <w:numPr>
          <w:ilvl w:val="0"/>
          <w:numId w:val="4"/>
        </w:numPr>
        <w:tabs>
          <w:tab w:val="left" w:pos="799"/>
          <w:tab w:val="left" w:pos="80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B4000D" w:rsidRDefault="00B4000D">
      <w:pPr>
        <w:pStyle w:val="BodyText"/>
        <w:spacing w:before="7"/>
        <w:rPr>
          <w:b/>
          <w:sz w:val="15"/>
        </w:rPr>
      </w:pPr>
    </w:p>
    <w:p w:rsidR="00B4000D" w:rsidRDefault="00DE02F0">
      <w:pPr>
        <w:pStyle w:val="BodyText"/>
        <w:spacing w:before="91"/>
        <w:ind w:left="799" w:right="281"/>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xml:space="preserve"> </w:t>
      </w:r>
      <w:r>
        <w:t>de</w:t>
      </w:r>
      <w:r>
        <w:rPr>
          <w:spacing w:val="-2"/>
        </w:rPr>
        <w:t xml:space="preserve"> </w:t>
      </w:r>
      <w:r>
        <w:t>l'unité HR.DDG.B4. Ce traitement</w:t>
      </w:r>
      <w:r>
        <w:rPr>
          <w:spacing w:val="-1"/>
        </w:rPr>
        <w:t xml:space="preserve"> </w:t>
      </w:r>
      <w:r>
        <w:t>est</w:t>
      </w:r>
      <w:r>
        <w:rPr>
          <w:spacing w:val="-1"/>
        </w:rPr>
        <w:t xml:space="preserve"> </w:t>
      </w:r>
      <w:r>
        <w:t>basé sur</w:t>
      </w:r>
      <w:r>
        <w:rPr>
          <w:spacing w:val="-2"/>
        </w:rPr>
        <w:t xml:space="preserve"> </w:t>
      </w:r>
      <w:r>
        <w:t>la décision de</w:t>
      </w:r>
      <w:r>
        <w:rPr>
          <w:spacing w:val="-2"/>
        </w:rPr>
        <w:t xml:space="preserve"> </w:t>
      </w:r>
      <w:r>
        <w:t>la Commission relative aux END</w:t>
      </w:r>
      <w:r>
        <w:rPr>
          <w:spacing w:val="-1"/>
        </w:rPr>
        <w:t xml:space="preserve"> </w:t>
      </w:r>
      <w:r>
        <w:t>et</w:t>
      </w:r>
      <w:r>
        <w:rPr>
          <w:spacing w:val="-1"/>
        </w:rPr>
        <w:t xml:space="preserve"> </w:t>
      </w:r>
      <w:r>
        <w:t>est soumis au Règlement (UE) No 2018/1725.</w:t>
      </w:r>
    </w:p>
    <w:p w:rsidR="00B4000D" w:rsidRDefault="00DE02F0">
      <w:pPr>
        <w:pStyle w:val="BodyText"/>
        <w:spacing w:before="1"/>
        <w:ind w:left="799" w:right="289"/>
        <w:jc w:val="both"/>
      </w:pPr>
      <w:r>
        <w:t>Les données des END seront conservées pendant 10 ans à compter de la fin du détachement (2 ans pour les END dont la candidature n'a pas été retenue ou a été retirée).</w:t>
      </w:r>
    </w:p>
    <w:p w:rsidR="00B4000D" w:rsidRDefault="00DE02F0">
      <w:pPr>
        <w:pStyle w:val="BodyText"/>
        <w:ind w:left="799" w:right="287"/>
        <w:jc w:val="both"/>
      </w:pPr>
      <w:r>
        <w:t>En tant que personne concernée, vous avez des droits spécifiques en vertu du chapitre III (articles 14 à 25)</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40"/>
        </w:rPr>
        <w:t xml:space="preserve"> </w:t>
      </w:r>
      <w:r>
        <w:t>avez également le droit de vous opposer au traitement ou au droit à la portabilité des données.</w:t>
      </w:r>
    </w:p>
    <w:p w:rsidR="00B4000D" w:rsidRDefault="00DE02F0">
      <w:pPr>
        <w:pStyle w:val="BodyText"/>
        <w:ind w:left="799" w:right="279"/>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B4000D" w:rsidRDefault="00B4000D">
      <w:pPr>
        <w:pStyle w:val="BodyText"/>
        <w:spacing w:before="4"/>
      </w:pPr>
    </w:p>
    <w:p w:rsidR="00B4000D" w:rsidRDefault="00DE02F0">
      <w:pPr>
        <w:pStyle w:val="Heading1"/>
        <w:spacing w:before="1"/>
        <w:ind w:left="799" w:firstLine="0"/>
        <w:rPr>
          <w:u w:val="none"/>
        </w:rPr>
      </w:pPr>
      <w:r>
        <w:t>Informations</w:t>
      </w:r>
      <w:r>
        <w:rPr>
          <w:spacing w:val="-4"/>
        </w:rPr>
        <w:t xml:space="preserve"> </w:t>
      </w:r>
      <w:r>
        <w:t>de</w:t>
      </w:r>
      <w:r>
        <w:rPr>
          <w:spacing w:val="-4"/>
        </w:rPr>
        <w:t xml:space="preserve"> </w:t>
      </w:r>
      <w:r>
        <w:rPr>
          <w:spacing w:val="-2"/>
        </w:rPr>
        <w:t>contact</w:t>
      </w:r>
    </w:p>
    <w:p w:rsidR="00B4000D" w:rsidRDefault="00B4000D">
      <w:pPr>
        <w:pStyle w:val="BodyText"/>
        <w:spacing w:before="7"/>
        <w:rPr>
          <w:b/>
          <w:sz w:val="13"/>
        </w:rPr>
      </w:pPr>
    </w:p>
    <w:p w:rsidR="00B4000D" w:rsidRDefault="00DE02F0">
      <w:pPr>
        <w:pStyle w:val="ListParagraph"/>
        <w:numPr>
          <w:ilvl w:val="0"/>
          <w:numId w:val="1"/>
        </w:numPr>
        <w:tabs>
          <w:tab w:val="left" w:pos="1081"/>
        </w:tabs>
        <w:spacing w:before="92" w:line="252" w:lineRule="exact"/>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B4000D" w:rsidRDefault="00DE02F0">
      <w:pPr>
        <w:pStyle w:val="BodyText"/>
        <w:ind w:left="799" w:right="286"/>
        <w:jc w:val="both"/>
      </w:pPr>
      <w: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r>
          <w:rPr>
            <w:color w:val="0000FF"/>
            <w:u w:val="single" w:color="0000FF"/>
          </w:rPr>
          <w:t>HR-MAIL-B4@ec.europa.eu</w:t>
        </w:r>
      </w:hyperlink>
      <w:r>
        <w:t>.</w:t>
      </w:r>
    </w:p>
    <w:p w:rsidR="00B4000D" w:rsidRDefault="00B4000D">
      <w:pPr>
        <w:pStyle w:val="BodyText"/>
        <w:rPr>
          <w:sz w:val="14"/>
        </w:rPr>
      </w:pPr>
    </w:p>
    <w:p w:rsidR="00B4000D" w:rsidRDefault="00DE02F0">
      <w:pPr>
        <w:pStyle w:val="Heading1"/>
        <w:numPr>
          <w:ilvl w:val="0"/>
          <w:numId w:val="1"/>
        </w:numPr>
        <w:tabs>
          <w:tab w:val="left" w:pos="1081"/>
        </w:tabs>
        <w:spacing w:before="91"/>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B4000D" w:rsidRDefault="00DE02F0">
      <w:pPr>
        <w:pStyle w:val="BodyText"/>
        <w:spacing w:before="2"/>
        <w:ind w:left="799" w:right="279"/>
        <w:jc w:val="both"/>
      </w:pPr>
      <w:r>
        <w:t>Vous pouvez contacter le délégué à la protection des données (</w:t>
      </w:r>
      <w:hyperlink r:id="rId13">
        <w:r>
          <w:rPr>
            <w:color w:val="0000FF"/>
            <w:u w:val="single" w:color="0000FF"/>
          </w:rPr>
          <w:t>DATA-PROTECTION-</w:t>
        </w:r>
      </w:hyperlink>
      <w:r>
        <w:rPr>
          <w:color w:val="0000FF"/>
        </w:rPr>
        <w:t xml:space="preserve"> </w:t>
      </w:r>
      <w:hyperlink r:id="rId14">
        <w:r>
          <w:rPr>
            <w:color w:val="0000FF"/>
            <w:u w:val="single" w:color="0000FF"/>
          </w:rPr>
          <w:t>OFFICER@ec.europa.eu</w:t>
        </w:r>
      </w:hyperlink>
      <w:r>
        <w:t>) pour toute question relative au traitement de vos données à caractère personnel en vertu du règlement (UE) 2018/1725.</w:t>
      </w:r>
    </w:p>
    <w:p w:rsidR="00B4000D" w:rsidRDefault="00DE02F0">
      <w:pPr>
        <w:pStyle w:val="Heading1"/>
        <w:numPr>
          <w:ilvl w:val="0"/>
          <w:numId w:val="1"/>
        </w:numPr>
        <w:tabs>
          <w:tab w:val="left" w:pos="1081"/>
        </w:tabs>
        <w:spacing w:before="4"/>
        <w:ind w:hanging="282"/>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B4000D" w:rsidRDefault="00B4000D">
      <w:pPr>
        <w:pStyle w:val="BodyText"/>
        <w:spacing w:before="8"/>
        <w:rPr>
          <w:b/>
          <w:sz w:val="13"/>
        </w:rPr>
      </w:pPr>
    </w:p>
    <w:p w:rsidR="00B4000D" w:rsidRDefault="00DE02F0">
      <w:pPr>
        <w:pStyle w:val="BodyText"/>
        <w:spacing w:before="92"/>
        <w:ind w:left="799" w:right="279"/>
        <w:jc w:val="both"/>
      </w:pPr>
      <w:r>
        <w:t>Vous avez le droit de saisir le contrôleur européen de la protection des données (</w:t>
      </w:r>
      <w:hyperlink r:id="rId15">
        <w:r>
          <w:rPr>
            <w:color w:val="0000FF"/>
            <w:u w:val="single" w:color="0000FF"/>
          </w:rPr>
          <w:t>edps@edps.europa.eu</w:t>
        </w:r>
      </w:hyperlink>
      <w:r>
        <w:t>) (c’est-à-dire que vous pouvez porter plainte) si vous estimez que vos droits en vertu du règlement (UE) 2018/1725 ont été violés par le contrôleur des données.</w:t>
      </w:r>
    </w:p>
    <w:p w:rsidR="00B4000D" w:rsidRDefault="00B4000D">
      <w:pPr>
        <w:pStyle w:val="BodyText"/>
        <w:spacing w:before="9"/>
        <w:rPr>
          <w:sz w:val="21"/>
        </w:rPr>
      </w:pPr>
    </w:p>
    <w:p w:rsidR="00B4000D" w:rsidRDefault="00DE02F0">
      <w:pPr>
        <w:pStyle w:val="BodyText"/>
        <w:spacing w:before="1"/>
        <w:ind w:left="799"/>
      </w:pPr>
      <w:r>
        <w:t>À l'attention des candidats ressortissant de pays tiers: vos données personnelles peuvent être utilisées aux fins des vérifications nécessaires.</w:t>
      </w:r>
    </w:p>
    <w:sectPr w:rsidR="00B4000D">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785" w:rsidRDefault="00DE02F0">
      <w:r>
        <w:separator/>
      </w:r>
    </w:p>
  </w:endnote>
  <w:endnote w:type="continuationSeparator" w:id="0">
    <w:p w:rsidR="004E4785" w:rsidRDefault="00DE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00D" w:rsidRDefault="005B06E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B4000D" w:rsidRDefault="00DE02F0">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785" w:rsidRDefault="00DE02F0">
      <w:r>
        <w:separator/>
      </w:r>
    </w:p>
  </w:footnote>
  <w:footnote w:type="continuationSeparator" w:id="0">
    <w:p w:rsidR="004E4785" w:rsidRDefault="00DE02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45CB9"/>
    <w:multiLevelType w:val="hybridMultilevel"/>
    <w:tmpl w:val="F61C3188"/>
    <w:lvl w:ilvl="0" w:tplc="791A76F2">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fr-FR" w:eastAsia="en-US" w:bidi="ar-SA"/>
      </w:rPr>
    </w:lvl>
    <w:lvl w:ilvl="1" w:tplc="AB4C1820">
      <w:numFmt w:val="bullet"/>
      <w:lvlText w:val="•"/>
      <w:lvlJc w:val="left"/>
      <w:pPr>
        <w:ind w:left="2148" w:hanging="125"/>
      </w:pPr>
      <w:rPr>
        <w:rFonts w:hint="default"/>
        <w:lang w:val="fr-FR" w:eastAsia="en-US" w:bidi="ar-SA"/>
      </w:rPr>
    </w:lvl>
    <w:lvl w:ilvl="2" w:tplc="E83C0AA6">
      <w:numFmt w:val="bullet"/>
      <w:lvlText w:val="•"/>
      <w:lvlJc w:val="left"/>
      <w:pPr>
        <w:ind w:left="3097" w:hanging="125"/>
      </w:pPr>
      <w:rPr>
        <w:rFonts w:hint="default"/>
        <w:lang w:val="fr-FR" w:eastAsia="en-US" w:bidi="ar-SA"/>
      </w:rPr>
    </w:lvl>
    <w:lvl w:ilvl="3" w:tplc="E2B6DB48">
      <w:numFmt w:val="bullet"/>
      <w:lvlText w:val="•"/>
      <w:lvlJc w:val="left"/>
      <w:pPr>
        <w:ind w:left="4045" w:hanging="125"/>
      </w:pPr>
      <w:rPr>
        <w:rFonts w:hint="default"/>
        <w:lang w:val="fr-FR" w:eastAsia="en-US" w:bidi="ar-SA"/>
      </w:rPr>
    </w:lvl>
    <w:lvl w:ilvl="4" w:tplc="F2903748">
      <w:numFmt w:val="bullet"/>
      <w:lvlText w:val="•"/>
      <w:lvlJc w:val="left"/>
      <w:pPr>
        <w:ind w:left="4994" w:hanging="125"/>
      </w:pPr>
      <w:rPr>
        <w:rFonts w:hint="default"/>
        <w:lang w:val="fr-FR" w:eastAsia="en-US" w:bidi="ar-SA"/>
      </w:rPr>
    </w:lvl>
    <w:lvl w:ilvl="5" w:tplc="24E4C3DE">
      <w:numFmt w:val="bullet"/>
      <w:lvlText w:val="•"/>
      <w:lvlJc w:val="left"/>
      <w:pPr>
        <w:ind w:left="5943" w:hanging="125"/>
      </w:pPr>
      <w:rPr>
        <w:rFonts w:hint="default"/>
        <w:lang w:val="fr-FR" w:eastAsia="en-US" w:bidi="ar-SA"/>
      </w:rPr>
    </w:lvl>
    <w:lvl w:ilvl="6" w:tplc="9F144846">
      <w:numFmt w:val="bullet"/>
      <w:lvlText w:val="•"/>
      <w:lvlJc w:val="left"/>
      <w:pPr>
        <w:ind w:left="6891" w:hanging="125"/>
      </w:pPr>
      <w:rPr>
        <w:rFonts w:hint="default"/>
        <w:lang w:val="fr-FR" w:eastAsia="en-US" w:bidi="ar-SA"/>
      </w:rPr>
    </w:lvl>
    <w:lvl w:ilvl="7" w:tplc="0E727D50">
      <w:numFmt w:val="bullet"/>
      <w:lvlText w:val="•"/>
      <w:lvlJc w:val="left"/>
      <w:pPr>
        <w:ind w:left="7840" w:hanging="125"/>
      </w:pPr>
      <w:rPr>
        <w:rFonts w:hint="default"/>
        <w:lang w:val="fr-FR" w:eastAsia="en-US" w:bidi="ar-SA"/>
      </w:rPr>
    </w:lvl>
    <w:lvl w:ilvl="8" w:tplc="F6607308">
      <w:numFmt w:val="bullet"/>
      <w:lvlText w:val="•"/>
      <w:lvlJc w:val="left"/>
      <w:pPr>
        <w:ind w:left="8789" w:hanging="125"/>
      </w:pPr>
      <w:rPr>
        <w:rFonts w:hint="default"/>
        <w:lang w:val="fr-FR" w:eastAsia="en-US" w:bidi="ar-SA"/>
      </w:rPr>
    </w:lvl>
  </w:abstractNum>
  <w:abstractNum w:abstractNumId="1" w15:restartNumberingAfterBreak="0">
    <w:nsid w:val="351C285D"/>
    <w:multiLevelType w:val="hybridMultilevel"/>
    <w:tmpl w:val="88E2C0E2"/>
    <w:lvl w:ilvl="0" w:tplc="5308E8FC">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fr-FR" w:eastAsia="en-US" w:bidi="ar-SA"/>
      </w:rPr>
    </w:lvl>
    <w:lvl w:ilvl="1" w:tplc="B8CE3590">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fr-FR" w:eastAsia="en-US" w:bidi="ar-SA"/>
      </w:rPr>
    </w:lvl>
    <w:lvl w:ilvl="2" w:tplc="395A9F9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fr-FR" w:eastAsia="en-US" w:bidi="ar-SA"/>
      </w:rPr>
    </w:lvl>
    <w:lvl w:ilvl="3" w:tplc="E42AB5C4">
      <w:numFmt w:val="bullet"/>
      <w:lvlText w:val="•"/>
      <w:lvlJc w:val="left"/>
      <w:pPr>
        <w:ind w:left="2280" w:hanging="281"/>
      </w:pPr>
      <w:rPr>
        <w:rFonts w:hint="default"/>
        <w:lang w:val="fr-FR" w:eastAsia="en-US" w:bidi="ar-SA"/>
      </w:rPr>
    </w:lvl>
    <w:lvl w:ilvl="4" w:tplc="BF2EC85A">
      <w:numFmt w:val="bullet"/>
      <w:lvlText w:val="•"/>
      <w:lvlJc w:val="left"/>
      <w:pPr>
        <w:ind w:left="3481" w:hanging="281"/>
      </w:pPr>
      <w:rPr>
        <w:rFonts w:hint="default"/>
        <w:lang w:val="fr-FR" w:eastAsia="en-US" w:bidi="ar-SA"/>
      </w:rPr>
    </w:lvl>
    <w:lvl w:ilvl="5" w:tplc="B4EC6A12">
      <w:numFmt w:val="bullet"/>
      <w:lvlText w:val="•"/>
      <w:lvlJc w:val="left"/>
      <w:pPr>
        <w:ind w:left="4682" w:hanging="281"/>
      </w:pPr>
      <w:rPr>
        <w:rFonts w:hint="default"/>
        <w:lang w:val="fr-FR" w:eastAsia="en-US" w:bidi="ar-SA"/>
      </w:rPr>
    </w:lvl>
    <w:lvl w:ilvl="6" w:tplc="A13044FC">
      <w:numFmt w:val="bullet"/>
      <w:lvlText w:val="•"/>
      <w:lvlJc w:val="left"/>
      <w:pPr>
        <w:ind w:left="5883" w:hanging="281"/>
      </w:pPr>
      <w:rPr>
        <w:rFonts w:hint="default"/>
        <w:lang w:val="fr-FR" w:eastAsia="en-US" w:bidi="ar-SA"/>
      </w:rPr>
    </w:lvl>
    <w:lvl w:ilvl="7" w:tplc="FDBA739A">
      <w:numFmt w:val="bullet"/>
      <w:lvlText w:val="•"/>
      <w:lvlJc w:val="left"/>
      <w:pPr>
        <w:ind w:left="7084" w:hanging="281"/>
      </w:pPr>
      <w:rPr>
        <w:rFonts w:hint="default"/>
        <w:lang w:val="fr-FR" w:eastAsia="en-US" w:bidi="ar-SA"/>
      </w:rPr>
    </w:lvl>
    <w:lvl w:ilvl="8" w:tplc="4CEA3CCE">
      <w:numFmt w:val="bullet"/>
      <w:lvlText w:val="•"/>
      <w:lvlJc w:val="left"/>
      <w:pPr>
        <w:ind w:left="8284" w:hanging="281"/>
      </w:pPr>
      <w:rPr>
        <w:rFonts w:hint="default"/>
        <w:lang w:val="fr-FR" w:eastAsia="en-US" w:bidi="ar-SA"/>
      </w:rPr>
    </w:lvl>
  </w:abstractNum>
  <w:abstractNum w:abstractNumId="2" w15:restartNumberingAfterBreak="0">
    <w:nsid w:val="3E864FA0"/>
    <w:multiLevelType w:val="hybridMultilevel"/>
    <w:tmpl w:val="FC5CE670"/>
    <w:lvl w:ilvl="0" w:tplc="FAAC239E">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ED0EB6AA">
      <w:numFmt w:val="bullet"/>
      <w:lvlText w:val="•"/>
      <w:lvlJc w:val="left"/>
      <w:pPr>
        <w:ind w:left="1462" w:hanging="419"/>
      </w:pPr>
      <w:rPr>
        <w:rFonts w:hint="default"/>
        <w:lang w:val="fr-FR" w:eastAsia="en-US" w:bidi="ar-SA"/>
      </w:rPr>
    </w:lvl>
    <w:lvl w:ilvl="2" w:tplc="07C6AB5E">
      <w:numFmt w:val="bullet"/>
      <w:lvlText w:val="•"/>
      <w:lvlJc w:val="left"/>
      <w:pPr>
        <w:ind w:left="2405" w:hanging="419"/>
      </w:pPr>
      <w:rPr>
        <w:rFonts w:hint="default"/>
        <w:lang w:val="fr-FR" w:eastAsia="en-US" w:bidi="ar-SA"/>
      </w:rPr>
    </w:lvl>
    <w:lvl w:ilvl="3" w:tplc="D7346FD2">
      <w:numFmt w:val="bullet"/>
      <w:lvlText w:val="•"/>
      <w:lvlJc w:val="left"/>
      <w:pPr>
        <w:ind w:left="3347" w:hanging="419"/>
      </w:pPr>
      <w:rPr>
        <w:rFonts w:hint="default"/>
        <w:lang w:val="fr-FR" w:eastAsia="en-US" w:bidi="ar-SA"/>
      </w:rPr>
    </w:lvl>
    <w:lvl w:ilvl="4" w:tplc="3514BB0C">
      <w:numFmt w:val="bullet"/>
      <w:lvlText w:val="•"/>
      <w:lvlJc w:val="left"/>
      <w:pPr>
        <w:ind w:left="4290" w:hanging="419"/>
      </w:pPr>
      <w:rPr>
        <w:rFonts w:hint="default"/>
        <w:lang w:val="fr-FR" w:eastAsia="en-US" w:bidi="ar-SA"/>
      </w:rPr>
    </w:lvl>
    <w:lvl w:ilvl="5" w:tplc="5B8A49AC">
      <w:numFmt w:val="bullet"/>
      <w:lvlText w:val="•"/>
      <w:lvlJc w:val="left"/>
      <w:pPr>
        <w:ind w:left="5233" w:hanging="419"/>
      </w:pPr>
      <w:rPr>
        <w:rFonts w:hint="default"/>
        <w:lang w:val="fr-FR" w:eastAsia="en-US" w:bidi="ar-SA"/>
      </w:rPr>
    </w:lvl>
    <w:lvl w:ilvl="6" w:tplc="9CBC7EC6">
      <w:numFmt w:val="bullet"/>
      <w:lvlText w:val="•"/>
      <w:lvlJc w:val="left"/>
      <w:pPr>
        <w:ind w:left="6175" w:hanging="419"/>
      </w:pPr>
      <w:rPr>
        <w:rFonts w:hint="default"/>
        <w:lang w:val="fr-FR" w:eastAsia="en-US" w:bidi="ar-SA"/>
      </w:rPr>
    </w:lvl>
    <w:lvl w:ilvl="7" w:tplc="0804D352">
      <w:numFmt w:val="bullet"/>
      <w:lvlText w:val="•"/>
      <w:lvlJc w:val="left"/>
      <w:pPr>
        <w:ind w:left="7118" w:hanging="419"/>
      </w:pPr>
      <w:rPr>
        <w:rFonts w:hint="default"/>
        <w:lang w:val="fr-FR" w:eastAsia="en-US" w:bidi="ar-SA"/>
      </w:rPr>
    </w:lvl>
    <w:lvl w:ilvl="8" w:tplc="7FDC8E52">
      <w:numFmt w:val="bullet"/>
      <w:lvlText w:val="•"/>
      <w:lvlJc w:val="left"/>
      <w:pPr>
        <w:ind w:left="8060" w:hanging="419"/>
      </w:pPr>
      <w:rPr>
        <w:rFonts w:hint="default"/>
        <w:lang w:val="fr-FR" w:eastAsia="en-US" w:bidi="ar-SA"/>
      </w:rPr>
    </w:lvl>
  </w:abstractNum>
  <w:abstractNum w:abstractNumId="3" w15:restartNumberingAfterBreak="0">
    <w:nsid w:val="75550DE0"/>
    <w:multiLevelType w:val="hybridMultilevel"/>
    <w:tmpl w:val="0A3CF63A"/>
    <w:lvl w:ilvl="0" w:tplc="AF76D258">
      <w:numFmt w:val="bullet"/>
      <w:lvlText w:val="-"/>
      <w:lvlJc w:val="left"/>
      <w:pPr>
        <w:ind w:left="1080" w:hanging="281"/>
      </w:pPr>
      <w:rPr>
        <w:rFonts w:ascii="Times New Roman" w:eastAsia="Times New Roman" w:hAnsi="Times New Roman" w:cs="Times New Roman" w:hint="default"/>
        <w:w w:val="100"/>
        <w:lang w:val="fr-FR" w:eastAsia="en-US" w:bidi="ar-SA"/>
      </w:rPr>
    </w:lvl>
    <w:lvl w:ilvl="1" w:tplc="2FB49CD8">
      <w:numFmt w:val="bullet"/>
      <w:lvlText w:val="•"/>
      <w:lvlJc w:val="left"/>
      <w:pPr>
        <w:ind w:left="2040" w:hanging="281"/>
      </w:pPr>
      <w:rPr>
        <w:rFonts w:hint="default"/>
        <w:lang w:val="fr-FR" w:eastAsia="en-US" w:bidi="ar-SA"/>
      </w:rPr>
    </w:lvl>
    <w:lvl w:ilvl="2" w:tplc="A9A6F728">
      <w:numFmt w:val="bullet"/>
      <w:lvlText w:val="•"/>
      <w:lvlJc w:val="left"/>
      <w:pPr>
        <w:ind w:left="3001" w:hanging="281"/>
      </w:pPr>
      <w:rPr>
        <w:rFonts w:hint="default"/>
        <w:lang w:val="fr-FR" w:eastAsia="en-US" w:bidi="ar-SA"/>
      </w:rPr>
    </w:lvl>
    <w:lvl w:ilvl="3" w:tplc="54AA7318">
      <w:numFmt w:val="bullet"/>
      <w:lvlText w:val="•"/>
      <w:lvlJc w:val="left"/>
      <w:pPr>
        <w:ind w:left="3961" w:hanging="281"/>
      </w:pPr>
      <w:rPr>
        <w:rFonts w:hint="default"/>
        <w:lang w:val="fr-FR" w:eastAsia="en-US" w:bidi="ar-SA"/>
      </w:rPr>
    </w:lvl>
    <w:lvl w:ilvl="4" w:tplc="BBB495BE">
      <w:numFmt w:val="bullet"/>
      <w:lvlText w:val="•"/>
      <w:lvlJc w:val="left"/>
      <w:pPr>
        <w:ind w:left="4922" w:hanging="281"/>
      </w:pPr>
      <w:rPr>
        <w:rFonts w:hint="default"/>
        <w:lang w:val="fr-FR" w:eastAsia="en-US" w:bidi="ar-SA"/>
      </w:rPr>
    </w:lvl>
    <w:lvl w:ilvl="5" w:tplc="2C7CFC48">
      <w:numFmt w:val="bullet"/>
      <w:lvlText w:val="•"/>
      <w:lvlJc w:val="left"/>
      <w:pPr>
        <w:ind w:left="5883" w:hanging="281"/>
      </w:pPr>
      <w:rPr>
        <w:rFonts w:hint="default"/>
        <w:lang w:val="fr-FR" w:eastAsia="en-US" w:bidi="ar-SA"/>
      </w:rPr>
    </w:lvl>
    <w:lvl w:ilvl="6" w:tplc="DECAA8A8">
      <w:numFmt w:val="bullet"/>
      <w:lvlText w:val="•"/>
      <w:lvlJc w:val="left"/>
      <w:pPr>
        <w:ind w:left="6843" w:hanging="281"/>
      </w:pPr>
      <w:rPr>
        <w:rFonts w:hint="default"/>
        <w:lang w:val="fr-FR" w:eastAsia="en-US" w:bidi="ar-SA"/>
      </w:rPr>
    </w:lvl>
    <w:lvl w:ilvl="7" w:tplc="CD90A19C">
      <w:numFmt w:val="bullet"/>
      <w:lvlText w:val="•"/>
      <w:lvlJc w:val="left"/>
      <w:pPr>
        <w:ind w:left="7804" w:hanging="281"/>
      </w:pPr>
      <w:rPr>
        <w:rFonts w:hint="default"/>
        <w:lang w:val="fr-FR" w:eastAsia="en-US" w:bidi="ar-SA"/>
      </w:rPr>
    </w:lvl>
    <w:lvl w:ilvl="8" w:tplc="6E3460B4">
      <w:numFmt w:val="bullet"/>
      <w:lvlText w:val="•"/>
      <w:lvlJc w:val="left"/>
      <w:pPr>
        <w:ind w:left="8765" w:hanging="281"/>
      </w:pPr>
      <w:rPr>
        <w:rFonts w:hint="default"/>
        <w:lang w:val="fr-FR"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B4000D"/>
    <w:rsid w:val="004E4785"/>
    <w:rsid w:val="005B06E8"/>
    <w:rsid w:val="00B4000D"/>
    <w:rsid w:val="00DE02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75644D4-8731-49F1-8678-B6DB8C4E4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1080" w:hanging="282"/>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Gilles.Laroche@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fr.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1397</Words>
  <Characters>7992</Characters>
  <Application>Microsoft Office Word</Application>
  <DocSecurity>0</DocSecurity>
  <Lines>173</Lines>
  <Paragraphs>78</Paragraphs>
  <ScaleCrop>false</ScaleCrop>
  <Company>European Commission</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3</cp:revision>
  <dcterms:created xsi:type="dcterms:W3CDTF">2023-03-15T16:45:00Z</dcterms:created>
  <dcterms:modified xsi:type="dcterms:W3CDTF">2023-03-16T10:46:00Z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