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INTPA-G-</w:t>
            </w:r>
            <w:r>
              <w:rPr>
                <w:rFonts w:ascii="Calibri"/>
                <w:spacing w:val="-10"/>
                <w:sz w:val="22"/>
              </w:rPr>
              <w:t>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874"/>
              <w:rPr>
                <w:rFonts w:ascii="Calibri"/>
                <w:sz w:val="22"/>
              </w:rPr>
            </w:pPr>
            <w:r>
              <w:rPr>
                <w:rFonts w:ascii="Calibri"/>
                <w:sz w:val="22"/>
              </w:rPr>
              <w:t>Marlene HOLZNER </w:t>
            </w:r>
            <w:hyperlink r:id="rId7">
              <w:r>
                <w:rPr>
                  <w:rFonts w:ascii="Calibri"/>
                  <w:spacing w:val="-2"/>
                  <w:sz w:val="22"/>
                </w:rPr>
                <w:t>Marlene.HOLZNER@ec.europa.eu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60196</w:t>
            </w:r>
          </w:p>
          <w:p>
            <w:pPr>
              <w:pStyle w:val="TableParagraph"/>
              <w:rPr>
                <w:rFonts w:ascii="Calibri"/>
                <w:sz w:val="22"/>
              </w:rPr>
            </w:pPr>
            <w:r>
              <w:rPr>
                <w:rFonts w:ascii="Calibri"/>
                <w:w w:val="100"/>
                <w:sz w:val="22"/>
              </w:rPr>
              <w:t>1</w:t>
            </w:r>
          </w:p>
          <w:p>
            <w:pPr>
              <w:pStyle w:val="TableParagraph"/>
              <w:rPr>
                <w:b/>
                <w:sz w:val="22"/>
              </w:rPr>
            </w:pPr>
            <w:r>
              <w:rPr>
                <w:b/>
                <w:sz w:val="22"/>
              </w:rPr>
              <w:t>3ème</w:t>
            </w:r>
            <w:r>
              <w:rPr>
                <w:b/>
                <w:spacing w:val="-5"/>
                <w:sz w:val="22"/>
              </w:rPr>
              <w:t> </w:t>
            </w:r>
            <w:r>
              <w:rPr>
                <w:b/>
                <w:sz w:val="22"/>
              </w:rPr>
              <w:t>trimestre</w:t>
            </w:r>
            <w:r>
              <w:rPr>
                <w:b/>
                <w:spacing w:val="-4"/>
                <w:sz w:val="22"/>
              </w:rPr>
              <w:t> </w:t>
            </w:r>
            <w:r>
              <w:rPr>
                <w:b/>
                <w:sz w:val="22"/>
              </w:rPr>
              <w:t>20</w:t>
            </w:r>
            <w:r>
              <w:rPr>
                <w:rFonts w:ascii="Calibri" w:hAnsi="Calibri"/>
                <w:sz w:val="22"/>
              </w:rPr>
              <w:t>23</w:t>
            </w:r>
            <w:r>
              <w:rPr>
                <w:rFonts w:ascii="Calibri" w:hAnsi="Calibri"/>
                <w:spacing w:val="1"/>
                <w:sz w:val="22"/>
              </w:rPr>
              <w:t>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4"/>
                <w:sz w:val="22"/>
              </w:rPr>
              <w:t>ans</w:t>
            </w:r>
            <w:r>
              <w:rPr>
                <w:b/>
                <w:spacing w:val="-4"/>
                <w:sz w:val="22"/>
                <w:vertAlign w:val="superscript"/>
              </w:rPr>
              <w:t>1</w:t>
            </w:r>
          </w:p>
          <w:p>
            <w:pPr>
              <w:pStyle w:val="TableParagraph"/>
              <w:spacing w:line="250"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2"/>
        <w:rPr>
          <w:b/>
          <w:sz w:val="19"/>
        </w:rPr>
      </w:pPr>
    </w:p>
    <w:p>
      <w:pPr>
        <w:pStyle w:val="BodyText"/>
        <w:spacing w:before="56"/>
        <w:ind w:left="132" w:right="146"/>
        <w:rPr>
          <w:rFonts w:ascii="Calibri" w:hAnsi="Calibri"/>
        </w:rPr>
      </w:pPr>
      <w:r>
        <w:rPr>
          <w:rFonts w:ascii="Calibri" w:hAnsi="Calibri"/>
        </w:rPr>
        <w:t>Au sein de la Commission européenne, la Direction générale des partenariats internationaux (DG INTPA) est en charge de la formulation des politiques de coopération au développement, dans le cadre plus large de la coopération internationale, en s'adaptant à l'évolution des besoins des pays partenaires. Cela inclut la coopération avec les pays partenaires à différents stades de développement, y compris les pays gradués de la coopération</w:t>
      </w:r>
      <w:r>
        <w:rPr>
          <w:rFonts w:ascii="Calibri" w:hAnsi="Calibri"/>
          <w:spacing w:val="-3"/>
        </w:rPr>
        <w:t> </w:t>
      </w:r>
      <w:r>
        <w:rPr>
          <w:rFonts w:ascii="Calibri" w:hAnsi="Calibri"/>
        </w:rPr>
        <w:t>au</w:t>
      </w:r>
      <w:r>
        <w:rPr>
          <w:rFonts w:ascii="Calibri" w:hAnsi="Calibri"/>
          <w:spacing w:val="-2"/>
        </w:rPr>
        <w:t> </w:t>
      </w:r>
      <w:r>
        <w:rPr>
          <w:rFonts w:ascii="Calibri" w:hAnsi="Calibri"/>
        </w:rPr>
        <w:t>développement</w:t>
      </w:r>
      <w:r>
        <w:rPr>
          <w:rFonts w:ascii="Calibri" w:hAnsi="Calibri"/>
          <w:spacing w:val="-4"/>
        </w:rPr>
        <w:t> </w:t>
      </w:r>
      <w:r>
        <w:rPr>
          <w:rFonts w:ascii="Calibri" w:hAnsi="Calibri"/>
        </w:rPr>
        <w:t>bilatérale</w:t>
      </w:r>
      <w:r>
        <w:rPr>
          <w:rFonts w:ascii="Calibri" w:hAnsi="Calibri"/>
          <w:spacing w:val="-1"/>
        </w:rPr>
        <w:t> </w:t>
      </w:r>
      <w:r>
        <w:rPr>
          <w:rFonts w:ascii="Calibri" w:hAnsi="Calibri"/>
        </w:rPr>
        <w:t>afin</w:t>
      </w:r>
      <w:r>
        <w:rPr>
          <w:rFonts w:ascii="Calibri" w:hAnsi="Calibri"/>
          <w:spacing w:val="-3"/>
        </w:rPr>
        <w:t> </w:t>
      </w:r>
      <w:r>
        <w:rPr>
          <w:rFonts w:ascii="Calibri" w:hAnsi="Calibri"/>
        </w:rPr>
        <w:t>de</w:t>
      </w:r>
      <w:r>
        <w:rPr>
          <w:rFonts w:ascii="Calibri" w:hAnsi="Calibri"/>
          <w:spacing w:val="-5"/>
        </w:rPr>
        <w:t> </w:t>
      </w:r>
      <w:r>
        <w:rPr>
          <w:rFonts w:ascii="Calibri" w:hAnsi="Calibri"/>
        </w:rPr>
        <w:t>couvrir</w:t>
      </w:r>
      <w:r>
        <w:rPr>
          <w:rFonts w:ascii="Calibri" w:hAnsi="Calibri"/>
          <w:spacing w:val="-3"/>
        </w:rPr>
        <w:t> </w:t>
      </w:r>
      <w:r>
        <w:rPr>
          <w:rFonts w:ascii="Calibri" w:hAnsi="Calibri"/>
        </w:rPr>
        <w:t>les</w:t>
      </w:r>
      <w:r>
        <w:rPr>
          <w:rFonts w:ascii="Calibri" w:hAnsi="Calibri"/>
          <w:spacing w:val="-4"/>
        </w:rPr>
        <w:t> </w:t>
      </w:r>
      <w:r>
        <w:rPr>
          <w:rFonts w:ascii="Calibri" w:hAnsi="Calibri"/>
        </w:rPr>
        <w:t>besoins</w:t>
      </w:r>
      <w:r>
        <w:rPr>
          <w:rFonts w:ascii="Calibri" w:hAnsi="Calibri"/>
          <w:spacing w:val="-2"/>
        </w:rPr>
        <w:t> </w:t>
      </w:r>
      <w:r>
        <w:rPr>
          <w:rFonts w:ascii="Calibri" w:hAnsi="Calibri"/>
        </w:rPr>
        <w:t>spécifiques</w:t>
      </w:r>
      <w:r>
        <w:rPr>
          <w:rFonts w:ascii="Calibri" w:hAnsi="Calibri"/>
          <w:spacing w:val="-3"/>
        </w:rPr>
        <w:t> </w:t>
      </w:r>
      <w:r>
        <w:rPr>
          <w:rFonts w:ascii="Calibri" w:hAnsi="Calibri"/>
        </w:rPr>
        <w:t>de</w:t>
      </w:r>
      <w:r>
        <w:rPr>
          <w:rFonts w:ascii="Calibri" w:hAnsi="Calibri"/>
          <w:spacing w:val="-1"/>
        </w:rPr>
        <w:t> </w:t>
      </w:r>
      <w:r>
        <w:rPr>
          <w:rFonts w:ascii="Calibri" w:hAnsi="Calibri"/>
        </w:rPr>
        <w:t>ces</w:t>
      </w:r>
      <w:r>
        <w:rPr>
          <w:rFonts w:ascii="Calibri" w:hAnsi="Calibri"/>
          <w:spacing w:val="-4"/>
        </w:rPr>
        <w:t> </w:t>
      </w:r>
      <w:r>
        <w:rPr>
          <w:rFonts w:ascii="Calibri" w:hAnsi="Calibri"/>
        </w:rPr>
        <w:t>pays</w:t>
      </w:r>
      <w:r>
        <w:rPr>
          <w:rFonts w:ascii="Calibri" w:hAnsi="Calibri"/>
          <w:spacing w:val="-2"/>
        </w:rPr>
        <w:t> </w:t>
      </w:r>
      <w:r>
        <w:rPr>
          <w:rFonts w:ascii="Calibri" w:hAnsi="Calibri"/>
        </w:rPr>
        <w:t>durant la</w:t>
      </w:r>
      <w:r>
        <w:rPr>
          <w:rFonts w:ascii="Calibri" w:hAnsi="Calibri"/>
          <w:spacing w:val="-2"/>
        </w:rPr>
        <w:t> </w:t>
      </w:r>
      <w:r>
        <w:rPr>
          <w:rFonts w:ascii="Calibri" w:hAnsi="Calibri"/>
        </w:rPr>
        <w:t>période</w:t>
      </w:r>
      <w:r>
        <w:rPr>
          <w:rFonts w:ascii="Calibri" w:hAnsi="Calibri"/>
          <w:spacing w:val="-1"/>
        </w:rPr>
        <w:t> </w:t>
      </w:r>
      <w:r>
        <w:rPr>
          <w:rFonts w:ascii="Calibri" w:hAnsi="Calibri"/>
        </w:rPr>
        <w:t>de transition entre le statut de pays à faible revenu et le statut de pays à revenu élevé. Dans le cadre de la mission générale de la DG INTPA, l'unité G2 élabore les politiques sectorielles dans le domaine des autorités locales, des organisations de la société civile (OSC) et des fondations. Elle est également responsable de la gestion du programme thématique Organisations de la Société Civile définit par l'instrument NDICI-Global Europe.</w:t>
      </w:r>
    </w:p>
    <w:p>
      <w:pPr>
        <w:pStyle w:val="BodyText"/>
        <w:rPr>
          <w:rFonts w:ascii="Calibri"/>
        </w:rPr>
      </w:pPr>
    </w:p>
    <w:p>
      <w:pPr>
        <w:pStyle w:val="BodyText"/>
        <w:ind w:left="132" w:right="146"/>
        <w:rPr>
          <w:rFonts w:ascii="Calibri" w:hAnsi="Calibri"/>
        </w:rPr>
      </w:pPr>
      <w:r>
        <w:rPr>
          <w:rFonts w:ascii="Calibri" w:hAnsi="Calibri"/>
        </w:rPr>
        <w:t>Assigné(e) à la Direction générale des partenariats internationaux, plus précisément à la direction "Développement</w:t>
      </w:r>
      <w:r>
        <w:rPr>
          <w:rFonts w:ascii="Calibri" w:hAnsi="Calibri"/>
          <w:spacing w:val="-3"/>
        </w:rPr>
        <w:t> </w:t>
      </w:r>
      <w:r>
        <w:rPr>
          <w:rFonts w:ascii="Calibri" w:hAnsi="Calibri"/>
        </w:rPr>
        <w:t>humain,</w:t>
      </w:r>
      <w:r>
        <w:rPr>
          <w:rFonts w:ascii="Calibri" w:hAnsi="Calibri"/>
          <w:spacing w:val="-4"/>
        </w:rPr>
        <w:t> </w:t>
      </w:r>
      <w:r>
        <w:rPr>
          <w:rFonts w:ascii="Calibri" w:hAnsi="Calibri"/>
        </w:rPr>
        <w:t>migration,</w:t>
      </w:r>
      <w:r>
        <w:rPr>
          <w:rFonts w:ascii="Calibri" w:hAnsi="Calibri"/>
          <w:spacing w:val="-3"/>
        </w:rPr>
        <w:t> </w:t>
      </w:r>
      <w:r>
        <w:rPr>
          <w:rFonts w:ascii="Calibri" w:hAnsi="Calibri"/>
        </w:rPr>
        <w:t>gouvernance</w:t>
      </w:r>
      <w:r>
        <w:rPr>
          <w:rFonts w:ascii="Calibri" w:hAnsi="Calibri"/>
          <w:spacing w:val="-2"/>
        </w:rPr>
        <w:t> </w:t>
      </w:r>
      <w:r>
        <w:rPr>
          <w:rFonts w:ascii="Calibri" w:hAnsi="Calibri"/>
        </w:rPr>
        <w:t>et</w:t>
      </w:r>
      <w:r>
        <w:rPr>
          <w:rFonts w:ascii="Calibri" w:hAnsi="Calibri"/>
          <w:spacing w:val="-4"/>
        </w:rPr>
        <w:t> </w:t>
      </w:r>
      <w:r>
        <w:rPr>
          <w:rFonts w:ascii="Calibri" w:hAnsi="Calibri"/>
        </w:rPr>
        <w:t>paix",</w:t>
      </w:r>
      <w:r>
        <w:rPr>
          <w:rFonts w:ascii="Calibri" w:hAnsi="Calibri"/>
          <w:spacing w:val="-3"/>
        </w:rPr>
        <w:t> </w:t>
      </w:r>
      <w:r>
        <w:rPr>
          <w:rFonts w:ascii="Calibri" w:hAnsi="Calibri"/>
        </w:rPr>
        <w:t>l'unité</w:t>
      </w:r>
      <w:r>
        <w:rPr>
          <w:rFonts w:ascii="Calibri" w:hAnsi="Calibri"/>
          <w:spacing w:val="-2"/>
        </w:rPr>
        <w:t> </w:t>
      </w:r>
      <w:r>
        <w:rPr>
          <w:rFonts w:ascii="Calibri" w:hAnsi="Calibri"/>
        </w:rPr>
        <w:t>G2</w:t>
      </w:r>
      <w:r>
        <w:rPr>
          <w:rFonts w:ascii="Calibri" w:hAnsi="Calibri"/>
          <w:spacing w:val="-3"/>
        </w:rPr>
        <w:t> </w:t>
      </w:r>
      <w:r>
        <w:rPr>
          <w:rFonts w:ascii="Calibri" w:hAnsi="Calibri"/>
        </w:rPr>
        <w:t>dédiée</w:t>
      </w:r>
      <w:r>
        <w:rPr>
          <w:rFonts w:ascii="Calibri" w:hAnsi="Calibri"/>
          <w:spacing w:val="-3"/>
        </w:rPr>
        <w:t> </w:t>
      </w:r>
      <w:r>
        <w:rPr>
          <w:rFonts w:ascii="Calibri" w:hAnsi="Calibri"/>
        </w:rPr>
        <w:t>aux</w:t>
      </w:r>
      <w:r>
        <w:rPr>
          <w:rFonts w:ascii="Calibri" w:hAnsi="Calibri"/>
          <w:spacing w:val="-5"/>
        </w:rPr>
        <w:t> </w:t>
      </w:r>
      <w:r>
        <w:rPr>
          <w:rFonts w:ascii="Calibri" w:hAnsi="Calibri"/>
        </w:rPr>
        <w:t>"Autorités</w:t>
      </w:r>
      <w:r>
        <w:rPr>
          <w:rFonts w:ascii="Calibri" w:hAnsi="Calibri"/>
          <w:spacing w:val="-3"/>
        </w:rPr>
        <w:t> </w:t>
      </w:r>
      <w:r>
        <w:rPr>
          <w:rFonts w:ascii="Calibri" w:hAnsi="Calibri"/>
        </w:rPr>
        <w:t>locales,</w:t>
      </w:r>
      <w:r>
        <w:rPr>
          <w:rFonts w:ascii="Calibri" w:hAnsi="Calibri"/>
          <w:spacing w:val="-4"/>
        </w:rPr>
        <w:t> </w:t>
      </w:r>
      <w:r>
        <w:rPr>
          <w:rFonts w:ascii="Calibri" w:hAnsi="Calibri"/>
        </w:rPr>
        <w:t>organisations de la société civile et fondations", sous la responsabilité de la cheffe d'unité et/ou la cheffe d'unité adjoint, l'expert national détaché(e) fournira une assistance dans le développement de politiques et de programmes, la coordination interne et externe, le suivi et le rapport sur les activités en vue de renforcer les activités de l'UE destinées à soutenir la société civile et les fondations. L'objectif est de définir et de mettre en œuvre des stratégies, des outils</w:t>
      </w:r>
      <w:r>
        <w:rPr>
          <w:rFonts w:ascii="Calibri" w:hAnsi="Calibri"/>
          <w:spacing w:val="-1"/>
        </w:rPr>
        <w:t> </w:t>
      </w:r>
      <w:r>
        <w:rPr>
          <w:rFonts w:ascii="Calibri" w:hAnsi="Calibri"/>
        </w:rPr>
        <w:t>et des</w:t>
      </w:r>
      <w:r>
        <w:rPr>
          <w:rFonts w:ascii="Calibri" w:hAnsi="Calibri"/>
          <w:spacing w:val="-1"/>
        </w:rPr>
        <w:t> </w:t>
      </w:r>
      <w:r>
        <w:rPr>
          <w:rFonts w:ascii="Calibri" w:hAnsi="Calibri"/>
        </w:rPr>
        <w:t>programmes contribuant à</w:t>
      </w:r>
      <w:r>
        <w:rPr>
          <w:rFonts w:ascii="Calibri" w:hAnsi="Calibri"/>
          <w:spacing w:val="-1"/>
        </w:rPr>
        <w:t> </w:t>
      </w:r>
      <w:r>
        <w:rPr>
          <w:rFonts w:ascii="Calibri" w:hAnsi="Calibri"/>
        </w:rPr>
        <w:t>la croissance et au renforcement de la</w:t>
      </w:r>
      <w:r>
        <w:rPr>
          <w:rFonts w:ascii="Calibri" w:hAnsi="Calibri"/>
          <w:spacing w:val="-1"/>
        </w:rPr>
        <w:t> </w:t>
      </w:r>
      <w:r>
        <w:rPr>
          <w:rFonts w:ascii="Calibri" w:hAnsi="Calibri"/>
        </w:rPr>
        <w:t>société civile locale dans la coopération au développement.</w:t>
      </w: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rPr>
          <w:rFonts w:ascii="Calibri"/>
          <w:sz w:val="20"/>
        </w:rPr>
      </w:pPr>
    </w:p>
    <w:p>
      <w:pPr>
        <w:pStyle w:val="BodyText"/>
        <w:spacing w:before="4"/>
        <w:rPr>
          <w:rFonts w:ascii="Calibri"/>
          <w:sz w:val="11"/>
        </w:rPr>
      </w:pPr>
      <w:r>
        <w:rPr/>
        <w:pict>
          <v:rect style="position:absolute;margin-left:42.599998pt;margin-top:8.15987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33"/>
        <w:ind w:left="132"/>
        <w:rPr>
          <w:rFonts w:ascii="Calibri" w:hAnsi="Calibri"/>
        </w:rPr>
      </w:pPr>
      <w:r>
        <w:rPr>
          <w:rFonts w:ascii="Calibri" w:hAnsi="Calibri"/>
        </w:rPr>
        <w:t>Il/elle</w:t>
      </w:r>
      <w:r>
        <w:rPr>
          <w:rFonts w:ascii="Calibri" w:hAnsi="Calibri"/>
          <w:spacing w:val="-6"/>
        </w:rPr>
        <w:t> </w:t>
      </w:r>
      <w:r>
        <w:rPr>
          <w:rFonts w:ascii="Calibri" w:hAnsi="Calibri"/>
        </w:rPr>
        <w:t>sera</w:t>
      </w:r>
      <w:r>
        <w:rPr>
          <w:rFonts w:ascii="Calibri" w:hAnsi="Calibri"/>
          <w:spacing w:val="-5"/>
        </w:rPr>
        <w:t> </w:t>
      </w:r>
      <w:r>
        <w:rPr>
          <w:rFonts w:ascii="Calibri" w:hAnsi="Calibri"/>
        </w:rPr>
        <w:t>chargé(e)</w:t>
      </w:r>
      <w:r>
        <w:rPr>
          <w:rFonts w:ascii="Calibri" w:hAnsi="Calibri"/>
          <w:spacing w:val="-3"/>
        </w:rPr>
        <w:t> </w:t>
      </w:r>
      <w:r>
        <w:rPr>
          <w:rFonts w:ascii="Calibri" w:hAnsi="Calibri"/>
          <w:spacing w:val="-5"/>
        </w:rPr>
        <w:t>de:</w:t>
      </w:r>
    </w:p>
    <w:p>
      <w:pPr>
        <w:pStyle w:val="BodyText"/>
        <w:spacing w:before="1"/>
        <w:rPr>
          <w:rFonts w:ascii="Calibri"/>
        </w:rPr>
      </w:pPr>
    </w:p>
    <w:p>
      <w:pPr>
        <w:pStyle w:val="ListParagraph"/>
        <w:numPr>
          <w:ilvl w:val="0"/>
          <w:numId w:val="4"/>
        </w:numPr>
        <w:tabs>
          <w:tab w:pos="250" w:val="left" w:leader="none"/>
        </w:tabs>
        <w:spacing w:line="240" w:lineRule="auto" w:before="0" w:after="0"/>
        <w:ind w:left="132" w:right="976" w:firstLine="0"/>
        <w:jc w:val="left"/>
        <w:rPr>
          <w:sz w:val="22"/>
        </w:rPr>
      </w:pPr>
      <w:r>
        <w:rPr>
          <w:sz w:val="22"/>
        </w:rPr>
        <w:t>Développer</w:t>
      </w:r>
      <w:r>
        <w:rPr>
          <w:spacing w:val="-2"/>
          <w:sz w:val="22"/>
        </w:rPr>
        <w:t> </w:t>
      </w:r>
      <w:r>
        <w:rPr>
          <w:sz w:val="22"/>
        </w:rPr>
        <w:t>des</w:t>
      </w:r>
      <w:r>
        <w:rPr>
          <w:spacing w:val="-2"/>
          <w:sz w:val="22"/>
        </w:rPr>
        <w:t> </w:t>
      </w:r>
      <w:r>
        <w:rPr>
          <w:sz w:val="22"/>
        </w:rPr>
        <w:t>stratégies</w:t>
      </w:r>
      <w:r>
        <w:rPr>
          <w:spacing w:val="-4"/>
          <w:sz w:val="22"/>
        </w:rPr>
        <w:t> </w:t>
      </w:r>
      <w:r>
        <w:rPr>
          <w:sz w:val="22"/>
        </w:rPr>
        <w:t>et</w:t>
      </w:r>
      <w:r>
        <w:rPr>
          <w:spacing w:val="-2"/>
          <w:sz w:val="22"/>
        </w:rPr>
        <w:t> </w:t>
      </w:r>
      <w:r>
        <w:rPr>
          <w:sz w:val="22"/>
        </w:rPr>
        <w:t>des</w:t>
      </w:r>
      <w:r>
        <w:rPr>
          <w:spacing w:val="-2"/>
          <w:sz w:val="22"/>
        </w:rPr>
        <w:t> </w:t>
      </w:r>
      <w:r>
        <w:rPr>
          <w:sz w:val="22"/>
        </w:rPr>
        <w:t>initiatives</w:t>
      </w:r>
      <w:r>
        <w:rPr>
          <w:spacing w:val="-4"/>
          <w:sz w:val="22"/>
        </w:rPr>
        <w:t> </w:t>
      </w:r>
      <w:r>
        <w:rPr>
          <w:sz w:val="22"/>
        </w:rPr>
        <w:t>dédiées</w:t>
      </w:r>
      <w:r>
        <w:rPr>
          <w:spacing w:val="-2"/>
          <w:sz w:val="22"/>
        </w:rPr>
        <w:t> </w:t>
      </w:r>
      <w:r>
        <w:rPr>
          <w:sz w:val="22"/>
        </w:rPr>
        <w:t>à</w:t>
      </w:r>
      <w:r>
        <w:rPr>
          <w:spacing w:val="-4"/>
          <w:sz w:val="22"/>
        </w:rPr>
        <w:t> </w:t>
      </w:r>
      <w:r>
        <w:rPr>
          <w:sz w:val="22"/>
        </w:rPr>
        <w:t>la</w:t>
      </w:r>
      <w:r>
        <w:rPr>
          <w:spacing w:val="-2"/>
          <w:sz w:val="22"/>
        </w:rPr>
        <w:t> </w:t>
      </w:r>
      <w:r>
        <w:rPr>
          <w:sz w:val="22"/>
        </w:rPr>
        <w:t>coopération</w:t>
      </w:r>
      <w:r>
        <w:rPr>
          <w:spacing w:val="-6"/>
          <w:sz w:val="22"/>
        </w:rPr>
        <w:t> </w:t>
      </w:r>
      <w:r>
        <w:rPr>
          <w:sz w:val="22"/>
        </w:rPr>
        <w:t>d'INTPA</w:t>
      </w:r>
      <w:r>
        <w:rPr>
          <w:spacing w:val="-2"/>
          <w:sz w:val="22"/>
        </w:rPr>
        <w:t> </w:t>
      </w:r>
      <w:r>
        <w:rPr>
          <w:sz w:val="22"/>
        </w:rPr>
        <w:t>avec</w:t>
      </w:r>
      <w:r>
        <w:rPr>
          <w:spacing w:val="-1"/>
          <w:sz w:val="22"/>
        </w:rPr>
        <w:t> </w:t>
      </w:r>
      <w:r>
        <w:rPr>
          <w:sz w:val="22"/>
        </w:rPr>
        <w:t>la</w:t>
      </w:r>
      <w:r>
        <w:rPr>
          <w:spacing w:val="-2"/>
          <w:sz w:val="22"/>
        </w:rPr>
        <w:t> </w:t>
      </w:r>
      <w:r>
        <w:rPr>
          <w:sz w:val="22"/>
        </w:rPr>
        <w:t>société</w:t>
      </w:r>
      <w:r>
        <w:rPr>
          <w:spacing w:val="-4"/>
          <w:sz w:val="22"/>
        </w:rPr>
        <w:t> </w:t>
      </w:r>
      <w:r>
        <w:rPr>
          <w:sz w:val="22"/>
        </w:rPr>
        <w:t>civile</w:t>
      </w:r>
      <w:r>
        <w:rPr>
          <w:spacing w:val="-1"/>
          <w:sz w:val="22"/>
        </w:rPr>
        <w:t> </w:t>
      </w:r>
      <w:r>
        <w:rPr>
          <w:sz w:val="22"/>
        </w:rPr>
        <w:t>et</w:t>
      </w:r>
      <w:r>
        <w:rPr>
          <w:spacing w:val="-2"/>
          <w:sz w:val="22"/>
        </w:rPr>
        <w:t> </w:t>
      </w:r>
      <w:r>
        <w:rPr>
          <w:sz w:val="22"/>
        </w:rPr>
        <w:t>les fondations, y compris des activités concrètes pour les prochaines années;</w:t>
      </w:r>
    </w:p>
    <w:p>
      <w:pPr>
        <w:pStyle w:val="BodyText"/>
        <w:spacing w:before="1"/>
        <w:rPr>
          <w:rFonts w:ascii="Calibri"/>
        </w:rPr>
      </w:pPr>
    </w:p>
    <w:p>
      <w:pPr>
        <w:pStyle w:val="ListParagraph"/>
        <w:numPr>
          <w:ilvl w:val="0"/>
          <w:numId w:val="4"/>
        </w:numPr>
        <w:tabs>
          <w:tab w:pos="250" w:val="left" w:leader="none"/>
        </w:tabs>
        <w:spacing w:line="240" w:lineRule="auto" w:before="0" w:after="0"/>
        <w:ind w:left="132" w:right="286" w:firstLine="0"/>
        <w:jc w:val="left"/>
        <w:rPr>
          <w:sz w:val="22"/>
        </w:rPr>
      </w:pPr>
      <w:r>
        <w:rPr>
          <w:sz w:val="22"/>
        </w:rPr>
        <w:t>Fournir</w:t>
      </w:r>
      <w:r>
        <w:rPr>
          <w:spacing w:val="-2"/>
          <w:sz w:val="22"/>
        </w:rPr>
        <w:t> </w:t>
      </w:r>
      <w:r>
        <w:rPr>
          <w:sz w:val="22"/>
        </w:rPr>
        <w:t>des</w:t>
      </w:r>
      <w:r>
        <w:rPr>
          <w:spacing w:val="-1"/>
          <w:sz w:val="22"/>
        </w:rPr>
        <w:t> </w:t>
      </w:r>
      <w:r>
        <w:rPr>
          <w:sz w:val="22"/>
        </w:rPr>
        <w:t>réflexions</w:t>
      </w:r>
      <w:r>
        <w:rPr>
          <w:spacing w:val="-2"/>
          <w:sz w:val="22"/>
        </w:rPr>
        <w:t> </w:t>
      </w:r>
      <w:r>
        <w:rPr>
          <w:sz w:val="22"/>
        </w:rPr>
        <w:t>politiques</w:t>
      </w:r>
      <w:r>
        <w:rPr>
          <w:spacing w:val="-1"/>
          <w:sz w:val="22"/>
        </w:rPr>
        <w:t> </w:t>
      </w:r>
      <w:r>
        <w:rPr>
          <w:sz w:val="22"/>
        </w:rPr>
        <w:t>et</w:t>
      </w:r>
      <w:r>
        <w:rPr>
          <w:spacing w:val="-4"/>
          <w:sz w:val="22"/>
        </w:rPr>
        <w:t> </w:t>
      </w:r>
      <w:r>
        <w:rPr>
          <w:sz w:val="22"/>
        </w:rPr>
        <w:t>des</w:t>
      </w:r>
      <w:r>
        <w:rPr>
          <w:spacing w:val="-4"/>
          <w:sz w:val="22"/>
        </w:rPr>
        <w:t> </w:t>
      </w:r>
      <w:r>
        <w:rPr>
          <w:sz w:val="22"/>
        </w:rPr>
        <w:t>orientations</w:t>
      </w:r>
      <w:r>
        <w:rPr>
          <w:spacing w:val="-2"/>
          <w:sz w:val="22"/>
        </w:rPr>
        <w:t> </w:t>
      </w:r>
      <w:r>
        <w:rPr>
          <w:sz w:val="22"/>
        </w:rPr>
        <w:t>sur</w:t>
      </w:r>
      <w:r>
        <w:rPr>
          <w:spacing w:val="-2"/>
          <w:sz w:val="22"/>
        </w:rPr>
        <w:t> </w:t>
      </w:r>
      <w:r>
        <w:rPr>
          <w:sz w:val="22"/>
        </w:rPr>
        <w:t>le</w:t>
      </w:r>
      <w:r>
        <w:rPr>
          <w:spacing w:val="-1"/>
          <w:sz w:val="22"/>
        </w:rPr>
        <w:t> </w:t>
      </w:r>
      <w:r>
        <w:rPr>
          <w:sz w:val="22"/>
        </w:rPr>
        <w:t>travail</w:t>
      </w:r>
      <w:r>
        <w:rPr>
          <w:spacing w:val="-3"/>
          <w:sz w:val="22"/>
        </w:rPr>
        <w:t> </w:t>
      </w:r>
      <w:r>
        <w:rPr>
          <w:sz w:val="22"/>
        </w:rPr>
        <w:t>d'INTPA</w:t>
      </w:r>
      <w:r>
        <w:rPr>
          <w:spacing w:val="-5"/>
          <w:sz w:val="22"/>
        </w:rPr>
        <w:t> </w:t>
      </w:r>
      <w:r>
        <w:rPr>
          <w:sz w:val="22"/>
        </w:rPr>
        <w:t>avec</w:t>
      </w:r>
      <w:r>
        <w:rPr>
          <w:spacing w:val="-1"/>
          <w:sz w:val="22"/>
        </w:rPr>
        <w:t> </w:t>
      </w:r>
      <w:r>
        <w:rPr>
          <w:sz w:val="22"/>
        </w:rPr>
        <w:t>la</w:t>
      </w:r>
      <w:r>
        <w:rPr>
          <w:spacing w:val="-5"/>
          <w:sz w:val="22"/>
        </w:rPr>
        <w:t> </w:t>
      </w:r>
      <w:r>
        <w:rPr>
          <w:sz w:val="22"/>
        </w:rPr>
        <w:t>société</w:t>
      </w:r>
      <w:r>
        <w:rPr>
          <w:spacing w:val="-4"/>
          <w:sz w:val="22"/>
        </w:rPr>
        <w:t> </w:t>
      </w:r>
      <w:r>
        <w:rPr>
          <w:sz w:val="22"/>
        </w:rPr>
        <w:t>civile</w:t>
      </w:r>
      <w:r>
        <w:rPr>
          <w:spacing w:val="-1"/>
          <w:sz w:val="22"/>
        </w:rPr>
        <w:t> </w:t>
      </w:r>
      <w:r>
        <w:rPr>
          <w:sz w:val="22"/>
        </w:rPr>
        <w:t>et</w:t>
      </w:r>
      <w:r>
        <w:rPr>
          <w:spacing w:val="-2"/>
          <w:sz w:val="22"/>
        </w:rPr>
        <w:t> </w:t>
      </w:r>
      <w:r>
        <w:rPr>
          <w:sz w:val="22"/>
        </w:rPr>
        <w:t>les</w:t>
      </w:r>
      <w:r>
        <w:rPr>
          <w:spacing w:val="-4"/>
          <w:sz w:val="22"/>
        </w:rPr>
        <w:t> </w:t>
      </w:r>
      <w:r>
        <w:rPr>
          <w:sz w:val="22"/>
        </w:rPr>
        <w:t>fondations ainsi que sur leur environnement favorable, en particulier dans le contexte du nouveau cadre financier </w:t>
      </w:r>
      <w:r>
        <w:rPr>
          <w:spacing w:val="-2"/>
          <w:sz w:val="22"/>
        </w:rPr>
        <w:t>pluriannuel:</w:t>
      </w:r>
    </w:p>
    <w:p>
      <w:pPr>
        <w:pStyle w:val="BodyText"/>
        <w:spacing w:before="11"/>
        <w:rPr>
          <w:rFonts w:ascii="Calibri"/>
          <w:sz w:val="21"/>
        </w:rPr>
      </w:pPr>
    </w:p>
    <w:p>
      <w:pPr>
        <w:pStyle w:val="ListParagraph"/>
        <w:numPr>
          <w:ilvl w:val="0"/>
          <w:numId w:val="4"/>
        </w:numPr>
        <w:tabs>
          <w:tab w:pos="250" w:val="left" w:leader="none"/>
        </w:tabs>
        <w:spacing w:line="240" w:lineRule="auto" w:before="0" w:after="0"/>
        <w:ind w:left="249" w:right="0" w:hanging="118"/>
        <w:jc w:val="left"/>
        <w:rPr>
          <w:sz w:val="22"/>
        </w:rPr>
      </w:pPr>
      <w:r>
        <w:rPr>
          <w:sz w:val="22"/>
        </w:rPr>
        <w:t>Faire</w:t>
      </w:r>
      <w:r>
        <w:rPr>
          <w:spacing w:val="-3"/>
          <w:sz w:val="22"/>
        </w:rPr>
        <w:t> </w:t>
      </w:r>
      <w:r>
        <w:rPr>
          <w:sz w:val="22"/>
        </w:rPr>
        <w:t>la</w:t>
      </w:r>
      <w:r>
        <w:rPr>
          <w:spacing w:val="-2"/>
          <w:sz w:val="22"/>
        </w:rPr>
        <w:t> </w:t>
      </w:r>
      <w:r>
        <w:rPr>
          <w:sz w:val="22"/>
        </w:rPr>
        <w:t>liaison</w:t>
      </w:r>
      <w:r>
        <w:rPr>
          <w:spacing w:val="-4"/>
          <w:sz w:val="22"/>
        </w:rPr>
        <w:t> </w:t>
      </w:r>
      <w:r>
        <w:rPr>
          <w:sz w:val="22"/>
        </w:rPr>
        <w:t>avec</w:t>
      </w:r>
      <w:r>
        <w:rPr>
          <w:spacing w:val="-4"/>
          <w:sz w:val="22"/>
        </w:rPr>
        <w:t> </w:t>
      </w:r>
      <w:r>
        <w:rPr>
          <w:sz w:val="22"/>
        </w:rPr>
        <w:t>les</w:t>
      </w:r>
      <w:r>
        <w:rPr>
          <w:spacing w:val="-4"/>
          <w:sz w:val="22"/>
        </w:rPr>
        <w:t> </w:t>
      </w:r>
      <w:r>
        <w:rPr>
          <w:sz w:val="22"/>
        </w:rPr>
        <w:t>organisations</w:t>
      </w:r>
      <w:r>
        <w:rPr>
          <w:spacing w:val="-2"/>
          <w:sz w:val="22"/>
        </w:rPr>
        <w:t> </w:t>
      </w:r>
      <w:r>
        <w:rPr>
          <w:sz w:val="22"/>
        </w:rPr>
        <w:t>de</w:t>
      </w:r>
      <w:r>
        <w:rPr>
          <w:spacing w:val="-6"/>
          <w:sz w:val="22"/>
        </w:rPr>
        <w:t> </w:t>
      </w:r>
      <w:r>
        <w:rPr>
          <w:sz w:val="22"/>
        </w:rPr>
        <w:t>la</w:t>
      </w:r>
      <w:r>
        <w:rPr>
          <w:spacing w:val="-2"/>
          <w:sz w:val="22"/>
        </w:rPr>
        <w:t> </w:t>
      </w:r>
      <w:r>
        <w:rPr>
          <w:sz w:val="22"/>
        </w:rPr>
        <w:t>société</w:t>
      </w:r>
      <w:r>
        <w:rPr>
          <w:spacing w:val="-4"/>
          <w:sz w:val="22"/>
        </w:rPr>
        <w:t> </w:t>
      </w:r>
      <w:r>
        <w:rPr>
          <w:sz w:val="22"/>
        </w:rPr>
        <w:t>civile</w:t>
      </w:r>
      <w:r>
        <w:rPr>
          <w:spacing w:val="-5"/>
          <w:sz w:val="22"/>
        </w:rPr>
        <w:t> </w:t>
      </w:r>
      <w:r>
        <w:rPr>
          <w:sz w:val="22"/>
        </w:rPr>
        <w:t>et</w:t>
      </w:r>
      <w:r>
        <w:rPr>
          <w:spacing w:val="-2"/>
          <w:sz w:val="22"/>
        </w:rPr>
        <w:t> </w:t>
      </w:r>
      <w:r>
        <w:rPr>
          <w:sz w:val="22"/>
        </w:rPr>
        <w:t>les</w:t>
      </w:r>
      <w:r>
        <w:rPr>
          <w:spacing w:val="-3"/>
          <w:sz w:val="22"/>
        </w:rPr>
        <w:t> </w:t>
      </w:r>
      <w:r>
        <w:rPr>
          <w:sz w:val="22"/>
        </w:rPr>
        <w:t>fondations</w:t>
      </w:r>
      <w:r>
        <w:rPr>
          <w:spacing w:val="-5"/>
          <w:sz w:val="22"/>
        </w:rPr>
        <w:t> </w:t>
      </w:r>
      <w:r>
        <w:rPr>
          <w:sz w:val="22"/>
        </w:rPr>
        <w:t>pertinentes</w:t>
      </w:r>
      <w:r>
        <w:rPr>
          <w:spacing w:val="-5"/>
          <w:sz w:val="22"/>
        </w:rPr>
        <w:t> </w:t>
      </w:r>
      <w:r>
        <w:rPr>
          <w:sz w:val="22"/>
        </w:rPr>
        <w:t>et</w:t>
      </w:r>
      <w:r>
        <w:rPr>
          <w:spacing w:val="-2"/>
          <w:sz w:val="22"/>
        </w:rPr>
        <w:t> </w:t>
      </w:r>
      <w:r>
        <w:rPr>
          <w:sz w:val="22"/>
        </w:rPr>
        <w:t>leurs</w:t>
      </w:r>
      <w:r>
        <w:rPr>
          <w:spacing w:val="-2"/>
          <w:sz w:val="22"/>
        </w:rPr>
        <w:t> réseaux;</w:t>
      </w:r>
    </w:p>
    <w:p>
      <w:pPr>
        <w:pStyle w:val="BodyText"/>
        <w:rPr>
          <w:rFonts w:ascii="Calibri"/>
        </w:rPr>
      </w:pPr>
    </w:p>
    <w:p>
      <w:pPr>
        <w:pStyle w:val="ListParagraph"/>
        <w:numPr>
          <w:ilvl w:val="0"/>
          <w:numId w:val="4"/>
        </w:numPr>
        <w:tabs>
          <w:tab w:pos="250" w:val="left" w:leader="none"/>
        </w:tabs>
        <w:spacing w:line="240" w:lineRule="auto" w:before="0" w:after="0"/>
        <w:ind w:left="132" w:right="687" w:firstLine="0"/>
        <w:jc w:val="left"/>
        <w:rPr>
          <w:sz w:val="22"/>
        </w:rPr>
      </w:pPr>
      <w:r>
        <w:rPr>
          <w:sz w:val="22"/>
        </w:rPr>
        <w:t>Promouvoir</w:t>
      </w:r>
      <w:r>
        <w:rPr>
          <w:spacing w:val="-2"/>
          <w:sz w:val="22"/>
        </w:rPr>
        <w:t> </w:t>
      </w:r>
      <w:r>
        <w:rPr>
          <w:sz w:val="22"/>
        </w:rPr>
        <w:t>la</w:t>
      </w:r>
      <w:r>
        <w:rPr>
          <w:spacing w:val="-5"/>
          <w:sz w:val="22"/>
        </w:rPr>
        <w:t> </w:t>
      </w:r>
      <w:r>
        <w:rPr>
          <w:sz w:val="22"/>
        </w:rPr>
        <w:t>participation</w:t>
      </w:r>
      <w:r>
        <w:rPr>
          <w:spacing w:val="-3"/>
          <w:sz w:val="22"/>
        </w:rPr>
        <w:t> </w:t>
      </w:r>
      <w:r>
        <w:rPr>
          <w:sz w:val="22"/>
        </w:rPr>
        <w:t>des</w:t>
      </w:r>
      <w:r>
        <w:rPr>
          <w:spacing w:val="-1"/>
          <w:sz w:val="22"/>
        </w:rPr>
        <w:t> </w:t>
      </w:r>
      <w:r>
        <w:rPr>
          <w:sz w:val="22"/>
        </w:rPr>
        <w:t>organisations</w:t>
      </w:r>
      <w:r>
        <w:rPr>
          <w:spacing w:val="-5"/>
          <w:sz w:val="22"/>
        </w:rPr>
        <w:t> </w:t>
      </w:r>
      <w:r>
        <w:rPr>
          <w:sz w:val="22"/>
        </w:rPr>
        <w:t>de</w:t>
      </w:r>
      <w:r>
        <w:rPr>
          <w:spacing w:val="-2"/>
          <w:sz w:val="22"/>
        </w:rPr>
        <w:t> </w:t>
      </w:r>
      <w:r>
        <w:rPr>
          <w:sz w:val="22"/>
        </w:rPr>
        <w:t>la</w:t>
      </w:r>
      <w:r>
        <w:rPr>
          <w:spacing w:val="-5"/>
          <w:sz w:val="22"/>
        </w:rPr>
        <w:t> </w:t>
      </w:r>
      <w:r>
        <w:rPr>
          <w:sz w:val="22"/>
        </w:rPr>
        <w:t>société</w:t>
      </w:r>
      <w:r>
        <w:rPr>
          <w:spacing w:val="-2"/>
          <w:sz w:val="22"/>
        </w:rPr>
        <w:t> </w:t>
      </w:r>
      <w:r>
        <w:rPr>
          <w:sz w:val="22"/>
        </w:rPr>
        <w:t>civile</w:t>
      </w:r>
      <w:r>
        <w:rPr>
          <w:spacing w:val="-4"/>
          <w:sz w:val="22"/>
        </w:rPr>
        <w:t> </w:t>
      </w:r>
      <w:r>
        <w:rPr>
          <w:sz w:val="22"/>
        </w:rPr>
        <w:t>et</w:t>
      </w:r>
      <w:r>
        <w:rPr>
          <w:spacing w:val="-4"/>
          <w:sz w:val="22"/>
        </w:rPr>
        <w:t> </w:t>
      </w:r>
      <w:r>
        <w:rPr>
          <w:sz w:val="22"/>
        </w:rPr>
        <w:t>les</w:t>
      </w:r>
      <w:r>
        <w:rPr>
          <w:spacing w:val="-1"/>
          <w:sz w:val="22"/>
        </w:rPr>
        <w:t> </w:t>
      </w:r>
      <w:r>
        <w:rPr>
          <w:sz w:val="22"/>
        </w:rPr>
        <w:t>fondations dans</w:t>
      </w:r>
      <w:r>
        <w:rPr>
          <w:spacing w:val="-2"/>
          <w:sz w:val="22"/>
        </w:rPr>
        <w:t> </w:t>
      </w:r>
      <w:r>
        <w:rPr>
          <w:sz w:val="22"/>
        </w:rPr>
        <w:t>les</w:t>
      </w:r>
      <w:r>
        <w:rPr>
          <w:spacing w:val="-2"/>
          <w:sz w:val="22"/>
        </w:rPr>
        <w:t> </w:t>
      </w:r>
      <w:r>
        <w:rPr>
          <w:sz w:val="22"/>
        </w:rPr>
        <w:t>initiatives</w:t>
      </w:r>
      <w:r>
        <w:rPr>
          <w:spacing w:val="-1"/>
          <w:sz w:val="22"/>
        </w:rPr>
        <w:t> </w:t>
      </w:r>
      <w:r>
        <w:rPr>
          <w:sz w:val="22"/>
        </w:rPr>
        <w:t>Team Europe / Global Gateway;</w:t>
      </w:r>
    </w:p>
    <w:p>
      <w:pPr>
        <w:pStyle w:val="BodyText"/>
        <w:spacing w:before="1"/>
        <w:rPr>
          <w:rFonts w:ascii="Calibri"/>
        </w:rPr>
      </w:pPr>
    </w:p>
    <w:p>
      <w:pPr>
        <w:pStyle w:val="ListParagraph"/>
        <w:numPr>
          <w:ilvl w:val="0"/>
          <w:numId w:val="4"/>
        </w:numPr>
        <w:tabs>
          <w:tab w:pos="250" w:val="left" w:leader="none"/>
        </w:tabs>
        <w:spacing w:line="240" w:lineRule="auto" w:before="0" w:after="0"/>
        <w:ind w:left="132" w:right="161" w:firstLine="0"/>
        <w:jc w:val="left"/>
        <w:rPr>
          <w:sz w:val="22"/>
        </w:rPr>
      </w:pPr>
      <w:r>
        <w:rPr>
          <w:sz w:val="22"/>
        </w:rPr>
        <w:t>Préparer</w:t>
      </w:r>
      <w:r>
        <w:rPr>
          <w:spacing w:val="-1"/>
          <w:sz w:val="22"/>
        </w:rPr>
        <w:t> </w:t>
      </w:r>
      <w:r>
        <w:rPr>
          <w:sz w:val="22"/>
        </w:rPr>
        <w:t>des</w:t>
      </w:r>
      <w:r>
        <w:rPr>
          <w:spacing w:val="-3"/>
          <w:sz w:val="22"/>
        </w:rPr>
        <w:t> </w:t>
      </w:r>
      <w:r>
        <w:rPr>
          <w:sz w:val="22"/>
        </w:rPr>
        <w:t>briefings</w:t>
      </w:r>
      <w:r>
        <w:rPr>
          <w:spacing w:val="-1"/>
          <w:sz w:val="22"/>
        </w:rPr>
        <w:t> </w:t>
      </w:r>
      <w:r>
        <w:rPr>
          <w:sz w:val="22"/>
        </w:rPr>
        <w:t>liés</w:t>
      </w:r>
      <w:r>
        <w:rPr>
          <w:spacing w:val="-3"/>
          <w:sz w:val="22"/>
        </w:rPr>
        <w:t> </w:t>
      </w:r>
      <w:r>
        <w:rPr>
          <w:sz w:val="22"/>
        </w:rPr>
        <w:t>aux</w:t>
      </w:r>
      <w:r>
        <w:rPr>
          <w:spacing w:val="-1"/>
          <w:sz w:val="22"/>
        </w:rPr>
        <w:t> </w:t>
      </w:r>
      <w:r>
        <w:rPr>
          <w:sz w:val="22"/>
        </w:rPr>
        <w:t>organisations</w:t>
      </w:r>
      <w:r>
        <w:rPr>
          <w:spacing w:val="-4"/>
          <w:sz w:val="22"/>
        </w:rPr>
        <w:t> </w:t>
      </w:r>
      <w:r>
        <w:rPr>
          <w:sz w:val="22"/>
        </w:rPr>
        <w:t>de</w:t>
      </w:r>
      <w:r>
        <w:rPr>
          <w:spacing w:val="-1"/>
          <w:sz w:val="22"/>
        </w:rPr>
        <w:t> </w:t>
      </w:r>
      <w:r>
        <w:rPr>
          <w:sz w:val="22"/>
        </w:rPr>
        <w:t>la</w:t>
      </w:r>
      <w:r>
        <w:rPr>
          <w:spacing w:val="-4"/>
          <w:sz w:val="22"/>
        </w:rPr>
        <w:t> </w:t>
      </w:r>
      <w:r>
        <w:rPr>
          <w:sz w:val="22"/>
        </w:rPr>
        <w:t>société</w:t>
      </w:r>
      <w:r>
        <w:rPr>
          <w:spacing w:val="-3"/>
          <w:sz w:val="22"/>
        </w:rPr>
        <w:t> </w:t>
      </w:r>
      <w:r>
        <w:rPr>
          <w:sz w:val="22"/>
        </w:rPr>
        <w:t>civile</w:t>
      </w:r>
      <w:r>
        <w:rPr>
          <w:spacing w:val="-1"/>
          <w:sz w:val="22"/>
        </w:rPr>
        <w:t> </w:t>
      </w:r>
      <w:r>
        <w:rPr>
          <w:sz w:val="22"/>
        </w:rPr>
        <w:t>et</w:t>
      </w:r>
      <w:r>
        <w:rPr>
          <w:spacing w:val="-3"/>
          <w:sz w:val="22"/>
        </w:rPr>
        <w:t> </w:t>
      </w:r>
      <w:r>
        <w:rPr>
          <w:sz w:val="22"/>
        </w:rPr>
        <w:t>aux</w:t>
      </w:r>
      <w:r>
        <w:rPr>
          <w:spacing w:val="-1"/>
          <w:sz w:val="22"/>
        </w:rPr>
        <w:t> </w:t>
      </w:r>
      <w:r>
        <w:rPr>
          <w:sz w:val="22"/>
        </w:rPr>
        <w:t>fondations</w:t>
      </w:r>
      <w:r>
        <w:rPr>
          <w:spacing w:val="-1"/>
          <w:sz w:val="22"/>
        </w:rPr>
        <w:t> </w:t>
      </w:r>
      <w:r>
        <w:rPr>
          <w:sz w:val="22"/>
        </w:rPr>
        <w:t>et</w:t>
      </w:r>
      <w:r>
        <w:rPr>
          <w:spacing w:val="-1"/>
          <w:sz w:val="22"/>
        </w:rPr>
        <w:t> </w:t>
      </w:r>
      <w:r>
        <w:rPr>
          <w:sz w:val="22"/>
        </w:rPr>
        <w:t>à</w:t>
      </w:r>
      <w:r>
        <w:rPr>
          <w:spacing w:val="-4"/>
          <w:sz w:val="22"/>
        </w:rPr>
        <w:t> </w:t>
      </w:r>
      <w:r>
        <w:rPr>
          <w:sz w:val="22"/>
        </w:rPr>
        <w:t>l'environnement</w:t>
      </w:r>
      <w:r>
        <w:rPr>
          <w:spacing w:val="-3"/>
          <w:sz w:val="22"/>
        </w:rPr>
        <w:t> </w:t>
      </w:r>
      <w:r>
        <w:rPr>
          <w:sz w:val="22"/>
        </w:rPr>
        <w:t>favorable pour les OSC, de même que rédiger des notes à ces sujets pour la direction;</w:t>
      </w:r>
    </w:p>
    <w:p>
      <w:pPr>
        <w:pStyle w:val="BodyText"/>
        <w:spacing w:before="1"/>
        <w:rPr>
          <w:rFonts w:ascii="Calibri"/>
        </w:rPr>
      </w:pPr>
    </w:p>
    <w:p>
      <w:pPr>
        <w:pStyle w:val="ListParagraph"/>
        <w:numPr>
          <w:ilvl w:val="0"/>
          <w:numId w:val="4"/>
        </w:numPr>
        <w:tabs>
          <w:tab w:pos="250" w:val="left" w:leader="none"/>
        </w:tabs>
        <w:spacing w:line="240" w:lineRule="auto" w:before="0" w:after="0"/>
        <w:ind w:left="132" w:right="1139" w:firstLine="0"/>
        <w:jc w:val="left"/>
        <w:rPr>
          <w:sz w:val="22"/>
        </w:rPr>
      </w:pPr>
      <w:r>
        <w:rPr>
          <w:sz w:val="22"/>
        </w:rPr>
        <w:t>développer</w:t>
      </w:r>
      <w:r>
        <w:rPr>
          <w:spacing w:val="-2"/>
          <w:sz w:val="22"/>
        </w:rPr>
        <w:t> </w:t>
      </w:r>
      <w:r>
        <w:rPr>
          <w:sz w:val="22"/>
        </w:rPr>
        <w:t>de</w:t>
      </w:r>
      <w:r>
        <w:rPr>
          <w:spacing w:val="-1"/>
          <w:sz w:val="22"/>
        </w:rPr>
        <w:t> </w:t>
      </w:r>
      <w:r>
        <w:rPr>
          <w:sz w:val="22"/>
        </w:rPr>
        <w:t>nouvelles</w:t>
      </w:r>
      <w:r>
        <w:rPr>
          <w:spacing w:val="-3"/>
          <w:sz w:val="22"/>
        </w:rPr>
        <w:t> </w:t>
      </w:r>
      <w:r>
        <w:rPr>
          <w:sz w:val="22"/>
        </w:rPr>
        <w:t>méthodes</w:t>
      </w:r>
      <w:r>
        <w:rPr>
          <w:spacing w:val="-4"/>
          <w:sz w:val="22"/>
        </w:rPr>
        <w:t> </w:t>
      </w:r>
      <w:r>
        <w:rPr>
          <w:sz w:val="22"/>
        </w:rPr>
        <w:t>pour</w:t>
      </w:r>
      <w:r>
        <w:rPr>
          <w:spacing w:val="-2"/>
          <w:sz w:val="22"/>
        </w:rPr>
        <w:t> </w:t>
      </w:r>
      <w:r>
        <w:rPr>
          <w:sz w:val="22"/>
        </w:rPr>
        <w:t>soutenir</w:t>
      </w:r>
      <w:r>
        <w:rPr>
          <w:spacing w:val="-2"/>
          <w:sz w:val="22"/>
        </w:rPr>
        <w:t> </w:t>
      </w:r>
      <w:r>
        <w:rPr>
          <w:sz w:val="22"/>
        </w:rPr>
        <w:t>et</w:t>
      </w:r>
      <w:r>
        <w:rPr>
          <w:spacing w:val="-6"/>
          <w:sz w:val="22"/>
        </w:rPr>
        <w:t> </w:t>
      </w:r>
      <w:r>
        <w:rPr>
          <w:sz w:val="22"/>
        </w:rPr>
        <w:t>collaborer</w:t>
      </w:r>
      <w:r>
        <w:rPr>
          <w:spacing w:val="-2"/>
          <w:sz w:val="22"/>
        </w:rPr>
        <w:t> </w:t>
      </w:r>
      <w:r>
        <w:rPr>
          <w:sz w:val="22"/>
        </w:rPr>
        <w:t>avec</w:t>
      </w:r>
      <w:r>
        <w:rPr>
          <w:spacing w:val="-4"/>
          <w:sz w:val="22"/>
        </w:rPr>
        <w:t> </w:t>
      </w:r>
      <w:r>
        <w:rPr>
          <w:sz w:val="22"/>
        </w:rPr>
        <w:t>la</w:t>
      </w:r>
      <w:r>
        <w:rPr>
          <w:spacing w:val="-2"/>
          <w:sz w:val="22"/>
        </w:rPr>
        <w:t> </w:t>
      </w:r>
      <w:r>
        <w:rPr>
          <w:sz w:val="22"/>
        </w:rPr>
        <w:t>société</w:t>
      </w:r>
      <w:r>
        <w:rPr>
          <w:spacing w:val="-4"/>
          <w:sz w:val="22"/>
        </w:rPr>
        <w:t> </w:t>
      </w:r>
      <w:r>
        <w:rPr>
          <w:sz w:val="22"/>
        </w:rPr>
        <w:t>civile</w:t>
      </w:r>
      <w:r>
        <w:rPr>
          <w:spacing w:val="-4"/>
          <w:sz w:val="22"/>
        </w:rPr>
        <w:t> </w:t>
      </w:r>
      <w:r>
        <w:rPr>
          <w:sz w:val="22"/>
        </w:rPr>
        <w:t>et</w:t>
      </w:r>
      <w:r>
        <w:rPr>
          <w:spacing w:val="-2"/>
          <w:sz w:val="22"/>
        </w:rPr>
        <w:t> </w:t>
      </w:r>
      <w:r>
        <w:rPr>
          <w:sz w:val="22"/>
        </w:rPr>
        <w:t>les</w:t>
      </w:r>
      <w:r>
        <w:rPr>
          <w:spacing w:val="-2"/>
          <w:sz w:val="22"/>
        </w:rPr>
        <w:t> </w:t>
      </w:r>
      <w:r>
        <w:rPr>
          <w:sz w:val="22"/>
        </w:rPr>
        <w:t>fondations; coordonner des activités de recherche sur les sujets mentionnés ci-dessus;</w:t>
      </w:r>
    </w:p>
    <w:p>
      <w:pPr>
        <w:pStyle w:val="BodyText"/>
        <w:spacing w:before="11"/>
        <w:rPr>
          <w:rFonts w:ascii="Calibri"/>
          <w:sz w:val="21"/>
        </w:rPr>
      </w:pPr>
    </w:p>
    <w:p>
      <w:pPr>
        <w:pStyle w:val="ListParagraph"/>
        <w:numPr>
          <w:ilvl w:val="0"/>
          <w:numId w:val="4"/>
        </w:numPr>
        <w:tabs>
          <w:tab w:pos="250" w:val="left" w:leader="none"/>
        </w:tabs>
        <w:spacing w:line="240" w:lineRule="auto" w:before="0" w:after="0"/>
        <w:ind w:left="132" w:right="345" w:firstLine="0"/>
        <w:jc w:val="left"/>
        <w:rPr>
          <w:sz w:val="22"/>
        </w:rPr>
      </w:pPr>
      <w:r>
        <w:rPr>
          <w:sz w:val="22"/>
        </w:rPr>
        <w:t>Soutenir le renforcement des capacités internes sur les sujets mentionnés précédemment; soutenir et développer</w:t>
      </w:r>
      <w:r>
        <w:rPr>
          <w:spacing w:val="-2"/>
          <w:sz w:val="22"/>
        </w:rPr>
        <w:t> </w:t>
      </w:r>
      <w:r>
        <w:rPr>
          <w:sz w:val="22"/>
        </w:rPr>
        <w:t>davantage</w:t>
      </w:r>
      <w:r>
        <w:rPr>
          <w:spacing w:val="-5"/>
          <w:sz w:val="22"/>
        </w:rPr>
        <w:t> </w:t>
      </w:r>
      <w:r>
        <w:rPr>
          <w:sz w:val="22"/>
        </w:rPr>
        <w:t>le</w:t>
      </w:r>
      <w:r>
        <w:rPr>
          <w:spacing w:val="-1"/>
          <w:sz w:val="22"/>
        </w:rPr>
        <w:t> </w:t>
      </w:r>
      <w:r>
        <w:rPr>
          <w:sz w:val="22"/>
        </w:rPr>
        <w:t>partenariat</w:t>
      </w:r>
      <w:r>
        <w:rPr>
          <w:spacing w:val="-2"/>
          <w:sz w:val="22"/>
        </w:rPr>
        <w:t> </w:t>
      </w:r>
      <w:r>
        <w:rPr>
          <w:sz w:val="22"/>
        </w:rPr>
        <w:t>avec</w:t>
      </w:r>
      <w:r>
        <w:rPr>
          <w:spacing w:val="-2"/>
          <w:sz w:val="22"/>
        </w:rPr>
        <w:t> </w:t>
      </w:r>
      <w:r>
        <w:rPr>
          <w:sz w:val="22"/>
        </w:rPr>
        <w:t>les</w:t>
      </w:r>
      <w:r>
        <w:rPr>
          <w:spacing w:val="-3"/>
          <w:sz w:val="22"/>
        </w:rPr>
        <w:t> </w:t>
      </w:r>
      <w:r>
        <w:rPr>
          <w:sz w:val="22"/>
        </w:rPr>
        <w:t>OSC</w:t>
      </w:r>
      <w:r>
        <w:rPr>
          <w:spacing w:val="-2"/>
          <w:sz w:val="22"/>
        </w:rPr>
        <w:t> </w:t>
      </w:r>
      <w:r>
        <w:rPr>
          <w:sz w:val="22"/>
        </w:rPr>
        <w:t>détenteurs</w:t>
      </w:r>
      <w:r>
        <w:rPr>
          <w:spacing w:val="-2"/>
          <w:sz w:val="22"/>
        </w:rPr>
        <w:t> </w:t>
      </w:r>
      <w:r>
        <w:rPr>
          <w:sz w:val="22"/>
        </w:rPr>
        <w:t>d'un</w:t>
      </w:r>
      <w:r>
        <w:rPr>
          <w:spacing w:val="-3"/>
          <w:sz w:val="22"/>
        </w:rPr>
        <w:t> </w:t>
      </w:r>
      <w:r>
        <w:rPr>
          <w:sz w:val="22"/>
        </w:rPr>
        <w:t>accord</w:t>
      </w:r>
      <w:r>
        <w:rPr>
          <w:spacing w:val="-3"/>
          <w:sz w:val="22"/>
        </w:rPr>
        <w:t> </w:t>
      </w:r>
      <w:r>
        <w:rPr>
          <w:sz w:val="22"/>
        </w:rPr>
        <w:t>cadre</w:t>
      </w:r>
      <w:r>
        <w:rPr>
          <w:spacing w:val="-1"/>
          <w:sz w:val="22"/>
        </w:rPr>
        <w:t> </w:t>
      </w:r>
      <w:r>
        <w:rPr>
          <w:sz w:val="22"/>
        </w:rPr>
        <w:t>financier</w:t>
      </w:r>
      <w:r>
        <w:rPr>
          <w:spacing w:val="-2"/>
          <w:sz w:val="22"/>
        </w:rPr>
        <w:t> </w:t>
      </w:r>
      <w:r>
        <w:rPr>
          <w:sz w:val="22"/>
        </w:rPr>
        <w:t>de</w:t>
      </w:r>
      <w:r>
        <w:rPr>
          <w:spacing w:val="-2"/>
          <w:sz w:val="22"/>
        </w:rPr>
        <w:t> </w:t>
      </w:r>
      <w:r>
        <w:rPr>
          <w:sz w:val="22"/>
        </w:rPr>
        <w:t>partenariat</w:t>
      </w:r>
      <w:r>
        <w:rPr>
          <w:spacing w:val="-4"/>
          <w:sz w:val="22"/>
        </w:rPr>
        <w:t> </w:t>
      </w:r>
      <w:r>
        <w:rPr>
          <w:sz w:val="22"/>
        </w:rPr>
        <w:t>(FFPA), suivre les activités des FFPA et donner une guidance dans la mise en œuvre de ces FFPAs; développer des méthodes innovantes en matière de collaboration avec les signataires d'un FFPA.</w:t>
      </w:r>
    </w:p>
    <w:p>
      <w:pPr>
        <w:pStyle w:val="BodyText"/>
        <w:rPr>
          <w:rFonts w:ascii="Calibri"/>
        </w:rPr>
      </w:pPr>
    </w:p>
    <w:p>
      <w:pPr>
        <w:pStyle w:val="BodyText"/>
        <w:spacing w:before="6"/>
        <w:rPr>
          <w:rFonts w:ascii="Calibri"/>
          <w:sz w:val="19"/>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rPr>
          <w:b/>
          <w:sz w:val="16"/>
        </w:rPr>
      </w:pPr>
    </w:p>
    <w:p>
      <w:pPr>
        <w:pStyle w:val="Heading1"/>
        <w:numPr>
          <w:ilvl w:val="1"/>
          <w:numId w:val="3"/>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8"/>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9"/>
        <w:rPr>
          <w:sz w:val="21"/>
        </w:rPr>
      </w:pPr>
    </w:p>
    <w:p>
      <w:pPr>
        <w:pStyle w:val="ListParagraph"/>
        <w:numPr>
          <w:ilvl w:val="0"/>
          <w:numId w:val="5"/>
        </w:numPr>
        <w:tabs>
          <w:tab w:pos="841" w:val="left" w:leader="none"/>
        </w:tabs>
        <w:spacing w:line="240" w:lineRule="auto" w:before="1" w:after="0"/>
        <w:ind w:left="840" w:right="113"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5"/>
        </w:numPr>
        <w:tabs>
          <w:tab w:pos="841" w:val="left" w:leader="none"/>
        </w:tabs>
        <w:spacing w:line="240" w:lineRule="auto" w:before="1"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pPr>
    </w:p>
    <w:p>
      <w:pPr>
        <w:pStyle w:val="ListParagraph"/>
        <w:numPr>
          <w:ilvl w:val="0"/>
          <w:numId w:val="5"/>
        </w:numPr>
        <w:tabs>
          <w:tab w:pos="841" w:val="left" w:leader="none"/>
        </w:tabs>
        <w:spacing w:line="240" w:lineRule="auto" w:before="0" w:after="0"/>
        <w:ind w:left="840" w:right="108"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6"/>
        <w:rPr>
          <w:sz w:val="24"/>
        </w:rPr>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2" w:lineRule="exact" w:before="92"/>
        <w:ind w:left="840"/>
      </w:pPr>
      <w:r>
        <w:rPr>
          <w:spacing w:val="-2"/>
          <w:u w:val="single"/>
        </w:rPr>
        <w:t>Diplôme</w:t>
      </w:r>
    </w:p>
    <w:p>
      <w:pPr>
        <w:pStyle w:val="ListParagraph"/>
        <w:numPr>
          <w:ilvl w:val="2"/>
          <w:numId w:val="3"/>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2"/>
          <w:numId w:val="3"/>
        </w:numPr>
        <w:tabs>
          <w:tab w:pos="966" w:val="left" w:leader="none"/>
        </w:tabs>
        <w:spacing w:line="240" w:lineRule="auto" w:before="1"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spacing w:after="0" w:line="240" w:lineRule="auto"/>
        <w:jc w:val="left"/>
        <w:rPr>
          <w:rFonts w:ascii="Times New Roman" w:hAnsi="Times New Roman"/>
          <w:sz w:val="22"/>
        </w:rPr>
        <w:sectPr>
          <w:pgSz w:w="11910" w:h="16840"/>
          <w:pgMar w:header="0" w:footer="690" w:top="1080" w:bottom="880" w:left="720" w:right="740"/>
        </w:sectPr>
      </w:pPr>
    </w:p>
    <w:p>
      <w:pPr>
        <w:pStyle w:val="BodyText"/>
        <w:spacing w:before="73"/>
        <w:ind w:left="840" w:right="162" w:firstLine="110"/>
        <w:jc w:val="both"/>
        <w:rPr>
          <w:rFonts w:ascii="Calibri" w:hAnsi="Calibri"/>
        </w:rPr>
      </w:pPr>
      <w:r>
        <w:rPr/>
        <w:t>dans le(s) domaine(s) : </w:t>
      </w:r>
      <w:r>
        <w:rPr>
          <w:rFonts w:ascii="Calibri" w:hAnsi="Calibri"/>
        </w:rPr>
        <w:t>Maitrise universitaire en science politique ou sociale, économie ou droit. Au moins 5 ans d'expérience dans le domaine de l'aide et de la coopération au développement ou de la gestion d'OSC / fondations.</w:t>
      </w:r>
    </w:p>
    <w:p>
      <w:pPr>
        <w:pStyle w:val="BodyText"/>
        <w:rPr>
          <w:rFonts w:ascii="Calibri"/>
        </w:rPr>
      </w:pPr>
    </w:p>
    <w:p>
      <w:pPr>
        <w:pStyle w:val="BodyText"/>
        <w:spacing w:before="2"/>
        <w:rPr>
          <w:rFonts w:ascii="Calibri"/>
          <w:sz w:val="19"/>
        </w:rPr>
      </w:pPr>
    </w:p>
    <w:p>
      <w:pPr>
        <w:pStyle w:val="BodyText"/>
        <w:ind w:left="840"/>
        <w:jc w:val="both"/>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6"/>
        <w:ind w:left="840" w:right="164"/>
        <w:jc w:val="both"/>
        <w:rPr>
          <w:rFonts w:ascii="Calibri" w:hAnsi="Calibri"/>
        </w:rPr>
      </w:pPr>
      <w:r>
        <w:rPr>
          <w:rFonts w:ascii="Calibri" w:hAnsi="Calibri"/>
        </w:rPr>
        <w:t>Expérience professionnelle: au moins 5 ans d'expérience professionnelle dans le domaine des relations internationales, de la coopération au développement et de la diplomatie. Connaissances et compétences requises: d'excellentes compétentes en matière d'analyse, de rédaction et de communication. Une</w:t>
      </w:r>
      <w:r>
        <w:rPr>
          <w:rFonts w:ascii="Calibri" w:hAnsi="Calibri"/>
          <w:spacing w:val="80"/>
        </w:rPr>
        <w:t> </w:t>
      </w:r>
      <w:r>
        <w:rPr>
          <w:rFonts w:ascii="Calibri" w:hAnsi="Calibri"/>
        </w:rPr>
        <w:t>bonne connaissance des relations internationales, de même que des politiques, des procédures et du fonctionnement de l'Union européenne. Une connaissance approfondie des organisations de la société civile et de leurs activités. Une excellente capacité à exercer ses fonctions dans une organisation multilatérale. Un bon jugement, la recherche des résultats, de bonnes capacités de travail et une bonne aptitude à travailler dans le cadre d'échéances courtes.</w:t>
      </w: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rPr>
          <w:rFonts w:ascii="Calibri"/>
        </w:rPr>
      </w:pPr>
    </w:p>
    <w:p>
      <w:pPr>
        <w:pStyle w:val="BodyText"/>
        <w:spacing w:before="169"/>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7"/>
        <w:ind w:left="840"/>
        <w:rPr>
          <w:rFonts w:ascii="Calibri" w:hAnsi="Calibri"/>
        </w:rPr>
      </w:pPr>
      <w:r>
        <w:rPr>
          <w:rFonts w:ascii="Calibri" w:hAnsi="Calibri"/>
        </w:rPr>
        <w:t>Anglais</w:t>
      </w:r>
      <w:r>
        <w:rPr>
          <w:rFonts w:ascii="Calibri" w:hAnsi="Calibri"/>
          <w:spacing w:val="-3"/>
        </w:rPr>
        <w:t> </w:t>
      </w:r>
      <w:r>
        <w:rPr>
          <w:rFonts w:ascii="Calibri" w:hAnsi="Calibri"/>
        </w:rPr>
        <w:t>requis,</w:t>
      </w:r>
      <w:r>
        <w:rPr>
          <w:rFonts w:ascii="Calibri" w:hAnsi="Calibri"/>
          <w:spacing w:val="-3"/>
        </w:rPr>
        <w:t> </w:t>
      </w:r>
      <w:r>
        <w:rPr>
          <w:rFonts w:ascii="Calibri" w:hAnsi="Calibri"/>
        </w:rPr>
        <w:t>le</w:t>
      </w:r>
      <w:r>
        <w:rPr>
          <w:rFonts w:ascii="Calibri" w:hAnsi="Calibri"/>
          <w:spacing w:val="-3"/>
        </w:rPr>
        <w:t> </w:t>
      </w:r>
      <w:r>
        <w:rPr>
          <w:rFonts w:ascii="Calibri" w:hAnsi="Calibri"/>
        </w:rPr>
        <w:t>français</w:t>
      </w:r>
      <w:r>
        <w:rPr>
          <w:rFonts w:ascii="Calibri" w:hAnsi="Calibri"/>
          <w:spacing w:val="-3"/>
        </w:rPr>
        <w:t> </w:t>
      </w:r>
      <w:r>
        <w:rPr>
          <w:rFonts w:ascii="Calibri" w:hAnsi="Calibri"/>
        </w:rPr>
        <w:t>est</w:t>
      </w:r>
      <w:r>
        <w:rPr>
          <w:rFonts w:ascii="Calibri" w:hAnsi="Calibri"/>
          <w:spacing w:val="-2"/>
        </w:rPr>
        <w:t> </w:t>
      </w:r>
      <w:r>
        <w:rPr>
          <w:rFonts w:ascii="Calibri" w:hAnsi="Calibri"/>
        </w:rPr>
        <w:t>un</w:t>
      </w:r>
      <w:r>
        <w:rPr>
          <w:rFonts w:ascii="Calibri" w:hAnsi="Calibri"/>
          <w:spacing w:val="-3"/>
        </w:rPr>
        <w:t> </w:t>
      </w:r>
      <w:r>
        <w:rPr>
          <w:rFonts w:ascii="Calibri" w:hAnsi="Calibri"/>
          <w:spacing w:val="-4"/>
        </w:rPr>
        <w:t>atout</w:t>
      </w:r>
    </w:p>
    <w:p>
      <w:pPr>
        <w:pStyle w:val="BodyText"/>
        <w:rPr>
          <w:rFonts w:ascii="Calibri"/>
        </w:rPr>
      </w:pPr>
    </w:p>
    <w:p>
      <w:pPr>
        <w:pStyle w:val="BodyText"/>
        <w:spacing w:before="5"/>
        <w:rPr>
          <w:rFonts w:ascii="Calibri"/>
          <w:sz w:val="19"/>
        </w:rPr>
      </w:pPr>
    </w:p>
    <w:p>
      <w:pPr>
        <w:pStyle w:val="ListParagraph"/>
        <w:numPr>
          <w:ilvl w:val="0"/>
          <w:numId w:val="3"/>
        </w:numPr>
        <w:tabs>
          <w:tab w:pos="559" w:val="left" w:leader="none"/>
          <w:tab w:pos="560" w:val="left" w:leader="none"/>
        </w:tabs>
        <w:spacing w:line="240" w:lineRule="auto" w:before="1"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6"/>
        <w:rPr>
          <w:b/>
          <w:sz w:val="15"/>
        </w:rPr>
      </w:pPr>
    </w:p>
    <w:p>
      <w:pPr>
        <w:spacing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4"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2"/>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0"/>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spacing w:after="0"/>
        <w:jc w:val="both"/>
        <w:sectPr>
          <w:pgSz w:w="11910" w:h="16840"/>
          <w:pgMar w:header="0" w:footer="690" w:top="1040" w:bottom="880" w:left="720" w:right="740"/>
        </w:sectPr>
      </w:pPr>
    </w:p>
    <w:p>
      <w:pPr>
        <w:pStyle w:val="ListParagraph"/>
        <w:numPr>
          <w:ilvl w:val="0"/>
          <w:numId w:val="3"/>
        </w:numPr>
        <w:tabs>
          <w:tab w:pos="559" w:val="left" w:leader="none"/>
          <w:tab w:pos="560" w:val="left" w:leader="none"/>
        </w:tabs>
        <w:spacing w:line="240" w:lineRule="auto" w:before="69"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3"/>
          <w:sz w:val="24"/>
          <w:u w:val="single"/>
        </w:rPr>
        <w:t> </w:t>
      </w:r>
      <w:r>
        <w:rPr>
          <w:rFonts w:ascii="Times New Roman" w:hAnsi="Times New Roman"/>
          <w:b/>
          <w:sz w:val="24"/>
          <w:u w:val="single"/>
        </w:rPr>
        <w:t>données</w:t>
      </w:r>
      <w:r>
        <w:rPr>
          <w:rFonts w:ascii="Times New Roman" w:hAnsi="Times New Roman"/>
          <w:b/>
          <w:spacing w:val="-2"/>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7"/>
        <w:rPr>
          <w:b/>
          <w:sz w:val="15"/>
        </w:rPr>
      </w:pPr>
    </w:p>
    <w:p>
      <w:pPr>
        <w:pStyle w:val="BodyText"/>
        <w:spacing w:before="92"/>
        <w:ind w:left="55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before="2"/>
        <w:ind w:left="559" w:right="286"/>
        <w:jc w:val="both"/>
      </w:pPr>
      <w:r>
        <w:rPr/>
        <w:t>Les données des END seront conservées pendant 10 ans à compter de la fin du détachement (2 ans pour les END dont la candidature n'a pas été retenue ou a été retirée).</w:t>
      </w:r>
    </w:p>
    <w:p>
      <w:pPr>
        <w:pStyle w:val="BodyText"/>
        <w:ind w:left="559" w:right="288"/>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6"/>
        <w:rPr>
          <w:b/>
          <w:sz w:val="13"/>
        </w:rPr>
      </w:pPr>
    </w:p>
    <w:p>
      <w:pPr>
        <w:pStyle w:val="ListParagraph"/>
        <w:numPr>
          <w:ilvl w:val="0"/>
          <w:numId w:val="6"/>
        </w:numPr>
        <w:tabs>
          <w:tab w:pos="841" w:val="left" w:leader="none"/>
        </w:tabs>
        <w:spacing w:line="240" w:lineRule="auto" w:before="91"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spacing w:before="2"/>
        <w:ind w:left="559" w:right="286"/>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6"/>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41" w:val="left" w:leader="none"/>
        </w:tabs>
        <w:spacing w:line="240" w:lineRule="auto" w:before="5"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32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899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132" w:hanging="118"/>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170" w:hanging="118"/>
      </w:pPr>
      <w:rPr>
        <w:rFonts w:hint="default"/>
        <w:lang w:val="fr-FR" w:eastAsia="en-US" w:bidi="ar-SA"/>
      </w:rPr>
    </w:lvl>
    <w:lvl w:ilvl="2">
      <w:start w:val="0"/>
      <w:numFmt w:val="bullet"/>
      <w:lvlText w:val="•"/>
      <w:lvlJc w:val="left"/>
      <w:pPr>
        <w:ind w:left="2201" w:hanging="118"/>
      </w:pPr>
      <w:rPr>
        <w:rFonts w:hint="default"/>
        <w:lang w:val="fr-FR" w:eastAsia="en-US" w:bidi="ar-SA"/>
      </w:rPr>
    </w:lvl>
    <w:lvl w:ilvl="3">
      <w:start w:val="0"/>
      <w:numFmt w:val="bullet"/>
      <w:lvlText w:val="•"/>
      <w:lvlJc w:val="left"/>
      <w:pPr>
        <w:ind w:left="3231" w:hanging="118"/>
      </w:pPr>
      <w:rPr>
        <w:rFonts w:hint="default"/>
        <w:lang w:val="fr-FR" w:eastAsia="en-US" w:bidi="ar-SA"/>
      </w:rPr>
    </w:lvl>
    <w:lvl w:ilvl="4">
      <w:start w:val="0"/>
      <w:numFmt w:val="bullet"/>
      <w:lvlText w:val="•"/>
      <w:lvlJc w:val="left"/>
      <w:pPr>
        <w:ind w:left="4262" w:hanging="118"/>
      </w:pPr>
      <w:rPr>
        <w:rFonts w:hint="default"/>
        <w:lang w:val="fr-FR" w:eastAsia="en-US" w:bidi="ar-SA"/>
      </w:rPr>
    </w:lvl>
    <w:lvl w:ilvl="5">
      <w:start w:val="0"/>
      <w:numFmt w:val="bullet"/>
      <w:lvlText w:val="•"/>
      <w:lvlJc w:val="left"/>
      <w:pPr>
        <w:ind w:left="5293" w:hanging="118"/>
      </w:pPr>
      <w:rPr>
        <w:rFonts w:hint="default"/>
        <w:lang w:val="fr-FR" w:eastAsia="en-US" w:bidi="ar-SA"/>
      </w:rPr>
    </w:lvl>
    <w:lvl w:ilvl="6">
      <w:start w:val="0"/>
      <w:numFmt w:val="bullet"/>
      <w:lvlText w:val="•"/>
      <w:lvlJc w:val="left"/>
      <w:pPr>
        <w:ind w:left="6323" w:hanging="118"/>
      </w:pPr>
      <w:rPr>
        <w:rFonts w:hint="default"/>
        <w:lang w:val="fr-FR" w:eastAsia="en-US" w:bidi="ar-SA"/>
      </w:rPr>
    </w:lvl>
    <w:lvl w:ilvl="7">
      <w:start w:val="0"/>
      <w:numFmt w:val="bullet"/>
      <w:lvlText w:val="•"/>
      <w:lvlJc w:val="left"/>
      <w:pPr>
        <w:ind w:left="7354" w:hanging="118"/>
      </w:pPr>
      <w:rPr>
        <w:rFonts w:hint="default"/>
        <w:lang w:val="fr-FR" w:eastAsia="en-US" w:bidi="ar-SA"/>
      </w:rPr>
    </w:lvl>
    <w:lvl w:ilvl="8">
      <w:start w:val="0"/>
      <w:numFmt w:val="bullet"/>
      <w:lvlText w:val="•"/>
      <w:lvlJc w:val="left"/>
      <w:pPr>
        <w:ind w:left="8385" w:hanging="118"/>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145" w:hanging="125"/>
      </w:pPr>
      <w:rPr>
        <w:rFonts w:hint="default"/>
        <w:lang w:val="fr-FR" w:eastAsia="en-US" w:bidi="ar-SA"/>
      </w:rPr>
    </w:lvl>
    <w:lvl w:ilvl="4">
      <w:start w:val="0"/>
      <w:numFmt w:val="bullet"/>
      <w:lvlText w:val="•"/>
      <w:lvlJc w:val="left"/>
      <w:pPr>
        <w:ind w:left="3331" w:hanging="125"/>
      </w:pPr>
      <w:rPr>
        <w:rFonts w:hint="default"/>
        <w:lang w:val="fr-FR" w:eastAsia="en-US" w:bidi="ar-SA"/>
      </w:rPr>
    </w:lvl>
    <w:lvl w:ilvl="5">
      <w:start w:val="0"/>
      <w:numFmt w:val="bullet"/>
      <w:lvlText w:val="•"/>
      <w:lvlJc w:val="left"/>
      <w:pPr>
        <w:ind w:left="4517" w:hanging="125"/>
      </w:pPr>
      <w:rPr>
        <w:rFonts w:hint="default"/>
        <w:lang w:val="fr-FR" w:eastAsia="en-US" w:bidi="ar-SA"/>
      </w:rPr>
    </w:lvl>
    <w:lvl w:ilvl="6">
      <w:start w:val="0"/>
      <w:numFmt w:val="bullet"/>
      <w:lvlText w:val="•"/>
      <w:lvlJc w:val="left"/>
      <w:pPr>
        <w:ind w:left="5703" w:hanging="125"/>
      </w:pPr>
      <w:rPr>
        <w:rFonts w:hint="default"/>
        <w:lang w:val="fr-FR" w:eastAsia="en-US" w:bidi="ar-SA"/>
      </w:rPr>
    </w:lvl>
    <w:lvl w:ilvl="7">
      <w:start w:val="0"/>
      <w:numFmt w:val="bullet"/>
      <w:lvlText w:val="•"/>
      <w:lvlJc w:val="left"/>
      <w:pPr>
        <w:ind w:left="6889" w:hanging="125"/>
      </w:pPr>
      <w:rPr>
        <w:rFonts w:hint="default"/>
        <w:lang w:val="fr-FR" w:eastAsia="en-US" w:bidi="ar-SA"/>
      </w:rPr>
    </w:lvl>
    <w:lvl w:ilvl="8">
      <w:start w:val="0"/>
      <w:numFmt w:val="bullet"/>
      <w:lvlText w:val="•"/>
      <w:lvlJc w:val="left"/>
      <w:pPr>
        <w:ind w:left="8074" w:hanging="125"/>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lene.HOLZN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2023-03-15T16:42:45Z</dcterms:created>
  <dcterms:modified xsi:type="dcterms:W3CDTF">2023-03-15T16:42:45Z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2023-03-01T00:00:00Z</vt:filetime>
  </property>
  <property fmtid="{D5CDD505-2E9C-101B-9397-08002B2CF9AE}" pid="3" name="LastSaved">
    <vt:filetime>2023-03-15T00:00:00Z</vt:filetime>
  </property>
</Properties>
</file>