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509"/>
        <w:gridCol w:w="308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6" w:type="dxa"/>
            <w:gridSpan w:val="2"/>
          </w:tcPr>
          <w:p>
            <w:pPr>
              <w:pStyle w:val="TableParagraph"/>
              <w:spacing w:before="167"/>
              <w:rPr>
                <w:b/>
                <w:sz w:val="24"/>
              </w:rPr>
            </w:pPr>
            <w:r>
              <w:rPr>
                <w:b/>
                <w:spacing w:val="-2"/>
                <w:sz w:val="24"/>
              </w:rPr>
              <w:t>MOVE-B-</w:t>
            </w:r>
            <w:r>
              <w:rPr>
                <w:b/>
                <w:spacing w:val="-10"/>
                <w:sz w:val="24"/>
              </w:rPr>
              <w:t>5</w:t>
            </w:r>
          </w:p>
        </w:tc>
      </w:tr>
      <w:tr>
        <w:trPr>
          <w:trHeight w:val="256" w:hRule="atLeast"/>
        </w:trPr>
        <w:tc>
          <w:tcPr>
            <w:tcW w:w="4359" w:type="dxa"/>
            <w:tcBorders>
              <w:bottom w:val="nil"/>
            </w:tcBorders>
          </w:tcPr>
          <w:p>
            <w:pPr>
              <w:pStyle w:val="TableParagraph"/>
              <w:spacing w:line="237" w:lineRule="exact"/>
              <w:rPr>
                <w:b/>
                <w:sz w:val="22"/>
              </w:rPr>
            </w:pPr>
            <w:r>
              <w:rPr>
                <w:b/>
                <w:sz w:val="22"/>
              </w:rPr>
              <w:t>Chef</w:t>
            </w:r>
            <w:r>
              <w:rPr>
                <w:b/>
                <w:spacing w:val="-3"/>
                <w:sz w:val="22"/>
              </w:rPr>
              <w:t> </w:t>
            </w:r>
            <w:r>
              <w:rPr>
                <w:b/>
                <w:spacing w:val="-2"/>
                <w:sz w:val="22"/>
              </w:rPr>
              <w:t>d’unité:</w:t>
            </w:r>
          </w:p>
        </w:tc>
        <w:tc>
          <w:tcPr>
            <w:tcW w:w="5596" w:type="dxa"/>
            <w:gridSpan w:val="2"/>
            <w:tcBorders>
              <w:bottom w:val="nil"/>
            </w:tcBorders>
          </w:tcPr>
          <w:p>
            <w:pPr>
              <w:pStyle w:val="TableParagraph"/>
              <w:spacing w:line="237" w:lineRule="exact"/>
              <w:rPr>
                <w:b/>
                <w:sz w:val="22"/>
              </w:rPr>
            </w:pPr>
            <w:r>
              <w:rPr>
                <w:b/>
                <w:sz w:val="22"/>
              </w:rPr>
              <w:t>Elisabeth</w:t>
            </w:r>
            <w:r>
              <w:rPr>
                <w:b/>
                <w:spacing w:val="-6"/>
                <w:sz w:val="22"/>
              </w:rPr>
              <w:t> </w:t>
            </w:r>
            <w:r>
              <w:rPr>
                <w:b/>
                <w:spacing w:val="-2"/>
                <w:sz w:val="22"/>
              </w:rPr>
              <w:t>Kotthaus</w:t>
            </w:r>
          </w:p>
        </w:tc>
      </w:tr>
      <w:tr>
        <w:trPr>
          <w:trHeight w:val="253" w:hRule="atLeast"/>
        </w:trPr>
        <w:tc>
          <w:tcPr>
            <w:tcW w:w="4359" w:type="dxa"/>
            <w:tcBorders>
              <w:top w:val="nil"/>
              <w:bottom w:val="nil"/>
            </w:tcBorders>
          </w:tcPr>
          <w:p>
            <w:pPr>
              <w:pStyle w:val="TableParagraph"/>
              <w:spacing w:line="233" w:lineRule="exact"/>
              <w:rPr>
                <w:b/>
                <w:sz w:val="22"/>
              </w:rPr>
            </w:pPr>
            <w:r>
              <w:rPr>
                <w:b/>
                <w:sz w:val="22"/>
              </w:rPr>
              <w:t>Adresse</w:t>
            </w:r>
            <w:r>
              <w:rPr>
                <w:b/>
                <w:spacing w:val="-5"/>
                <w:sz w:val="22"/>
              </w:rPr>
              <w:t> </w:t>
            </w:r>
            <w:r>
              <w:rPr>
                <w:b/>
                <w:sz w:val="22"/>
              </w:rPr>
              <w:t>e-mail</w:t>
            </w:r>
            <w:r>
              <w:rPr>
                <w:b/>
                <w:spacing w:val="-5"/>
                <w:sz w:val="22"/>
              </w:rPr>
              <w:t> </w:t>
            </w:r>
            <w:r>
              <w:rPr>
                <w:b/>
                <w:spacing w:val="-10"/>
                <w:sz w:val="22"/>
              </w:rPr>
              <w:t>:</w:t>
            </w:r>
          </w:p>
        </w:tc>
        <w:tc>
          <w:tcPr>
            <w:tcW w:w="5596" w:type="dxa"/>
            <w:gridSpan w:val="2"/>
            <w:tcBorders>
              <w:top w:val="nil"/>
              <w:bottom w:val="nil"/>
            </w:tcBorders>
          </w:tcPr>
          <w:p>
            <w:pPr>
              <w:pStyle w:val="TableParagraph"/>
              <w:spacing w:line="233" w:lineRule="exact"/>
              <w:rPr>
                <w:b/>
                <w:sz w:val="22"/>
              </w:rPr>
            </w:pPr>
            <w:hyperlink r:id="rId7">
              <w:r>
                <w:rPr>
                  <w:b/>
                  <w:color w:val="0000FF"/>
                  <w:spacing w:val="-2"/>
                  <w:sz w:val="22"/>
                  <w:u w:val="single" w:color="0000FF"/>
                </w:rPr>
                <w:t>Elisabeth.Kotthaus@ec.europa.eu</w:t>
              </w:r>
            </w:hyperlink>
          </w:p>
        </w:tc>
      </w:tr>
      <w:tr>
        <w:trPr>
          <w:trHeight w:val="253" w:hRule="atLeast"/>
        </w:trPr>
        <w:tc>
          <w:tcPr>
            <w:tcW w:w="4359" w:type="dxa"/>
            <w:tcBorders>
              <w:top w:val="nil"/>
              <w:bottom w:val="nil"/>
            </w:tcBorders>
          </w:tcPr>
          <w:p>
            <w:pPr>
              <w:pStyle w:val="TableParagraph"/>
              <w:spacing w:line="233" w:lineRule="exact"/>
              <w:rPr>
                <w:b/>
                <w:sz w:val="22"/>
              </w:rPr>
            </w:pPr>
            <w:r>
              <w:rPr>
                <w:b/>
                <w:sz w:val="22"/>
              </w:rPr>
              <w:t>Téléphone</w:t>
            </w:r>
            <w:r>
              <w:rPr>
                <w:b/>
                <w:spacing w:val="-5"/>
                <w:sz w:val="22"/>
              </w:rPr>
              <w:t> </w:t>
            </w:r>
            <w:r>
              <w:rPr>
                <w:b/>
                <w:spacing w:val="-10"/>
                <w:sz w:val="22"/>
              </w:rPr>
              <w:t>:</w:t>
            </w:r>
          </w:p>
        </w:tc>
        <w:tc>
          <w:tcPr>
            <w:tcW w:w="5596" w:type="dxa"/>
            <w:gridSpan w:val="2"/>
            <w:tcBorders>
              <w:top w:val="nil"/>
              <w:bottom w:val="nil"/>
            </w:tcBorders>
          </w:tcPr>
          <w:p>
            <w:pPr>
              <w:pStyle w:val="TableParagraph"/>
              <w:spacing w:line="233" w:lineRule="exact"/>
              <w:rPr>
                <w:b/>
                <w:sz w:val="22"/>
              </w:rPr>
            </w:pPr>
            <w:r>
              <w:rPr>
                <w:b/>
                <w:sz w:val="22"/>
              </w:rPr>
              <w:t>+32</w:t>
            </w:r>
            <w:r>
              <w:rPr>
                <w:b/>
                <w:spacing w:val="-1"/>
                <w:sz w:val="22"/>
              </w:rPr>
              <w:t> </w:t>
            </w:r>
            <w:r>
              <w:rPr>
                <w:b/>
                <w:sz w:val="22"/>
              </w:rPr>
              <w:t>2</w:t>
            </w:r>
            <w:r>
              <w:rPr>
                <w:b/>
                <w:spacing w:val="-1"/>
                <w:sz w:val="22"/>
              </w:rPr>
              <w:t> </w:t>
            </w:r>
            <w:r>
              <w:rPr>
                <w:b/>
                <w:spacing w:val="-2"/>
                <w:sz w:val="22"/>
              </w:rPr>
              <w:t>2994870</w:t>
            </w:r>
          </w:p>
        </w:tc>
      </w:tr>
      <w:tr>
        <w:trPr>
          <w:trHeight w:val="253" w:hRule="atLeast"/>
        </w:trPr>
        <w:tc>
          <w:tcPr>
            <w:tcW w:w="4359" w:type="dxa"/>
            <w:tcBorders>
              <w:top w:val="nil"/>
              <w:bottom w:val="nil"/>
            </w:tcBorders>
          </w:tcPr>
          <w:p>
            <w:pPr>
              <w:pStyle w:val="TableParagraph"/>
              <w:spacing w:line="233" w:lineRule="exact"/>
              <w:rPr>
                <w:b/>
                <w:sz w:val="22"/>
              </w:rPr>
            </w:pPr>
            <w:r>
              <w:rPr>
                <w:b/>
                <w:sz w:val="22"/>
              </w:rPr>
              <w:t>Nombre</w:t>
            </w:r>
            <w:r>
              <w:rPr>
                <w:b/>
                <w:spacing w:val="-3"/>
                <w:sz w:val="22"/>
              </w:rPr>
              <w:t> </w:t>
            </w:r>
            <w:r>
              <w:rPr>
                <w:b/>
                <w:sz w:val="22"/>
              </w:rPr>
              <w:t>de</w:t>
            </w:r>
            <w:r>
              <w:rPr>
                <w:b/>
                <w:spacing w:val="-2"/>
                <w:sz w:val="22"/>
              </w:rPr>
              <w:t> </w:t>
            </w:r>
            <w:r>
              <w:rPr>
                <w:b/>
                <w:sz w:val="22"/>
              </w:rPr>
              <w:t>postes </w:t>
            </w:r>
            <w:r>
              <w:rPr>
                <w:b/>
                <w:spacing w:val="-2"/>
                <w:sz w:val="22"/>
              </w:rPr>
              <w:t>disponibles:</w:t>
            </w:r>
          </w:p>
        </w:tc>
        <w:tc>
          <w:tcPr>
            <w:tcW w:w="5596" w:type="dxa"/>
            <w:gridSpan w:val="2"/>
            <w:tcBorders>
              <w:top w:val="nil"/>
              <w:bottom w:val="nil"/>
            </w:tcBorders>
          </w:tcPr>
          <w:p>
            <w:pPr>
              <w:pStyle w:val="TableParagraph"/>
              <w:spacing w:line="233" w:lineRule="exact"/>
              <w:rPr>
                <w:b/>
                <w:sz w:val="22"/>
              </w:rPr>
            </w:pPr>
            <w:r>
              <w:rPr>
                <w:b/>
                <w:w w:val="100"/>
                <w:sz w:val="22"/>
              </w:rPr>
              <w:t>1</w:t>
            </w:r>
          </w:p>
        </w:tc>
      </w:tr>
      <w:tr>
        <w:trPr>
          <w:trHeight w:val="251" w:hRule="atLeast"/>
        </w:trPr>
        <w:tc>
          <w:tcPr>
            <w:tcW w:w="4359" w:type="dxa"/>
            <w:tcBorders>
              <w:top w:val="nil"/>
              <w:bottom w:val="nil"/>
            </w:tcBorders>
          </w:tcPr>
          <w:p>
            <w:pPr>
              <w:pStyle w:val="TableParagraph"/>
              <w:spacing w:line="232" w:lineRule="exact"/>
              <w:rPr>
                <w:b/>
                <w:sz w:val="22"/>
              </w:rPr>
            </w:pPr>
            <w:r>
              <w:rPr>
                <w:b/>
                <w:sz w:val="22"/>
              </w:rPr>
              <w:t>Prise</w:t>
            </w:r>
            <w:r>
              <w:rPr>
                <w:b/>
                <w:spacing w:val="-4"/>
                <w:sz w:val="22"/>
              </w:rPr>
              <w:t> </w:t>
            </w:r>
            <w:r>
              <w:rPr>
                <w:b/>
                <w:sz w:val="22"/>
              </w:rPr>
              <w:t>de</w:t>
            </w:r>
            <w:r>
              <w:rPr>
                <w:b/>
                <w:spacing w:val="-5"/>
                <w:sz w:val="22"/>
              </w:rPr>
              <w:t> </w:t>
            </w:r>
            <w:r>
              <w:rPr>
                <w:b/>
                <w:sz w:val="22"/>
              </w:rPr>
              <w:t>fonction</w:t>
            </w:r>
            <w:r>
              <w:rPr>
                <w:b/>
                <w:spacing w:val="-5"/>
                <w:sz w:val="22"/>
              </w:rPr>
              <w:t> </w:t>
            </w:r>
            <w:r>
              <w:rPr>
                <w:b/>
                <w:sz w:val="22"/>
              </w:rPr>
              <w:t>souhaitée</w:t>
            </w:r>
            <w:r>
              <w:rPr>
                <w:b/>
                <w:spacing w:val="1"/>
                <w:sz w:val="22"/>
              </w:rPr>
              <w:t> </w:t>
            </w:r>
            <w:r>
              <w:rPr>
                <w:b/>
                <w:spacing w:val="-10"/>
                <w:sz w:val="22"/>
              </w:rPr>
              <w:t>:</w:t>
            </w:r>
          </w:p>
        </w:tc>
        <w:tc>
          <w:tcPr>
            <w:tcW w:w="5596" w:type="dxa"/>
            <w:gridSpan w:val="2"/>
            <w:tcBorders>
              <w:top w:val="nil"/>
              <w:bottom w:val="nil"/>
            </w:tcBorders>
          </w:tcPr>
          <w:p>
            <w:pPr>
              <w:pStyle w:val="TableParagraph"/>
              <w:spacing w:line="232" w:lineRule="exact"/>
              <w:rPr>
                <w:b/>
                <w:sz w:val="22"/>
              </w:rPr>
            </w:pPr>
            <w:r>
              <w:rPr>
                <w:b/>
                <w:sz w:val="22"/>
              </w:rPr>
              <w:t>3</w:t>
            </w:r>
            <w:r>
              <w:rPr>
                <w:b/>
                <w:sz w:val="22"/>
                <w:vertAlign w:val="superscript"/>
              </w:rPr>
              <w:t>e</w:t>
            </w:r>
            <w:r>
              <w:rPr>
                <w:b/>
                <w:sz w:val="22"/>
                <w:vertAlign w:val="baseline"/>
              </w:rPr>
              <w:t>-4</w:t>
            </w:r>
            <w:r>
              <w:rPr>
                <w:b/>
                <w:sz w:val="22"/>
                <w:vertAlign w:val="superscript"/>
              </w:rPr>
              <w:t>e</w:t>
            </w:r>
            <w:r>
              <w:rPr>
                <w:b/>
                <w:spacing w:val="-6"/>
                <w:sz w:val="22"/>
                <w:vertAlign w:val="baseline"/>
              </w:rPr>
              <w:t> </w:t>
            </w:r>
            <w:r>
              <w:rPr>
                <w:b/>
                <w:sz w:val="22"/>
                <w:vertAlign w:val="baseline"/>
              </w:rPr>
              <w:t>trimestre</w:t>
            </w:r>
            <w:r>
              <w:rPr>
                <w:b/>
                <w:spacing w:val="-3"/>
                <w:sz w:val="22"/>
                <w:vertAlign w:val="baseline"/>
              </w:rPr>
              <w:t> </w:t>
            </w:r>
            <w:r>
              <w:rPr>
                <w:b/>
                <w:sz w:val="22"/>
                <w:vertAlign w:val="baseline"/>
              </w:rPr>
              <w:t>2023</w:t>
            </w:r>
            <w:r>
              <w:rPr>
                <w:b/>
                <w:spacing w:val="-4"/>
                <w:sz w:val="22"/>
                <w:vertAlign w:val="baseline"/>
              </w:rPr>
              <w:t> </w:t>
            </w:r>
            <w:r>
              <w:rPr>
                <w:b/>
                <w:sz w:val="22"/>
                <w:vertAlign w:val="baseline"/>
              </w:rPr>
              <w:t>(idéalement</w:t>
            </w:r>
            <w:r>
              <w:rPr>
                <w:b/>
                <w:spacing w:val="-3"/>
                <w:sz w:val="22"/>
                <w:vertAlign w:val="baseline"/>
              </w:rPr>
              <w:t> </w:t>
            </w:r>
            <w:r>
              <w:rPr>
                <w:b/>
                <w:sz w:val="22"/>
                <w:vertAlign w:val="baseline"/>
              </w:rPr>
              <w:t>àpd</w:t>
            </w:r>
            <w:r>
              <w:rPr>
                <w:b/>
                <w:spacing w:val="-5"/>
                <w:sz w:val="22"/>
                <w:vertAlign w:val="baseline"/>
              </w:rPr>
              <w:t> </w:t>
            </w:r>
            <w:r>
              <w:rPr>
                <w:b/>
                <w:sz w:val="22"/>
                <w:vertAlign w:val="baseline"/>
              </w:rPr>
              <w:t>1</w:t>
            </w:r>
            <w:r>
              <w:rPr>
                <w:b/>
                <w:sz w:val="22"/>
                <w:vertAlign w:val="superscript"/>
              </w:rPr>
              <w:t>er</w:t>
            </w:r>
            <w:r>
              <w:rPr>
                <w:b/>
                <w:spacing w:val="-5"/>
                <w:sz w:val="22"/>
                <w:vertAlign w:val="baseline"/>
              </w:rPr>
              <w:t> </w:t>
            </w:r>
            <w:r>
              <w:rPr>
                <w:b/>
                <w:sz w:val="22"/>
                <w:vertAlign w:val="baseline"/>
              </w:rPr>
              <w:t>septembre</w:t>
            </w:r>
            <w:r>
              <w:rPr>
                <w:b/>
                <w:spacing w:val="-5"/>
                <w:sz w:val="22"/>
                <w:vertAlign w:val="baseline"/>
              </w:rPr>
              <w:t> </w:t>
            </w:r>
            <w:r>
              <w:rPr>
                <w:b/>
                <w:spacing w:val="-2"/>
                <w:sz w:val="22"/>
                <w:vertAlign w:val="baseline"/>
              </w:rPr>
              <w:t>2023)</w:t>
            </w:r>
            <w:r>
              <w:rPr>
                <w:b/>
                <w:spacing w:val="-2"/>
                <w:sz w:val="22"/>
                <w:vertAlign w:val="superscript"/>
              </w:rPr>
              <w:t>1</w:t>
            </w:r>
          </w:p>
        </w:tc>
      </w:tr>
      <w:tr>
        <w:trPr>
          <w:trHeight w:val="250" w:hRule="atLeast"/>
        </w:trPr>
        <w:tc>
          <w:tcPr>
            <w:tcW w:w="4359" w:type="dxa"/>
            <w:tcBorders>
              <w:top w:val="nil"/>
              <w:bottom w:val="nil"/>
            </w:tcBorders>
          </w:tcPr>
          <w:p>
            <w:pPr>
              <w:pStyle w:val="TableParagraph"/>
              <w:spacing w:line="231" w:lineRule="exact"/>
              <w:rPr>
                <w:b/>
                <w:sz w:val="22"/>
              </w:rPr>
            </w:pPr>
            <w:r>
              <w:rPr>
                <w:b/>
                <w:sz w:val="22"/>
              </w:rPr>
              <w:t>Durée</w:t>
            </w:r>
            <w:r>
              <w:rPr>
                <w:b/>
                <w:spacing w:val="-6"/>
                <w:sz w:val="22"/>
              </w:rPr>
              <w:t> </w:t>
            </w:r>
            <w:r>
              <w:rPr>
                <w:b/>
                <w:sz w:val="22"/>
              </w:rPr>
              <w:t>initiale</w:t>
            </w:r>
            <w:r>
              <w:rPr>
                <w:b/>
                <w:spacing w:val="-5"/>
                <w:sz w:val="22"/>
              </w:rPr>
              <w:t> </w:t>
            </w:r>
            <w:r>
              <w:rPr>
                <w:b/>
                <w:sz w:val="22"/>
              </w:rPr>
              <w:t>souhaitée</w:t>
            </w:r>
            <w:r>
              <w:rPr>
                <w:b/>
                <w:spacing w:val="-6"/>
                <w:sz w:val="22"/>
              </w:rPr>
              <w:t> </w:t>
            </w:r>
            <w:r>
              <w:rPr>
                <w:b/>
                <w:spacing w:val="-10"/>
                <w:sz w:val="22"/>
              </w:rPr>
              <w:t>:</w:t>
            </w:r>
          </w:p>
        </w:tc>
        <w:tc>
          <w:tcPr>
            <w:tcW w:w="5596" w:type="dxa"/>
            <w:gridSpan w:val="2"/>
            <w:tcBorders>
              <w:top w:val="nil"/>
              <w:bottom w:val="nil"/>
            </w:tcBorders>
          </w:tcPr>
          <w:p>
            <w:pPr>
              <w:pStyle w:val="TableParagraph"/>
              <w:spacing w:line="231" w:lineRule="exact"/>
              <w:rPr>
                <w:b/>
                <w:sz w:val="22"/>
              </w:rPr>
            </w:pPr>
            <w:r>
              <w:rPr>
                <w:b/>
                <w:sz w:val="22"/>
              </w:rPr>
              <w:t>1 </w:t>
            </w:r>
            <w:r>
              <w:rPr>
                <w:b/>
                <w:spacing w:val="-5"/>
                <w:sz w:val="22"/>
              </w:rPr>
              <w:t>an</w:t>
            </w:r>
            <w:r>
              <w:rPr>
                <w:b/>
                <w:spacing w:val="-5"/>
                <w:sz w:val="22"/>
                <w:vertAlign w:val="superscript"/>
              </w:rPr>
              <w:t>1</w:t>
            </w:r>
          </w:p>
        </w:tc>
      </w:tr>
      <w:tr>
        <w:trPr>
          <w:trHeight w:val="458" w:hRule="atLeast"/>
        </w:trPr>
        <w:tc>
          <w:tcPr>
            <w:tcW w:w="4359" w:type="dxa"/>
            <w:tcBorders>
              <w:top w:val="nil"/>
              <w:bottom w:val="nil"/>
            </w:tcBorders>
          </w:tcPr>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6" w:type="dxa"/>
            <w:gridSpan w:val="2"/>
            <w:tcBorders>
              <w:top w:val="nil"/>
            </w:tcBorders>
          </w:tcPr>
          <w:p>
            <w:pPr>
              <w:pStyle w:val="TableParagraph"/>
              <w:spacing w:line="247" w:lineRule="exact"/>
              <w:rPr>
                <w:b/>
                <w:sz w:val="22"/>
              </w:rPr>
            </w:pPr>
            <w:r>
              <w:rPr>
                <w:rFonts w:ascii="Wingdings 2" w:hAnsi="Wingdings 2"/>
                <w:b/>
                <w:sz w:val="22"/>
              </w:rPr>
              <w:t></w:t>
            </w:r>
            <w:r>
              <w:rPr>
                <w:spacing w:val="-5"/>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509" w:type="dxa"/>
            <w:tcBorders>
              <w:right w:val="nil"/>
            </w:tcBorders>
          </w:tcPr>
          <w:p>
            <w:pPr>
              <w:pStyle w:val="TableParagraph"/>
              <w:tabs>
                <w:tab w:pos="523" w:val="left" w:leader="none"/>
              </w:tabs>
              <w:spacing w:before="145"/>
              <w:rPr>
                <w:b/>
                <w:sz w:val="22"/>
              </w:rPr>
            </w:pPr>
            <w:r>
              <w:rPr>
                <w:rFonts w:ascii="Wingdings 2" w:hAnsi="Wingdings 2"/>
                <w:b/>
                <w:spacing w:val="-10"/>
                <w:sz w:val="22"/>
              </w:rPr>
              <w:t></w:t>
            </w:r>
            <w:r>
              <w:rPr>
                <w:sz w:val="22"/>
              </w:rPr>
              <w:tab/>
            </w:r>
            <w:r>
              <w:rPr>
                <w:b/>
                <w:sz w:val="22"/>
              </w:rPr>
              <w:t>Avec</w:t>
            </w:r>
            <w:r>
              <w:rPr>
                <w:b/>
                <w:spacing w:val="-4"/>
                <w:sz w:val="22"/>
              </w:rPr>
              <w:t> </w:t>
            </w:r>
            <w:r>
              <w:rPr>
                <w:b/>
                <w:spacing w:val="-2"/>
                <w:sz w:val="22"/>
              </w:rPr>
              <w:t>indemnités</w:t>
            </w:r>
          </w:p>
        </w:tc>
        <w:tc>
          <w:tcPr>
            <w:tcW w:w="3087" w:type="dxa"/>
            <w:tcBorders>
              <w:left w:val="nil"/>
            </w:tcBorders>
          </w:tcPr>
          <w:p>
            <w:pPr>
              <w:pStyle w:val="TableParagraph"/>
              <w:numPr>
                <w:ilvl w:val="0"/>
                <w:numId w:val="1"/>
              </w:numPr>
              <w:tabs>
                <w:tab w:pos="918" w:val="left" w:leader="none"/>
                <w:tab w:pos="919" w:val="left" w:leader="none"/>
              </w:tabs>
              <w:spacing w:line="240" w:lineRule="auto" w:before="145" w:after="0"/>
              <w:ind w:left="919" w:right="0" w:hanging="473"/>
              <w:jc w:val="left"/>
              <w:rPr>
                <w:b/>
                <w:sz w:val="22"/>
              </w:rPr>
            </w:pPr>
            <w:r>
              <w:rPr>
                <w:b/>
                <w:sz w:val="22"/>
              </w:rPr>
              <w:t>Sans</w:t>
            </w:r>
            <w:r>
              <w:rPr>
                <w:b/>
                <w:spacing w:val="-5"/>
                <w:sz w:val="22"/>
              </w:rPr>
              <w:t> </w:t>
            </w:r>
            <w:r>
              <w:rPr>
                <w:b/>
                <w:spacing w:val="-2"/>
                <w:sz w:val="22"/>
              </w:rPr>
              <w:t>frais</w:t>
            </w:r>
          </w:p>
        </w:tc>
      </w:tr>
      <w:tr>
        <w:trPr>
          <w:trHeight w:val="2113" w:hRule="atLeast"/>
        </w:trPr>
        <w:tc>
          <w:tcPr>
            <w:tcW w:w="9955" w:type="dxa"/>
            <w:gridSpan w:val="3"/>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4"/>
        <w:rPr>
          <w:b/>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7"/>
        <w:rPr>
          <w:b/>
          <w:sz w:val="15"/>
        </w:rPr>
      </w:pPr>
    </w:p>
    <w:p>
      <w:pPr>
        <w:pStyle w:val="BodyText"/>
        <w:spacing w:before="92"/>
        <w:ind w:left="559" w:right="107"/>
        <w:jc w:val="both"/>
      </w:pPr>
      <w:r>
        <w:rPr/>
        <w:t>L'Expert National Détaché collaborera activement aux</w:t>
      </w:r>
      <w:r>
        <w:rPr>
          <w:spacing w:val="-2"/>
        </w:rPr>
        <w:t> </w:t>
      </w:r>
      <w:r>
        <w:rPr/>
        <w:t>tâches de l'unité qui consistent à concevoir, développer, préparer, mettre en œuvre et contrôler les politiques et les activités dans le domaine de la politique des droits des passagers dans tous les modes de transport, ainsi qu'à coordonner au sein de la DG MOVE les aspects sociaux de la politique des transports de l'UE et l'égalité des chances.</w:t>
      </w:r>
    </w:p>
    <w:p>
      <w:pPr>
        <w:pStyle w:val="BodyText"/>
      </w:pPr>
    </w:p>
    <w:p>
      <w:pPr>
        <w:pStyle w:val="BodyText"/>
        <w:ind w:left="559"/>
        <w:jc w:val="both"/>
      </w:pPr>
      <w:r>
        <w:rPr/>
        <w:t>Les</w:t>
      </w:r>
      <w:r>
        <w:rPr>
          <w:spacing w:val="-4"/>
        </w:rPr>
        <w:t> </w:t>
      </w:r>
      <w:r>
        <w:rPr/>
        <w:t>principales</w:t>
      </w:r>
      <w:r>
        <w:rPr>
          <w:spacing w:val="-3"/>
        </w:rPr>
        <w:t> </w:t>
      </w:r>
      <w:r>
        <w:rPr/>
        <w:t>tâches</w:t>
      </w:r>
      <w:r>
        <w:rPr>
          <w:spacing w:val="-3"/>
        </w:rPr>
        <w:t> </w:t>
      </w:r>
      <w:r>
        <w:rPr/>
        <w:t>seront</w:t>
      </w:r>
      <w:r>
        <w:rPr>
          <w:spacing w:val="-2"/>
        </w:rPr>
        <w:t> </w:t>
      </w:r>
      <w:r>
        <w:rPr/>
        <w:t>liées</w:t>
      </w:r>
      <w:r>
        <w:rPr>
          <w:spacing w:val="-3"/>
        </w:rPr>
        <w:t> </w:t>
      </w:r>
      <w:r>
        <w:rPr/>
        <w:t>à</w:t>
      </w:r>
      <w:r>
        <w:rPr>
          <w:spacing w:val="-5"/>
        </w:rPr>
        <w:t> </w:t>
      </w:r>
      <w:r>
        <w:rPr/>
        <w:t>la</w:t>
      </w:r>
      <w:r>
        <w:rPr>
          <w:spacing w:val="-3"/>
        </w:rPr>
        <w:t> </w:t>
      </w:r>
      <w:r>
        <w:rPr/>
        <w:t>politique</w:t>
      </w:r>
      <w:r>
        <w:rPr>
          <w:spacing w:val="-5"/>
        </w:rPr>
        <w:t> </w:t>
      </w:r>
      <w:r>
        <w:rPr/>
        <w:t>des</w:t>
      </w:r>
      <w:r>
        <w:rPr>
          <w:spacing w:val="-3"/>
        </w:rPr>
        <w:t> </w:t>
      </w:r>
      <w:r>
        <w:rPr/>
        <w:t>droits</w:t>
      </w:r>
      <w:r>
        <w:rPr>
          <w:spacing w:val="-3"/>
        </w:rPr>
        <w:t> </w:t>
      </w:r>
      <w:r>
        <w:rPr/>
        <w:t>des</w:t>
      </w:r>
      <w:r>
        <w:rPr>
          <w:spacing w:val="-5"/>
        </w:rPr>
        <w:t> </w:t>
      </w:r>
      <w:r>
        <w:rPr/>
        <w:t>passagers</w:t>
      </w:r>
      <w:r>
        <w:rPr>
          <w:spacing w:val="-5"/>
        </w:rPr>
        <w:t> </w:t>
      </w:r>
      <w:r>
        <w:rPr>
          <w:spacing w:val="-10"/>
        </w:rPr>
        <w:t>:</w:t>
      </w:r>
    </w:p>
    <w:p>
      <w:pPr>
        <w:pStyle w:val="BodyText"/>
      </w:pPr>
    </w:p>
    <w:p>
      <w:pPr>
        <w:pStyle w:val="ListParagraph"/>
        <w:numPr>
          <w:ilvl w:val="1"/>
          <w:numId w:val="3"/>
        </w:numPr>
        <w:tabs>
          <w:tab w:pos="840" w:val="left" w:leader="none"/>
          <w:tab w:pos="841" w:val="left" w:leader="none"/>
        </w:tabs>
        <w:spacing w:line="240" w:lineRule="auto" w:before="0" w:after="0"/>
        <w:ind w:left="840" w:right="106" w:hanging="281"/>
        <w:jc w:val="left"/>
        <w:rPr>
          <w:sz w:val="22"/>
        </w:rPr>
      </w:pPr>
      <w:r>
        <w:rPr>
          <w:sz w:val="22"/>
        </w:rPr>
        <w:t>Contribuer</w:t>
      </w:r>
      <w:r>
        <w:rPr>
          <w:spacing w:val="75"/>
          <w:sz w:val="22"/>
        </w:rPr>
        <w:t> </w:t>
      </w:r>
      <w:r>
        <w:rPr>
          <w:sz w:val="22"/>
        </w:rPr>
        <w:t>aux</w:t>
      </w:r>
      <w:r>
        <w:rPr>
          <w:spacing w:val="72"/>
          <w:sz w:val="22"/>
        </w:rPr>
        <w:t> </w:t>
      </w:r>
      <w:r>
        <w:rPr>
          <w:sz w:val="22"/>
        </w:rPr>
        <w:t>analyses</w:t>
      </w:r>
      <w:r>
        <w:rPr>
          <w:spacing w:val="72"/>
          <w:sz w:val="22"/>
        </w:rPr>
        <w:t> </w:t>
      </w:r>
      <w:r>
        <w:rPr>
          <w:sz w:val="22"/>
        </w:rPr>
        <w:t>d'impact,</w:t>
      </w:r>
      <w:r>
        <w:rPr>
          <w:spacing w:val="74"/>
          <w:sz w:val="22"/>
        </w:rPr>
        <w:t> </w:t>
      </w:r>
      <w:r>
        <w:rPr>
          <w:sz w:val="22"/>
        </w:rPr>
        <w:t>à</w:t>
      </w:r>
      <w:r>
        <w:rPr>
          <w:spacing w:val="75"/>
          <w:sz w:val="22"/>
        </w:rPr>
        <w:t> </w:t>
      </w:r>
      <w:r>
        <w:rPr>
          <w:sz w:val="22"/>
        </w:rPr>
        <w:t>la</w:t>
      </w:r>
      <w:r>
        <w:rPr>
          <w:spacing w:val="72"/>
          <w:sz w:val="22"/>
        </w:rPr>
        <w:t> </w:t>
      </w:r>
      <w:r>
        <w:rPr>
          <w:sz w:val="22"/>
        </w:rPr>
        <w:t>conception</w:t>
      </w:r>
      <w:r>
        <w:rPr>
          <w:spacing w:val="72"/>
          <w:sz w:val="22"/>
        </w:rPr>
        <w:t> </w:t>
      </w:r>
      <w:r>
        <w:rPr>
          <w:sz w:val="22"/>
        </w:rPr>
        <w:t>de</w:t>
      </w:r>
      <w:r>
        <w:rPr>
          <w:spacing w:val="75"/>
          <w:sz w:val="22"/>
        </w:rPr>
        <w:t> </w:t>
      </w:r>
      <w:r>
        <w:rPr>
          <w:sz w:val="22"/>
        </w:rPr>
        <w:t>politiques</w:t>
      </w:r>
      <w:r>
        <w:rPr>
          <w:spacing w:val="75"/>
          <w:sz w:val="22"/>
        </w:rPr>
        <w:t> </w:t>
      </w:r>
      <w:r>
        <w:rPr>
          <w:sz w:val="22"/>
        </w:rPr>
        <w:t>et</w:t>
      </w:r>
      <w:r>
        <w:rPr>
          <w:spacing w:val="75"/>
          <w:sz w:val="22"/>
        </w:rPr>
        <w:t> </w:t>
      </w:r>
      <w:r>
        <w:rPr>
          <w:sz w:val="22"/>
        </w:rPr>
        <w:t>à</w:t>
      </w:r>
      <w:r>
        <w:rPr>
          <w:spacing w:val="75"/>
          <w:sz w:val="22"/>
        </w:rPr>
        <w:t> </w:t>
      </w:r>
      <w:r>
        <w:rPr>
          <w:sz w:val="22"/>
        </w:rPr>
        <w:t>la</w:t>
      </w:r>
      <w:r>
        <w:rPr>
          <w:spacing w:val="75"/>
          <w:sz w:val="22"/>
        </w:rPr>
        <w:t> </w:t>
      </w:r>
      <w:r>
        <w:rPr>
          <w:sz w:val="22"/>
        </w:rPr>
        <w:t>rédaction</w:t>
      </w:r>
      <w:r>
        <w:rPr>
          <w:spacing w:val="74"/>
          <w:sz w:val="22"/>
        </w:rPr>
        <w:t> </w:t>
      </w:r>
      <w:r>
        <w:rPr>
          <w:sz w:val="22"/>
        </w:rPr>
        <w:t>de</w:t>
      </w:r>
      <w:r>
        <w:rPr>
          <w:spacing w:val="75"/>
          <w:sz w:val="22"/>
        </w:rPr>
        <w:t> </w:t>
      </w:r>
      <w:r>
        <w:rPr>
          <w:sz w:val="22"/>
        </w:rPr>
        <w:t>propositions législatives, d'orientations et de communications dans le domaine des droits des passagers (voir notamment les</w:t>
      </w:r>
      <w:r>
        <w:rPr>
          <w:spacing w:val="38"/>
          <w:sz w:val="22"/>
        </w:rPr>
        <w:t>  </w:t>
      </w:r>
      <w:r>
        <w:rPr>
          <w:sz w:val="22"/>
        </w:rPr>
        <w:t>actions</w:t>
      </w:r>
      <w:r>
        <w:rPr>
          <w:spacing w:val="38"/>
          <w:sz w:val="22"/>
        </w:rPr>
        <w:t>  </w:t>
      </w:r>
      <w:r>
        <w:rPr>
          <w:sz w:val="22"/>
        </w:rPr>
        <w:t>63</w:t>
      </w:r>
      <w:r>
        <w:rPr>
          <w:spacing w:val="38"/>
          <w:sz w:val="22"/>
        </w:rPr>
        <w:t>  </w:t>
      </w:r>
      <w:r>
        <w:rPr>
          <w:sz w:val="22"/>
        </w:rPr>
        <w:t>et</w:t>
      </w:r>
      <w:r>
        <w:rPr>
          <w:spacing w:val="38"/>
          <w:sz w:val="22"/>
        </w:rPr>
        <w:t>  </w:t>
      </w:r>
      <w:r>
        <w:rPr>
          <w:sz w:val="22"/>
        </w:rPr>
        <w:t>64</w:t>
      </w:r>
      <w:r>
        <w:rPr>
          <w:spacing w:val="38"/>
          <w:sz w:val="22"/>
        </w:rPr>
        <w:t>  </w:t>
      </w:r>
      <w:r>
        <w:rPr>
          <w:sz w:val="22"/>
        </w:rPr>
        <w:t>du</w:t>
      </w:r>
      <w:r>
        <w:rPr>
          <w:spacing w:val="39"/>
          <w:sz w:val="22"/>
        </w:rPr>
        <w:t>  </w:t>
      </w:r>
      <w:r>
        <w:rPr>
          <w:sz w:val="22"/>
        </w:rPr>
        <w:t>plan</w:t>
      </w:r>
      <w:r>
        <w:rPr>
          <w:spacing w:val="37"/>
          <w:sz w:val="22"/>
        </w:rPr>
        <w:t>  </w:t>
      </w:r>
      <w:r>
        <w:rPr>
          <w:sz w:val="22"/>
        </w:rPr>
        <w:t>d'action</w:t>
      </w:r>
      <w:r>
        <w:rPr>
          <w:spacing w:val="38"/>
          <w:sz w:val="22"/>
        </w:rPr>
        <w:t>  </w:t>
      </w:r>
      <w:r>
        <w:rPr>
          <w:sz w:val="22"/>
        </w:rPr>
        <w:t>de</w:t>
      </w:r>
      <w:r>
        <w:rPr>
          <w:spacing w:val="38"/>
          <w:sz w:val="22"/>
        </w:rPr>
        <w:t>  </w:t>
      </w:r>
      <w:r>
        <w:rPr>
          <w:sz w:val="22"/>
        </w:rPr>
        <w:t>la</w:t>
      </w:r>
      <w:r>
        <w:rPr>
          <w:spacing w:val="38"/>
          <w:sz w:val="22"/>
        </w:rPr>
        <w:t>  </w:t>
      </w:r>
      <w:r>
        <w:rPr>
          <w:sz w:val="22"/>
        </w:rPr>
        <w:t>stratégie</w:t>
      </w:r>
      <w:r>
        <w:rPr>
          <w:spacing w:val="38"/>
          <w:sz w:val="22"/>
        </w:rPr>
        <w:t>  </w:t>
      </w:r>
      <w:r>
        <w:rPr>
          <w:sz w:val="22"/>
        </w:rPr>
        <w:t>de</w:t>
      </w:r>
      <w:r>
        <w:rPr>
          <w:spacing w:val="38"/>
          <w:sz w:val="22"/>
        </w:rPr>
        <w:t>  </w:t>
      </w:r>
      <w:r>
        <w:rPr>
          <w:sz w:val="22"/>
        </w:rPr>
        <w:t>mobilité</w:t>
      </w:r>
      <w:r>
        <w:rPr>
          <w:spacing w:val="38"/>
          <w:sz w:val="22"/>
        </w:rPr>
        <w:t>  </w:t>
      </w:r>
      <w:r>
        <w:rPr>
          <w:sz w:val="22"/>
        </w:rPr>
        <w:t>durable</w:t>
      </w:r>
      <w:r>
        <w:rPr>
          <w:spacing w:val="38"/>
          <w:sz w:val="22"/>
        </w:rPr>
        <w:t>  </w:t>
      </w:r>
      <w:r>
        <w:rPr>
          <w:sz w:val="22"/>
        </w:rPr>
        <w:t>et</w:t>
      </w:r>
      <w:r>
        <w:rPr>
          <w:spacing w:val="38"/>
          <w:sz w:val="22"/>
        </w:rPr>
        <w:t>  </w:t>
      </w:r>
      <w:r>
        <w:rPr>
          <w:sz w:val="22"/>
        </w:rPr>
        <w:t>intelligente, </w:t>
      </w:r>
      <w:hyperlink r:id="rId8">
        <w:r>
          <w:rPr>
            <w:color w:val="0000FF"/>
            <w:spacing w:val="-2"/>
            <w:sz w:val="22"/>
            <w:u w:val="single" w:color="0000FF"/>
          </w:rPr>
          <w:t>https://ec.europa.eu/info/law/better-regulation/have-your-say/initiatives/13290-Voyages-amelioration-de-</w:t>
        </w:r>
      </w:hyperlink>
      <w:r>
        <w:rPr>
          <w:color w:val="0000FF"/>
          <w:spacing w:val="80"/>
          <w:sz w:val="22"/>
        </w:rPr>
        <w:t>  </w:t>
      </w:r>
      <w:hyperlink r:id="rId8">
        <w:r>
          <w:rPr>
            <w:color w:val="0000FF"/>
            <w:sz w:val="22"/>
            <w:u w:val="single" w:color="0000FF"/>
          </w:rPr>
          <w:t>la-protection-des-passagers-et-de-leurs-droits_fr</w:t>
        </w:r>
      </w:hyperlink>
      <w:r>
        <w:rPr>
          <w:color w:val="0000FF"/>
          <w:sz w:val="22"/>
        </w:rPr>
        <w:t> </w:t>
      </w:r>
      <w:r>
        <w:rPr>
          <w:sz w:val="22"/>
        </w:rPr>
        <w:t>).</w:t>
      </w:r>
    </w:p>
    <w:p>
      <w:pPr>
        <w:pStyle w:val="ListParagraph"/>
        <w:numPr>
          <w:ilvl w:val="1"/>
          <w:numId w:val="3"/>
        </w:numPr>
        <w:tabs>
          <w:tab w:pos="840" w:val="left" w:leader="none"/>
          <w:tab w:pos="841" w:val="left" w:leader="none"/>
        </w:tabs>
        <w:spacing w:line="240" w:lineRule="auto" w:before="0" w:after="0"/>
        <w:ind w:left="840" w:right="112" w:hanging="281"/>
        <w:jc w:val="left"/>
        <w:rPr>
          <w:sz w:val="22"/>
        </w:rPr>
      </w:pPr>
      <w:r>
        <w:rPr>
          <w:sz w:val="22"/>
        </w:rPr>
        <w:t>Contribuer</w:t>
      </w:r>
      <w:r>
        <w:rPr>
          <w:spacing w:val="26"/>
          <w:sz w:val="22"/>
        </w:rPr>
        <w:t> </w:t>
      </w:r>
      <w:r>
        <w:rPr>
          <w:sz w:val="22"/>
        </w:rPr>
        <w:t>au suivi</w:t>
      </w:r>
      <w:r>
        <w:rPr>
          <w:spacing w:val="26"/>
          <w:sz w:val="22"/>
        </w:rPr>
        <w:t> </w:t>
      </w:r>
      <w:r>
        <w:rPr>
          <w:sz w:val="22"/>
        </w:rPr>
        <w:t>des discussions</w:t>
      </w:r>
      <w:r>
        <w:rPr>
          <w:spacing w:val="26"/>
          <w:sz w:val="22"/>
        </w:rPr>
        <w:t> </w:t>
      </w:r>
      <w:r>
        <w:rPr>
          <w:sz w:val="22"/>
        </w:rPr>
        <w:t>interinstitutionnelles</w:t>
      </w:r>
      <w:r>
        <w:rPr>
          <w:spacing w:val="26"/>
          <w:sz w:val="22"/>
        </w:rPr>
        <w:t> </w:t>
      </w:r>
      <w:r>
        <w:rPr>
          <w:sz w:val="22"/>
        </w:rPr>
        <w:t>sur les évolutions réglementaires</w:t>
      </w:r>
      <w:r>
        <w:rPr>
          <w:spacing w:val="26"/>
          <w:sz w:val="22"/>
        </w:rPr>
        <w:t> </w:t>
      </w:r>
      <w:r>
        <w:rPr>
          <w:sz w:val="22"/>
        </w:rPr>
        <w:t>en</w:t>
      </w:r>
      <w:r>
        <w:rPr>
          <w:spacing w:val="25"/>
          <w:sz w:val="22"/>
        </w:rPr>
        <w:t> </w:t>
      </w:r>
      <w:r>
        <w:rPr>
          <w:sz w:val="22"/>
        </w:rPr>
        <w:t>matière</w:t>
      </w:r>
      <w:r>
        <w:rPr>
          <w:spacing w:val="26"/>
          <w:sz w:val="22"/>
        </w:rPr>
        <w:t> </w:t>
      </w:r>
      <w:r>
        <w:rPr>
          <w:sz w:val="22"/>
        </w:rPr>
        <w:t>de droits des passagers.</w:t>
      </w:r>
    </w:p>
    <w:p>
      <w:pPr>
        <w:pStyle w:val="ListParagraph"/>
        <w:numPr>
          <w:ilvl w:val="1"/>
          <w:numId w:val="3"/>
        </w:numPr>
        <w:tabs>
          <w:tab w:pos="841" w:val="left" w:leader="none"/>
        </w:tabs>
        <w:spacing w:line="240" w:lineRule="auto" w:before="0" w:after="0"/>
        <w:ind w:left="840" w:right="106" w:hanging="281"/>
        <w:jc w:val="both"/>
        <w:rPr>
          <w:sz w:val="22"/>
        </w:rPr>
      </w:pPr>
      <w:r>
        <w:rPr>
          <w:sz w:val="22"/>
        </w:rPr>
        <w:t>Rédiger des briefings, des documents d'information, des documents de travail des services et des communications de la Commission, des réponses à la correspondance et aux questions parlementaires, des pétitions, des demandes du Médiateur, des contributions aux consultations interservices (consultations d'autres directions générales et services pour lesquelles la DG MOVE est consultée).</w:t>
      </w:r>
    </w:p>
    <w:p>
      <w:pPr>
        <w:pStyle w:val="ListParagraph"/>
        <w:numPr>
          <w:ilvl w:val="1"/>
          <w:numId w:val="3"/>
        </w:numPr>
        <w:tabs>
          <w:tab w:pos="841" w:val="left" w:leader="none"/>
        </w:tabs>
        <w:spacing w:line="252" w:lineRule="exact" w:before="0" w:after="0"/>
        <w:ind w:left="840" w:right="0" w:hanging="282"/>
        <w:jc w:val="both"/>
        <w:rPr>
          <w:sz w:val="22"/>
        </w:rPr>
      </w:pPr>
      <w:r>
        <w:rPr>
          <w:sz w:val="22"/>
        </w:rPr>
        <w:t>Aider</w:t>
      </w:r>
      <w:r>
        <w:rPr>
          <w:spacing w:val="-8"/>
          <w:sz w:val="22"/>
        </w:rPr>
        <w:t> </w:t>
      </w:r>
      <w:r>
        <w:rPr>
          <w:sz w:val="22"/>
        </w:rPr>
        <w:t>à</w:t>
      </w:r>
      <w:r>
        <w:rPr>
          <w:spacing w:val="-3"/>
          <w:sz w:val="22"/>
        </w:rPr>
        <w:t> </w:t>
      </w:r>
      <w:r>
        <w:rPr>
          <w:sz w:val="22"/>
        </w:rPr>
        <w:t>répondre</w:t>
      </w:r>
      <w:r>
        <w:rPr>
          <w:spacing w:val="-3"/>
          <w:sz w:val="22"/>
        </w:rPr>
        <w:t> </w:t>
      </w:r>
      <w:r>
        <w:rPr>
          <w:sz w:val="22"/>
        </w:rPr>
        <w:t>aux</w:t>
      </w:r>
      <w:r>
        <w:rPr>
          <w:spacing w:val="-4"/>
          <w:sz w:val="22"/>
        </w:rPr>
        <w:t> </w:t>
      </w:r>
      <w:r>
        <w:rPr>
          <w:sz w:val="22"/>
        </w:rPr>
        <w:t>questions</w:t>
      </w:r>
      <w:r>
        <w:rPr>
          <w:spacing w:val="-3"/>
          <w:sz w:val="22"/>
        </w:rPr>
        <w:t> </w:t>
      </w:r>
      <w:r>
        <w:rPr>
          <w:sz w:val="22"/>
        </w:rPr>
        <w:t>des</w:t>
      </w:r>
      <w:r>
        <w:rPr>
          <w:spacing w:val="-3"/>
          <w:sz w:val="22"/>
        </w:rPr>
        <w:t> </w:t>
      </w:r>
      <w:r>
        <w:rPr>
          <w:sz w:val="22"/>
        </w:rPr>
        <w:t>organismes</w:t>
      </w:r>
      <w:r>
        <w:rPr>
          <w:spacing w:val="-4"/>
          <w:sz w:val="22"/>
        </w:rPr>
        <w:t> </w:t>
      </w:r>
      <w:r>
        <w:rPr>
          <w:sz w:val="22"/>
        </w:rPr>
        <w:t>nationaux</w:t>
      </w:r>
      <w:r>
        <w:rPr>
          <w:spacing w:val="-3"/>
          <w:sz w:val="22"/>
        </w:rPr>
        <w:t> </w:t>
      </w:r>
      <w:r>
        <w:rPr>
          <w:sz w:val="22"/>
        </w:rPr>
        <w:t>chargés</w:t>
      </w:r>
      <w:r>
        <w:rPr>
          <w:spacing w:val="-3"/>
          <w:sz w:val="22"/>
        </w:rPr>
        <w:t> </w:t>
      </w:r>
      <w:r>
        <w:rPr>
          <w:sz w:val="22"/>
        </w:rPr>
        <w:t>de</w:t>
      </w:r>
      <w:r>
        <w:rPr>
          <w:spacing w:val="-5"/>
          <w:sz w:val="22"/>
        </w:rPr>
        <w:t> </w:t>
      </w:r>
      <w:r>
        <w:rPr>
          <w:sz w:val="22"/>
        </w:rPr>
        <w:t>l'application</w:t>
      </w:r>
      <w:r>
        <w:rPr>
          <w:spacing w:val="-7"/>
          <w:sz w:val="22"/>
        </w:rPr>
        <w:t> </w:t>
      </w:r>
      <w:r>
        <w:rPr>
          <w:sz w:val="22"/>
        </w:rPr>
        <w:t>des</w:t>
      </w:r>
      <w:r>
        <w:rPr>
          <w:spacing w:val="-3"/>
          <w:sz w:val="22"/>
        </w:rPr>
        <w:t> </w:t>
      </w:r>
      <w:r>
        <w:rPr>
          <w:sz w:val="22"/>
        </w:rPr>
        <w:t>droits</w:t>
      </w:r>
      <w:r>
        <w:rPr>
          <w:spacing w:val="-3"/>
          <w:sz w:val="22"/>
        </w:rPr>
        <w:t> </w:t>
      </w:r>
      <w:r>
        <w:rPr>
          <w:sz w:val="22"/>
        </w:rPr>
        <w:t>des</w:t>
      </w:r>
      <w:r>
        <w:rPr>
          <w:spacing w:val="-3"/>
          <w:sz w:val="22"/>
        </w:rPr>
        <w:t> </w:t>
      </w:r>
      <w:r>
        <w:rPr>
          <w:spacing w:val="-2"/>
          <w:sz w:val="22"/>
        </w:rPr>
        <w:t>passagers.</w:t>
      </w:r>
    </w:p>
    <w:p>
      <w:pPr>
        <w:pStyle w:val="ListParagraph"/>
        <w:numPr>
          <w:ilvl w:val="1"/>
          <w:numId w:val="3"/>
        </w:numPr>
        <w:tabs>
          <w:tab w:pos="841" w:val="left" w:leader="none"/>
        </w:tabs>
        <w:spacing w:line="252" w:lineRule="exact" w:before="0" w:after="0"/>
        <w:ind w:left="840" w:right="0" w:hanging="282"/>
        <w:jc w:val="both"/>
        <w:rPr>
          <w:sz w:val="22"/>
        </w:rPr>
      </w:pPr>
      <w:r>
        <w:rPr>
          <w:sz w:val="22"/>
        </w:rPr>
        <w:t>Aider</w:t>
      </w:r>
      <w:r>
        <w:rPr>
          <w:spacing w:val="-5"/>
          <w:sz w:val="22"/>
        </w:rPr>
        <w:t> </w:t>
      </w:r>
      <w:r>
        <w:rPr>
          <w:sz w:val="22"/>
        </w:rPr>
        <w:t>à</w:t>
      </w:r>
      <w:r>
        <w:rPr>
          <w:spacing w:val="-3"/>
          <w:sz w:val="22"/>
        </w:rPr>
        <w:t> </w:t>
      </w:r>
      <w:r>
        <w:rPr>
          <w:sz w:val="22"/>
        </w:rPr>
        <w:t>évaluer</w:t>
      </w:r>
      <w:r>
        <w:rPr>
          <w:spacing w:val="-5"/>
          <w:sz w:val="22"/>
        </w:rPr>
        <w:t> </w:t>
      </w:r>
      <w:r>
        <w:rPr>
          <w:sz w:val="22"/>
        </w:rPr>
        <w:t>les</w:t>
      </w:r>
      <w:r>
        <w:rPr>
          <w:spacing w:val="-5"/>
          <w:sz w:val="22"/>
        </w:rPr>
        <w:t> </w:t>
      </w:r>
      <w:r>
        <w:rPr>
          <w:sz w:val="22"/>
        </w:rPr>
        <w:t>rapports</w:t>
      </w:r>
      <w:r>
        <w:rPr>
          <w:spacing w:val="-2"/>
          <w:sz w:val="22"/>
        </w:rPr>
        <w:t> </w:t>
      </w:r>
      <w:r>
        <w:rPr>
          <w:sz w:val="22"/>
        </w:rPr>
        <w:t>annuels</w:t>
      </w:r>
      <w:r>
        <w:rPr>
          <w:spacing w:val="-3"/>
          <w:sz w:val="22"/>
        </w:rPr>
        <w:t> </w:t>
      </w:r>
      <w:r>
        <w:rPr>
          <w:sz w:val="22"/>
        </w:rPr>
        <w:t>des</w:t>
      </w:r>
      <w:r>
        <w:rPr>
          <w:spacing w:val="-3"/>
          <w:sz w:val="22"/>
        </w:rPr>
        <w:t> </w:t>
      </w:r>
      <w:r>
        <w:rPr>
          <w:sz w:val="22"/>
        </w:rPr>
        <w:t>organismes</w:t>
      </w:r>
      <w:r>
        <w:rPr>
          <w:spacing w:val="-3"/>
          <w:sz w:val="22"/>
        </w:rPr>
        <w:t> </w:t>
      </w:r>
      <w:r>
        <w:rPr>
          <w:sz w:val="22"/>
        </w:rPr>
        <w:t>nationaux</w:t>
      </w:r>
      <w:r>
        <w:rPr>
          <w:spacing w:val="-5"/>
          <w:sz w:val="22"/>
        </w:rPr>
        <w:t> </w:t>
      </w:r>
      <w:r>
        <w:rPr>
          <w:sz w:val="22"/>
        </w:rPr>
        <w:t>de</w:t>
      </w:r>
      <w:r>
        <w:rPr>
          <w:spacing w:val="-2"/>
          <w:sz w:val="22"/>
        </w:rPr>
        <w:t> contrôle.</w:t>
      </w:r>
    </w:p>
    <w:p>
      <w:pPr>
        <w:pStyle w:val="ListParagraph"/>
        <w:numPr>
          <w:ilvl w:val="1"/>
          <w:numId w:val="3"/>
        </w:numPr>
        <w:tabs>
          <w:tab w:pos="841" w:val="left" w:leader="none"/>
        </w:tabs>
        <w:spacing w:line="240" w:lineRule="auto" w:before="1" w:after="0"/>
        <w:ind w:left="840" w:right="115" w:hanging="281"/>
        <w:jc w:val="both"/>
        <w:rPr>
          <w:sz w:val="22"/>
        </w:rPr>
      </w:pPr>
      <w:r>
        <w:rPr>
          <w:sz w:val="22"/>
        </w:rPr>
        <w:t>Aider à traiter les plaintes, vérifier la conformité avec le droit communautaire et la transposition du droit communautaire dans la législation des États membres.</w:t>
      </w:r>
    </w:p>
    <w:p>
      <w:pPr>
        <w:pStyle w:val="BodyText"/>
        <w:rPr>
          <w:sz w:val="20"/>
        </w:rPr>
      </w:pPr>
    </w:p>
    <w:p>
      <w:pPr>
        <w:pStyle w:val="BodyText"/>
        <w:rPr>
          <w:sz w:val="20"/>
        </w:rPr>
      </w:pPr>
    </w:p>
    <w:p>
      <w:pPr>
        <w:pStyle w:val="BodyText"/>
        <w:rPr>
          <w:sz w:val="15"/>
        </w:rPr>
      </w:pPr>
      <w:r>
        <w:rPr/>
        <w:pict>
          <v:rect style="position:absolute;margin-left:42.599998pt;margin-top:9.868572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1"/>
          <w:numId w:val="3"/>
        </w:numPr>
        <w:tabs>
          <w:tab w:pos="841" w:val="left" w:leader="none"/>
        </w:tabs>
        <w:spacing w:line="240" w:lineRule="auto" w:before="68" w:after="0"/>
        <w:ind w:left="840" w:right="109" w:hanging="281"/>
        <w:jc w:val="both"/>
        <w:rPr>
          <w:sz w:val="22"/>
        </w:rPr>
      </w:pPr>
      <w:r>
        <w:rPr>
          <w:sz w:val="22"/>
        </w:rPr>
        <w:t>Aider</w:t>
      </w:r>
      <w:r>
        <w:rPr>
          <w:spacing w:val="-1"/>
          <w:sz w:val="22"/>
        </w:rPr>
        <w:t> </w:t>
      </w:r>
      <w:r>
        <w:rPr>
          <w:sz w:val="22"/>
        </w:rPr>
        <w:t>à l'organisation de</w:t>
      </w:r>
      <w:r>
        <w:rPr>
          <w:spacing w:val="-2"/>
          <w:sz w:val="22"/>
        </w:rPr>
        <w:t> </w:t>
      </w:r>
      <w:r>
        <w:rPr>
          <w:sz w:val="22"/>
        </w:rPr>
        <w:t>réunions, par exemple les</w:t>
      </w:r>
      <w:r>
        <w:rPr>
          <w:spacing w:val="-2"/>
          <w:sz w:val="22"/>
        </w:rPr>
        <w:t> </w:t>
      </w:r>
      <w:r>
        <w:rPr>
          <w:sz w:val="22"/>
        </w:rPr>
        <w:t>réunions</w:t>
      </w:r>
      <w:r>
        <w:rPr>
          <w:spacing w:val="-2"/>
          <w:sz w:val="22"/>
        </w:rPr>
        <w:t> </w:t>
      </w:r>
      <w:r>
        <w:rPr>
          <w:sz w:val="22"/>
        </w:rPr>
        <w:t>avec les organismes nationaux</w:t>
      </w:r>
      <w:r>
        <w:rPr>
          <w:spacing w:val="-2"/>
          <w:sz w:val="22"/>
        </w:rPr>
        <w:t> </w:t>
      </w:r>
      <w:r>
        <w:rPr>
          <w:sz w:val="22"/>
        </w:rPr>
        <w:t>chargés de</w:t>
      </w:r>
      <w:r>
        <w:rPr>
          <w:spacing w:val="-2"/>
          <w:sz w:val="22"/>
        </w:rPr>
        <w:t> </w:t>
      </w:r>
      <w:r>
        <w:rPr>
          <w:sz w:val="22"/>
        </w:rPr>
        <w:t>faire appliquer la législation (groupe d'experts informel sur les droits des passagers E02681), d'événements et d'activités de communication.</w:t>
      </w:r>
    </w:p>
    <w:p>
      <w:pPr>
        <w:pStyle w:val="ListParagraph"/>
        <w:numPr>
          <w:ilvl w:val="1"/>
          <w:numId w:val="3"/>
        </w:numPr>
        <w:tabs>
          <w:tab w:pos="841" w:val="left" w:leader="none"/>
        </w:tabs>
        <w:spacing w:line="240" w:lineRule="auto" w:before="2" w:after="0"/>
        <w:ind w:left="840" w:right="107" w:hanging="281"/>
        <w:jc w:val="both"/>
        <w:rPr>
          <w:sz w:val="22"/>
        </w:rPr>
      </w:pPr>
      <w:r>
        <w:rPr>
          <w:sz w:val="22"/>
        </w:rPr>
        <w:t>Contribuer à la gestion et au suivi des projets et études sur les droits des passagers, y compris une nouvelle enquête Eurobaromètre sur les droits des passagers.</w:t>
      </w:r>
    </w:p>
    <w:p>
      <w:pPr>
        <w:pStyle w:val="BodyText"/>
        <w:rPr>
          <w:sz w:val="24"/>
        </w:rPr>
      </w:pPr>
    </w:p>
    <w:p>
      <w:pPr>
        <w:pStyle w:val="BodyText"/>
        <w:spacing w:before="4"/>
        <w:rPr>
          <w:sz w:val="20"/>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4"/>
        </w:numPr>
        <w:tabs>
          <w:tab w:pos="800" w:val="left" w:leader="none"/>
        </w:tabs>
        <w:spacing w:line="240" w:lineRule="auto" w:before="91" w:after="0"/>
        <w:ind w:left="799" w:right="0" w:hanging="241"/>
        <w:jc w:val="left"/>
      </w:pPr>
      <w:r>
        <w:rPr/>
        <w:t>Critères</w:t>
      </w:r>
      <w:r>
        <w:rPr>
          <w:spacing w:val="-6"/>
        </w:rPr>
        <w:t> </w:t>
      </w:r>
      <w:r>
        <w:rPr>
          <w:spacing w:val="-2"/>
        </w:rPr>
        <w:t>d'éligibilité</w:t>
      </w:r>
    </w:p>
    <w:p>
      <w:pPr>
        <w:pStyle w:val="BodyText"/>
        <w:spacing w:before="7"/>
        <w:rPr>
          <w:b/>
          <w:sz w:val="21"/>
        </w:rPr>
      </w:pPr>
    </w:p>
    <w:p>
      <w:pPr>
        <w:pStyle w:val="BodyText"/>
        <w:spacing w:before="1"/>
        <w:ind w:left="559" w:right="106"/>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pPr>
    </w:p>
    <w:p>
      <w:pPr>
        <w:pStyle w:val="ListParagraph"/>
        <w:numPr>
          <w:ilvl w:val="0"/>
          <w:numId w:val="5"/>
        </w:numPr>
        <w:tabs>
          <w:tab w:pos="841" w:val="left" w:leader="none"/>
        </w:tabs>
        <w:spacing w:line="240" w:lineRule="auto" w:before="1" w:after="0"/>
        <w:ind w:left="840" w:right="113"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0"/>
        <w:rPr>
          <w:sz w:val="21"/>
        </w:rPr>
      </w:pPr>
    </w:p>
    <w:p>
      <w:pPr>
        <w:pStyle w:val="ListParagraph"/>
        <w:numPr>
          <w:ilvl w:val="0"/>
          <w:numId w:val="5"/>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0"/>
          <w:numId w:val="5"/>
        </w:numPr>
        <w:tabs>
          <w:tab w:pos="841" w:val="left" w:leader="none"/>
        </w:tabs>
        <w:spacing w:line="240" w:lineRule="auto" w:before="0" w:after="0"/>
        <w:ind w:left="840" w:right="106"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0"/>
          <w:numId w:val="4"/>
        </w:numPr>
        <w:tabs>
          <w:tab w:pos="841" w:val="left" w:leader="none"/>
        </w:tabs>
        <w:spacing w:line="240" w:lineRule="auto" w:before="0" w:after="0"/>
        <w:ind w:left="840" w:right="0" w:hanging="282"/>
        <w:jc w:val="left"/>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before="92"/>
        <w:ind w:left="840"/>
      </w:pPr>
      <w:r>
        <w:rPr>
          <w:spacing w:val="-2"/>
          <w:u w:val="single"/>
        </w:rPr>
        <w:t>Diplôme</w:t>
      </w:r>
    </w:p>
    <w:p>
      <w:pPr>
        <w:pStyle w:val="ListParagraph"/>
        <w:numPr>
          <w:ilvl w:val="1"/>
          <w:numId w:val="4"/>
        </w:numPr>
        <w:tabs>
          <w:tab w:pos="966" w:val="left" w:leader="none"/>
        </w:tabs>
        <w:spacing w:line="252" w:lineRule="exact" w:before="1"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4"/>
        </w:numPr>
        <w:tabs>
          <w:tab w:pos="966" w:val="left" w:leader="none"/>
        </w:tabs>
        <w:spacing w:line="480" w:lineRule="auto" w:before="0" w:after="0"/>
        <w:ind w:left="950" w:right="2655" w:hanging="111"/>
        <w:jc w:val="left"/>
        <w:rPr>
          <w:sz w:val="22"/>
        </w:rPr>
      </w:pPr>
      <w:r>
        <w:rPr>
          <w:sz w:val="22"/>
        </w:rPr>
        <w:t>formation</w:t>
      </w:r>
      <w:r>
        <w:rPr>
          <w:spacing w:val="-2"/>
          <w:sz w:val="22"/>
        </w:rPr>
        <w:t> </w:t>
      </w:r>
      <w:r>
        <w:rPr>
          <w:sz w:val="22"/>
        </w:rPr>
        <w:t>professionnelle</w:t>
      </w:r>
      <w:r>
        <w:rPr>
          <w:spacing w:val="-4"/>
          <w:sz w:val="22"/>
        </w:rPr>
        <w:t> </w:t>
      </w:r>
      <w:r>
        <w:rPr>
          <w:sz w:val="22"/>
        </w:rPr>
        <w:t>ou</w:t>
      </w:r>
      <w:r>
        <w:rPr>
          <w:spacing w:val="-2"/>
          <w:sz w:val="22"/>
        </w:rPr>
        <w:t> </w:t>
      </w:r>
      <w:r>
        <w:rPr>
          <w:sz w:val="22"/>
        </w:rPr>
        <w:t>expérience</w:t>
      </w:r>
      <w:r>
        <w:rPr>
          <w:spacing w:val="-4"/>
          <w:sz w:val="22"/>
        </w:rPr>
        <w:t> </w:t>
      </w:r>
      <w:r>
        <w:rPr>
          <w:sz w:val="22"/>
        </w:rPr>
        <w:t>professionnelle</w:t>
      </w:r>
      <w:r>
        <w:rPr>
          <w:spacing w:val="-4"/>
          <w:sz w:val="22"/>
        </w:rPr>
        <w:t> </w:t>
      </w:r>
      <w:r>
        <w:rPr>
          <w:sz w:val="22"/>
        </w:rPr>
        <w:t>de</w:t>
      </w:r>
      <w:r>
        <w:rPr>
          <w:spacing w:val="-2"/>
          <w:sz w:val="22"/>
        </w:rPr>
        <w:t> </w:t>
      </w:r>
      <w:r>
        <w:rPr>
          <w:sz w:val="22"/>
        </w:rPr>
        <w:t>niveau</w:t>
      </w:r>
      <w:r>
        <w:rPr>
          <w:spacing w:val="-2"/>
          <w:sz w:val="22"/>
        </w:rPr>
        <w:t> </w:t>
      </w:r>
      <w:r>
        <w:rPr>
          <w:sz w:val="22"/>
        </w:rPr>
        <w:t>équivalent dans le(s) domaine(s) : droit ou économie ou politique des transports.</w:t>
      </w:r>
    </w:p>
    <w:p>
      <w:pPr>
        <w:pStyle w:val="BodyText"/>
        <w:spacing w:before="1"/>
        <w:ind w:left="840"/>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1"/>
        <w:ind w:left="840" w:right="172"/>
        <w:jc w:val="both"/>
      </w:pPr>
      <w:r>
        <w:rPr/>
        <w:t>Expérience ou qualification dans le domaine des droits des passagers ; la connaissance ou l'intérêt pour les droits des passagers des voies maritimes et fluviales et la prise en compte de la dimension sociale des politiques de transport constituent également un atout.</w:t>
      </w:r>
    </w:p>
    <w:p>
      <w:pPr>
        <w:pStyle w:val="BodyText"/>
        <w:spacing w:before="10"/>
        <w:rPr>
          <w:sz w:val="21"/>
        </w:rPr>
      </w:pPr>
    </w:p>
    <w:p>
      <w:pPr>
        <w:pStyle w:val="BodyText"/>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2"/>
        <w:rPr>
          <w:sz w:val="14"/>
        </w:rPr>
      </w:pPr>
    </w:p>
    <w:p>
      <w:pPr>
        <w:pStyle w:val="BodyText"/>
        <w:spacing w:before="91"/>
        <w:ind w:left="840"/>
      </w:pPr>
      <w:r>
        <w:rPr/>
        <w:t>Anglais,</w:t>
      </w:r>
      <w:r>
        <w:rPr>
          <w:spacing w:val="-5"/>
        </w:rPr>
        <w:t> </w:t>
      </w:r>
      <w:r>
        <w:rPr/>
        <w:t>français</w:t>
      </w:r>
      <w:r>
        <w:rPr>
          <w:spacing w:val="-4"/>
        </w:rPr>
        <w:t> </w:t>
      </w:r>
      <w:r>
        <w:rPr/>
        <w:t>considéré</w:t>
      </w:r>
      <w:r>
        <w:rPr>
          <w:spacing w:val="-6"/>
        </w:rPr>
        <w:t> </w:t>
      </w:r>
      <w:r>
        <w:rPr/>
        <w:t>comme</w:t>
      </w:r>
      <w:r>
        <w:rPr>
          <w:spacing w:val="-4"/>
        </w:rPr>
        <w:t> </w:t>
      </w:r>
      <w:r>
        <w:rPr/>
        <w:t>un</w:t>
      </w:r>
      <w:r>
        <w:rPr>
          <w:spacing w:val="-4"/>
        </w:rPr>
        <w:t> </w:t>
      </w:r>
      <w:r>
        <w:rPr>
          <w:spacing w:val="-2"/>
        </w:rPr>
        <w:t>atout.</w:t>
      </w:r>
    </w:p>
    <w:p>
      <w:pPr>
        <w:pStyle w:val="BodyText"/>
        <w:spacing w:before="6"/>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6"/>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6"/>
          <w:sz w:val="24"/>
          <w:u w:val="single"/>
        </w:rPr>
        <w:t> </w:t>
      </w:r>
      <w:r>
        <w:rPr>
          <w:b/>
          <w:sz w:val="24"/>
          <w:u w:val="single"/>
        </w:rPr>
        <w:t>procédure</w:t>
      </w:r>
      <w:r>
        <w:rPr>
          <w:b/>
          <w:spacing w:val="-7"/>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line="240" w:lineRule="auto" w:before="91"/>
        <w:ind w:left="559" w:right="277" w:firstLine="0"/>
        <w:jc w:val="both"/>
        <w:rPr>
          <w:b/>
          <w:sz w:val="22"/>
        </w:rPr>
      </w:pPr>
      <w:r>
        <w:rPr>
          <w:sz w:val="22"/>
        </w:rPr>
        <w:t>Les candidats doivent envoyer leur candidature sous format </w:t>
      </w:r>
      <w:r>
        <w:rPr>
          <w:b/>
          <w:sz w:val="22"/>
        </w:rPr>
        <w:t>CV Europass </w:t>
      </w:r>
      <w:r>
        <w:rPr>
          <w:sz w:val="22"/>
        </w:rPr>
        <w:t>(</w:t>
      </w:r>
      <w:hyperlink r:id="rId9">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p>
    <w:p>
      <w:pPr>
        <w:spacing w:after="0" w:line="240" w:lineRule="auto"/>
        <w:jc w:val="both"/>
        <w:rPr>
          <w:sz w:val="22"/>
        </w:rPr>
        <w:sectPr>
          <w:pgSz w:w="11910" w:h="16840"/>
          <w:pgMar w:header="0" w:footer="690" w:top="1040" w:bottom="880" w:left="720" w:right="740"/>
        </w:sectPr>
      </w:pPr>
    </w:p>
    <w:p>
      <w:pPr>
        <w:pStyle w:val="BodyText"/>
        <w:spacing w:before="68"/>
        <w:ind w:left="559" w:right="279"/>
        <w:jc w:val="both"/>
      </w:pPr>
      <w:r>
        <w:rPr/>
        <w:t>Les candidats sont priés de ne pas joindre à leur candidature d'autres documents (tels que copie de carte d'identité, copie des diplômes et attestations d'expérience professionnelle, …). Ces documents leur seront demandés, le cas échéant, à un stade ultérieur de la procédure de sélection.</w:t>
      </w:r>
    </w:p>
    <w:p>
      <w:pPr>
        <w:pStyle w:val="BodyText"/>
        <w:spacing w:before="2"/>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rPr>
          <w:sz w:val="24"/>
        </w:rPr>
      </w:pPr>
    </w:p>
    <w:p>
      <w:pPr>
        <w:pStyle w:val="BodyText"/>
        <w:spacing w:before="5"/>
        <w:rPr>
          <w:sz w:val="20"/>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right="279"/>
        <w:jc w:val="both"/>
      </w:pPr>
      <w:r>
        <w:rPr/>
        <w:t>L'END restera employé et rémunéré par son employeur durant toute la durée du détachement. Il restera également couvert par la sécurité sociale nationale durant son détachement.</w:t>
      </w:r>
    </w:p>
    <w:p>
      <w:pPr>
        <w:pStyle w:val="BodyText"/>
        <w:ind w:left="559" w:right="289"/>
        <w:jc w:val="both"/>
      </w:pPr>
      <w:r>
        <w:rPr/>
        <w:t>Sauf pour les END sans frais, des indemnités de séjour peuvent être versées à l'END qui remplit les conditions, conformément à l'article 17 de la décision END.</w:t>
      </w:r>
    </w:p>
    <w:p>
      <w:pPr>
        <w:pStyle w:val="BodyText"/>
      </w:pPr>
    </w:p>
    <w:p>
      <w:pPr>
        <w:pStyle w:val="BodyText"/>
        <w:spacing w:before="1"/>
        <w:ind w:left="559" w:right="287"/>
        <w:jc w:val="both"/>
      </w:pPr>
      <w:r>
        <w:rPr/>
        <w:t>Durant le détachement, l'END sera soumis aux obligations de confidentialité, de loyauté et d'absence de conflit d'intérêt prévues par les articles 6 et 7 de la décision END.</w:t>
      </w:r>
    </w:p>
    <w:p>
      <w:pPr>
        <w:pStyle w:val="BodyText"/>
        <w:spacing w:line="251" w:lineRule="exact"/>
        <w:ind w:left="559"/>
        <w:jc w:val="both"/>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11"/>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1"/>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559" w:right="289"/>
        <w:jc w:val="both"/>
      </w:pPr>
      <w:r>
        <w:rPr/>
        <w:t>Les données des END seront conservées pendant 10 ans à compter de la fin du détachement (2 ans pour les END dont la candidature n'a pas été retenue ou a été retirée).</w:t>
      </w:r>
    </w:p>
    <w:p>
      <w:pPr>
        <w:pStyle w:val="BodyText"/>
        <w:spacing w:before="1"/>
        <w:ind w:left="55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559"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rPr>
          <w:sz w:val="24"/>
        </w:rPr>
      </w:pPr>
    </w:p>
    <w:p>
      <w:pPr>
        <w:pStyle w:val="BodyText"/>
        <w:spacing w:before="5"/>
        <w:rPr>
          <w:sz w:val="20"/>
        </w:rPr>
      </w:pPr>
    </w:p>
    <w:p>
      <w:pPr>
        <w:pStyle w:val="Heading1"/>
        <w:spacing w:before="0"/>
        <w:ind w:left="559" w:firstLine="0"/>
        <w:jc w:val="both"/>
      </w:pPr>
      <w:r>
        <w:rPr>
          <w:u w:val="single"/>
        </w:rPr>
        <w:t>Informations</w:t>
      </w:r>
      <w:r>
        <w:rPr>
          <w:spacing w:val="-4"/>
          <w:u w:val="single"/>
        </w:rPr>
        <w:t> </w:t>
      </w:r>
      <w:r>
        <w:rPr>
          <w:u w:val="single"/>
        </w:rPr>
        <w:t>de</w:t>
      </w:r>
      <w:r>
        <w:rPr>
          <w:spacing w:val="-3"/>
          <w:u w:val="single"/>
        </w:rPr>
        <w:t> </w:t>
      </w:r>
      <w:r>
        <w:rPr>
          <w:spacing w:val="-2"/>
          <w:u w:val="single"/>
        </w:rPr>
        <w:t>contact</w:t>
      </w:r>
    </w:p>
    <w:p>
      <w:pPr>
        <w:pStyle w:val="BodyText"/>
        <w:spacing w:before="1"/>
        <w:rPr>
          <w:b/>
          <w:sz w:val="14"/>
        </w:rPr>
      </w:pPr>
    </w:p>
    <w:p>
      <w:pPr>
        <w:pStyle w:val="ListParagraph"/>
        <w:numPr>
          <w:ilvl w:val="0"/>
          <w:numId w:val="6"/>
        </w:numPr>
        <w:tabs>
          <w:tab w:pos="841" w:val="left" w:leader="none"/>
        </w:tabs>
        <w:spacing w:line="250" w:lineRule="exact" w:before="91" w:after="0"/>
        <w:ind w:left="840" w:right="0" w:hanging="282"/>
        <w:jc w:val="both"/>
        <w:rPr>
          <w:b/>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840" w:right="285"/>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spacing w:before="3"/>
        <w:rPr>
          <w:sz w:val="14"/>
        </w:rPr>
      </w:pPr>
    </w:p>
    <w:p>
      <w:pPr>
        <w:pStyle w:val="Heading1"/>
        <w:numPr>
          <w:ilvl w:val="0"/>
          <w:numId w:val="6"/>
        </w:numPr>
        <w:tabs>
          <w:tab w:pos="841" w:val="left" w:leader="none"/>
        </w:tabs>
        <w:spacing w:line="251" w:lineRule="exact" w:before="91" w:after="0"/>
        <w:ind w:left="840" w:right="0" w:hanging="282"/>
        <w:jc w:val="both"/>
      </w:pPr>
      <w:r>
        <w:rPr/>
        <w:t>Le</w:t>
      </w:r>
      <w:r>
        <w:rPr>
          <w:spacing w:val="-4"/>
        </w:rPr>
        <w:t> </w:t>
      </w:r>
      <w:r>
        <w:rPr/>
        <w:t>délégué</w:t>
      </w:r>
      <w:r>
        <w:rPr>
          <w:spacing w:val="-2"/>
        </w:rPr>
        <w:t> </w:t>
      </w:r>
      <w:r>
        <w:rPr/>
        <w:t>à</w:t>
      </w:r>
      <w:r>
        <w:rPr>
          <w:spacing w:val="-5"/>
        </w:rPr>
        <w:t> </w:t>
      </w:r>
      <w:r>
        <w:rPr/>
        <w:t>la</w:t>
      </w:r>
      <w:r>
        <w:rPr>
          <w:spacing w:val="-1"/>
        </w:rPr>
        <w:t> </w:t>
      </w:r>
      <w:r>
        <w:rPr/>
        <w:t>protection</w:t>
      </w:r>
      <w:r>
        <w:rPr>
          <w:spacing w:val="-5"/>
        </w:rPr>
        <w:t> </w:t>
      </w:r>
      <w:r>
        <w:rPr/>
        <w:t>des</w:t>
      </w:r>
      <w:r>
        <w:rPr>
          <w:spacing w:val="-2"/>
        </w:rPr>
        <w:t> </w:t>
      </w:r>
      <w:r>
        <w:rPr/>
        <w:t>données</w:t>
      </w:r>
      <w:r>
        <w:rPr>
          <w:spacing w:val="-3"/>
        </w:rPr>
        <w:t> </w:t>
      </w:r>
      <w:r>
        <w:rPr/>
        <w:t>(DPD)</w:t>
      </w:r>
      <w:r>
        <w:rPr>
          <w:spacing w:val="-2"/>
        </w:rPr>
        <w:t> </w:t>
      </w:r>
      <w:r>
        <w:rPr/>
        <w:t>de</w:t>
      </w:r>
      <w:r>
        <w:rPr>
          <w:spacing w:val="-5"/>
        </w:rPr>
        <w:t> </w:t>
      </w:r>
      <w:r>
        <w:rPr/>
        <w:t>la</w:t>
      </w:r>
      <w:r>
        <w:rPr>
          <w:spacing w:val="-4"/>
        </w:rPr>
        <w:t> </w:t>
      </w:r>
      <w:r>
        <w:rPr>
          <w:spacing w:val="-2"/>
        </w:rPr>
        <w:t>Commission</w:t>
      </w:r>
    </w:p>
    <w:p>
      <w:pPr>
        <w:pStyle w:val="BodyText"/>
        <w:ind w:left="840" w:right="281"/>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w:t>
      </w:r>
      <w:r>
        <w:rPr>
          <w:spacing w:val="-2"/>
        </w:rPr>
        <w:t> </w:t>
      </w:r>
      <w:r>
        <w:rPr/>
        <w:t>pour toute question</w:t>
      </w:r>
      <w:r>
        <w:rPr>
          <w:spacing w:val="-2"/>
        </w:rPr>
        <w:t> </w:t>
      </w:r>
      <w:r>
        <w:rPr/>
        <w:t>relative au traitement de vos données à caractère personnel en vertu du règlement (UE) 2018/1725.</w:t>
      </w:r>
    </w:p>
    <w:p>
      <w:pPr>
        <w:spacing w:after="0"/>
        <w:jc w:val="both"/>
        <w:sectPr>
          <w:pgSz w:w="11910" w:h="16840"/>
          <w:pgMar w:header="0" w:footer="690" w:top="1040" w:bottom="880" w:left="720" w:right="740"/>
        </w:sectPr>
      </w:pPr>
    </w:p>
    <w:p>
      <w:pPr>
        <w:pStyle w:val="Heading1"/>
        <w:numPr>
          <w:ilvl w:val="0"/>
          <w:numId w:val="6"/>
        </w:numPr>
        <w:tabs>
          <w:tab w:pos="840" w:val="left" w:leader="none"/>
          <w:tab w:pos="841" w:val="left" w:leader="none"/>
        </w:tabs>
        <w:spacing w:line="240" w:lineRule="auto" w:before="67" w:after="0"/>
        <w:ind w:left="840" w:right="0" w:hanging="282"/>
        <w:jc w:val="left"/>
      </w:pPr>
      <w:r>
        <w:rPr/>
        <w:t>Le</w:t>
      </w:r>
      <w:r>
        <w:rPr>
          <w:spacing w:val="-6"/>
        </w:rPr>
        <w:t> </w:t>
      </w:r>
      <w:r>
        <w:rPr/>
        <w:t>contrôleur</w:t>
      </w:r>
      <w:r>
        <w:rPr>
          <w:spacing w:val="-3"/>
        </w:rPr>
        <w:t> </w:t>
      </w:r>
      <w:r>
        <w:rPr/>
        <w:t>européen</w:t>
      </w:r>
      <w:r>
        <w:rPr>
          <w:spacing w:val="-3"/>
        </w:rPr>
        <w:t> </w:t>
      </w:r>
      <w:r>
        <w:rPr/>
        <w:t>de</w:t>
      </w:r>
      <w:r>
        <w:rPr>
          <w:spacing w:val="-3"/>
        </w:rPr>
        <w:t> </w:t>
      </w:r>
      <w:r>
        <w:rPr/>
        <w:t>la</w:t>
      </w:r>
      <w:r>
        <w:rPr>
          <w:spacing w:val="-4"/>
        </w:rPr>
        <w:t> </w:t>
      </w:r>
      <w:r>
        <w:rPr/>
        <w:t>protection</w:t>
      </w:r>
      <w:r>
        <w:rPr>
          <w:spacing w:val="-3"/>
        </w:rPr>
        <w:t> </w:t>
      </w:r>
      <w:r>
        <w:rPr/>
        <w:t>des</w:t>
      </w:r>
      <w:r>
        <w:rPr>
          <w:spacing w:val="-3"/>
        </w:rPr>
        <w:t> </w:t>
      </w:r>
      <w:r>
        <w:rPr/>
        <w:t>données</w:t>
      </w:r>
      <w:r>
        <w:rPr>
          <w:spacing w:val="-3"/>
        </w:rPr>
        <w:t> </w:t>
      </w:r>
      <w:r>
        <w:rPr>
          <w:spacing w:val="-2"/>
        </w:rPr>
        <w:t>(CEPD)</w:t>
      </w:r>
    </w:p>
    <w:p>
      <w:pPr>
        <w:pStyle w:val="BodyText"/>
        <w:spacing w:before="7"/>
        <w:rPr>
          <w:b/>
          <w:sz w:val="21"/>
        </w:rPr>
      </w:pPr>
    </w:p>
    <w:p>
      <w:pPr>
        <w:pStyle w:val="BodyText"/>
        <w:spacing w:before="1"/>
        <w:ind w:left="840" w:right="281"/>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9"/>
        <w:rPr>
          <w:sz w:val="21"/>
        </w:rPr>
      </w:pPr>
    </w:p>
    <w:p>
      <w:pPr>
        <w:pStyle w:val="BodyText"/>
        <w:spacing w:before="1"/>
        <w:ind w:left="559"/>
      </w:pPr>
      <w:r>
        <w:rPr/>
        <w:t>À l'attention des candidats ressortissant de pays tiers: vos données personnelles peuvent être utilisées aux fins des vérifications nécessaires.</w:t>
      </w:r>
    </w:p>
    <w:sectPr>
      <w:pgSz w:w="11910" w:h="16840"/>
      <w:pgMar w:header="0" w:footer="690" w:top="130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4230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50"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3" w:hanging="252"/>
      </w:pPr>
      <w:rPr>
        <w:rFonts w:hint="default"/>
        <w:lang w:val="fr-FR" w:eastAsia="en-US" w:bidi="ar-SA"/>
      </w:rPr>
    </w:lvl>
    <w:lvl w:ilvl="7">
      <w:start w:val="0"/>
      <w:numFmt w:val="bullet"/>
      <w:lvlText w:val="•"/>
      <w:lvlJc w:val="left"/>
      <w:pPr>
        <w:ind w:left="6996" w:hanging="252"/>
      </w:pPr>
      <w:rPr>
        <w:rFonts w:hint="default"/>
        <w:lang w:val="fr-FR" w:eastAsia="en-US" w:bidi="ar-SA"/>
      </w:rPr>
    </w:lvl>
    <w:lvl w:ilvl="8">
      <w:start w:val="0"/>
      <w:numFmt w:val="bullet"/>
      <w:lvlText w:val="•"/>
      <w:lvlJc w:val="left"/>
      <w:pPr>
        <w:ind w:left="7979" w:hanging="252"/>
      </w:pPr>
      <w:rPr>
        <w:rFonts w:hint="default"/>
        <w:lang w:val="fr-FR"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36" w:hanging="473"/>
      </w:pPr>
      <w:rPr>
        <w:rFonts w:hint="default"/>
        <w:lang w:val="fr-FR" w:eastAsia="en-US" w:bidi="ar-SA"/>
      </w:rPr>
    </w:lvl>
    <w:lvl w:ilvl="2">
      <w:start w:val="0"/>
      <w:numFmt w:val="bullet"/>
      <w:lvlText w:val="•"/>
      <w:lvlJc w:val="left"/>
      <w:pPr>
        <w:ind w:left="1352" w:hanging="473"/>
      </w:pPr>
      <w:rPr>
        <w:rFonts w:hint="default"/>
        <w:lang w:val="fr-FR" w:eastAsia="en-US" w:bidi="ar-SA"/>
      </w:rPr>
    </w:lvl>
    <w:lvl w:ilvl="3">
      <w:start w:val="0"/>
      <w:numFmt w:val="bullet"/>
      <w:lvlText w:val="•"/>
      <w:lvlJc w:val="left"/>
      <w:pPr>
        <w:ind w:left="1568" w:hanging="473"/>
      </w:pPr>
      <w:rPr>
        <w:rFonts w:hint="default"/>
        <w:lang w:val="fr-FR" w:eastAsia="en-US" w:bidi="ar-SA"/>
      </w:rPr>
    </w:lvl>
    <w:lvl w:ilvl="4">
      <w:start w:val="0"/>
      <w:numFmt w:val="bullet"/>
      <w:lvlText w:val="•"/>
      <w:lvlJc w:val="left"/>
      <w:pPr>
        <w:ind w:left="1784" w:hanging="473"/>
      </w:pPr>
      <w:rPr>
        <w:rFonts w:hint="default"/>
        <w:lang w:val="fr-FR" w:eastAsia="en-US" w:bidi="ar-SA"/>
      </w:rPr>
    </w:lvl>
    <w:lvl w:ilvl="5">
      <w:start w:val="0"/>
      <w:numFmt w:val="bullet"/>
      <w:lvlText w:val="•"/>
      <w:lvlJc w:val="left"/>
      <w:pPr>
        <w:ind w:left="2001" w:hanging="473"/>
      </w:pPr>
      <w:rPr>
        <w:rFonts w:hint="default"/>
        <w:lang w:val="fr-FR" w:eastAsia="en-US" w:bidi="ar-SA"/>
      </w:rPr>
    </w:lvl>
    <w:lvl w:ilvl="6">
      <w:start w:val="0"/>
      <w:numFmt w:val="bullet"/>
      <w:lvlText w:val="•"/>
      <w:lvlJc w:val="left"/>
      <w:pPr>
        <w:ind w:left="2217" w:hanging="473"/>
      </w:pPr>
      <w:rPr>
        <w:rFonts w:hint="default"/>
        <w:lang w:val="fr-FR" w:eastAsia="en-US" w:bidi="ar-SA"/>
      </w:rPr>
    </w:lvl>
    <w:lvl w:ilvl="7">
      <w:start w:val="0"/>
      <w:numFmt w:val="bullet"/>
      <w:lvlText w:val="•"/>
      <w:lvlJc w:val="left"/>
      <w:pPr>
        <w:ind w:left="2433" w:hanging="473"/>
      </w:pPr>
      <w:rPr>
        <w:rFonts w:hint="default"/>
        <w:lang w:val="fr-FR" w:eastAsia="en-US" w:bidi="ar-SA"/>
      </w:rPr>
    </w:lvl>
    <w:lvl w:ilvl="8">
      <w:start w:val="0"/>
      <w:numFmt w:val="bullet"/>
      <w:lvlText w:val="•"/>
      <w:lvlJc w:val="left"/>
      <w:pPr>
        <w:ind w:left="2649" w:hanging="473"/>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1907" w:hanging="281"/>
      </w:pPr>
      <w:rPr>
        <w:rFonts w:hint="default"/>
        <w:lang w:val="fr-FR" w:eastAsia="en-US" w:bidi="ar-SA"/>
      </w:rPr>
    </w:lvl>
    <w:lvl w:ilvl="3">
      <w:start w:val="0"/>
      <w:numFmt w:val="bullet"/>
      <w:lvlText w:val="•"/>
      <w:lvlJc w:val="left"/>
      <w:pPr>
        <w:ind w:left="2974" w:hanging="281"/>
      </w:pPr>
      <w:rPr>
        <w:rFonts w:hint="default"/>
        <w:lang w:val="fr-FR" w:eastAsia="en-US" w:bidi="ar-SA"/>
      </w:rPr>
    </w:lvl>
    <w:lvl w:ilvl="4">
      <w:start w:val="0"/>
      <w:numFmt w:val="bullet"/>
      <w:lvlText w:val="•"/>
      <w:lvlJc w:val="left"/>
      <w:pPr>
        <w:ind w:left="4042" w:hanging="281"/>
      </w:pPr>
      <w:rPr>
        <w:rFonts w:hint="default"/>
        <w:lang w:val="fr-FR" w:eastAsia="en-US" w:bidi="ar-SA"/>
      </w:rPr>
    </w:lvl>
    <w:lvl w:ilvl="5">
      <w:start w:val="0"/>
      <w:numFmt w:val="bullet"/>
      <w:lvlText w:val="•"/>
      <w:lvlJc w:val="left"/>
      <w:pPr>
        <w:ind w:left="5109" w:hanging="281"/>
      </w:pPr>
      <w:rPr>
        <w:rFonts w:hint="default"/>
        <w:lang w:val="fr-FR" w:eastAsia="en-US" w:bidi="ar-SA"/>
      </w:rPr>
    </w:lvl>
    <w:lvl w:ilvl="6">
      <w:start w:val="0"/>
      <w:numFmt w:val="bullet"/>
      <w:lvlText w:val="•"/>
      <w:lvlJc w:val="left"/>
      <w:pPr>
        <w:ind w:left="6176" w:hanging="281"/>
      </w:pPr>
      <w:rPr>
        <w:rFonts w:hint="default"/>
        <w:lang w:val="fr-FR" w:eastAsia="en-US" w:bidi="ar-SA"/>
      </w:rPr>
    </w:lvl>
    <w:lvl w:ilvl="7">
      <w:start w:val="0"/>
      <w:numFmt w:val="bullet"/>
      <w:lvlText w:val="•"/>
      <w:lvlJc w:val="left"/>
      <w:pPr>
        <w:ind w:left="7244" w:hanging="281"/>
      </w:pPr>
      <w:rPr>
        <w:rFonts w:hint="default"/>
        <w:lang w:val="fr-FR" w:eastAsia="en-US" w:bidi="ar-SA"/>
      </w:rPr>
    </w:lvl>
    <w:lvl w:ilvl="8">
      <w:start w:val="0"/>
      <w:numFmt w:val="bullet"/>
      <w:lvlText w:val="•"/>
      <w:lvlJc w:val="left"/>
      <w:pPr>
        <w:ind w:left="8311" w:hanging="281"/>
      </w:pPr>
      <w:rPr>
        <w:rFonts w:hint="default"/>
        <w:lang w:val="fr-FR"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840" w:hanging="282"/>
      <w:outlineLvl w:val="1"/>
    </w:pPr>
    <w:rPr>
      <w:rFonts w:ascii="Times New Roman" w:hAnsi="Times New Roman" w:eastAsia="Times New Roman" w:cs="Times New Roman"/>
      <w:b/>
      <w:bCs/>
      <w:sz w:val="22"/>
      <w:szCs w:val="22"/>
      <w:lang w:val="fr-FR" w:eastAsia="en-US" w:bidi="ar-SA"/>
    </w:rPr>
  </w:style>
  <w:style w:styleId="ListParagraph" w:type="paragraph">
    <w:name w:val="List Paragraph"/>
    <w:basedOn w:val="Normal"/>
    <w:uiPriority w:val="1"/>
    <w:qFormat/>
    <w:pPr>
      <w:ind w:left="840" w:hanging="281"/>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Elisabeth.Kotthaus@ec.europa.eu" TargetMode="External"/><Relationship Id="rId8" Type="http://schemas.openxmlformats.org/officeDocument/2006/relationships/hyperlink" Target="https://ec.europa.eu/info/law/better-regulation/have-your-say/initiatives/13290-Voyages-amelioration-de-la-protection-des-passagers-et-de-leurs-droits_fr" TargetMode="External"/><Relationship Id="rId9" Type="http://schemas.openxmlformats.org/officeDocument/2006/relationships/hyperlink" Target="http://europass.cedefop.europa.eu/fr/documents/curriculum-vitae"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2023-03-15T16:44:25Z</dcterms:created>
  <dcterms:modified xsi:type="dcterms:W3CDTF">2023-03-15T16:44:25Z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