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1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67"/>
              <w:rPr>
                <w:b/>
                <w:sz w:val="24"/>
              </w:rPr>
            </w:pPr>
            <w:r>
              <w:rPr>
                <w:b/>
                <w:spacing w:val="-2"/>
                <w:sz w:val="24"/>
              </w:rPr>
              <w:t>RTD-G-</w:t>
            </w:r>
            <w:r>
              <w:rPr>
                <w:b/>
                <w:spacing w:val="-10"/>
                <w:sz w:val="24"/>
              </w:rPr>
              <w:t>1</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519"/>
              <w:rPr>
                <w:b/>
                <w:sz w:val="24"/>
              </w:rPr>
            </w:pPr>
            <w:r>
              <w:rPr>
                <w:b/>
                <w:sz w:val="24"/>
              </w:rPr>
              <w:t>Alexandr HOBZA </w:t>
            </w:r>
            <w:hyperlink r:id="rId7">
              <w:r>
                <w:rPr>
                  <w:b/>
                  <w:color w:val="0000FF"/>
                  <w:spacing w:val="-2"/>
                  <w:sz w:val="24"/>
                  <w:u w:val="single" w:color="0000FF"/>
                </w:rPr>
                <w:t>Alexandr.hobza@ec.europa.eu</w:t>
              </w:r>
            </w:hyperlink>
          </w:p>
          <w:p>
            <w:pPr>
              <w:pStyle w:val="TableParagraph"/>
              <w:rPr>
                <w:b/>
                <w:sz w:val="24"/>
              </w:rPr>
            </w:pPr>
            <w:r>
              <w:rPr>
                <w:b/>
                <w:sz w:val="24"/>
              </w:rPr>
              <w:t>+32</w:t>
            </w:r>
            <w:r>
              <w:rPr>
                <w:b/>
                <w:spacing w:val="-2"/>
                <w:sz w:val="24"/>
              </w:rPr>
              <w:t> </w:t>
            </w:r>
            <w:r>
              <w:rPr>
                <w:b/>
                <w:sz w:val="24"/>
              </w:rPr>
              <w:t>229-</w:t>
            </w:r>
            <w:r>
              <w:rPr>
                <w:b/>
                <w:spacing w:val="-2"/>
                <w:sz w:val="24"/>
              </w:rPr>
              <w:t>86658</w:t>
            </w:r>
          </w:p>
          <w:p>
            <w:pPr>
              <w:pStyle w:val="TableParagraph"/>
              <w:spacing w:line="276" w:lineRule="exact"/>
              <w:rPr>
                <w:b/>
                <w:sz w:val="24"/>
              </w:rPr>
            </w:pPr>
            <w:r>
              <w:rPr>
                <w:b/>
                <w:sz w:val="24"/>
              </w:rPr>
              <w:t>1</w:t>
            </w:r>
          </w:p>
          <w:p>
            <w:pPr>
              <w:pStyle w:val="TableParagraph"/>
              <w:spacing w:line="253" w:lineRule="exact"/>
              <w:rPr>
                <w:b/>
                <w:sz w:val="22"/>
              </w:rPr>
            </w:pPr>
            <w:r>
              <w:rPr>
                <w:b/>
                <w:sz w:val="22"/>
              </w:rPr>
              <w:t>3e</w:t>
            </w:r>
            <w:r>
              <w:rPr>
                <w:b/>
                <w:spacing w:val="-5"/>
                <w:sz w:val="22"/>
              </w:rPr>
              <w:t> </w:t>
            </w:r>
            <w:r>
              <w:rPr>
                <w:b/>
                <w:sz w:val="22"/>
              </w:rPr>
              <w:t>trimestre</w:t>
            </w:r>
            <w:r>
              <w:rPr>
                <w:b/>
                <w:spacing w:val="-2"/>
                <w:sz w:val="22"/>
              </w:rPr>
              <w:t> </w:t>
            </w:r>
            <w:r>
              <w:rPr>
                <w:b/>
                <w:sz w:val="22"/>
              </w:rPr>
              <w:t>2023</w:t>
            </w:r>
            <w:r>
              <w:rPr>
                <w:b/>
                <w:spacing w:val="-5"/>
                <w:sz w:val="22"/>
              </w:rPr>
              <w:t> </w:t>
            </w:r>
            <w:r>
              <w:rPr>
                <w:b/>
                <w:spacing w:val="-10"/>
                <w:sz w:val="22"/>
                <w:vertAlign w:val="superscript"/>
              </w:rPr>
              <w:t>1</w:t>
            </w:r>
          </w:p>
          <w:p>
            <w:pPr>
              <w:pStyle w:val="TableParagraph"/>
              <w:spacing w:line="250" w:lineRule="exact"/>
              <w:rPr>
                <w:b/>
                <w:sz w:val="22"/>
              </w:rPr>
            </w:pPr>
            <w:r>
              <w:rPr>
                <w:b/>
                <w:sz w:val="22"/>
              </w:rPr>
              <w:t>2</w:t>
            </w:r>
            <w:r>
              <w:rPr>
                <w:b/>
                <w:spacing w:val="-2"/>
                <w:sz w:val="22"/>
              </w:rPr>
              <w:t> an(s</w:t>
            </w:r>
            <w:r>
              <w:rPr>
                <w:b/>
                <w:spacing w:val="-2"/>
                <w:sz w:val="22"/>
                <w:vertAlign w:val="superscript"/>
              </w:rPr>
              <w:t>)1</w:t>
            </w:r>
          </w:p>
          <w:p>
            <w:pPr>
              <w:pStyle w:val="TableParagraph"/>
              <w:spacing w:line="250" w:lineRule="exact"/>
              <w:rPr>
                <w:b/>
                <w:sz w:val="22"/>
              </w:rPr>
            </w:pPr>
            <w:r>
              <w:rPr>
                <w:sz w:val="22"/>
              </w:rPr>
              <w:t>X</w:t>
            </w:r>
            <w:r>
              <w:rPr>
                <w:spacing w:val="-5"/>
                <w:sz w:val="22"/>
              </w:rPr>
              <w:t> </w:t>
            </w:r>
            <w:r>
              <w:rPr>
                <w:b/>
                <w:sz w:val="22"/>
              </w:rPr>
              <w:t>Bruxelles</w:t>
            </w:r>
            <w:r>
              <w:rPr>
                <w:b/>
                <w:spacing w:val="50"/>
                <w:sz w:val="22"/>
              </w:rPr>
              <w:t> </w:t>
            </w:r>
            <w:r>
              <w:rPr>
                <w:rFonts w:ascii="Wingdings 2" w:hAnsi="Wingdings 2"/>
                <w:sz w:val="22"/>
              </w:rPr>
              <w:t></w:t>
            </w:r>
            <w:r>
              <w:rPr>
                <w:spacing w:val="-2"/>
                <w:sz w:val="22"/>
              </w:rPr>
              <w:t> </w:t>
            </w:r>
            <w:r>
              <w:rPr>
                <w:b/>
                <w:sz w:val="22"/>
              </w:rPr>
              <w:t>Luxembourg</w:t>
            </w:r>
            <w:r>
              <w:rPr>
                <w:b/>
                <w:spacing w:val="50"/>
                <w:sz w:val="22"/>
              </w:rPr>
              <w:t> </w:t>
            </w:r>
            <w:r>
              <w:rPr>
                <w:rFonts w:ascii="Wingdings 2" w:hAnsi="Wingdings 2"/>
                <w:sz w:val="22"/>
              </w:rPr>
              <w:t></w:t>
            </w:r>
            <w:r>
              <w:rPr>
                <w:spacing w:val="-2"/>
                <w:sz w:val="22"/>
              </w:rPr>
              <w:t> </w:t>
            </w:r>
            <w:r>
              <w:rPr>
                <w:sz w:val="22"/>
              </w:rPr>
              <w:t>A</w:t>
            </w:r>
            <w:r>
              <w:rPr>
                <w:b/>
                <w:sz w:val="22"/>
              </w:rPr>
              <w:t>utre:</w:t>
            </w:r>
            <w:r>
              <w:rPr>
                <w:b/>
                <w:spacing w:val="-3"/>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87" w:val="left" w:leader="none"/>
                <w:tab w:pos="2911" w:val="left" w:leader="none"/>
                <w:tab w:pos="3384" w:val="left" w:leader="none"/>
              </w:tabs>
              <w:spacing w:before="140"/>
              <w:rPr>
                <w:b/>
                <w:sz w:val="22"/>
              </w:rPr>
            </w:pPr>
            <w:r>
              <w:rPr>
                <w:spacing w:val="-10"/>
                <w:sz w:val="22"/>
              </w:rPr>
              <w:t>X</w:t>
            </w:r>
            <w:r>
              <w:rPr>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6"/>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7"/>
        <w:rPr>
          <w:b/>
          <w:sz w:val="15"/>
        </w:rPr>
      </w:pPr>
    </w:p>
    <w:p>
      <w:pPr>
        <w:pStyle w:val="BodyText"/>
        <w:spacing w:before="92"/>
        <w:ind w:left="372" w:right="165"/>
      </w:pPr>
      <w:r>
        <w:rPr/>
        <w:t>L’unité RTD.G.1 — Stratégie commune, service de prospective — équipe de l’économiste en chef de la DG R, I. L’unité contribue à l’élaboration de politiques de recherche et d’innovation fondées sur des données probantes et porteuses de transformation afin d’accroître prospérité et bien-être en Europe. Elle contribue à la connaissance de l’état de la recherche et de l’innovation en Europe et sa contribution aux politiques de la Commission, dans le but d’éviter</w:t>
      </w:r>
      <w:r>
        <w:rPr>
          <w:spacing w:val="-3"/>
        </w:rPr>
        <w:t> </w:t>
      </w:r>
      <w:r>
        <w:rPr/>
        <w:t>les</w:t>
      </w:r>
      <w:r>
        <w:rPr>
          <w:spacing w:val="-4"/>
        </w:rPr>
        <w:t> </w:t>
      </w:r>
      <w:r>
        <w:rPr/>
        <w:t>compromis</w:t>
      </w:r>
      <w:r>
        <w:rPr>
          <w:spacing w:val="-2"/>
        </w:rPr>
        <w:t> </w:t>
      </w:r>
      <w:r>
        <w:rPr/>
        <w:t>entre</w:t>
      </w:r>
      <w:r>
        <w:rPr>
          <w:spacing w:val="-2"/>
        </w:rPr>
        <w:t> </w:t>
      </w:r>
      <w:r>
        <w:rPr/>
        <w:t>objectifs</w:t>
      </w:r>
      <w:r>
        <w:rPr>
          <w:spacing w:val="-2"/>
        </w:rPr>
        <w:t> </w:t>
      </w:r>
      <w:r>
        <w:rPr/>
        <w:t>économiques,</w:t>
      </w:r>
      <w:r>
        <w:rPr>
          <w:spacing w:val="-5"/>
        </w:rPr>
        <w:t> </w:t>
      </w:r>
      <w:r>
        <w:rPr/>
        <w:t>sociaux</w:t>
      </w:r>
      <w:r>
        <w:rPr>
          <w:spacing w:val="-4"/>
        </w:rPr>
        <w:t> </w:t>
      </w:r>
      <w:r>
        <w:rPr/>
        <w:t>et</w:t>
      </w:r>
      <w:r>
        <w:rPr>
          <w:spacing w:val="-4"/>
        </w:rPr>
        <w:t> </w:t>
      </w:r>
      <w:r>
        <w:rPr/>
        <w:t>environnementaux</w:t>
      </w:r>
      <w:r>
        <w:rPr>
          <w:spacing w:val="-4"/>
        </w:rPr>
        <w:t> </w:t>
      </w:r>
      <w:r>
        <w:rPr/>
        <w:t>et</w:t>
      </w:r>
      <w:r>
        <w:rPr>
          <w:spacing w:val="-1"/>
        </w:rPr>
        <w:t> </w:t>
      </w:r>
      <w:r>
        <w:rPr/>
        <w:t>la</w:t>
      </w:r>
      <w:r>
        <w:rPr>
          <w:spacing w:val="-2"/>
        </w:rPr>
        <w:t> </w:t>
      </w:r>
      <w:r>
        <w:rPr/>
        <w:t>transgression</w:t>
      </w:r>
      <w:r>
        <w:rPr>
          <w:spacing w:val="-2"/>
        </w:rPr>
        <w:t> </w:t>
      </w:r>
      <w:r>
        <w:rPr/>
        <w:t>des</w:t>
      </w:r>
      <w:r>
        <w:rPr>
          <w:spacing w:val="-4"/>
        </w:rPr>
        <w:t> </w:t>
      </w:r>
      <w:r>
        <w:rPr/>
        <w:t>limites</w:t>
      </w:r>
      <w:r>
        <w:rPr>
          <w:spacing w:val="-2"/>
        </w:rPr>
        <w:t> </w:t>
      </w:r>
      <w:r>
        <w:rPr/>
        <w:t>de notre planète. L’unité met l’accent sur les investissements dans la recherche, le développement et l’innovation, ainsi que sur les réformes et la réglementation dans le domaine de la recherche, du développement et de</w:t>
      </w:r>
    </w:p>
    <w:p>
      <w:pPr>
        <w:pStyle w:val="BodyText"/>
        <w:ind w:left="372" w:right="165"/>
      </w:pPr>
      <w:r>
        <w:rPr/>
        <w:t>l’innovation.</w:t>
      </w:r>
      <w:r>
        <w:rPr>
          <w:spacing w:val="-2"/>
        </w:rPr>
        <w:t> </w:t>
      </w:r>
      <w:r>
        <w:rPr/>
        <w:t>Elle</w:t>
      </w:r>
      <w:r>
        <w:rPr>
          <w:spacing w:val="-4"/>
        </w:rPr>
        <w:t> </w:t>
      </w:r>
      <w:r>
        <w:rPr/>
        <w:t>dirige</w:t>
      </w:r>
      <w:r>
        <w:rPr>
          <w:spacing w:val="-2"/>
        </w:rPr>
        <w:t> </w:t>
      </w:r>
      <w:r>
        <w:rPr/>
        <w:t>également</w:t>
      </w:r>
      <w:r>
        <w:rPr>
          <w:spacing w:val="-1"/>
        </w:rPr>
        <w:t> </w:t>
      </w:r>
      <w:r>
        <w:rPr/>
        <w:t>le</w:t>
      </w:r>
      <w:r>
        <w:rPr>
          <w:spacing w:val="-2"/>
        </w:rPr>
        <w:t> </w:t>
      </w:r>
      <w:r>
        <w:rPr/>
        <w:t>processus</w:t>
      </w:r>
      <w:r>
        <w:rPr>
          <w:spacing w:val="-4"/>
        </w:rPr>
        <w:t> </w:t>
      </w:r>
      <w:r>
        <w:rPr/>
        <w:t>de</w:t>
      </w:r>
      <w:r>
        <w:rPr>
          <w:spacing w:val="-2"/>
        </w:rPr>
        <w:t> </w:t>
      </w:r>
      <w:r>
        <w:rPr/>
        <w:t>prospective</w:t>
      </w:r>
      <w:r>
        <w:rPr>
          <w:spacing w:val="-2"/>
        </w:rPr>
        <w:t> </w:t>
      </w:r>
      <w:r>
        <w:rPr/>
        <w:t>pour</w:t>
      </w:r>
      <w:r>
        <w:rPr>
          <w:spacing w:val="-2"/>
        </w:rPr>
        <w:t> </w:t>
      </w:r>
      <w:r>
        <w:rPr/>
        <w:t>la</w:t>
      </w:r>
      <w:r>
        <w:rPr>
          <w:spacing w:val="-2"/>
        </w:rPr>
        <w:t> </w:t>
      </w:r>
      <w:r>
        <w:rPr/>
        <w:t>politique</w:t>
      </w:r>
      <w:r>
        <w:rPr>
          <w:spacing w:val="-2"/>
        </w:rPr>
        <w:t> </w:t>
      </w:r>
      <w:r>
        <w:rPr/>
        <w:t>de</w:t>
      </w:r>
      <w:r>
        <w:rPr>
          <w:spacing w:val="-2"/>
        </w:rPr>
        <w:t> </w:t>
      </w:r>
      <w:r>
        <w:rPr/>
        <w:t>recherche</w:t>
      </w:r>
      <w:r>
        <w:rPr>
          <w:spacing w:val="-4"/>
        </w:rPr>
        <w:t> </w:t>
      </w:r>
      <w:r>
        <w:rPr/>
        <w:t>et</w:t>
      </w:r>
      <w:r>
        <w:rPr>
          <w:spacing w:val="-1"/>
        </w:rPr>
        <w:t> </w:t>
      </w:r>
      <w:r>
        <w:rPr/>
        <w:t>de</w:t>
      </w:r>
      <w:r>
        <w:rPr>
          <w:spacing w:val="-2"/>
        </w:rPr>
        <w:t> </w:t>
      </w:r>
      <w:r>
        <w:rPr/>
        <w:t>développement, et coordonne la prospective pour l’ensemble du programme-cadre. L’unité agit en tant que service économique de la DG RTD et du Centre de Politique Commun (CPC) et travaille en étroite collaboration avec de nombreux partenaires dans un esprit de cocréation.</w:t>
      </w:r>
    </w:p>
    <w:p>
      <w:pPr>
        <w:pStyle w:val="BodyText"/>
      </w:pPr>
    </w:p>
    <w:p>
      <w:pPr>
        <w:pStyle w:val="BodyText"/>
        <w:ind w:left="372" w:right="165"/>
      </w:pPr>
      <w:r>
        <w:rPr/>
        <w:t>Sous</w:t>
      </w:r>
      <w:r>
        <w:rPr>
          <w:spacing w:val="-2"/>
        </w:rPr>
        <w:t> </w:t>
      </w:r>
      <w:r>
        <w:rPr/>
        <w:t>la</w:t>
      </w:r>
      <w:r>
        <w:rPr>
          <w:spacing w:val="-2"/>
        </w:rPr>
        <w:t> </w:t>
      </w:r>
      <w:r>
        <w:rPr/>
        <w:t>supervision</w:t>
      </w:r>
      <w:r>
        <w:rPr>
          <w:spacing w:val="-2"/>
        </w:rPr>
        <w:t> </w:t>
      </w:r>
      <w:r>
        <w:rPr/>
        <w:t>d’un</w:t>
      </w:r>
      <w:r>
        <w:rPr>
          <w:spacing w:val="-2"/>
        </w:rPr>
        <w:t> </w:t>
      </w:r>
      <w:r>
        <w:rPr/>
        <w:t>membre</w:t>
      </w:r>
      <w:r>
        <w:rPr>
          <w:spacing w:val="-2"/>
        </w:rPr>
        <w:t> </w:t>
      </w:r>
      <w:r>
        <w:rPr/>
        <w:t>de</w:t>
      </w:r>
      <w:r>
        <w:rPr>
          <w:spacing w:val="-2"/>
        </w:rPr>
        <w:t> </w:t>
      </w:r>
      <w:r>
        <w:rPr/>
        <w:t>personnel</w:t>
      </w:r>
      <w:r>
        <w:rPr>
          <w:spacing w:val="-1"/>
        </w:rPr>
        <w:t> </w:t>
      </w:r>
      <w:r>
        <w:rPr/>
        <w:t>de</w:t>
      </w:r>
      <w:r>
        <w:rPr>
          <w:spacing w:val="-2"/>
        </w:rPr>
        <w:t> </w:t>
      </w:r>
      <w:r>
        <w:rPr/>
        <w:t>niveau</w:t>
      </w:r>
      <w:r>
        <w:rPr>
          <w:spacing w:val="-2"/>
        </w:rPr>
        <w:t> </w:t>
      </w:r>
      <w:r>
        <w:rPr/>
        <w:t>AD,</w:t>
      </w:r>
      <w:r>
        <w:rPr>
          <w:spacing w:val="-2"/>
        </w:rPr>
        <w:t> </w:t>
      </w:r>
      <w:r>
        <w:rPr/>
        <w:t>l’expert</w:t>
      </w:r>
      <w:r>
        <w:rPr>
          <w:spacing w:val="-4"/>
        </w:rPr>
        <w:t> </w:t>
      </w:r>
      <w:r>
        <w:rPr/>
        <w:t>contribuera</w:t>
      </w:r>
      <w:r>
        <w:rPr>
          <w:spacing w:val="-4"/>
        </w:rPr>
        <w:t> </w:t>
      </w:r>
      <w:r>
        <w:rPr/>
        <w:t>à</w:t>
      </w:r>
      <w:r>
        <w:rPr>
          <w:spacing w:val="-2"/>
        </w:rPr>
        <w:t> </w:t>
      </w:r>
      <w:r>
        <w:rPr/>
        <w:t>l’intégration</w:t>
      </w:r>
      <w:r>
        <w:rPr>
          <w:spacing w:val="-5"/>
        </w:rPr>
        <w:t> </w:t>
      </w:r>
      <w:r>
        <w:rPr/>
        <w:t>de</w:t>
      </w:r>
      <w:r>
        <w:rPr>
          <w:spacing w:val="-4"/>
        </w:rPr>
        <w:t> </w:t>
      </w:r>
      <w:r>
        <w:rPr/>
        <w:t>la</w:t>
      </w:r>
      <w:r>
        <w:rPr>
          <w:spacing w:val="-2"/>
        </w:rPr>
        <w:t> </w:t>
      </w:r>
      <w:r>
        <w:rPr/>
        <w:t>prospective dans la politique et la stratégie de l’UE en matière de recherche et d’innovation. Cette opération comprend:</w:t>
      </w:r>
    </w:p>
    <w:p>
      <w:pPr>
        <w:pStyle w:val="BodyText"/>
      </w:pPr>
    </w:p>
    <w:p>
      <w:pPr>
        <w:pStyle w:val="ListParagraph"/>
        <w:numPr>
          <w:ilvl w:val="1"/>
          <w:numId w:val="2"/>
        </w:numPr>
        <w:tabs>
          <w:tab w:pos="1093" w:val="left" w:leader="none"/>
        </w:tabs>
        <w:spacing w:line="240" w:lineRule="auto" w:before="0" w:after="0"/>
        <w:ind w:left="1092" w:right="185" w:hanging="361"/>
        <w:jc w:val="left"/>
        <w:rPr>
          <w:sz w:val="22"/>
        </w:rPr>
      </w:pPr>
      <w:r>
        <w:rPr>
          <w:sz w:val="22"/>
        </w:rPr>
        <w:t>Suivre</w:t>
      </w:r>
      <w:r>
        <w:rPr>
          <w:spacing w:val="-2"/>
          <w:sz w:val="22"/>
        </w:rPr>
        <w:t> </w:t>
      </w:r>
      <w:r>
        <w:rPr>
          <w:sz w:val="22"/>
        </w:rPr>
        <w:t>les</w:t>
      </w:r>
      <w:r>
        <w:rPr>
          <w:spacing w:val="-4"/>
          <w:sz w:val="22"/>
        </w:rPr>
        <w:t> </w:t>
      </w:r>
      <w:r>
        <w:rPr>
          <w:sz w:val="22"/>
        </w:rPr>
        <w:t>tendances</w:t>
      </w:r>
      <w:r>
        <w:rPr>
          <w:spacing w:val="-2"/>
          <w:sz w:val="22"/>
        </w:rPr>
        <w:t> </w:t>
      </w:r>
      <w:r>
        <w:rPr>
          <w:sz w:val="22"/>
        </w:rPr>
        <w:t>et</w:t>
      </w:r>
      <w:r>
        <w:rPr>
          <w:spacing w:val="-4"/>
          <w:sz w:val="22"/>
        </w:rPr>
        <w:t> </w:t>
      </w:r>
      <w:r>
        <w:rPr>
          <w:sz w:val="22"/>
        </w:rPr>
        <w:t>analyser</w:t>
      </w:r>
      <w:r>
        <w:rPr>
          <w:spacing w:val="-2"/>
          <w:sz w:val="22"/>
        </w:rPr>
        <w:t> </w:t>
      </w:r>
      <w:r>
        <w:rPr>
          <w:sz w:val="22"/>
        </w:rPr>
        <w:t>l’évolution</w:t>
      </w:r>
      <w:r>
        <w:rPr>
          <w:spacing w:val="-2"/>
          <w:sz w:val="22"/>
        </w:rPr>
        <w:t> </w:t>
      </w:r>
      <w:r>
        <w:rPr>
          <w:sz w:val="22"/>
        </w:rPr>
        <w:t>de</w:t>
      </w:r>
      <w:r>
        <w:rPr>
          <w:spacing w:val="-2"/>
          <w:sz w:val="22"/>
        </w:rPr>
        <w:t> </w:t>
      </w:r>
      <w:r>
        <w:rPr>
          <w:sz w:val="22"/>
        </w:rPr>
        <w:t>la</w:t>
      </w:r>
      <w:r>
        <w:rPr>
          <w:spacing w:val="-2"/>
          <w:sz w:val="22"/>
        </w:rPr>
        <w:t> </w:t>
      </w:r>
      <w:r>
        <w:rPr>
          <w:sz w:val="22"/>
        </w:rPr>
        <w:t>science,</w:t>
      </w:r>
      <w:r>
        <w:rPr>
          <w:spacing w:val="-2"/>
          <w:sz w:val="22"/>
        </w:rPr>
        <w:t> </w:t>
      </w:r>
      <w:r>
        <w:rPr>
          <w:sz w:val="22"/>
        </w:rPr>
        <w:t>de</w:t>
      </w:r>
      <w:r>
        <w:rPr>
          <w:spacing w:val="-4"/>
          <w:sz w:val="22"/>
        </w:rPr>
        <w:t> </w:t>
      </w:r>
      <w:r>
        <w:rPr>
          <w:sz w:val="22"/>
        </w:rPr>
        <w:t>la</w:t>
      </w:r>
      <w:r>
        <w:rPr>
          <w:spacing w:val="-4"/>
          <w:sz w:val="22"/>
        </w:rPr>
        <w:t> </w:t>
      </w:r>
      <w:r>
        <w:rPr>
          <w:sz w:val="22"/>
        </w:rPr>
        <w:t>technologie</w:t>
      </w:r>
      <w:r>
        <w:rPr>
          <w:spacing w:val="-2"/>
          <w:sz w:val="22"/>
        </w:rPr>
        <w:t> </w:t>
      </w:r>
      <w:r>
        <w:rPr>
          <w:sz w:val="22"/>
        </w:rPr>
        <w:t>et</w:t>
      </w:r>
      <w:r>
        <w:rPr>
          <w:spacing w:val="-1"/>
          <w:sz w:val="22"/>
        </w:rPr>
        <w:t> </w:t>
      </w:r>
      <w:r>
        <w:rPr>
          <w:sz w:val="22"/>
        </w:rPr>
        <w:t>de</w:t>
      </w:r>
      <w:r>
        <w:rPr>
          <w:spacing w:val="-4"/>
          <w:sz w:val="22"/>
        </w:rPr>
        <w:t> </w:t>
      </w:r>
      <w:r>
        <w:rPr>
          <w:sz w:val="22"/>
        </w:rPr>
        <w:t>l’innovation</w:t>
      </w:r>
      <w:r>
        <w:rPr>
          <w:spacing w:val="-5"/>
          <w:sz w:val="22"/>
        </w:rPr>
        <w:t> </w:t>
      </w:r>
      <w:r>
        <w:rPr>
          <w:sz w:val="22"/>
        </w:rPr>
        <w:t>ainsi</w:t>
      </w:r>
      <w:r>
        <w:rPr>
          <w:spacing w:val="-3"/>
          <w:sz w:val="22"/>
        </w:rPr>
        <w:t> </w:t>
      </w:r>
      <w:r>
        <w:rPr>
          <w:sz w:val="22"/>
        </w:rPr>
        <w:t>que</w:t>
      </w:r>
      <w:r>
        <w:rPr>
          <w:spacing w:val="-2"/>
          <w:sz w:val="22"/>
        </w:rPr>
        <w:t> </w:t>
      </w:r>
      <w:r>
        <w:rPr>
          <w:sz w:val="22"/>
        </w:rPr>
        <w:t>des politiques connexes au niveau de l’UE et au niveau national;</w:t>
      </w:r>
    </w:p>
    <w:p>
      <w:pPr>
        <w:pStyle w:val="ListParagraph"/>
        <w:numPr>
          <w:ilvl w:val="1"/>
          <w:numId w:val="2"/>
        </w:numPr>
        <w:tabs>
          <w:tab w:pos="1093" w:val="left" w:leader="none"/>
        </w:tabs>
        <w:spacing w:line="252" w:lineRule="exact" w:before="1" w:after="0"/>
        <w:ind w:left="1092" w:right="0" w:hanging="361"/>
        <w:jc w:val="left"/>
        <w:rPr>
          <w:sz w:val="22"/>
        </w:rPr>
      </w:pPr>
      <w:r>
        <w:rPr>
          <w:sz w:val="22"/>
        </w:rPr>
        <w:t>Contribuer</w:t>
      </w:r>
      <w:r>
        <w:rPr>
          <w:spacing w:val="-6"/>
          <w:sz w:val="22"/>
        </w:rPr>
        <w:t> </w:t>
      </w:r>
      <w:r>
        <w:rPr>
          <w:sz w:val="22"/>
        </w:rPr>
        <w:t>à</w:t>
      </w:r>
      <w:r>
        <w:rPr>
          <w:spacing w:val="-5"/>
          <w:sz w:val="22"/>
        </w:rPr>
        <w:t> </w:t>
      </w:r>
      <w:r>
        <w:rPr>
          <w:sz w:val="22"/>
        </w:rPr>
        <w:t>l’élaboration</w:t>
      </w:r>
      <w:r>
        <w:rPr>
          <w:spacing w:val="-3"/>
          <w:sz w:val="22"/>
        </w:rPr>
        <w:t> </w:t>
      </w:r>
      <w:r>
        <w:rPr>
          <w:sz w:val="22"/>
        </w:rPr>
        <w:t>de</w:t>
      </w:r>
      <w:r>
        <w:rPr>
          <w:spacing w:val="-3"/>
          <w:sz w:val="22"/>
        </w:rPr>
        <w:t> </w:t>
      </w:r>
      <w:r>
        <w:rPr>
          <w:sz w:val="22"/>
        </w:rPr>
        <w:t>scénarios</w:t>
      </w:r>
      <w:r>
        <w:rPr>
          <w:spacing w:val="-5"/>
          <w:sz w:val="22"/>
        </w:rPr>
        <w:t> </w:t>
      </w:r>
      <w:r>
        <w:rPr>
          <w:sz w:val="22"/>
        </w:rPr>
        <w:t>pour</w:t>
      </w:r>
      <w:r>
        <w:rPr>
          <w:spacing w:val="-5"/>
          <w:sz w:val="22"/>
        </w:rPr>
        <w:t> </w:t>
      </w:r>
      <w:r>
        <w:rPr>
          <w:sz w:val="22"/>
        </w:rPr>
        <w:t>l’avenir</w:t>
      </w:r>
      <w:r>
        <w:rPr>
          <w:spacing w:val="-5"/>
          <w:sz w:val="22"/>
        </w:rPr>
        <w:t> </w:t>
      </w:r>
      <w:r>
        <w:rPr>
          <w:sz w:val="22"/>
        </w:rPr>
        <w:t>et</w:t>
      </w:r>
      <w:r>
        <w:rPr>
          <w:spacing w:val="-5"/>
          <w:sz w:val="22"/>
        </w:rPr>
        <w:t> </w:t>
      </w:r>
      <w:r>
        <w:rPr>
          <w:sz w:val="22"/>
        </w:rPr>
        <w:t>identifier</w:t>
      </w:r>
      <w:r>
        <w:rPr>
          <w:spacing w:val="-4"/>
          <w:sz w:val="22"/>
        </w:rPr>
        <w:t> </w:t>
      </w:r>
      <w:r>
        <w:rPr>
          <w:sz w:val="22"/>
        </w:rPr>
        <w:t>les</w:t>
      </w:r>
      <w:r>
        <w:rPr>
          <w:spacing w:val="-4"/>
          <w:sz w:val="22"/>
        </w:rPr>
        <w:t> </w:t>
      </w:r>
      <w:r>
        <w:rPr>
          <w:sz w:val="22"/>
        </w:rPr>
        <w:t>grandes</w:t>
      </w:r>
      <w:r>
        <w:rPr>
          <w:spacing w:val="-4"/>
          <w:sz w:val="22"/>
        </w:rPr>
        <w:t> </w:t>
      </w:r>
      <w:r>
        <w:rPr>
          <w:spacing w:val="-2"/>
          <w:sz w:val="22"/>
        </w:rPr>
        <w:t>tendances;</w:t>
      </w:r>
    </w:p>
    <w:p>
      <w:pPr>
        <w:pStyle w:val="ListParagraph"/>
        <w:numPr>
          <w:ilvl w:val="1"/>
          <w:numId w:val="2"/>
        </w:numPr>
        <w:tabs>
          <w:tab w:pos="1093" w:val="left" w:leader="none"/>
        </w:tabs>
        <w:spacing w:line="240" w:lineRule="auto" w:before="0" w:after="0"/>
        <w:ind w:left="1092" w:right="112" w:hanging="361"/>
        <w:jc w:val="left"/>
        <w:rPr>
          <w:sz w:val="22"/>
        </w:rPr>
      </w:pPr>
      <w:r>
        <w:rPr>
          <w:sz w:val="22"/>
        </w:rPr>
        <w:t>Contribuer</w:t>
      </w:r>
      <w:r>
        <w:rPr>
          <w:spacing w:val="-2"/>
          <w:sz w:val="22"/>
        </w:rPr>
        <w:t> </w:t>
      </w:r>
      <w:r>
        <w:rPr>
          <w:sz w:val="22"/>
        </w:rPr>
        <w:t>à</w:t>
      </w:r>
      <w:r>
        <w:rPr>
          <w:spacing w:val="-4"/>
          <w:sz w:val="22"/>
        </w:rPr>
        <w:t> </w:t>
      </w:r>
      <w:r>
        <w:rPr>
          <w:sz w:val="22"/>
        </w:rPr>
        <w:t>la</w:t>
      </w:r>
      <w:r>
        <w:rPr>
          <w:spacing w:val="-4"/>
          <w:sz w:val="22"/>
        </w:rPr>
        <w:t> </w:t>
      </w:r>
      <w:r>
        <w:rPr>
          <w:sz w:val="22"/>
        </w:rPr>
        <w:t>coordination</w:t>
      </w:r>
      <w:r>
        <w:rPr>
          <w:spacing w:val="-2"/>
          <w:sz w:val="22"/>
        </w:rPr>
        <w:t> </w:t>
      </w:r>
      <w:r>
        <w:rPr>
          <w:sz w:val="22"/>
        </w:rPr>
        <w:t>des</w:t>
      </w:r>
      <w:r>
        <w:rPr>
          <w:spacing w:val="-2"/>
          <w:sz w:val="22"/>
        </w:rPr>
        <w:t> </w:t>
      </w:r>
      <w:r>
        <w:rPr>
          <w:sz w:val="22"/>
        </w:rPr>
        <w:t>activités</w:t>
      </w:r>
      <w:r>
        <w:rPr>
          <w:spacing w:val="-2"/>
          <w:sz w:val="22"/>
        </w:rPr>
        <w:t> </w:t>
      </w:r>
      <w:r>
        <w:rPr>
          <w:sz w:val="22"/>
        </w:rPr>
        <w:t>de</w:t>
      </w:r>
      <w:r>
        <w:rPr>
          <w:spacing w:val="-2"/>
          <w:sz w:val="22"/>
        </w:rPr>
        <w:t> </w:t>
      </w:r>
      <w:r>
        <w:rPr>
          <w:sz w:val="22"/>
        </w:rPr>
        <w:t>prospective</w:t>
      </w:r>
      <w:r>
        <w:rPr>
          <w:spacing w:val="-2"/>
          <w:sz w:val="22"/>
        </w:rPr>
        <w:t> </w:t>
      </w:r>
      <w:r>
        <w:rPr>
          <w:sz w:val="22"/>
        </w:rPr>
        <w:t>dans</w:t>
      </w:r>
      <w:r>
        <w:rPr>
          <w:spacing w:val="-2"/>
          <w:sz w:val="22"/>
        </w:rPr>
        <w:t> </w:t>
      </w:r>
      <w:r>
        <w:rPr>
          <w:sz w:val="22"/>
        </w:rPr>
        <w:t>l’ensemble</w:t>
      </w:r>
      <w:r>
        <w:rPr>
          <w:spacing w:val="-2"/>
          <w:sz w:val="22"/>
        </w:rPr>
        <w:t> </w:t>
      </w:r>
      <w:r>
        <w:rPr>
          <w:sz w:val="22"/>
        </w:rPr>
        <w:t>de</w:t>
      </w:r>
      <w:r>
        <w:rPr>
          <w:spacing w:val="-4"/>
          <w:sz w:val="22"/>
        </w:rPr>
        <w:t> </w:t>
      </w:r>
      <w:r>
        <w:rPr>
          <w:sz w:val="22"/>
        </w:rPr>
        <w:t>la</w:t>
      </w:r>
      <w:r>
        <w:rPr>
          <w:spacing w:val="-2"/>
          <w:sz w:val="22"/>
        </w:rPr>
        <w:t> </w:t>
      </w:r>
      <w:r>
        <w:rPr>
          <w:sz w:val="22"/>
        </w:rPr>
        <w:t>Commission,</w:t>
      </w:r>
      <w:r>
        <w:rPr>
          <w:spacing w:val="-2"/>
          <w:sz w:val="22"/>
        </w:rPr>
        <w:t> </w:t>
      </w:r>
      <w:r>
        <w:rPr>
          <w:sz w:val="22"/>
        </w:rPr>
        <w:t>à</w:t>
      </w:r>
      <w:r>
        <w:rPr>
          <w:spacing w:val="-4"/>
          <w:sz w:val="22"/>
        </w:rPr>
        <w:t> </w:t>
      </w:r>
      <w:r>
        <w:rPr>
          <w:sz w:val="22"/>
        </w:rPr>
        <w:t>l’analyse</w:t>
      </w:r>
      <w:r>
        <w:rPr>
          <w:spacing w:val="-2"/>
          <w:sz w:val="22"/>
        </w:rPr>
        <w:t> </w:t>
      </w:r>
      <w:r>
        <w:rPr>
          <w:sz w:val="22"/>
        </w:rPr>
        <w:t>des résultats de la prospective et à l’élaboration de données probantes fondées sur la prospective pour la politique de recherche et de développement;</w:t>
      </w:r>
    </w:p>
    <w:p>
      <w:pPr>
        <w:pStyle w:val="ListParagraph"/>
        <w:numPr>
          <w:ilvl w:val="1"/>
          <w:numId w:val="2"/>
        </w:numPr>
        <w:tabs>
          <w:tab w:pos="1093" w:val="left" w:leader="none"/>
        </w:tabs>
        <w:spacing w:line="240" w:lineRule="auto" w:before="0" w:after="0"/>
        <w:ind w:left="1092" w:right="244" w:hanging="361"/>
        <w:jc w:val="left"/>
        <w:rPr>
          <w:sz w:val="22"/>
        </w:rPr>
      </w:pPr>
      <w:r>
        <w:rPr>
          <w:sz w:val="22"/>
        </w:rPr>
        <w:t>Contribuer</w:t>
      </w:r>
      <w:r>
        <w:rPr>
          <w:spacing w:val="-2"/>
          <w:sz w:val="22"/>
        </w:rPr>
        <w:t> </w:t>
      </w:r>
      <w:r>
        <w:rPr>
          <w:sz w:val="22"/>
        </w:rPr>
        <w:t>au</w:t>
      </w:r>
      <w:r>
        <w:rPr>
          <w:spacing w:val="-4"/>
          <w:sz w:val="22"/>
        </w:rPr>
        <w:t> </w:t>
      </w:r>
      <w:r>
        <w:rPr>
          <w:sz w:val="22"/>
        </w:rPr>
        <w:t>lancement</w:t>
      </w:r>
      <w:r>
        <w:rPr>
          <w:spacing w:val="-1"/>
          <w:sz w:val="22"/>
        </w:rPr>
        <w:t> </w:t>
      </w:r>
      <w:r>
        <w:rPr>
          <w:sz w:val="22"/>
        </w:rPr>
        <w:t>d’études</w:t>
      </w:r>
      <w:r>
        <w:rPr>
          <w:spacing w:val="-2"/>
          <w:sz w:val="22"/>
        </w:rPr>
        <w:t> </w:t>
      </w:r>
      <w:r>
        <w:rPr>
          <w:sz w:val="22"/>
        </w:rPr>
        <w:t>et</w:t>
      </w:r>
      <w:r>
        <w:rPr>
          <w:spacing w:val="-1"/>
          <w:sz w:val="22"/>
        </w:rPr>
        <w:t> </w:t>
      </w:r>
      <w:r>
        <w:rPr>
          <w:sz w:val="22"/>
        </w:rPr>
        <w:t>de</w:t>
      </w:r>
      <w:r>
        <w:rPr>
          <w:spacing w:val="-4"/>
          <w:sz w:val="22"/>
        </w:rPr>
        <w:t> </w:t>
      </w:r>
      <w:r>
        <w:rPr>
          <w:sz w:val="22"/>
        </w:rPr>
        <w:t>consultations</w:t>
      </w:r>
      <w:r>
        <w:rPr>
          <w:spacing w:val="-2"/>
          <w:sz w:val="22"/>
        </w:rPr>
        <w:t> </w:t>
      </w:r>
      <w:r>
        <w:rPr>
          <w:sz w:val="22"/>
        </w:rPr>
        <w:t>prospectives,</w:t>
      </w:r>
      <w:r>
        <w:rPr>
          <w:spacing w:val="-2"/>
          <w:sz w:val="22"/>
        </w:rPr>
        <w:t> </w:t>
      </w:r>
      <w:r>
        <w:rPr>
          <w:sz w:val="22"/>
        </w:rPr>
        <w:t>analyser</w:t>
      </w:r>
      <w:r>
        <w:rPr>
          <w:spacing w:val="-4"/>
          <w:sz w:val="22"/>
        </w:rPr>
        <w:t> </w:t>
      </w:r>
      <w:r>
        <w:rPr>
          <w:sz w:val="22"/>
        </w:rPr>
        <w:t>et</w:t>
      </w:r>
      <w:r>
        <w:rPr>
          <w:spacing w:val="-4"/>
          <w:sz w:val="22"/>
        </w:rPr>
        <w:t> </w:t>
      </w:r>
      <w:r>
        <w:rPr>
          <w:sz w:val="22"/>
        </w:rPr>
        <w:t>diffuser</w:t>
      </w:r>
      <w:r>
        <w:rPr>
          <w:spacing w:val="-4"/>
          <w:sz w:val="22"/>
        </w:rPr>
        <w:t> </w:t>
      </w:r>
      <w:r>
        <w:rPr>
          <w:sz w:val="22"/>
        </w:rPr>
        <w:t>leurs</w:t>
      </w:r>
      <w:r>
        <w:rPr>
          <w:spacing w:val="-4"/>
          <w:sz w:val="22"/>
        </w:rPr>
        <w:t> </w:t>
      </w:r>
      <w:r>
        <w:rPr>
          <w:sz w:val="22"/>
        </w:rPr>
        <w:t>résultats</w:t>
      </w:r>
      <w:r>
        <w:rPr>
          <w:spacing w:val="-2"/>
          <w:sz w:val="22"/>
        </w:rPr>
        <w:t> </w:t>
      </w:r>
      <w:r>
        <w:rPr>
          <w:sz w:val="22"/>
        </w:rPr>
        <w:t>dans le cadre de la politique de l’UE;</w:t>
      </w:r>
    </w:p>
    <w:p>
      <w:pPr>
        <w:pStyle w:val="BodyText"/>
        <w:rPr>
          <w:sz w:val="20"/>
        </w:rPr>
      </w:pPr>
    </w:p>
    <w:p>
      <w:pPr>
        <w:pStyle w:val="BodyText"/>
        <w:spacing w:before="7"/>
        <w:rPr>
          <w:sz w:val="12"/>
        </w:rPr>
      </w:pPr>
      <w:r>
        <w:rPr/>
        <w:pict>
          <v:rect style="position:absolute;margin-left:42.599998pt;margin-top:8.454185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1182"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093" w:val="left" w:leader="none"/>
        </w:tabs>
        <w:spacing w:line="240" w:lineRule="auto" w:before="68" w:after="0"/>
        <w:ind w:left="1092" w:right="522" w:hanging="361"/>
        <w:jc w:val="left"/>
        <w:rPr>
          <w:sz w:val="22"/>
        </w:rPr>
      </w:pPr>
      <w:r>
        <w:rPr>
          <w:sz w:val="22"/>
        </w:rPr>
        <w:t>Contribuer</w:t>
      </w:r>
      <w:r>
        <w:rPr>
          <w:spacing w:val="-2"/>
          <w:sz w:val="22"/>
        </w:rPr>
        <w:t> </w:t>
      </w:r>
      <w:r>
        <w:rPr>
          <w:sz w:val="22"/>
        </w:rPr>
        <w:t>aux</w:t>
      </w:r>
      <w:r>
        <w:rPr>
          <w:spacing w:val="-2"/>
          <w:sz w:val="22"/>
        </w:rPr>
        <w:t> </w:t>
      </w:r>
      <w:r>
        <w:rPr>
          <w:sz w:val="22"/>
        </w:rPr>
        <w:t>activités</w:t>
      </w:r>
      <w:r>
        <w:rPr>
          <w:spacing w:val="-2"/>
          <w:sz w:val="22"/>
        </w:rPr>
        <w:t> </w:t>
      </w:r>
      <w:r>
        <w:rPr>
          <w:sz w:val="22"/>
        </w:rPr>
        <w:t>de</w:t>
      </w:r>
      <w:r>
        <w:rPr>
          <w:spacing w:val="-4"/>
          <w:sz w:val="22"/>
        </w:rPr>
        <w:t> </w:t>
      </w:r>
      <w:r>
        <w:rPr>
          <w:sz w:val="22"/>
        </w:rPr>
        <w:t>communication</w:t>
      </w:r>
      <w:r>
        <w:rPr>
          <w:spacing w:val="-2"/>
          <w:sz w:val="22"/>
        </w:rPr>
        <w:t> </w:t>
      </w:r>
      <w:r>
        <w:rPr>
          <w:sz w:val="22"/>
        </w:rPr>
        <w:t>interne</w:t>
      </w:r>
      <w:r>
        <w:rPr>
          <w:spacing w:val="-4"/>
          <w:sz w:val="22"/>
        </w:rPr>
        <w:t> </w:t>
      </w:r>
      <w:r>
        <w:rPr>
          <w:sz w:val="22"/>
        </w:rPr>
        <w:t>et</w:t>
      </w:r>
      <w:r>
        <w:rPr>
          <w:spacing w:val="-4"/>
          <w:sz w:val="22"/>
        </w:rPr>
        <w:t> </w:t>
      </w:r>
      <w:r>
        <w:rPr>
          <w:sz w:val="22"/>
        </w:rPr>
        <w:t>externe,</w:t>
      </w:r>
      <w:r>
        <w:rPr>
          <w:spacing w:val="-4"/>
          <w:sz w:val="22"/>
        </w:rPr>
        <w:t> </w:t>
      </w:r>
      <w:r>
        <w:rPr>
          <w:sz w:val="22"/>
        </w:rPr>
        <w:t>telles</w:t>
      </w:r>
      <w:r>
        <w:rPr>
          <w:spacing w:val="-2"/>
          <w:sz w:val="22"/>
        </w:rPr>
        <w:t> </w:t>
      </w:r>
      <w:r>
        <w:rPr>
          <w:sz w:val="22"/>
        </w:rPr>
        <w:t>que</w:t>
      </w:r>
      <w:r>
        <w:rPr>
          <w:spacing w:val="-4"/>
          <w:sz w:val="22"/>
        </w:rPr>
        <w:t> </w:t>
      </w:r>
      <w:r>
        <w:rPr>
          <w:sz w:val="22"/>
        </w:rPr>
        <w:t>les</w:t>
      </w:r>
      <w:r>
        <w:rPr>
          <w:spacing w:val="-2"/>
          <w:sz w:val="22"/>
        </w:rPr>
        <w:t> </w:t>
      </w:r>
      <w:r>
        <w:rPr>
          <w:sz w:val="22"/>
        </w:rPr>
        <w:t>bulletins</w:t>
      </w:r>
      <w:r>
        <w:rPr>
          <w:spacing w:val="-2"/>
          <w:sz w:val="22"/>
        </w:rPr>
        <w:t> </w:t>
      </w:r>
      <w:r>
        <w:rPr>
          <w:sz w:val="22"/>
        </w:rPr>
        <w:t>d’information,</w:t>
      </w:r>
      <w:r>
        <w:rPr>
          <w:spacing w:val="-5"/>
          <w:sz w:val="22"/>
        </w:rPr>
        <w:t> </w:t>
      </w:r>
      <w:r>
        <w:rPr>
          <w:sz w:val="22"/>
        </w:rPr>
        <w:t>les blogs et les conférences;</w:t>
      </w:r>
    </w:p>
    <w:p>
      <w:pPr>
        <w:pStyle w:val="ListParagraph"/>
        <w:numPr>
          <w:ilvl w:val="1"/>
          <w:numId w:val="2"/>
        </w:numPr>
        <w:tabs>
          <w:tab w:pos="1093" w:val="left" w:leader="none"/>
        </w:tabs>
        <w:spacing w:line="240" w:lineRule="auto" w:before="1" w:after="0"/>
        <w:ind w:left="1092" w:right="1220" w:hanging="361"/>
        <w:jc w:val="left"/>
        <w:rPr>
          <w:sz w:val="22"/>
        </w:rPr>
      </w:pPr>
      <w:r>
        <w:rPr>
          <w:sz w:val="22"/>
        </w:rPr>
        <w:t>Apporter</w:t>
      </w:r>
      <w:r>
        <w:rPr>
          <w:spacing w:val="-1"/>
          <w:sz w:val="22"/>
        </w:rPr>
        <w:t> </w:t>
      </w:r>
      <w:r>
        <w:rPr>
          <w:sz w:val="22"/>
        </w:rPr>
        <w:t>un</w:t>
      </w:r>
      <w:r>
        <w:rPr>
          <w:spacing w:val="-5"/>
          <w:sz w:val="22"/>
        </w:rPr>
        <w:t> </w:t>
      </w:r>
      <w:r>
        <w:rPr>
          <w:sz w:val="22"/>
        </w:rPr>
        <w:t>soutien</w:t>
      </w:r>
      <w:r>
        <w:rPr>
          <w:spacing w:val="-2"/>
          <w:sz w:val="22"/>
        </w:rPr>
        <w:t> </w:t>
      </w:r>
      <w:r>
        <w:rPr>
          <w:sz w:val="22"/>
        </w:rPr>
        <w:t>aux</w:t>
      </w:r>
      <w:r>
        <w:rPr>
          <w:spacing w:val="-5"/>
          <w:sz w:val="22"/>
        </w:rPr>
        <w:t> </w:t>
      </w:r>
      <w:r>
        <w:rPr>
          <w:sz w:val="22"/>
        </w:rPr>
        <w:t>activités</w:t>
      </w:r>
      <w:r>
        <w:rPr>
          <w:spacing w:val="-2"/>
          <w:sz w:val="22"/>
        </w:rPr>
        <w:t> </w:t>
      </w:r>
      <w:r>
        <w:rPr>
          <w:sz w:val="22"/>
        </w:rPr>
        <w:t>générales</w:t>
      </w:r>
      <w:r>
        <w:rPr>
          <w:spacing w:val="-4"/>
          <w:sz w:val="22"/>
        </w:rPr>
        <w:t> </w:t>
      </w:r>
      <w:r>
        <w:rPr>
          <w:sz w:val="22"/>
        </w:rPr>
        <w:t>de</w:t>
      </w:r>
      <w:r>
        <w:rPr>
          <w:spacing w:val="-4"/>
          <w:sz w:val="22"/>
        </w:rPr>
        <w:t> </w:t>
      </w:r>
      <w:r>
        <w:rPr>
          <w:sz w:val="22"/>
        </w:rPr>
        <w:t>l’unité</w:t>
      </w:r>
      <w:r>
        <w:rPr>
          <w:spacing w:val="-2"/>
          <w:sz w:val="22"/>
        </w:rPr>
        <w:t> </w:t>
      </w:r>
      <w:r>
        <w:rPr>
          <w:sz w:val="22"/>
        </w:rPr>
        <w:t>et</w:t>
      </w:r>
      <w:r>
        <w:rPr>
          <w:spacing w:val="-1"/>
          <w:sz w:val="22"/>
        </w:rPr>
        <w:t> </w:t>
      </w:r>
      <w:r>
        <w:rPr>
          <w:sz w:val="22"/>
        </w:rPr>
        <w:t>d’autres</w:t>
      </w:r>
      <w:r>
        <w:rPr>
          <w:spacing w:val="-4"/>
          <w:sz w:val="22"/>
        </w:rPr>
        <w:t> </w:t>
      </w:r>
      <w:r>
        <w:rPr>
          <w:sz w:val="22"/>
        </w:rPr>
        <w:t>équipes,</w:t>
      </w:r>
      <w:r>
        <w:rPr>
          <w:spacing w:val="-5"/>
          <w:sz w:val="22"/>
        </w:rPr>
        <w:t> </w:t>
      </w:r>
      <w:r>
        <w:rPr>
          <w:sz w:val="22"/>
        </w:rPr>
        <w:t>telles</w:t>
      </w:r>
      <w:r>
        <w:rPr>
          <w:spacing w:val="-2"/>
          <w:sz w:val="22"/>
        </w:rPr>
        <w:t> </w:t>
      </w:r>
      <w:r>
        <w:rPr>
          <w:sz w:val="22"/>
        </w:rPr>
        <w:t>que</w:t>
      </w:r>
      <w:r>
        <w:rPr>
          <w:spacing w:val="-2"/>
          <w:sz w:val="22"/>
        </w:rPr>
        <w:t> </w:t>
      </w:r>
      <w:r>
        <w:rPr>
          <w:sz w:val="22"/>
        </w:rPr>
        <w:t>les</w:t>
      </w:r>
      <w:r>
        <w:rPr>
          <w:spacing w:val="-2"/>
          <w:sz w:val="22"/>
        </w:rPr>
        <w:t> </w:t>
      </w:r>
      <w:r>
        <w:rPr>
          <w:sz w:val="22"/>
        </w:rPr>
        <w:t>équipes économiques et stratégiques.</w:t>
      </w:r>
    </w:p>
    <w:p>
      <w:pPr>
        <w:pStyle w:val="ListParagraph"/>
        <w:numPr>
          <w:ilvl w:val="0"/>
          <w:numId w:val="2"/>
        </w:numPr>
        <w:tabs>
          <w:tab w:pos="799" w:val="left" w:leader="none"/>
          <w:tab w:pos="800" w:val="left" w:leader="none"/>
        </w:tabs>
        <w:spacing w:line="240" w:lineRule="auto" w:before="6" w:after="0"/>
        <w:ind w:left="79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spacing w:before="11"/>
        <w:rPr>
          <w:b/>
          <w:sz w:val="15"/>
        </w:rPr>
      </w:pPr>
    </w:p>
    <w:p>
      <w:pPr>
        <w:pStyle w:val="Heading1"/>
        <w:numPr>
          <w:ilvl w:val="0"/>
          <w:numId w:val="3"/>
        </w:numPr>
        <w:tabs>
          <w:tab w:pos="1040" w:val="left" w:leader="none"/>
        </w:tabs>
        <w:spacing w:line="240" w:lineRule="auto" w:before="92" w:after="0"/>
        <w:ind w:left="1039" w:right="0" w:hanging="241"/>
        <w:jc w:val="left"/>
        <w:rPr>
          <w:u w:val="none"/>
        </w:rPr>
      </w:pPr>
      <w:r>
        <w:rPr>
          <w:u w:val="none"/>
        </w:rPr>
        <w:t>Critères</w:t>
      </w:r>
      <w:r>
        <w:rPr>
          <w:spacing w:val="-6"/>
          <w:u w:val="none"/>
        </w:rPr>
        <w:t> </w:t>
      </w:r>
      <w:r>
        <w:rPr>
          <w:spacing w:val="-2"/>
          <w:u w:val="none"/>
        </w:rPr>
        <w:t>d'éligibilité</w:t>
      </w:r>
    </w:p>
    <w:p>
      <w:pPr>
        <w:pStyle w:val="BodyText"/>
        <w:spacing w:before="6"/>
        <w:rPr>
          <w:b/>
          <w:sz w:val="21"/>
        </w:rPr>
      </w:pPr>
    </w:p>
    <w:p>
      <w:pPr>
        <w:pStyle w:val="BodyText"/>
        <w:spacing w:before="1"/>
        <w:ind w:left="799" w:right="109"/>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0"/>
          <w:numId w:val="4"/>
        </w:numPr>
        <w:tabs>
          <w:tab w:pos="1081" w:val="left" w:leader="none"/>
        </w:tabs>
        <w:spacing w:line="240" w:lineRule="auto" w:before="1" w:after="0"/>
        <w:ind w:left="1080" w:right="108"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0"/>
        <w:rPr>
          <w:sz w:val="21"/>
        </w:rPr>
      </w:pPr>
    </w:p>
    <w:p>
      <w:pPr>
        <w:pStyle w:val="ListParagraph"/>
        <w:numPr>
          <w:ilvl w:val="0"/>
          <w:numId w:val="4"/>
        </w:numPr>
        <w:tabs>
          <w:tab w:pos="1081" w:val="left" w:leader="none"/>
        </w:tabs>
        <w:spacing w:line="240" w:lineRule="auto" w:before="0" w:after="0"/>
        <w:ind w:left="108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0"/>
          <w:numId w:val="4"/>
        </w:numPr>
        <w:tabs>
          <w:tab w:pos="1081" w:val="left" w:leader="none"/>
        </w:tabs>
        <w:spacing w:line="240" w:lineRule="auto" w:before="0" w:after="0"/>
        <w:ind w:left="1080" w:right="103"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0"/>
          <w:numId w:val="3"/>
        </w:numPr>
        <w:tabs>
          <w:tab w:pos="1081" w:val="left" w:leader="none"/>
        </w:tabs>
        <w:spacing w:line="240" w:lineRule="auto" w:before="0" w:after="0"/>
        <w:ind w:left="108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before="91"/>
        <w:ind w:left="1080"/>
      </w:pPr>
      <w:r>
        <w:rPr>
          <w:spacing w:val="-2"/>
          <w:u w:val="single"/>
        </w:rPr>
        <w:t>Diplôme</w:t>
      </w:r>
    </w:p>
    <w:p>
      <w:pPr>
        <w:pStyle w:val="ListParagraph"/>
        <w:numPr>
          <w:ilvl w:val="1"/>
          <w:numId w:val="3"/>
        </w:numPr>
        <w:tabs>
          <w:tab w:pos="1206" w:val="left" w:leader="none"/>
        </w:tabs>
        <w:spacing w:line="253" w:lineRule="exact" w:before="2" w:after="0"/>
        <w:ind w:left="120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3"/>
        </w:numPr>
        <w:tabs>
          <w:tab w:pos="1206" w:val="left" w:leader="none"/>
        </w:tabs>
        <w:spacing w:line="253" w:lineRule="exact" w:before="0" w:after="0"/>
        <w:ind w:left="120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5"/>
          <w:sz w:val="22"/>
        </w:rPr>
        <w:t> </w:t>
      </w:r>
      <w:r>
        <w:rPr>
          <w:sz w:val="22"/>
        </w:rPr>
        <w:t>expérience</w:t>
      </w:r>
      <w:r>
        <w:rPr>
          <w:spacing w:val="-6"/>
          <w:sz w:val="22"/>
        </w:rPr>
        <w:t> </w:t>
      </w:r>
      <w:r>
        <w:rPr>
          <w:sz w:val="22"/>
        </w:rPr>
        <w:t>professionnelle</w:t>
      </w:r>
      <w:r>
        <w:rPr>
          <w:spacing w:val="-6"/>
          <w:sz w:val="22"/>
        </w:rPr>
        <w:t> </w:t>
      </w:r>
      <w:r>
        <w:rPr>
          <w:sz w:val="22"/>
        </w:rPr>
        <w:t>de</w:t>
      </w:r>
      <w:r>
        <w:rPr>
          <w:spacing w:val="-1"/>
          <w:sz w:val="22"/>
        </w:rPr>
        <w:t> </w:t>
      </w:r>
      <w:r>
        <w:rPr>
          <w:sz w:val="22"/>
        </w:rPr>
        <w:t>niveau</w:t>
      </w:r>
      <w:r>
        <w:rPr>
          <w:spacing w:val="-4"/>
          <w:sz w:val="22"/>
        </w:rPr>
        <w:t> </w:t>
      </w:r>
      <w:r>
        <w:rPr>
          <w:spacing w:val="-2"/>
          <w:sz w:val="22"/>
        </w:rPr>
        <w:t>équivalent</w:t>
      </w:r>
    </w:p>
    <w:p>
      <w:pPr>
        <w:pStyle w:val="BodyText"/>
      </w:pPr>
    </w:p>
    <w:p>
      <w:pPr>
        <w:pStyle w:val="BodyText"/>
        <w:ind w:left="1080" w:right="1182" w:firstLine="110"/>
      </w:pPr>
      <w:r>
        <w:rPr/>
        <w:t>dans</w:t>
      </w:r>
      <w:r>
        <w:rPr>
          <w:spacing w:val="-4"/>
        </w:rPr>
        <w:t> </w:t>
      </w:r>
      <w:r>
        <w:rPr/>
        <w:t>le(s)</w:t>
      </w:r>
      <w:r>
        <w:rPr>
          <w:spacing w:val="-4"/>
        </w:rPr>
        <w:t> </w:t>
      </w:r>
      <w:r>
        <w:rPr/>
        <w:t>domaine(s)</w:t>
      </w:r>
      <w:r>
        <w:rPr>
          <w:spacing w:val="-2"/>
        </w:rPr>
        <w:t> </w:t>
      </w:r>
      <w:r>
        <w:rPr/>
        <w:t>:</w:t>
      </w:r>
      <w:r>
        <w:rPr>
          <w:spacing w:val="-1"/>
        </w:rPr>
        <w:t> </w:t>
      </w:r>
      <w:r>
        <w:rPr/>
        <w:t>la</w:t>
      </w:r>
      <w:r>
        <w:rPr>
          <w:spacing w:val="-4"/>
        </w:rPr>
        <w:t> </w:t>
      </w:r>
      <w:r>
        <w:rPr/>
        <w:t>science,</w:t>
      </w:r>
      <w:r>
        <w:rPr>
          <w:spacing w:val="-5"/>
        </w:rPr>
        <w:t> </w:t>
      </w:r>
      <w:r>
        <w:rPr/>
        <w:t>la</w:t>
      </w:r>
      <w:r>
        <w:rPr>
          <w:spacing w:val="-4"/>
        </w:rPr>
        <w:t> </w:t>
      </w:r>
      <w:r>
        <w:rPr/>
        <w:t>recherche</w:t>
      </w:r>
      <w:r>
        <w:rPr>
          <w:spacing w:val="-4"/>
        </w:rPr>
        <w:t> </w:t>
      </w:r>
      <w:r>
        <w:rPr/>
        <w:t>et</w:t>
      </w:r>
      <w:r>
        <w:rPr>
          <w:spacing w:val="-4"/>
        </w:rPr>
        <w:t> </w:t>
      </w:r>
      <w:r>
        <w:rPr/>
        <w:t>le</w:t>
      </w:r>
      <w:r>
        <w:rPr>
          <w:spacing w:val="-2"/>
        </w:rPr>
        <w:t> </w:t>
      </w:r>
      <w:r>
        <w:rPr/>
        <w:t>développement,</w:t>
      </w:r>
      <w:r>
        <w:rPr>
          <w:spacing w:val="-2"/>
        </w:rPr>
        <w:t> </w:t>
      </w:r>
      <w:r>
        <w:rPr/>
        <w:t>et</w:t>
      </w:r>
      <w:r>
        <w:rPr>
          <w:spacing w:val="-1"/>
        </w:rPr>
        <w:t> </w:t>
      </w:r>
      <w:r>
        <w:rPr/>
        <w:t>l’innovation. </w:t>
      </w:r>
      <w:r>
        <w:rPr>
          <w:u w:val="single"/>
        </w:rPr>
        <w:t>Expérience professionnelle</w:t>
      </w:r>
    </w:p>
    <w:p>
      <w:pPr>
        <w:pStyle w:val="BodyText"/>
        <w:rPr>
          <w:sz w:val="14"/>
        </w:rPr>
      </w:pPr>
    </w:p>
    <w:p>
      <w:pPr>
        <w:pStyle w:val="BodyText"/>
        <w:spacing w:before="92"/>
        <w:ind w:left="1080" w:right="170"/>
        <w:jc w:val="both"/>
      </w:pPr>
      <w:r>
        <w:rPr>
          <w:u w:val="single"/>
        </w:rPr>
        <w:t>L’expert aura une expérience pluridisciplinaire et une connaissance approfondie de l’élaboration des</w:t>
      </w:r>
      <w:r>
        <w:rPr/>
        <w:t> </w:t>
      </w:r>
      <w:r>
        <w:rPr>
          <w:u w:val="single"/>
        </w:rPr>
        <w:t>politiques. Il/elle aura au moins 2 ans d’expérience dans l’analyse des politiques. En outre, une expérience</w:t>
      </w:r>
      <w:r>
        <w:rPr/>
        <w:t> </w:t>
      </w:r>
      <w:r>
        <w:rPr>
          <w:u w:val="single"/>
        </w:rPr>
        <w:t>avérée de la prospective dans le domaine de la recherche et de la recherche constituerait un atout majeur.</w:t>
      </w:r>
    </w:p>
    <w:p>
      <w:pPr>
        <w:pStyle w:val="BodyText"/>
        <w:spacing w:line="252" w:lineRule="exact"/>
        <w:ind w:left="108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1"/>
        <w:rPr>
          <w:sz w:val="14"/>
        </w:rPr>
      </w:pPr>
    </w:p>
    <w:p>
      <w:pPr>
        <w:pStyle w:val="BodyText"/>
        <w:spacing w:before="91"/>
        <w:ind w:left="1080" w:right="165"/>
      </w:pPr>
      <w:r>
        <w:rPr>
          <w:u w:val="single"/>
        </w:rPr>
        <w:t>Une</w:t>
      </w:r>
      <w:r>
        <w:rPr>
          <w:spacing w:val="27"/>
          <w:u w:val="single"/>
        </w:rPr>
        <w:t> </w:t>
      </w:r>
      <w:r>
        <w:rPr>
          <w:u w:val="single"/>
        </w:rPr>
        <w:t>connaissance</w:t>
      </w:r>
      <w:r>
        <w:rPr>
          <w:spacing w:val="27"/>
          <w:u w:val="single"/>
        </w:rPr>
        <w:t> </w:t>
      </w:r>
      <w:r>
        <w:rPr>
          <w:u w:val="single"/>
        </w:rPr>
        <w:t>approfondie</w:t>
      </w:r>
      <w:r>
        <w:rPr>
          <w:spacing w:val="27"/>
          <w:u w:val="single"/>
        </w:rPr>
        <w:t> </w:t>
      </w:r>
      <w:r>
        <w:rPr>
          <w:u w:val="single"/>
        </w:rPr>
        <w:t>d’une</w:t>
      </w:r>
      <w:r>
        <w:rPr>
          <w:spacing w:val="24"/>
          <w:u w:val="single"/>
        </w:rPr>
        <w:t> </w:t>
      </w:r>
      <w:r>
        <w:rPr>
          <w:u w:val="single"/>
        </w:rPr>
        <w:t>des</w:t>
      </w:r>
      <w:r>
        <w:rPr>
          <w:spacing w:val="25"/>
          <w:u w:val="single"/>
        </w:rPr>
        <w:t> </w:t>
      </w:r>
      <w:r>
        <w:rPr>
          <w:u w:val="single"/>
        </w:rPr>
        <w:t>langues</w:t>
      </w:r>
      <w:r>
        <w:rPr>
          <w:spacing w:val="25"/>
          <w:u w:val="single"/>
        </w:rPr>
        <w:t> </w:t>
      </w:r>
      <w:r>
        <w:rPr>
          <w:u w:val="single"/>
        </w:rPr>
        <w:t>de</w:t>
      </w:r>
      <w:r>
        <w:rPr>
          <w:spacing w:val="24"/>
          <w:u w:val="single"/>
        </w:rPr>
        <w:t> </w:t>
      </w:r>
      <w:r>
        <w:rPr>
          <w:u w:val="single"/>
        </w:rPr>
        <w:t>l’UE</w:t>
      </w:r>
      <w:r>
        <w:rPr>
          <w:spacing w:val="26"/>
          <w:u w:val="single"/>
        </w:rPr>
        <w:t> </w:t>
      </w:r>
      <w:r>
        <w:rPr>
          <w:u w:val="single"/>
        </w:rPr>
        <w:t>et</w:t>
      </w:r>
      <w:r>
        <w:rPr>
          <w:spacing w:val="27"/>
          <w:u w:val="single"/>
        </w:rPr>
        <w:t> </w:t>
      </w:r>
      <w:r>
        <w:rPr>
          <w:u w:val="single"/>
        </w:rPr>
        <w:t>une</w:t>
      </w:r>
      <w:r>
        <w:rPr>
          <w:spacing w:val="24"/>
          <w:u w:val="single"/>
        </w:rPr>
        <w:t> </w:t>
      </w:r>
      <w:r>
        <w:rPr>
          <w:u w:val="single"/>
        </w:rPr>
        <w:t>connaissance</w:t>
      </w:r>
      <w:r>
        <w:rPr>
          <w:spacing w:val="24"/>
          <w:u w:val="single"/>
        </w:rPr>
        <w:t> </w:t>
      </w:r>
      <w:r>
        <w:rPr>
          <w:u w:val="single"/>
        </w:rPr>
        <w:t>satisfaisante</w:t>
      </w:r>
      <w:r>
        <w:rPr>
          <w:spacing w:val="27"/>
          <w:u w:val="single"/>
        </w:rPr>
        <w:t> </w:t>
      </w:r>
      <w:r>
        <w:rPr>
          <w:u w:val="single"/>
        </w:rPr>
        <w:t>d’une</w:t>
      </w:r>
      <w:r>
        <w:rPr>
          <w:spacing w:val="24"/>
          <w:u w:val="single"/>
        </w:rPr>
        <w:t> </w:t>
      </w:r>
      <w:r>
        <w:rPr>
          <w:u w:val="single"/>
        </w:rPr>
        <w:t>autre</w:t>
      </w:r>
      <w:r>
        <w:rPr/>
        <w:t> </w:t>
      </w:r>
      <w:r>
        <w:rPr>
          <w:u w:val="single"/>
        </w:rPr>
        <w:t>langue de l’UE sont requises. Une excellente maîtrise de l’anglais écrit et oral est essentielle.</w:t>
      </w:r>
    </w:p>
    <w:p>
      <w:pPr>
        <w:pStyle w:val="ListParagraph"/>
        <w:numPr>
          <w:ilvl w:val="0"/>
          <w:numId w:val="2"/>
        </w:numPr>
        <w:tabs>
          <w:tab w:pos="799" w:val="left" w:leader="none"/>
          <w:tab w:pos="800" w:val="left" w:leader="none"/>
        </w:tabs>
        <w:spacing w:line="240" w:lineRule="auto" w:before="6"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2"/>
        <w:ind w:left="79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79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800" w:val="left" w:leader="none"/>
        </w:tabs>
        <w:spacing w:line="240" w:lineRule="auto" w:before="4" w:after="0"/>
        <w:ind w:left="79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spacing w:after="0" w:line="240" w:lineRule="auto"/>
        <w:jc w:val="both"/>
        <w:rPr>
          <w:sz w:val="24"/>
        </w:rPr>
        <w:sectPr>
          <w:pgSz w:w="11910" w:h="16840"/>
          <w:pgMar w:header="0" w:footer="690" w:top="1040" w:bottom="880" w:left="480" w:right="740"/>
        </w:sectPr>
      </w:pPr>
    </w:p>
    <w:p>
      <w:pPr>
        <w:pStyle w:val="BodyText"/>
        <w:spacing w:before="68"/>
        <w:ind w:left="799" w:right="279"/>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3"/>
        <w:rPr>
          <w:sz w:val="14"/>
        </w:rPr>
      </w:pPr>
    </w:p>
    <w:p>
      <w:pPr>
        <w:pStyle w:val="BodyText"/>
        <w:spacing w:before="92"/>
        <w:ind w:left="799" w:right="165"/>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8"/>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799" w:right="165"/>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9" w:right="165"/>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79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5"/>
        </w:rPr>
        <w:t> </w:t>
      </w:r>
      <w:r>
        <w:rPr/>
        <w:t>refus</w:t>
      </w:r>
      <w:r>
        <w:rPr>
          <w:spacing w:val="-4"/>
        </w:rPr>
        <w:t> </w:t>
      </w:r>
      <w:r>
        <w:rPr/>
        <w:t>de</w:t>
      </w:r>
      <w:r>
        <w:rPr>
          <w:spacing w:val="-3"/>
        </w:rPr>
        <w:t> </w:t>
      </w:r>
      <w:r>
        <w:rPr/>
        <w:t>la</w:t>
      </w:r>
      <w:r>
        <w:rPr>
          <w:spacing w:val="1"/>
        </w:rPr>
        <w:t> </w:t>
      </w:r>
      <w:r>
        <w:rPr>
          <w:spacing w:val="-2"/>
        </w:rPr>
        <w:t>candidature.</w:t>
      </w:r>
    </w:p>
    <w:p>
      <w:pPr>
        <w:pStyle w:val="BodyText"/>
        <w:spacing w:before="7"/>
        <w:rPr>
          <w:sz w:val="20"/>
        </w:rPr>
      </w:pPr>
    </w:p>
    <w:p>
      <w:pPr>
        <w:pStyle w:val="BodyText"/>
        <w:spacing w:before="1"/>
        <w:ind w:left="79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799" w:right="278"/>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1"/>
        </w:rPr>
        <w:t> </w:t>
      </w:r>
      <w:r>
        <w:rPr/>
        <w:t>l'unité HR.DDG.B4. Ce traitement est basé sur</w:t>
      </w:r>
      <w:r>
        <w:rPr>
          <w:spacing w:val="-1"/>
        </w:rPr>
        <w:t> </w:t>
      </w:r>
      <w:r>
        <w:rPr/>
        <w:t>la décision de</w:t>
      </w:r>
      <w:r>
        <w:rPr>
          <w:spacing w:val="-1"/>
        </w:rPr>
        <w:t> </w:t>
      </w:r>
      <w:r>
        <w:rPr/>
        <w:t>la Commission relative aux END et est soumis au Règlement (UE) No 2018/1725.</w:t>
      </w:r>
    </w:p>
    <w:p>
      <w:pPr>
        <w:pStyle w:val="BodyText"/>
        <w:ind w:left="799" w:right="289"/>
        <w:jc w:val="both"/>
      </w:pPr>
      <w:r>
        <w:rPr/>
        <w:t>Les données des END seront conservées pendant 10 ans à compter de la fin du détachement (2 ans pour les END dont la candidature n'a pas été retenue ou a été retirée).</w:t>
      </w:r>
    </w:p>
    <w:p>
      <w:pPr>
        <w:pStyle w:val="BodyText"/>
        <w:ind w:left="799"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9"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spacing w:before="1"/>
        <w:ind w:left="79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5"/>
        </w:numPr>
        <w:tabs>
          <w:tab w:pos="1081" w:val="left" w:leader="none"/>
        </w:tabs>
        <w:spacing w:line="252" w:lineRule="exact" w:before="92" w:after="0"/>
        <w:ind w:left="108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79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pStyle w:val="BodyText"/>
        <w:rPr>
          <w:sz w:val="14"/>
        </w:rPr>
      </w:pPr>
    </w:p>
    <w:p>
      <w:pPr>
        <w:pStyle w:val="Heading1"/>
        <w:numPr>
          <w:ilvl w:val="0"/>
          <w:numId w:val="5"/>
        </w:numPr>
        <w:tabs>
          <w:tab w:pos="1081" w:val="left" w:leader="none"/>
        </w:tabs>
        <w:spacing w:line="240" w:lineRule="auto" w:before="91" w:after="0"/>
        <w:ind w:left="108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2"/>
        <w:ind w:left="799" w:right="27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1081" w:val="left" w:leader="none"/>
        </w:tabs>
        <w:spacing w:line="240" w:lineRule="auto" w:before="4" w:after="0"/>
        <w:ind w:left="108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2"/>
        <w:ind w:left="799" w:right="279"/>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9"/>
        <w:rPr>
          <w:sz w:val="21"/>
        </w:rPr>
      </w:pPr>
    </w:p>
    <w:p>
      <w:pPr>
        <w:pStyle w:val="BodyText"/>
        <w:ind w:left="799" w:right="165"/>
      </w:pPr>
      <w:r>
        <w:rPr/>
        <w:t>À l'attention des candidats ressortissant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516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254" w:hanging="125"/>
      </w:pPr>
      <w:rPr>
        <w:rFonts w:hint="default"/>
        <w:lang w:val="fr-FR" w:eastAsia="en-US" w:bidi="ar-SA"/>
      </w:rPr>
    </w:lvl>
    <w:lvl w:ilvl="3">
      <w:start w:val="0"/>
      <w:numFmt w:val="bullet"/>
      <w:lvlText w:val="•"/>
      <w:lvlJc w:val="left"/>
      <w:pPr>
        <w:ind w:left="3308" w:hanging="125"/>
      </w:pPr>
      <w:rPr>
        <w:rFonts w:hint="default"/>
        <w:lang w:val="fr-FR" w:eastAsia="en-US" w:bidi="ar-SA"/>
      </w:rPr>
    </w:lvl>
    <w:lvl w:ilvl="4">
      <w:start w:val="0"/>
      <w:numFmt w:val="bullet"/>
      <w:lvlText w:val="•"/>
      <w:lvlJc w:val="left"/>
      <w:pPr>
        <w:ind w:left="4362" w:hanging="125"/>
      </w:pPr>
      <w:rPr>
        <w:rFonts w:hint="default"/>
        <w:lang w:val="fr-FR" w:eastAsia="en-US" w:bidi="ar-SA"/>
      </w:rPr>
    </w:lvl>
    <w:lvl w:ilvl="5">
      <w:start w:val="0"/>
      <w:numFmt w:val="bullet"/>
      <w:lvlText w:val="•"/>
      <w:lvlJc w:val="left"/>
      <w:pPr>
        <w:ind w:left="5416" w:hanging="125"/>
      </w:pPr>
      <w:rPr>
        <w:rFonts w:hint="default"/>
        <w:lang w:val="fr-FR" w:eastAsia="en-US" w:bidi="ar-SA"/>
      </w:rPr>
    </w:lvl>
    <w:lvl w:ilvl="6">
      <w:start w:val="0"/>
      <w:numFmt w:val="bullet"/>
      <w:lvlText w:val="•"/>
      <w:lvlJc w:val="left"/>
      <w:pPr>
        <w:ind w:left="6470" w:hanging="125"/>
      </w:pPr>
      <w:rPr>
        <w:rFonts w:hint="default"/>
        <w:lang w:val="fr-FR" w:eastAsia="en-US" w:bidi="ar-SA"/>
      </w:rPr>
    </w:lvl>
    <w:lvl w:ilvl="7">
      <w:start w:val="0"/>
      <w:numFmt w:val="bullet"/>
      <w:lvlText w:val="•"/>
      <w:lvlJc w:val="left"/>
      <w:pPr>
        <w:ind w:left="7524" w:hanging="125"/>
      </w:pPr>
      <w:rPr>
        <w:rFonts w:hint="default"/>
        <w:lang w:val="fr-FR" w:eastAsia="en-US" w:bidi="ar-SA"/>
      </w:rPr>
    </w:lvl>
    <w:lvl w:ilvl="8">
      <w:start w:val="0"/>
      <w:numFmt w:val="bullet"/>
      <w:lvlText w:val="•"/>
      <w:lvlJc w:val="left"/>
      <w:pPr>
        <w:ind w:left="8578"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decimal"/>
      <w:lvlText w:val="%2."/>
      <w:lvlJc w:val="left"/>
      <w:pPr>
        <w:ind w:left="1092" w:hanging="361"/>
        <w:jc w:val="left"/>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165" w:hanging="361"/>
      </w:pPr>
      <w:rPr>
        <w:rFonts w:hint="default"/>
        <w:lang w:val="fr-FR" w:eastAsia="en-US" w:bidi="ar-SA"/>
      </w:rPr>
    </w:lvl>
    <w:lvl w:ilvl="3">
      <w:start w:val="0"/>
      <w:numFmt w:val="bullet"/>
      <w:lvlText w:val="•"/>
      <w:lvlJc w:val="left"/>
      <w:pPr>
        <w:ind w:left="3230" w:hanging="361"/>
      </w:pPr>
      <w:rPr>
        <w:rFonts w:hint="default"/>
        <w:lang w:val="fr-FR" w:eastAsia="en-US" w:bidi="ar-SA"/>
      </w:rPr>
    </w:lvl>
    <w:lvl w:ilvl="4">
      <w:start w:val="0"/>
      <w:numFmt w:val="bullet"/>
      <w:lvlText w:val="•"/>
      <w:lvlJc w:val="left"/>
      <w:pPr>
        <w:ind w:left="4295" w:hanging="361"/>
      </w:pPr>
      <w:rPr>
        <w:rFonts w:hint="default"/>
        <w:lang w:val="fr-FR" w:eastAsia="en-US" w:bidi="ar-SA"/>
      </w:rPr>
    </w:lvl>
    <w:lvl w:ilvl="5">
      <w:start w:val="0"/>
      <w:numFmt w:val="bullet"/>
      <w:lvlText w:val="•"/>
      <w:lvlJc w:val="left"/>
      <w:pPr>
        <w:ind w:left="5360" w:hanging="361"/>
      </w:pPr>
      <w:rPr>
        <w:rFonts w:hint="default"/>
        <w:lang w:val="fr-FR" w:eastAsia="en-US" w:bidi="ar-SA"/>
      </w:rPr>
    </w:lvl>
    <w:lvl w:ilvl="6">
      <w:start w:val="0"/>
      <w:numFmt w:val="bullet"/>
      <w:lvlText w:val="•"/>
      <w:lvlJc w:val="left"/>
      <w:pPr>
        <w:ind w:left="6425" w:hanging="361"/>
      </w:pPr>
      <w:rPr>
        <w:rFonts w:hint="default"/>
        <w:lang w:val="fr-FR" w:eastAsia="en-US" w:bidi="ar-SA"/>
      </w:rPr>
    </w:lvl>
    <w:lvl w:ilvl="7">
      <w:start w:val="0"/>
      <w:numFmt w:val="bullet"/>
      <w:lvlText w:val="•"/>
      <w:lvlJc w:val="left"/>
      <w:pPr>
        <w:ind w:left="7490" w:hanging="361"/>
      </w:pPr>
      <w:rPr>
        <w:rFonts w:hint="default"/>
        <w:lang w:val="fr-FR" w:eastAsia="en-US" w:bidi="ar-SA"/>
      </w:rPr>
    </w:lvl>
    <w:lvl w:ilvl="8">
      <w:start w:val="0"/>
      <w:numFmt w:val="bullet"/>
      <w:lvlText w:val="•"/>
      <w:lvlJc w:val="left"/>
      <w:pPr>
        <w:ind w:left="8556" w:hanging="361"/>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2"/>
      <w:ind w:left="108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080" w:hanging="361"/>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exandr.hobza@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2023-03-15T16:45:32Z</dcterms:created>
  <dcterms:modified xsi:type="dcterms:W3CDTF">2023-03-15T16:45:32Z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