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1617" w:right="1950" w:firstLine="0"/>
        <w:jc w:val="center"/>
        <w:rPr>
          <w:b/>
          <w:sz w:val="24"/>
        </w:rPr>
      </w:pPr>
      <w:r>
        <w:rPr>
          <w:b/>
          <w:sz w:val="24"/>
        </w:rPr>
        <w:t>AVIS</w:t>
      </w:r>
      <w:r>
        <w:rPr>
          <w:b/>
          <w:spacing w:val="-7"/>
          <w:sz w:val="24"/>
        </w:rPr>
        <w:t> </w:t>
      </w:r>
      <w:r>
        <w:rPr>
          <w:b/>
          <w:sz w:val="24"/>
        </w:rPr>
        <w:t>DE</w:t>
      </w:r>
      <w:r>
        <w:rPr>
          <w:b/>
          <w:spacing w:val="-7"/>
          <w:sz w:val="24"/>
        </w:rPr>
        <w:t> </w:t>
      </w:r>
      <w:r>
        <w:rPr>
          <w:b/>
          <w:sz w:val="24"/>
        </w:rPr>
        <w:t>VACANCE</w:t>
      </w:r>
      <w:r>
        <w:rPr>
          <w:b/>
          <w:spacing w:val="-5"/>
          <w:sz w:val="24"/>
        </w:rPr>
        <w:t> </w:t>
      </w:r>
      <w:r>
        <w:rPr>
          <w:b/>
          <w:sz w:val="24"/>
        </w:rPr>
        <w:t>DE</w:t>
      </w:r>
      <w:r>
        <w:rPr>
          <w:b/>
          <w:spacing w:val="-6"/>
          <w:sz w:val="24"/>
        </w:rPr>
        <w:t> </w:t>
      </w:r>
      <w:r>
        <w:rPr>
          <w:b/>
          <w:spacing w:val="-4"/>
          <w:sz w:val="24"/>
        </w:rPr>
        <w:t>POSTE</w:t>
      </w:r>
    </w:p>
    <w:p>
      <w:pPr>
        <w:pStyle w:val="BodyText"/>
        <w:spacing w:before="11"/>
        <w:rPr>
          <w:b/>
          <w:sz w:val="23"/>
        </w:rPr>
      </w:pPr>
    </w:p>
    <w:p>
      <w:pPr>
        <w:spacing w:before="0"/>
        <w:ind w:left="1617" w:right="1952" w:firstLine="0"/>
        <w:jc w:val="center"/>
        <w:rPr>
          <w:b/>
          <w:sz w:val="24"/>
        </w:rPr>
      </w:pPr>
      <w:r>
        <w:rPr>
          <w:b/>
          <w:sz w:val="24"/>
        </w:rPr>
        <w:t>EXPERT</w:t>
      </w:r>
      <w:r>
        <w:rPr>
          <w:b/>
          <w:spacing w:val="-6"/>
          <w:sz w:val="24"/>
        </w:rPr>
        <w:t> </w:t>
      </w:r>
      <w:r>
        <w:rPr>
          <w:b/>
          <w:sz w:val="24"/>
        </w:rPr>
        <w:t>NATIONAL</w:t>
      </w:r>
      <w:r>
        <w:rPr>
          <w:b/>
          <w:spacing w:val="-3"/>
          <w:sz w:val="24"/>
        </w:rPr>
        <w:t> </w:t>
      </w:r>
      <w:r>
        <w:rPr>
          <w:b/>
          <w:sz w:val="24"/>
        </w:rPr>
        <w:t>D</w:t>
      </w:r>
      <w:r>
        <w:rPr>
          <w:b/>
          <w:spacing w:val="-15"/>
          <w:sz w:val="24"/>
        </w:rPr>
        <w:t> </w:t>
      </w:r>
      <w:r>
        <w:rPr>
          <w:b/>
          <w:sz w:val="24"/>
        </w:rPr>
        <w:t>ÉTACHÉ</w:t>
      </w:r>
      <w:r>
        <w:rPr>
          <w:b/>
          <w:spacing w:val="-6"/>
          <w:sz w:val="24"/>
        </w:rPr>
        <w:t> </w:t>
      </w:r>
      <w:r>
        <w:rPr>
          <w:b/>
          <w:sz w:val="24"/>
        </w:rPr>
        <w:t>AUPRÈS</w:t>
      </w:r>
      <w:r>
        <w:rPr>
          <w:b/>
          <w:spacing w:val="-6"/>
          <w:sz w:val="24"/>
        </w:rPr>
        <w:t> </w:t>
      </w:r>
      <w:r>
        <w:rPr>
          <w:b/>
          <w:sz w:val="24"/>
        </w:rPr>
        <w:t>DE</w:t>
      </w:r>
      <w:r>
        <w:rPr>
          <w:b/>
          <w:spacing w:val="-6"/>
          <w:sz w:val="24"/>
        </w:rPr>
        <w:t> </w:t>
      </w:r>
      <w:r>
        <w:rPr>
          <w:b/>
          <w:sz w:val="24"/>
        </w:rPr>
        <w:t>LA</w:t>
      </w:r>
      <w:r>
        <w:rPr>
          <w:b/>
          <w:spacing w:val="-6"/>
          <w:sz w:val="24"/>
        </w:rPr>
        <w:t> </w:t>
      </w:r>
      <w:r>
        <w:rPr>
          <w:b/>
          <w:sz w:val="24"/>
        </w:rPr>
        <w:t>COMMISSION </w:t>
      </w:r>
      <w:r>
        <w:rPr>
          <w:b/>
          <w:spacing w:val="-2"/>
          <w:sz w:val="24"/>
        </w:rPr>
        <w:t>EUROPÉENE</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2510"/>
        <w:gridCol w:w="3087"/>
      </w:tblGrid>
      <w:tr>
        <w:trPr>
          <w:trHeight w:val="611" w:hRule="atLeast"/>
        </w:trPr>
        <w:tc>
          <w:tcPr>
            <w:tcW w:w="4359" w:type="dxa"/>
          </w:tcPr>
          <w:p>
            <w:pPr>
              <w:pStyle w:val="TableParagraph"/>
              <w:spacing w:line="274" w:lineRule="exact" w:before="1"/>
              <w:rPr>
                <w:b/>
                <w:sz w:val="24"/>
              </w:rPr>
            </w:pPr>
            <w:r>
              <w:rPr>
                <w:b/>
                <w:sz w:val="24"/>
              </w:rPr>
              <w:t>Identification</w:t>
            </w:r>
            <w:r>
              <w:rPr>
                <w:b/>
                <w:spacing w:val="-9"/>
                <w:sz w:val="24"/>
              </w:rPr>
              <w:t> </w:t>
            </w:r>
            <w:r>
              <w:rPr>
                <w:b/>
                <w:sz w:val="24"/>
              </w:rPr>
              <w:t>du</w:t>
            </w:r>
            <w:r>
              <w:rPr>
                <w:b/>
                <w:spacing w:val="-7"/>
                <w:sz w:val="24"/>
              </w:rPr>
              <w:t> </w:t>
            </w:r>
            <w:r>
              <w:rPr>
                <w:b/>
                <w:sz w:val="24"/>
              </w:rPr>
              <w:t>poste</w:t>
            </w:r>
            <w:r>
              <w:rPr>
                <w:b/>
                <w:spacing w:val="-10"/>
                <w:sz w:val="24"/>
              </w:rPr>
              <w:t> :</w:t>
            </w:r>
          </w:p>
          <w:p>
            <w:pPr>
              <w:pStyle w:val="TableParagraph"/>
              <w:spacing w:line="274" w:lineRule="exact"/>
              <w:rPr>
                <w:sz w:val="24"/>
              </w:rPr>
            </w:pPr>
            <w:r>
              <w:rPr>
                <w:spacing w:val="-2"/>
                <w:sz w:val="24"/>
              </w:rPr>
              <w:t>(DG-DIR-</w:t>
            </w:r>
            <w:r>
              <w:rPr>
                <w:spacing w:val="-4"/>
                <w:sz w:val="24"/>
              </w:rPr>
              <w:t>UNIT)</w:t>
            </w:r>
          </w:p>
        </w:tc>
        <w:tc>
          <w:tcPr>
            <w:tcW w:w="5597" w:type="dxa"/>
            <w:gridSpan w:val="2"/>
          </w:tcPr>
          <w:p>
            <w:pPr>
              <w:pStyle w:val="TableParagraph"/>
              <w:spacing w:before="167"/>
              <w:rPr>
                <w:b/>
                <w:sz w:val="24"/>
              </w:rPr>
            </w:pPr>
            <w:r>
              <w:rPr>
                <w:b/>
                <w:spacing w:val="-2"/>
                <w:sz w:val="24"/>
              </w:rPr>
              <w:t>RTD-G-</w:t>
            </w:r>
            <w:r>
              <w:rPr>
                <w:b/>
                <w:spacing w:val="-10"/>
                <w:sz w:val="24"/>
              </w:rPr>
              <w:t>4</w:t>
            </w:r>
          </w:p>
        </w:tc>
      </w:tr>
      <w:tr>
        <w:trPr>
          <w:trHeight w:val="256" w:hRule="atLeast"/>
        </w:trPr>
        <w:tc>
          <w:tcPr>
            <w:tcW w:w="4359" w:type="dxa"/>
            <w:tcBorders>
              <w:bottom w:val="nil"/>
            </w:tcBorders>
          </w:tcPr>
          <w:p>
            <w:pPr>
              <w:pStyle w:val="TableParagraph"/>
              <w:spacing w:line="237" w:lineRule="exact"/>
              <w:rPr>
                <w:b/>
                <w:sz w:val="22"/>
              </w:rPr>
            </w:pPr>
            <w:r>
              <w:rPr>
                <w:b/>
                <w:sz w:val="22"/>
              </w:rPr>
              <w:t>Chef</w:t>
            </w:r>
            <w:r>
              <w:rPr>
                <w:b/>
                <w:spacing w:val="-1"/>
                <w:sz w:val="22"/>
              </w:rPr>
              <w:t> </w:t>
            </w:r>
            <w:r>
              <w:rPr>
                <w:b/>
                <w:spacing w:val="-2"/>
                <w:sz w:val="22"/>
              </w:rPr>
              <w:t>d’unité:</w:t>
            </w:r>
          </w:p>
        </w:tc>
        <w:tc>
          <w:tcPr>
            <w:tcW w:w="5597" w:type="dxa"/>
            <w:gridSpan w:val="2"/>
            <w:tcBorders>
              <w:bottom w:val="nil"/>
            </w:tcBorders>
          </w:tcPr>
          <w:p>
            <w:pPr>
              <w:pStyle w:val="TableParagraph"/>
              <w:spacing w:line="237" w:lineRule="exact"/>
              <w:rPr>
                <w:b/>
                <w:sz w:val="22"/>
              </w:rPr>
            </w:pPr>
            <w:r>
              <w:rPr>
                <w:b/>
                <w:sz w:val="22"/>
              </w:rPr>
              <w:t>Fabienne</w:t>
            </w:r>
            <w:r>
              <w:rPr>
                <w:b/>
                <w:spacing w:val="-2"/>
                <w:sz w:val="22"/>
              </w:rPr>
              <w:t> GAUTIER</w:t>
            </w:r>
          </w:p>
        </w:tc>
      </w:tr>
      <w:tr>
        <w:trPr>
          <w:trHeight w:val="253" w:hRule="atLeast"/>
        </w:trPr>
        <w:tc>
          <w:tcPr>
            <w:tcW w:w="4359" w:type="dxa"/>
            <w:tcBorders>
              <w:top w:val="nil"/>
              <w:bottom w:val="nil"/>
            </w:tcBorders>
          </w:tcPr>
          <w:p>
            <w:pPr>
              <w:pStyle w:val="TableParagraph"/>
              <w:spacing w:line="233" w:lineRule="exact"/>
              <w:rPr>
                <w:b/>
                <w:sz w:val="22"/>
              </w:rPr>
            </w:pPr>
            <w:r>
              <w:rPr>
                <w:b/>
                <w:sz w:val="22"/>
              </w:rPr>
              <w:t>Adresse</w:t>
            </w:r>
            <w:r>
              <w:rPr>
                <w:b/>
                <w:spacing w:val="-4"/>
                <w:sz w:val="22"/>
              </w:rPr>
              <w:t> </w:t>
            </w:r>
            <w:r>
              <w:rPr>
                <w:b/>
                <w:spacing w:val="-2"/>
                <w:sz w:val="22"/>
              </w:rPr>
              <w:t>électronique:</w:t>
            </w:r>
          </w:p>
        </w:tc>
        <w:tc>
          <w:tcPr>
            <w:tcW w:w="5597" w:type="dxa"/>
            <w:gridSpan w:val="2"/>
            <w:tcBorders>
              <w:top w:val="nil"/>
              <w:bottom w:val="nil"/>
            </w:tcBorders>
          </w:tcPr>
          <w:p>
            <w:pPr>
              <w:pStyle w:val="TableParagraph"/>
              <w:spacing w:line="233" w:lineRule="exact"/>
              <w:rPr>
                <w:b/>
                <w:sz w:val="22"/>
              </w:rPr>
            </w:pPr>
            <w:hyperlink r:id="rId7">
              <w:r>
                <w:rPr>
                  <w:b/>
                  <w:color w:val="0000FF"/>
                  <w:spacing w:val="-2"/>
                  <w:sz w:val="22"/>
                  <w:u w:val="single" w:color="0000FF"/>
                </w:rPr>
                <w:t>Fabienne.Gautier@ec.europa.eu</w:t>
              </w:r>
            </w:hyperlink>
          </w:p>
        </w:tc>
      </w:tr>
      <w:tr>
        <w:trPr>
          <w:trHeight w:val="253" w:hRule="atLeast"/>
        </w:trPr>
        <w:tc>
          <w:tcPr>
            <w:tcW w:w="4359" w:type="dxa"/>
            <w:tcBorders>
              <w:top w:val="nil"/>
              <w:bottom w:val="nil"/>
            </w:tcBorders>
          </w:tcPr>
          <w:p>
            <w:pPr>
              <w:pStyle w:val="TableParagraph"/>
              <w:spacing w:line="233" w:lineRule="exact"/>
              <w:rPr>
                <w:b/>
                <w:sz w:val="22"/>
              </w:rPr>
            </w:pPr>
            <w:r>
              <w:rPr>
                <w:b/>
                <w:spacing w:val="-2"/>
                <w:sz w:val="22"/>
              </w:rPr>
              <w:t>Téléphone:</w:t>
            </w:r>
          </w:p>
        </w:tc>
        <w:tc>
          <w:tcPr>
            <w:tcW w:w="5597" w:type="dxa"/>
            <w:gridSpan w:val="2"/>
            <w:tcBorders>
              <w:top w:val="nil"/>
              <w:bottom w:val="nil"/>
            </w:tcBorders>
          </w:tcPr>
          <w:p>
            <w:pPr>
              <w:pStyle w:val="TableParagraph"/>
              <w:spacing w:line="233" w:lineRule="exact"/>
              <w:rPr>
                <w:b/>
                <w:sz w:val="22"/>
              </w:rPr>
            </w:pPr>
            <w:r>
              <w:rPr>
                <w:b/>
                <w:sz w:val="22"/>
              </w:rPr>
              <w:t>+</w:t>
            </w:r>
            <w:r>
              <w:rPr>
                <w:b/>
                <w:spacing w:val="-1"/>
                <w:sz w:val="22"/>
              </w:rPr>
              <w:t> </w:t>
            </w:r>
            <w:r>
              <w:rPr>
                <w:b/>
                <w:sz w:val="22"/>
              </w:rPr>
              <w:t>32 2 29 </w:t>
            </w:r>
            <w:r>
              <w:rPr>
                <w:b/>
                <w:spacing w:val="-2"/>
                <w:sz w:val="22"/>
              </w:rPr>
              <w:t>93781</w:t>
            </w:r>
          </w:p>
        </w:tc>
      </w:tr>
      <w:tr>
        <w:trPr>
          <w:trHeight w:val="253" w:hRule="atLeast"/>
        </w:trPr>
        <w:tc>
          <w:tcPr>
            <w:tcW w:w="4359" w:type="dxa"/>
            <w:tcBorders>
              <w:top w:val="nil"/>
              <w:bottom w:val="nil"/>
            </w:tcBorders>
          </w:tcPr>
          <w:p>
            <w:pPr>
              <w:pStyle w:val="TableParagraph"/>
              <w:spacing w:line="233" w:lineRule="exact"/>
              <w:rPr>
                <w:b/>
                <w:sz w:val="22"/>
              </w:rPr>
            </w:pPr>
            <w:r>
              <w:rPr>
                <w:b/>
                <w:sz w:val="22"/>
              </w:rPr>
              <w:t>Nombre</w:t>
            </w:r>
            <w:r>
              <w:rPr>
                <w:b/>
                <w:spacing w:val="-3"/>
                <w:sz w:val="22"/>
              </w:rPr>
              <w:t> </w:t>
            </w:r>
            <w:r>
              <w:rPr>
                <w:b/>
                <w:sz w:val="22"/>
              </w:rPr>
              <w:t>de</w:t>
            </w:r>
            <w:r>
              <w:rPr>
                <w:b/>
                <w:spacing w:val="-2"/>
                <w:sz w:val="22"/>
              </w:rPr>
              <w:t> </w:t>
            </w:r>
            <w:r>
              <w:rPr>
                <w:b/>
                <w:sz w:val="22"/>
              </w:rPr>
              <w:t>postes</w:t>
            </w:r>
            <w:r>
              <w:rPr>
                <w:b/>
                <w:spacing w:val="-2"/>
                <w:sz w:val="22"/>
              </w:rPr>
              <w:t> disponibles:</w:t>
            </w:r>
          </w:p>
        </w:tc>
        <w:tc>
          <w:tcPr>
            <w:tcW w:w="5597" w:type="dxa"/>
            <w:gridSpan w:val="2"/>
            <w:tcBorders>
              <w:top w:val="nil"/>
              <w:bottom w:val="nil"/>
            </w:tcBorders>
          </w:tcPr>
          <w:p>
            <w:pPr>
              <w:pStyle w:val="TableParagraph"/>
              <w:spacing w:line="233" w:lineRule="exact"/>
              <w:rPr>
                <w:b/>
                <w:sz w:val="22"/>
              </w:rPr>
            </w:pPr>
            <w:r>
              <w:rPr>
                <w:b/>
                <w:w w:val="100"/>
                <w:sz w:val="22"/>
              </w:rPr>
              <w:t>1</w:t>
            </w:r>
          </w:p>
        </w:tc>
      </w:tr>
      <w:tr>
        <w:trPr>
          <w:trHeight w:val="252" w:hRule="atLeast"/>
        </w:trPr>
        <w:tc>
          <w:tcPr>
            <w:tcW w:w="4359" w:type="dxa"/>
            <w:tcBorders>
              <w:top w:val="nil"/>
              <w:bottom w:val="nil"/>
            </w:tcBorders>
          </w:tcPr>
          <w:p>
            <w:pPr>
              <w:pStyle w:val="TableParagraph"/>
              <w:spacing w:line="232" w:lineRule="exact"/>
              <w:rPr>
                <w:b/>
                <w:sz w:val="22"/>
              </w:rPr>
            </w:pPr>
            <w:r>
              <w:rPr>
                <w:b/>
                <w:sz w:val="22"/>
              </w:rPr>
              <w:t>Prise</w:t>
            </w:r>
            <w:r>
              <w:rPr>
                <w:b/>
                <w:spacing w:val="-4"/>
                <w:sz w:val="22"/>
              </w:rPr>
              <w:t> </w:t>
            </w:r>
            <w:r>
              <w:rPr>
                <w:b/>
                <w:sz w:val="22"/>
              </w:rPr>
              <w:t>de</w:t>
            </w:r>
            <w:r>
              <w:rPr>
                <w:b/>
                <w:spacing w:val="-3"/>
                <w:sz w:val="22"/>
              </w:rPr>
              <w:t> </w:t>
            </w:r>
            <w:r>
              <w:rPr>
                <w:b/>
                <w:sz w:val="22"/>
              </w:rPr>
              <w:t>fonction</w:t>
            </w:r>
            <w:r>
              <w:rPr>
                <w:b/>
                <w:spacing w:val="-4"/>
                <w:sz w:val="22"/>
              </w:rPr>
              <w:t> </w:t>
            </w:r>
            <w:r>
              <w:rPr>
                <w:b/>
                <w:spacing w:val="-2"/>
                <w:sz w:val="22"/>
              </w:rPr>
              <w:t>suggérée:</w:t>
            </w:r>
          </w:p>
        </w:tc>
        <w:tc>
          <w:tcPr>
            <w:tcW w:w="5597" w:type="dxa"/>
            <w:gridSpan w:val="2"/>
            <w:tcBorders>
              <w:top w:val="nil"/>
              <w:bottom w:val="nil"/>
            </w:tcBorders>
          </w:tcPr>
          <w:p>
            <w:pPr>
              <w:pStyle w:val="TableParagraph"/>
              <w:spacing w:line="232" w:lineRule="exact"/>
              <w:rPr>
                <w:b/>
                <w:sz w:val="22"/>
              </w:rPr>
            </w:pPr>
            <w:r>
              <w:rPr>
                <w:b/>
                <w:sz w:val="22"/>
              </w:rPr>
              <w:t>3eme</w:t>
            </w:r>
            <w:r>
              <w:rPr>
                <w:b/>
                <w:spacing w:val="-7"/>
                <w:sz w:val="22"/>
              </w:rPr>
              <w:t> </w:t>
            </w:r>
            <w:r>
              <w:rPr>
                <w:b/>
                <w:sz w:val="22"/>
              </w:rPr>
              <w:t>trimestre</w:t>
            </w:r>
            <w:r>
              <w:rPr>
                <w:b/>
                <w:spacing w:val="-3"/>
                <w:sz w:val="22"/>
              </w:rPr>
              <w:t> </w:t>
            </w:r>
            <w:r>
              <w:rPr>
                <w:b/>
                <w:sz w:val="22"/>
              </w:rPr>
              <w:t>2023</w:t>
            </w:r>
            <w:r>
              <w:rPr>
                <w:b/>
                <w:spacing w:val="-5"/>
                <w:sz w:val="22"/>
              </w:rPr>
              <w:t> </w:t>
            </w:r>
            <w:r>
              <w:rPr>
                <w:b/>
                <w:spacing w:val="-10"/>
                <w:sz w:val="22"/>
                <w:vertAlign w:val="superscript"/>
              </w:rPr>
              <w:t>1</w:t>
            </w:r>
          </w:p>
        </w:tc>
      </w:tr>
      <w:tr>
        <w:trPr>
          <w:trHeight w:val="253" w:hRule="atLeast"/>
        </w:trPr>
        <w:tc>
          <w:tcPr>
            <w:tcW w:w="4359" w:type="dxa"/>
            <w:tcBorders>
              <w:top w:val="nil"/>
              <w:bottom w:val="nil"/>
            </w:tcBorders>
          </w:tcPr>
          <w:p>
            <w:pPr>
              <w:pStyle w:val="TableParagraph"/>
              <w:spacing w:line="234" w:lineRule="exact"/>
              <w:rPr>
                <w:b/>
                <w:sz w:val="22"/>
              </w:rPr>
            </w:pPr>
            <w:r>
              <w:rPr>
                <w:b/>
                <w:sz w:val="22"/>
              </w:rPr>
              <w:t>Durée</w:t>
            </w:r>
            <w:r>
              <w:rPr>
                <w:b/>
                <w:spacing w:val="-5"/>
                <w:sz w:val="22"/>
              </w:rPr>
              <w:t> </w:t>
            </w:r>
            <w:r>
              <w:rPr>
                <w:b/>
                <w:sz w:val="22"/>
              </w:rPr>
              <w:t>initiale</w:t>
            </w:r>
            <w:r>
              <w:rPr>
                <w:b/>
                <w:spacing w:val="-3"/>
                <w:sz w:val="22"/>
              </w:rPr>
              <w:t> </w:t>
            </w:r>
            <w:r>
              <w:rPr>
                <w:b/>
                <w:spacing w:val="-2"/>
                <w:sz w:val="22"/>
              </w:rPr>
              <w:t>suggérée:</w:t>
            </w:r>
          </w:p>
        </w:tc>
        <w:tc>
          <w:tcPr>
            <w:tcW w:w="5597" w:type="dxa"/>
            <w:gridSpan w:val="2"/>
            <w:tcBorders>
              <w:top w:val="nil"/>
              <w:bottom w:val="nil"/>
            </w:tcBorders>
          </w:tcPr>
          <w:p>
            <w:pPr>
              <w:pStyle w:val="TableParagraph"/>
              <w:spacing w:line="234" w:lineRule="exact"/>
              <w:rPr>
                <w:b/>
                <w:sz w:val="22"/>
              </w:rPr>
            </w:pPr>
            <w:r>
              <w:rPr>
                <w:b/>
                <w:sz w:val="22"/>
              </w:rPr>
              <w:t>2 </w:t>
            </w:r>
            <w:r>
              <w:rPr>
                <w:b/>
                <w:spacing w:val="-2"/>
                <w:sz w:val="22"/>
              </w:rPr>
              <w:t>years</w:t>
            </w:r>
            <w:r>
              <w:rPr>
                <w:b/>
                <w:spacing w:val="-2"/>
                <w:sz w:val="22"/>
                <w:vertAlign w:val="superscript"/>
              </w:rPr>
              <w:t>1</w:t>
            </w:r>
          </w:p>
        </w:tc>
      </w:tr>
      <w:tr>
        <w:trPr>
          <w:trHeight w:val="456" w:hRule="atLeast"/>
        </w:trPr>
        <w:tc>
          <w:tcPr>
            <w:tcW w:w="4359" w:type="dxa"/>
            <w:tcBorders>
              <w:top w:val="nil"/>
              <w:bottom w:val="nil"/>
            </w:tcBorders>
          </w:tcPr>
          <w:p>
            <w:pPr>
              <w:pStyle w:val="TableParagraph"/>
              <w:spacing w:line="250" w:lineRule="exact"/>
              <w:rPr>
                <w:b/>
                <w:sz w:val="22"/>
              </w:rPr>
            </w:pPr>
            <w:r>
              <w:rPr>
                <w:b/>
                <w:sz w:val="22"/>
              </w:rPr>
              <w:t>Lieu</w:t>
            </w:r>
            <w:r>
              <w:rPr>
                <w:b/>
                <w:spacing w:val="-1"/>
                <w:sz w:val="22"/>
              </w:rPr>
              <w:t> </w:t>
            </w:r>
            <w:r>
              <w:rPr>
                <w:b/>
                <w:sz w:val="22"/>
              </w:rPr>
              <w:t>de </w:t>
            </w:r>
            <w:r>
              <w:rPr>
                <w:b/>
                <w:spacing w:val="-2"/>
                <w:sz w:val="22"/>
              </w:rPr>
              <w:t>détachement:</w:t>
            </w:r>
          </w:p>
        </w:tc>
        <w:tc>
          <w:tcPr>
            <w:tcW w:w="5597" w:type="dxa"/>
            <w:gridSpan w:val="2"/>
            <w:tcBorders>
              <w:top w:val="nil"/>
            </w:tcBorders>
          </w:tcPr>
          <w:p>
            <w:pPr>
              <w:pStyle w:val="TableParagraph"/>
              <w:spacing w:line="250" w:lineRule="exact"/>
              <w:rPr>
                <w:b/>
                <w:sz w:val="22"/>
              </w:rPr>
            </w:pPr>
            <w:r>
              <w:rPr>
                <w:rFonts w:ascii="Wingdings 2" w:hAnsi="Wingdings 2"/>
                <w:b/>
                <w:sz w:val="22"/>
              </w:rPr>
              <w:t></w:t>
            </w:r>
            <w:r>
              <w:rPr>
                <w:spacing w:val="-2"/>
                <w:sz w:val="22"/>
              </w:rPr>
              <w:t> </w:t>
            </w:r>
            <w:r>
              <w:rPr>
                <w:b/>
                <w:sz w:val="22"/>
              </w:rPr>
              <w:t>Bruxelles</w:t>
            </w:r>
            <w:r>
              <w:rPr>
                <w:b/>
                <w:spacing w:val="51"/>
                <w:sz w:val="22"/>
              </w:rPr>
              <w:t> </w:t>
            </w:r>
            <w:r>
              <w:rPr>
                <w:rFonts w:ascii="Wingdings 2" w:hAnsi="Wingdings 2"/>
                <w:sz w:val="22"/>
              </w:rPr>
              <w:t></w:t>
            </w:r>
            <w:r>
              <w:rPr>
                <w:spacing w:val="-2"/>
                <w:sz w:val="22"/>
              </w:rPr>
              <w:t> </w:t>
            </w:r>
            <w:r>
              <w:rPr>
                <w:b/>
                <w:sz w:val="22"/>
              </w:rPr>
              <w:t>Luxemburg</w:t>
            </w:r>
            <w:r>
              <w:rPr>
                <w:b/>
                <w:spacing w:val="51"/>
                <w:sz w:val="22"/>
              </w:rPr>
              <w:t> </w:t>
            </w:r>
            <w:r>
              <w:rPr>
                <w:rFonts w:ascii="Wingdings 2" w:hAnsi="Wingdings 2"/>
                <w:sz w:val="22"/>
              </w:rPr>
              <w:t></w:t>
            </w:r>
            <w:r>
              <w:rPr>
                <w:spacing w:val="-2"/>
                <w:sz w:val="22"/>
              </w:rPr>
              <w:t> </w:t>
            </w:r>
            <w:r>
              <w:rPr>
                <w:b/>
                <w:sz w:val="22"/>
              </w:rPr>
              <w:t>Autre:</w:t>
            </w:r>
            <w:r>
              <w:rPr>
                <w:b/>
                <w:spacing w:val="-3"/>
                <w:sz w:val="22"/>
              </w:rPr>
              <w:t> </w:t>
            </w:r>
            <w:r>
              <w:rPr>
                <w:b/>
                <w:spacing w:val="-2"/>
                <w:sz w:val="22"/>
              </w:rPr>
              <w:t>…………….</w:t>
            </w:r>
          </w:p>
        </w:tc>
      </w:tr>
      <w:tr>
        <w:trPr>
          <w:trHeight w:val="544" w:hRule="atLeast"/>
        </w:trPr>
        <w:tc>
          <w:tcPr>
            <w:tcW w:w="4359" w:type="dxa"/>
            <w:tcBorders>
              <w:top w:val="nil"/>
            </w:tcBorders>
          </w:tcPr>
          <w:p>
            <w:pPr>
              <w:pStyle w:val="TableParagraph"/>
              <w:ind w:left="0"/>
              <w:rPr>
                <w:sz w:val="22"/>
              </w:rPr>
            </w:pPr>
          </w:p>
        </w:tc>
        <w:tc>
          <w:tcPr>
            <w:tcW w:w="2510" w:type="dxa"/>
            <w:tcBorders>
              <w:right w:val="nil"/>
            </w:tcBorders>
          </w:tcPr>
          <w:p>
            <w:pPr>
              <w:pStyle w:val="TableParagraph"/>
              <w:tabs>
                <w:tab w:pos="523" w:val="left" w:leader="none"/>
              </w:tabs>
              <w:spacing w:before="145"/>
              <w:rPr>
                <w:b/>
                <w:sz w:val="22"/>
              </w:rPr>
            </w:pPr>
            <w:r>
              <w:rPr>
                <w:rFonts w:ascii="Wingdings 2" w:hAnsi="Wingdings 2"/>
                <w:b/>
                <w:spacing w:val="-10"/>
                <w:sz w:val="22"/>
              </w:rPr>
              <w:t></w:t>
            </w:r>
            <w:r>
              <w:rPr>
                <w:sz w:val="22"/>
              </w:rPr>
              <w:tab/>
            </w:r>
            <w:r>
              <w:rPr>
                <w:b/>
                <w:sz w:val="22"/>
              </w:rPr>
              <w:t>Avec</w:t>
            </w:r>
            <w:r>
              <w:rPr>
                <w:b/>
                <w:spacing w:val="-3"/>
                <w:sz w:val="22"/>
              </w:rPr>
              <w:t> </w:t>
            </w:r>
            <w:r>
              <w:rPr>
                <w:b/>
                <w:spacing w:val="-2"/>
                <w:sz w:val="22"/>
              </w:rPr>
              <w:t>indemnités</w:t>
            </w:r>
          </w:p>
        </w:tc>
        <w:tc>
          <w:tcPr>
            <w:tcW w:w="3087" w:type="dxa"/>
            <w:tcBorders>
              <w:left w:val="nil"/>
            </w:tcBorders>
          </w:tcPr>
          <w:p>
            <w:pPr>
              <w:pStyle w:val="TableParagraph"/>
              <w:numPr>
                <w:ilvl w:val="0"/>
                <w:numId w:val="1"/>
              </w:numPr>
              <w:tabs>
                <w:tab w:pos="917" w:val="left" w:leader="none"/>
                <w:tab w:pos="918" w:val="left" w:leader="none"/>
              </w:tabs>
              <w:spacing w:line="240" w:lineRule="auto" w:before="145" w:after="0"/>
              <w:ind w:left="918" w:right="0" w:hanging="473"/>
              <w:jc w:val="left"/>
              <w:rPr>
                <w:b/>
                <w:sz w:val="22"/>
              </w:rPr>
            </w:pPr>
            <w:r>
              <w:rPr>
                <w:b/>
                <w:spacing w:val="-2"/>
                <w:sz w:val="22"/>
              </w:rPr>
              <w:t>Sans-frais</w:t>
            </w:r>
          </w:p>
        </w:tc>
      </w:tr>
      <w:tr>
        <w:trPr>
          <w:trHeight w:val="2114" w:hRule="atLeast"/>
        </w:trPr>
        <w:tc>
          <w:tcPr>
            <w:tcW w:w="9956" w:type="dxa"/>
            <w:gridSpan w:val="3"/>
          </w:tcPr>
          <w:p>
            <w:pPr>
              <w:pStyle w:val="TableParagraph"/>
              <w:spacing w:before="8"/>
              <w:ind w:left="0"/>
              <w:rPr>
                <w:b/>
                <w:sz w:val="20"/>
              </w:rPr>
            </w:pPr>
          </w:p>
          <w:p>
            <w:pPr>
              <w:pStyle w:val="TableParagraph"/>
              <w:rPr>
                <w:b/>
                <w:sz w:val="22"/>
              </w:rPr>
            </w:pPr>
            <w:r>
              <w:rPr>
                <w:b/>
                <w:sz w:val="22"/>
              </w:rPr>
              <w:t>Cet</w:t>
            </w:r>
            <w:r>
              <w:rPr>
                <w:b/>
                <w:spacing w:val="-2"/>
                <w:sz w:val="22"/>
              </w:rPr>
              <w:t> </w:t>
            </w:r>
            <w:r>
              <w:rPr>
                <w:b/>
                <w:sz w:val="22"/>
              </w:rPr>
              <w:t>avis</w:t>
            </w:r>
            <w:r>
              <w:rPr>
                <w:b/>
                <w:spacing w:val="-3"/>
                <w:sz w:val="22"/>
              </w:rPr>
              <w:t> </w:t>
            </w:r>
            <w:r>
              <w:rPr>
                <w:b/>
                <w:sz w:val="22"/>
              </w:rPr>
              <w:t>de</w:t>
            </w:r>
            <w:r>
              <w:rPr>
                <w:b/>
                <w:spacing w:val="-3"/>
                <w:sz w:val="22"/>
              </w:rPr>
              <w:t> </w:t>
            </w:r>
            <w:r>
              <w:rPr>
                <w:b/>
                <w:sz w:val="22"/>
              </w:rPr>
              <w:t>vacance</w:t>
            </w:r>
            <w:r>
              <w:rPr>
                <w:b/>
                <w:spacing w:val="-3"/>
                <w:sz w:val="22"/>
              </w:rPr>
              <w:t> </w:t>
            </w:r>
            <w:r>
              <w:rPr>
                <w:b/>
                <w:sz w:val="22"/>
              </w:rPr>
              <w:t>est</w:t>
            </w:r>
            <w:r>
              <w:rPr>
                <w:b/>
                <w:spacing w:val="-3"/>
                <w:sz w:val="22"/>
              </w:rPr>
              <w:t> </w:t>
            </w:r>
            <w:r>
              <w:rPr>
                <w:b/>
                <w:sz w:val="22"/>
              </w:rPr>
              <w:t>également</w:t>
            </w:r>
            <w:r>
              <w:rPr>
                <w:b/>
                <w:spacing w:val="-5"/>
                <w:sz w:val="22"/>
              </w:rPr>
              <w:t> </w:t>
            </w:r>
            <w:r>
              <w:rPr>
                <w:b/>
                <w:sz w:val="22"/>
              </w:rPr>
              <w:t>ouvert</w:t>
            </w:r>
            <w:r>
              <w:rPr>
                <w:b/>
                <w:spacing w:val="-2"/>
                <w:sz w:val="22"/>
              </w:rPr>
              <w:t> </w:t>
            </w:r>
            <w:r>
              <w:rPr>
                <w:b/>
                <w:spacing w:val="-5"/>
                <w:sz w:val="22"/>
              </w:rPr>
              <w:t>aux</w:t>
            </w:r>
          </w:p>
          <w:p>
            <w:pPr>
              <w:pStyle w:val="TableParagraph"/>
              <w:numPr>
                <w:ilvl w:val="0"/>
                <w:numId w:val="2"/>
              </w:numPr>
              <w:tabs>
                <w:tab w:pos="502" w:val="left" w:leader="none"/>
              </w:tabs>
              <w:spacing w:line="240" w:lineRule="auto" w:before="2" w:after="0"/>
              <w:ind w:left="501" w:right="0" w:hanging="397"/>
              <w:jc w:val="left"/>
              <w:rPr>
                <w:b/>
                <w:sz w:val="24"/>
              </w:rPr>
            </w:pPr>
            <w:r>
              <w:rPr>
                <w:b/>
                <w:sz w:val="24"/>
              </w:rPr>
              <w:t>pays</w:t>
            </w:r>
            <w:r>
              <w:rPr>
                <w:b/>
                <w:spacing w:val="-7"/>
                <w:sz w:val="24"/>
              </w:rPr>
              <w:t> </w:t>
            </w:r>
            <w:r>
              <w:rPr>
                <w:b/>
                <w:sz w:val="24"/>
              </w:rPr>
              <w:t>de</w:t>
            </w:r>
            <w:r>
              <w:rPr>
                <w:b/>
                <w:spacing w:val="-3"/>
                <w:sz w:val="24"/>
              </w:rPr>
              <w:t> </w:t>
            </w:r>
            <w:r>
              <w:rPr>
                <w:b/>
                <w:sz w:val="24"/>
              </w:rPr>
              <w:t>l'AELE</w:t>
            </w:r>
            <w:r>
              <w:rPr>
                <w:b/>
                <w:spacing w:val="-2"/>
                <w:sz w:val="24"/>
              </w:rPr>
              <w:t> suivants:</w:t>
            </w:r>
          </w:p>
          <w:p>
            <w:pPr>
              <w:pStyle w:val="TableParagraph"/>
              <w:numPr>
                <w:ilvl w:val="1"/>
                <w:numId w:val="2"/>
              </w:numPr>
              <w:tabs>
                <w:tab w:pos="1090" w:val="left" w:leader="none"/>
              </w:tabs>
              <w:spacing w:line="240" w:lineRule="auto" w:before="0" w:after="0"/>
              <w:ind w:left="1089" w:right="0" w:hanging="277"/>
              <w:jc w:val="left"/>
              <w:rPr>
                <w:b/>
                <w:sz w:val="24"/>
              </w:rPr>
            </w:pPr>
            <w:r>
              <w:rPr>
                <w:b/>
                <w:sz w:val="24"/>
              </w:rPr>
              <w:t>Islande</w:t>
            </w:r>
            <w:r>
              <w:rPr>
                <w:b/>
                <w:spacing w:val="50"/>
                <w:sz w:val="24"/>
              </w:rPr>
              <w:t> </w:t>
            </w:r>
            <w:r>
              <w:rPr>
                <w:rFonts w:ascii="Wingdings 2" w:hAnsi="Wingdings 2"/>
                <w:b/>
                <w:sz w:val="24"/>
              </w:rPr>
              <w:t></w:t>
            </w:r>
            <w:r>
              <w:rPr>
                <w:spacing w:val="-5"/>
                <w:sz w:val="24"/>
              </w:rPr>
              <w:t> </w:t>
            </w:r>
            <w:r>
              <w:rPr>
                <w:b/>
                <w:sz w:val="24"/>
              </w:rPr>
              <w:t>Liechtenstein</w:t>
            </w:r>
            <w:r>
              <w:rPr>
                <w:b/>
                <w:spacing w:val="54"/>
                <w:sz w:val="24"/>
              </w:rPr>
              <w:t> </w:t>
            </w:r>
            <w:r>
              <w:rPr>
                <w:rFonts w:ascii="Wingdings 2" w:hAnsi="Wingdings 2"/>
                <w:b/>
                <w:sz w:val="24"/>
              </w:rPr>
              <w:t></w:t>
            </w:r>
            <w:r>
              <w:rPr>
                <w:spacing w:val="-2"/>
                <w:sz w:val="24"/>
              </w:rPr>
              <w:t> </w:t>
            </w:r>
            <w:r>
              <w:rPr>
                <w:b/>
                <w:sz w:val="24"/>
              </w:rPr>
              <w:t>Norvège</w:t>
            </w:r>
            <w:r>
              <w:rPr>
                <w:b/>
                <w:spacing w:val="51"/>
                <w:sz w:val="24"/>
              </w:rPr>
              <w:t> </w:t>
            </w:r>
            <w:r>
              <w:rPr>
                <w:rFonts w:ascii="Wingdings 2" w:hAnsi="Wingdings 2"/>
                <w:b/>
                <w:sz w:val="24"/>
              </w:rPr>
              <w:t></w:t>
            </w:r>
            <w:r>
              <w:rPr>
                <w:spacing w:val="-3"/>
                <w:sz w:val="24"/>
              </w:rPr>
              <w:t> </w:t>
            </w:r>
            <w:r>
              <w:rPr>
                <w:b/>
                <w:spacing w:val="-2"/>
                <w:sz w:val="24"/>
              </w:rPr>
              <w:t>Suisse</w:t>
            </w:r>
          </w:p>
          <w:p>
            <w:pPr>
              <w:pStyle w:val="TableParagraph"/>
              <w:numPr>
                <w:ilvl w:val="1"/>
                <w:numId w:val="2"/>
              </w:numPr>
              <w:tabs>
                <w:tab w:pos="1090" w:val="left" w:leader="none"/>
              </w:tabs>
              <w:spacing w:line="240" w:lineRule="auto" w:before="0" w:after="0"/>
              <w:ind w:left="1089" w:right="0" w:hanging="277"/>
              <w:jc w:val="left"/>
              <w:rPr>
                <w:b/>
                <w:sz w:val="24"/>
              </w:rPr>
            </w:pPr>
            <w:r>
              <w:rPr>
                <w:b/>
                <w:sz w:val="24"/>
              </w:rPr>
              <w:t>Accord</w:t>
            </w:r>
            <w:r>
              <w:rPr>
                <w:b/>
                <w:spacing w:val="-7"/>
                <w:sz w:val="24"/>
              </w:rPr>
              <w:t> </w:t>
            </w:r>
            <w:r>
              <w:rPr>
                <w:b/>
                <w:sz w:val="24"/>
              </w:rPr>
              <w:t>AELE-EEE</w:t>
            </w:r>
            <w:r>
              <w:rPr>
                <w:b/>
                <w:spacing w:val="-9"/>
                <w:sz w:val="24"/>
              </w:rPr>
              <w:t> </w:t>
            </w:r>
            <w:r>
              <w:rPr>
                <w:b/>
                <w:sz w:val="24"/>
              </w:rPr>
              <w:t>en</w:t>
            </w:r>
            <w:r>
              <w:rPr>
                <w:b/>
                <w:spacing w:val="-6"/>
                <w:sz w:val="24"/>
              </w:rPr>
              <w:t> </w:t>
            </w:r>
            <w:r>
              <w:rPr>
                <w:b/>
                <w:sz w:val="24"/>
              </w:rPr>
              <w:t>nature</w:t>
            </w:r>
            <w:r>
              <w:rPr>
                <w:b/>
                <w:spacing w:val="-9"/>
                <w:sz w:val="24"/>
              </w:rPr>
              <w:t> </w:t>
            </w:r>
            <w:r>
              <w:rPr>
                <w:b/>
                <w:sz w:val="24"/>
              </w:rPr>
              <w:t>(Islande,</w:t>
            </w:r>
            <w:r>
              <w:rPr>
                <w:b/>
                <w:spacing w:val="-7"/>
                <w:sz w:val="24"/>
              </w:rPr>
              <w:t> </w:t>
            </w:r>
            <w:r>
              <w:rPr>
                <w:b/>
                <w:sz w:val="24"/>
              </w:rPr>
              <w:t>Liechtenstein,</w:t>
            </w:r>
            <w:r>
              <w:rPr>
                <w:b/>
                <w:spacing w:val="-7"/>
                <w:sz w:val="24"/>
              </w:rPr>
              <w:t> </w:t>
            </w:r>
            <w:r>
              <w:rPr>
                <w:b/>
                <w:spacing w:val="-2"/>
                <w:sz w:val="24"/>
              </w:rPr>
              <w:t>Norvège)</w:t>
            </w:r>
          </w:p>
          <w:p>
            <w:pPr>
              <w:pStyle w:val="TableParagraph"/>
              <w:numPr>
                <w:ilvl w:val="0"/>
                <w:numId w:val="2"/>
              </w:numPr>
              <w:tabs>
                <w:tab w:pos="502" w:val="left" w:leader="none"/>
              </w:tabs>
              <w:spacing w:line="240" w:lineRule="auto" w:before="0" w:after="0"/>
              <w:ind w:left="501" w:right="0" w:hanging="397"/>
              <w:jc w:val="left"/>
              <w:rPr>
                <w:b/>
                <w:sz w:val="24"/>
              </w:rPr>
            </w:pPr>
            <w:r>
              <w:rPr>
                <w:b/>
                <w:sz w:val="24"/>
              </w:rPr>
              <w:t>les</w:t>
            </w:r>
            <w:r>
              <w:rPr>
                <w:b/>
                <w:spacing w:val="-5"/>
                <w:sz w:val="24"/>
              </w:rPr>
              <w:t> </w:t>
            </w:r>
            <w:r>
              <w:rPr>
                <w:b/>
                <w:sz w:val="24"/>
              </w:rPr>
              <w:t>pays</w:t>
            </w:r>
            <w:r>
              <w:rPr>
                <w:b/>
                <w:spacing w:val="-4"/>
                <w:sz w:val="24"/>
              </w:rPr>
              <w:t> </w:t>
            </w:r>
            <w:r>
              <w:rPr>
                <w:b/>
                <w:sz w:val="24"/>
              </w:rPr>
              <w:t>tiers</w:t>
            </w:r>
            <w:r>
              <w:rPr>
                <w:b/>
                <w:spacing w:val="-5"/>
                <w:sz w:val="24"/>
              </w:rPr>
              <w:t> </w:t>
            </w:r>
            <w:r>
              <w:rPr>
                <w:b/>
                <w:sz w:val="24"/>
              </w:rPr>
              <w:t>monde</w:t>
            </w:r>
            <w:r>
              <w:rPr>
                <w:b/>
                <w:spacing w:val="-3"/>
                <w:sz w:val="24"/>
              </w:rPr>
              <w:t> </w:t>
            </w:r>
            <w:r>
              <w:rPr>
                <w:b/>
                <w:spacing w:val="-2"/>
                <w:sz w:val="24"/>
              </w:rPr>
              <w:t>suivants:</w:t>
            </w:r>
          </w:p>
          <w:p>
            <w:pPr>
              <w:pStyle w:val="TableParagraph"/>
              <w:numPr>
                <w:ilvl w:val="0"/>
                <w:numId w:val="2"/>
              </w:numPr>
              <w:tabs>
                <w:tab w:pos="502" w:val="left" w:leader="none"/>
              </w:tabs>
              <w:spacing w:line="240" w:lineRule="auto" w:before="0" w:after="0"/>
              <w:ind w:left="501" w:right="0" w:hanging="397"/>
              <w:jc w:val="left"/>
              <w:rPr>
                <w:b/>
                <w:sz w:val="24"/>
              </w:rPr>
            </w:pPr>
            <w:r>
              <w:rPr>
                <w:b/>
                <w:sz w:val="24"/>
              </w:rPr>
              <w:t>les</w:t>
            </w:r>
            <w:r>
              <w:rPr>
                <w:b/>
                <w:spacing w:val="-15"/>
                <w:sz w:val="24"/>
              </w:rPr>
              <w:t> </w:t>
            </w:r>
            <w:r>
              <w:rPr>
                <w:b/>
                <w:sz w:val="24"/>
              </w:rPr>
              <w:t>organisations</w:t>
            </w:r>
            <w:r>
              <w:rPr>
                <w:b/>
                <w:spacing w:val="-15"/>
                <w:sz w:val="24"/>
              </w:rPr>
              <w:t> </w:t>
            </w:r>
            <w:r>
              <w:rPr>
                <w:b/>
                <w:sz w:val="24"/>
              </w:rPr>
              <w:t>intergouvernementales</w:t>
            </w:r>
            <w:r>
              <w:rPr>
                <w:b/>
                <w:spacing w:val="-12"/>
                <w:sz w:val="24"/>
              </w:rPr>
              <w:t> </w:t>
            </w:r>
            <w:r>
              <w:rPr>
                <w:b/>
                <w:spacing w:val="-2"/>
                <w:sz w:val="24"/>
              </w:rPr>
              <w:t>suivantes:</w:t>
            </w:r>
          </w:p>
        </w:tc>
      </w:tr>
    </w:tbl>
    <w:p>
      <w:pPr>
        <w:pStyle w:val="BodyText"/>
        <w:spacing w:before="1"/>
        <w:rPr>
          <w:b/>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Nature</w:t>
      </w:r>
      <w:r>
        <w:rPr>
          <w:b/>
          <w:spacing w:val="-7"/>
          <w:sz w:val="24"/>
          <w:u w:val="single"/>
        </w:rPr>
        <w:t> </w:t>
      </w:r>
      <w:r>
        <w:rPr>
          <w:b/>
          <w:sz w:val="24"/>
          <w:u w:val="single"/>
        </w:rPr>
        <w:t>des</w:t>
      </w:r>
      <w:r>
        <w:rPr>
          <w:b/>
          <w:spacing w:val="-6"/>
          <w:sz w:val="24"/>
          <w:u w:val="single"/>
        </w:rPr>
        <w:t> </w:t>
      </w:r>
      <w:r>
        <w:rPr>
          <w:b/>
          <w:spacing w:val="-2"/>
          <w:sz w:val="24"/>
          <w:u w:val="single"/>
        </w:rPr>
        <w:t>tâches</w:t>
      </w:r>
    </w:p>
    <w:p>
      <w:pPr>
        <w:pStyle w:val="BodyText"/>
        <w:spacing w:before="7"/>
        <w:rPr>
          <w:b/>
          <w:sz w:val="15"/>
        </w:rPr>
      </w:pPr>
    </w:p>
    <w:p>
      <w:pPr>
        <w:pStyle w:val="BodyText"/>
        <w:spacing w:before="92"/>
        <w:ind w:left="799" w:right="103"/>
        <w:jc w:val="both"/>
      </w:pPr>
      <w:r>
        <w:rPr/>
        <w:t>L'expert national détaché (END) contribue aux travaux de la politique de recherche et d'innovation dans le domaine</w:t>
      </w:r>
      <w:r>
        <w:rPr>
          <w:spacing w:val="-2"/>
        </w:rPr>
        <w:t> </w:t>
      </w:r>
      <w:r>
        <w:rPr/>
        <w:t>des</w:t>
      </w:r>
      <w:r>
        <w:rPr>
          <w:spacing w:val="-2"/>
        </w:rPr>
        <w:t> </w:t>
      </w:r>
      <w:r>
        <w:rPr/>
        <w:t>missions</w:t>
      </w:r>
      <w:r>
        <w:rPr>
          <w:spacing w:val="-2"/>
        </w:rPr>
        <w:t> </w:t>
      </w:r>
      <w:r>
        <w:rPr/>
        <w:t>européennes.</w:t>
      </w:r>
      <w:r>
        <w:rPr>
          <w:spacing w:val="-2"/>
        </w:rPr>
        <w:t> </w:t>
      </w:r>
      <w:r>
        <w:rPr/>
        <w:t>Les</w:t>
      </w:r>
      <w:r>
        <w:rPr>
          <w:spacing w:val="-2"/>
        </w:rPr>
        <w:t> </w:t>
      </w:r>
      <w:r>
        <w:rPr/>
        <w:t>missions</w:t>
      </w:r>
      <w:r>
        <w:rPr>
          <w:spacing w:val="-2"/>
        </w:rPr>
        <w:t> </w:t>
      </w:r>
      <w:r>
        <w:rPr/>
        <w:t>européennes</w:t>
      </w:r>
      <w:r>
        <w:rPr>
          <w:spacing w:val="-2"/>
        </w:rPr>
        <w:t> </w:t>
      </w:r>
      <w:r>
        <w:rPr/>
        <w:t>sont</w:t>
      </w:r>
      <w:r>
        <w:rPr>
          <w:spacing w:val="-1"/>
        </w:rPr>
        <w:t> </w:t>
      </w:r>
      <w:r>
        <w:rPr/>
        <w:t>une</w:t>
      </w:r>
      <w:r>
        <w:rPr>
          <w:spacing w:val="-2"/>
        </w:rPr>
        <w:t> </w:t>
      </w:r>
      <w:r>
        <w:rPr/>
        <w:t>nouveauté</w:t>
      </w:r>
      <w:r>
        <w:rPr>
          <w:spacing w:val="-2"/>
        </w:rPr>
        <w:t> </w:t>
      </w:r>
      <w:r>
        <w:rPr/>
        <w:t>du</w:t>
      </w:r>
      <w:r>
        <w:rPr>
          <w:spacing w:val="-2"/>
        </w:rPr>
        <w:t> </w:t>
      </w:r>
      <w:r>
        <w:rPr/>
        <w:t>programme</w:t>
      </w:r>
      <w:r>
        <w:rPr>
          <w:spacing w:val="-2"/>
        </w:rPr>
        <w:t> </w:t>
      </w:r>
      <w:r>
        <w:rPr/>
        <w:t>de</w:t>
      </w:r>
      <w:r>
        <w:rPr>
          <w:spacing w:val="-2"/>
        </w:rPr>
        <w:t> </w:t>
      </w:r>
      <w:r>
        <w:rPr/>
        <w:t>recherche et</w:t>
      </w:r>
      <w:r>
        <w:rPr>
          <w:spacing w:val="-1"/>
        </w:rPr>
        <w:t> </w:t>
      </w:r>
      <w:r>
        <w:rPr/>
        <w:t>d'innovation</w:t>
      </w:r>
      <w:r>
        <w:rPr>
          <w:spacing w:val="-2"/>
        </w:rPr>
        <w:t> </w:t>
      </w:r>
      <w:r>
        <w:rPr/>
        <w:t>Horizon</w:t>
      </w:r>
      <w:r>
        <w:rPr>
          <w:spacing w:val="-2"/>
        </w:rPr>
        <w:t> </w:t>
      </w:r>
      <w:r>
        <w:rPr/>
        <w:t>Europe</w:t>
      </w:r>
      <w:r>
        <w:rPr>
          <w:spacing w:val="-2"/>
        </w:rPr>
        <w:t> </w:t>
      </w:r>
      <w:r>
        <w:rPr/>
        <w:t>pour</w:t>
      </w:r>
      <w:r>
        <w:rPr>
          <w:spacing w:val="-2"/>
        </w:rPr>
        <w:t> </w:t>
      </w:r>
      <w:r>
        <w:rPr/>
        <w:t>les</w:t>
      </w:r>
      <w:r>
        <w:rPr>
          <w:spacing w:val="-2"/>
        </w:rPr>
        <w:t> </w:t>
      </w:r>
      <w:r>
        <w:rPr/>
        <w:t>années</w:t>
      </w:r>
      <w:r>
        <w:rPr>
          <w:spacing w:val="-2"/>
        </w:rPr>
        <w:t> </w:t>
      </w:r>
      <w:r>
        <w:rPr/>
        <w:t>2021-2027.</w:t>
      </w:r>
      <w:r>
        <w:rPr>
          <w:spacing w:val="-2"/>
        </w:rPr>
        <w:t> </w:t>
      </w:r>
      <w:r>
        <w:rPr/>
        <w:t>Elles</w:t>
      </w:r>
      <w:r>
        <w:rPr>
          <w:spacing w:val="-4"/>
        </w:rPr>
        <w:t> </w:t>
      </w:r>
      <w:r>
        <w:rPr/>
        <w:t>soutiendront</w:t>
      </w:r>
      <w:r>
        <w:rPr>
          <w:spacing w:val="-1"/>
        </w:rPr>
        <w:t> </w:t>
      </w:r>
      <w:r>
        <w:rPr/>
        <w:t>la</w:t>
      </w:r>
      <w:r>
        <w:rPr>
          <w:spacing w:val="-2"/>
        </w:rPr>
        <w:t> </w:t>
      </w:r>
      <w:r>
        <w:rPr/>
        <w:t>transformation</w:t>
      </w:r>
      <w:r>
        <w:rPr>
          <w:spacing w:val="-2"/>
        </w:rPr>
        <w:t> </w:t>
      </w:r>
      <w:r>
        <w:rPr/>
        <w:t>de</w:t>
      </w:r>
      <w:r>
        <w:rPr>
          <w:spacing w:val="-2"/>
        </w:rPr>
        <w:t> </w:t>
      </w:r>
      <w:r>
        <w:rPr/>
        <w:t>l'Europe</w:t>
      </w:r>
      <w:r>
        <w:rPr>
          <w:spacing w:val="-2"/>
        </w:rPr>
        <w:t> </w:t>
      </w:r>
      <w:r>
        <w:rPr/>
        <w:t>en un continent plus vert, plus sain, plus inclusif et plus résilient. Elles visent à apporter des contributions tangibles à</w:t>
      </w:r>
      <w:r>
        <w:rPr>
          <w:spacing w:val="-1"/>
        </w:rPr>
        <w:t> </w:t>
      </w:r>
      <w:r>
        <w:rPr/>
        <w:t>la population</w:t>
      </w:r>
      <w:r>
        <w:rPr>
          <w:spacing w:val="40"/>
        </w:rPr>
        <w:t> </w:t>
      </w:r>
      <w:r>
        <w:rPr/>
        <w:t>et à faire</w:t>
      </w:r>
      <w:r>
        <w:rPr>
          <w:spacing w:val="-1"/>
        </w:rPr>
        <w:t> </w:t>
      </w:r>
      <w:r>
        <w:rPr/>
        <w:t>participer les Européens à</w:t>
      </w:r>
      <w:r>
        <w:rPr>
          <w:spacing w:val="-1"/>
        </w:rPr>
        <w:t> </w:t>
      </w:r>
      <w:r>
        <w:rPr/>
        <w:t>leur conception, leur mise en œuvre et leur suivi. En tant qu'instrument, les missions de l'UE mettent en commun les ressources nécessaires en termes de programmes de financement, de politiques et de réglementations de l'UE, ainsi que d'autres activités, pour apporter des solutions à cinq défis concrets. Elles visent également à mobiliser et à activer les acteurs publics</w:t>
      </w:r>
      <w:r>
        <w:rPr>
          <w:spacing w:val="40"/>
        </w:rPr>
        <w:t> </w:t>
      </w:r>
      <w:r>
        <w:rPr/>
        <w:t>et privés, tels que les États membres de l'UE, les autorités régionales et locales, les instituts de recherche, les acteurs</w:t>
      </w:r>
      <w:r>
        <w:rPr>
          <w:spacing w:val="-2"/>
        </w:rPr>
        <w:t> </w:t>
      </w:r>
      <w:r>
        <w:rPr/>
        <w:t>de</w:t>
      </w:r>
      <w:r>
        <w:rPr>
          <w:spacing w:val="-2"/>
        </w:rPr>
        <w:t> </w:t>
      </w:r>
      <w:r>
        <w:rPr/>
        <w:t>terrain,</w:t>
      </w:r>
      <w:r>
        <w:rPr>
          <w:spacing w:val="-2"/>
        </w:rPr>
        <w:t> </w:t>
      </w:r>
      <w:r>
        <w:rPr/>
        <w:t>les</w:t>
      </w:r>
      <w:r>
        <w:rPr>
          <w:spacing w:val="-2"/>
        </w:rPr>
        <w:t> </w:t>
      </w:r>
      <w:r>
        <w:rPr/>
        <w:t>entrepreneurs</w:t>
      </w:r>
      <w:r>
        <w:rPr>
          <w:spacing w:val="-2"/>
        </w:rPr>
        <w:t> </w:t>
      </w:r>
      <w:r>
        <w:rPr/>
        <w:t>et</w:t>
      </w:r>
      <w:r>
        <w:rPr>
          <w:spacing w:val="-1"/>
        </w:rPr>
        <w:t> </w:t>
      </w:r>
      <w:r>
        <w:rPr/>
        <w:t>les</w:t>
      </w:r>
      <w:r>
        <w:rPr>
          <w:spacing w:val="-2"/>
        </w:rPr>
        <w:t> </w:t>
      </w:r>
      <w:r>
        <w:rPr/>
        <w:t>investisseurs,</w:t>
      </w:r>
      <w:r>
        <w:rPr>
          <w:spacing w:val="-2"/>
        </w:rPr>
        <w:t> </w:t>
      </w:r>
      <w:r>
        <w:rPr/>
        <w:t>afin</w:t>
      </w:r>
      <w:r>
        <w:rPr>
          <w:spacing w:val="-2"/>
        </w:rPr>
        <w:t> </w:t>
      </w:r>
      <w:r>
        <w:rPr/>
        <w:t>de</w:t>
      </w:r>
      <w:r>
        <w:rPr>
          <w:spacing w:val="-2"/>
        </w:rPr>
        <w:t> </w:t>
      </w:r>
      <w:r>
        <w:rPr/>
        <w:t>créer</w:t>
      </w:r>
      <w:r>
        <w:rPr>
          <w:spacing w:val="-1"/>
        </w:rPr>
        <w:t> </w:t>
      </w:r>
      <w:r>
        <w:rPr/>
        <w:t>un</w:t>
      </w:r>
      <w:r>
        <w:rPr>
          <w:spacing w:val="-2"/>
        </w:rPr>
        <w:t> </w:t>
      </w:r>
      <w:r>
        <w:rPr/>
        <w:t>impact</w:t>
      </w:r>
      <w:r>
        <w:rPr>
          <w:spacing w:val="-1"/>
        </w:rPr>
        <w:t> </w:t>
      </w:r>
      <w:r>
        <w:rPr/>
        <w:t>réel</w:t>
      </w:r>
      <w:r>
        <w:rPr>
          <w:spacing w:val="-1"/>
        </w:rPr>
        <w:t> </w:t>
      </w:r>
      <w:r>
        <w:rPr/>
        <w:t>et</w:t>
      </w:r>
      <w:r>
        <w:rPr>
          <w:spacing w:val="-1"/>
        </w:rPr>
        <w:t> </w:t>
      </w:r>
      <w:r>
        <w:rPr/>
        <w:t>durable pour</w:t>
      </w:r>
      <w:r>
        <w:rPr>
          <w:spacing w:val="-2"/>
        </w:rPr>
        <w:t> </w:t>
      </w:r>
      <w:r>
        <w:rPr/>
        <w:t>chacune</w:t>
      </w:r>
      <w:r>
        <w:rPr>
          <w:spacing w:val="-4"/>
        </w:rPr>
        <w:t> </w:t>
      </w:r>
      <w:r>
        <w:rPr/>
        <w:t>de ces missions. Enfin, elles impliquent également un engagement auprès des citoyens pour stimuler l'adoption par la société de nouvelles solutions et approches pour faire face à ces défis.</w:t>
      </w:r>
    </w:p>
    <w:p>
      <w:pPr>
        <w:pStyle w:val="BodyText"/>
      </w:pPr>
    </w:p>
    <w:p>
      <w:pPr>
        <w:pStyle w:val="BodyText"/>
        <w:ind w:left="799" w:right="104"/>
        <w:jc w:val="both"/>
      </w:pPr>
      <w:r>
        <w:rPr/>
        <w:t>Le poste d'expert national détaché (END) est à pourvoir au sein du «</w:t>
      </w:r>
      <w:r>
        <w:rPr>
          <w:spacing w:val="-7"/>
        </w:rPr>
        <w:t> </w:t>
      </w:r>
      <w:r>
        <w:rPr/>
        <w:t>Service commun pour les Missions et les partenariats ". L'unité est en charge de l'élaboration des politiques pour les missions et les partenariats européens et soutient les services de la Commission, les États membres et les parties prenantes dans leur co- création afin de mobiliser des investissements conjoints sur les objectifs fixés, conformément aux priorités co- établies avec les citoyens européens. Cette unité assure la coordination politique entre les services de la Commission tout au long du cycle de vie des missions et des partenariats, y compris leur suivi et leur évaluation d'impact, et fait office de centre politique pour les missions et les partenariats européens au sein de la Commission.</w:t>
      </w:r>
    </w:p>
    <w:p>
      <w:pPr>
        <w:pStyle w:val="BodyText"/>
        <w:rPr>
          <w:sz w:val="20"/>
        </w:rPr>
      </w:pPr>
    </w:p>
    <w:p>
      <w:pPr>
        <w:pStyle w:val="BodyText"/>
        <w:rPr>
          <w:sz w:val="20"/>
        </w:rPr>
      </w:pPr>
    </w:p>
    <w:p>
      <w:pPr>
        <w:pStyle w:val="BodyText"/>
        <w:rPr>
          <w:sz w:val="20"/>
        </w:rPr>
      </w:pPr>
    </w:p>
    <w:p>
      <w:pPr>
        <w:pStyle w:val="BodyText"/>
        <w:spacing w:before="1"/>
        <w:rPr>
          <w:sz w:val="13"/>
        </w:rPr>
      </w:pPr>
      <w:r>
        <w:rPr/>
        <w:pict>
          <v:rect style="position:absolute;margin-left:42.599998pt;margin-top:8.739594pt;width:144.020pt;height:.71997pt;mso-position-horizontal-relative:page;mso-position-vertical-relative:paragraph;z-index:-15728640;mso-wrap-distance-left:0;mso-wrap-distance-right:0" id="docshape2" filled="true" fillcolor="#000000" stroked="false">
            <v:fill type="solid"/>
            <w10:wrap type="topAndBottom"/>
          </v:rect>
        </w:pict>
      </w:r>
    </w:p>
    <w:p>
      <w:pPr>
        <w:spacing w:before="94"/>
        <w:ind w:left="372" w:right="0" w:firstLine="0"/>
        <w:jc w:val="left"/>
        <w:rPr>
          <w:sz w:val="20"/>
        </w:rPr>
      </w:pPr>
      <w:r>
        <w:rPr>
          <w:sz w:val="20"/>
          <w:vertAlign w:val="superscript"/>
        </w:rPr>
        <w:t>1</w:t>
      </w:r>
      <w:r>
        <w:rPr>
          <w:spacing w:val="-4"/>
          <w:sz w:val="20"/>
          <w:vertAlign w:val="baseline"/>
        </w:rPr>
        <w:t> </w:t>
      </w:r>
      <w:r>
        <w:rPr>
          <w:sz w:val="20"/>
          <w:vertAlign w:val="baseline"/>
        </w:rPr>
        <w:t>Ces</w:t>
      </w:r>
      <w:r>
        <w:rPr>
          <w:spacing w:val="-3"/>
          <w:sz w:val="20"/>
          <w:vertAlign w:val="baseline"/>
        </w:rPr>
        <w:t> </w:t>
      </w:r>
      <w:r>
        <w:rPr>
          <w:sz w:val="20"/>
          <w:vertAlign w:val="baseline"/>
        </w:rPr>
        <w:t>mentions</w:t>
      </w:r>
      <w:r>
        <w:rPr>
          <w:spacing w:val="-2"/>
          <w:sz w:val="20"/>
          <w:vertAlign w:val="baseline"/>
        </w:rPr>
        <w:t> </w:t>
      </w:r>
      <w:r>
        <w:rPr>
          <w:sz w:val="20"/>
          <w:vertAlign w:val="baseline"/>
        </w:rPr>
        <w:t>ne</w:t>
      </w:r>
      <w:r>
        <w:rPr>
          <w:spacing w:val="-4"/>
          <w:sz w:val="20"/>
          <w:vertAlign w:val="baseline"/>
        </w:rPr>
        <w:t> </w:t>
      </w:r>
      <w:r>
        <w:rPr>
          <w:sz w:val="20"/>
          <w:vertAlign w:val="baseline"/>
        </w:rPr>
        <w:t>sont</w:t>
      </w:r>
      <w:r>
        <w:rPr>
          <w:spacing w:val="-5"/>
          <w:sz w:val="20"/>
          <w:vertAlign w:val="baseline"/>
        </w:rPr>
        <w:t> </w:t>
      </w:r>
      <w:r>
        <w:rPr>
          <w:sz w:val="20"/>
          <w:vertAlign w:val="baseline"/>
        </w:rPr>
        <w:t>données</w:t>
      </w:r>
      <w:r>
        <w:rPr>
          <w:spacing w:val="-5"/>
          <w:sz w:val="20"/>
          <w:vertAlign w:val="baseline"/>
        </w:rPr>
        <w:t> </w:t>
      </w:r>
      <w:r>
        <w:rPr>
          <w:sz w:val="20"/>
          <w:vertAlign w:val="baseline"/>
        </w:rPr>
        <w:t>qu'à</w:t>
      </w:r>
      <w:r>
        <w:rPr>
          <w:spacing w:val="-4"/>
          <w:sz w:val="20"/>
          <w:vertAlign w:val="baseline"/>
        </w:rPr>
        <w:t> </w:t>
      </w:r>
      <w:r>
        <w:rPr>
          <w:sz w:val="20"/>
          <w:vertAlign w:val="baseline"/>
        </w:rPr>
        <w:t>titre indicatif</w:t>
      </w:r>
      <w:r>
        <w:rPr>
          <w:spacing w:val="-6"/>
          <w:sz w:val="20"/>
          <w:vertAlign w:val="baseline"/>
        </w:rPr>
        <w:t> </w:t>
      </w:r>
      <w:r>
        <w:rPr>
          <w:sz w:val="20"/>
          <w:vertAlign w:val="baseline"/>
        </w:rPr>
        <w:t>(art.4</w:t>
      </w:r>
      <w:r>
        <w:rPr>
          <w:spacing w:val="-3"/>
          <w:sz w:val="20"/>
          <w:vertAlign w:val="baseline"/>
        </w:rPr>
        <w:t> </w:t>
      </w:r>
      <w:r>
        <w:rPr>
          <w:sz w:val="20"/>
          <w:vertAlign w:val="baseline"/>
        </w:rPr>
        <w:t>de</w:t>
      </w:r>
      <w:r>
        <w:rPr>
          <w:spacing w:val="-4"/>
          <w:sz w:val="20"/>
          <w:vertAlign w:val="baseline"/>
        </w:rPr>
        <w:t> </w:t>
      </w:r>
      <w:r>
        <w:rPr>
          <w:sz w:val="20"/>
          <w:vertAlign w:val="baseline"/>
        </w:rPr>
        <w:t>la</w:t>
      </w:r>
      <w:r>
        <w:rPr>
          <w:spacing w:val="-4"/>
          <w:sz w:val="20"/>
          <w:vertAlign w:val="baseline"/>
        </w:rPr>
        <w:t> </w:t>
      </w:r>
      <w:r>
        <w:rPr>
          <w:sz w:val="20"/>
          <w:vertAlign w:val="baseline"/>
        </w:rPr>
        <w:t>décision</w:t>
      </w:r>
      <w:r>
        <w:rPr>
          <w:spacing w:val="-5"/>
          <w:sz w:val="20"/>
          <w:vertAlign w:val="baseline"/>
        </w:rPr>
        <w:t> </w:t>
      </w:r>
      <w:r>
        <w:rPr>
          <w:spacing w:val="-2"/>
          <w:sz w:val="20"/>
          <w:vertAlign w:val="baseline"/>
        </w:rPr>
        <w:t>END).</w:t>
      </w:r>
    </w:p>
    <w:p>
      <w:pPr>
        <w:spacing w:after="0"/>
        <w:jc w:val="left"/>
        <w:rPr>
          <w:sz w:val="20"/>
        </w:rPr>
        <w:sectPr>
          <w:footerReference w:type="default" r:id="rId5"/>
          <w:type w:val="continuous"/>
          <w:pgSz w:w="11910" w:h="16840"/>
          <w:pgMar w:footer="690" w:header="0" w:top="520" w:bottom="880" w:left="480" w:right="740"/>
          <w:pgNumType w:start="1"/>
        </w:sectPr>
      </w:pPr>
    </w:p>
    <w:p>
      <w:pPr>
        <w:pStyle w:val="BodyText"/>
        <w:spacing w:before="68"/>
        <w:ind w:left="799" w:right="104"/>
        <w:jc w:val="both"/>
      </w:pPr>
      <w:r>
        <w:rPr/>
        <w:t>L'END conseillera et soutiendra en particulier les services de la Commission dans la mise en œuvre des missions de l'UE au niveau national, notamment en ce qui concerne la mobilisation et la coordination des acteurs dans différents secteurs et à différents niveaux de gouvernance. En fonction de son expérience, cela peut inclure des réflexions sur la mobilisation de différentes sources de financement public et privé pour la mise en œuvre des missions.</w:t>
      </w:r>
    </w:p>
    <w:p>
      <w:pPr>
        <w:pStyle w:val="BodyText"/>
        <w:spacing w:before="3"/>
        <w:ind w:left="799" w:right="110"/>
        <w:jc w:val="both"/>
      </w:pPr>
      <w:r>
        <w:rPr/>
        <w:t>Le travail comprend des tâches de coordination et le suivi des composantes du programme Horizon Europe liées aux missions, ainsi que la rédaction de notes d'information et de discours sur les missions de l'UE, la participation à des réunions et à des activités interservices.</w:t>
      </w:r>
    </w:p>
    <w:p>
      <w:pPr>
        <w:pStyle w:val="BodyText"/>
        <w:spacing w:before="9"/>
        <w:rPr>
          <w:sz w:val="21"/>
        </w:rPr>
      </w:pPr>
    </w:p>
    <w:p>
      <w:pPr>
        <w:pStyle w:val="BodyText"/>
        <w:spacing w:before="1"/>
        <w:ind w:left="799" w:right="103"/>
        <w:jc w:val="both"/>
      </w:pPr>
      <w:r>
        <w:rPr/>
        <w:t>L'END travaillera sous la supervision d'un administrateur. Sans préjudice du principe de coopération loyale entre les administrations nationales/régionales et européennes, l'END ne travaillera pas sur des cas individuels ayant des implications avec des dossiers qu'il aurait eu à traiter dans son administration nationale au cours des deux années précédant son entrée à la Commission, ou des cas directement adjacents. En aucun cas, il ne représentera la Commission pour prendre des engagements, financiers ou autres, ou pour négocier au nom de</w:t>
      </w:r>
      <w:r>
        <w:rPr>
          <w:spacing w:val="40"/>
        </w:rPr>
        <w:t> </w:t>
      </w:r>
      <w:r>
        <w:rPr/>
        <w:t>la Commission.</w:t>
      </w:r>
    </w:p>
    <w:p>
      <w:pPr>
        <w:pStyle w:val="BodyText"/>
        <w:spacing w:before="6"/>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Principales</w:t>
      </w:r>
      <w:r>
        <w:rPr>
          <w:b/>
          <w:spacing w:val="-8"/>
          <w:sz w:val="24"/>
          <w:u w:val="single"/>
        </w:rPr>
        <w:t> </w:t>
      </w:r>
      <w:r>
        <w:rPr>
          <w:b/>
          <w:spacing w:val="-2"/>
          <w:sz w:val="24"/>
          <w:u w:val="single"/>
        </w:rPr>
        <w:t>qualifications</w:t>
      </w:r>
    </w:p>
    <w:p>
      <w:pPr>
        <w:pStyle w:val="BodyText"/>
        <w:rPr>
          <w:b/>
          <w:sz w:val="16"/>
        </w:rPr>
      </w:pPr>
    </w:p>
    <w:p>
      <w:pPr>
        <w:pStyle w:val="Heading1"/>
        <w:numPr>
          <w:ilvl w:val="1"/>
          <w:numId w:val="3"/>
        </w:numPr>
        <w:tabs>
          <w:tab w:pos="1040" w:val="left" w:leader="none"/>
        </w:tabs>
        <w:spacing w:line="240" w:lineRule="auto" w:before="91" w:after="0"/>
        <w:ind w:left="1039" w:right="0" w:hanging="241"/>
        <w:jc w:val="left"/>
      </w:pPr>
      <w:r>
        <w:rPr/>
        <w:t>Critères</w:t>
      </w:r>
      <w:r>
        <w:rPr>
          <w:spacing w:val="-6"/>
        </w:rPr>
        <w:t> </w:t>
      </w:r>
      <w:r>
        <w:rPr>
          <w:spacing w:val="-2"/>
        </w:rPr>
        <w:t>d'éligibilité</w:t>
      </w:r>
    </w:p>
    <w:p>
      <w:pPr>
        <w:pStyle w:val="BodyText"/>
        <w:spacing w:before="7"/>
        <w:rPr>
          <w:b/>
          <w:sz w:val="21"/>
        </w:rPr>
      </w:pPr>
    </w:p>
    <w:p>
      <w:pPr>
        <w:pStyle w:val="BodyText"/>
        <w:spacing w:before="1"/>
        <w:ind w:left="799" w:right="287"/>
        <w:jc w:val="both"/>
      </w:pPr>
      <w:r>
        <w:rPr/>
        <w:t>Les critères d'éligibilité suivants doivent être remplis par le candidat afin d'être détaché auprès de la Commission. Par conséquent, le candidat qui ne remplit pas l'ensemble de ces critères sera automatiquement éliminé du processus de sélection.</w:t>
      </w:r>
    </w:p>
    <w:p>
      <w:pPr>
        <w:pStyle w:val="BodyText"/>
        <w:spacing w:before="9"/>
        <w:rPr>
          <w:sz w:val="21"/>
        </w:rPr>
      </w:pPr>
    </w:p>
    <w:p>
      <w:pPr>
        <w:pStyle w:val="ListParagraph"/>
        <w:numPr>
          <w:ilvl w:val="2"/>
          <w:numId w:val="3"/>
        </w:numPr>
        <w:tabs>
          <w:tab w:pos="1019" w:val="left" w:leader="none"/>
        </w:tabs>
        <w:spacing w:line="240" w:lineRule="auto" w:before="1" w:after="0"/>
        <w:ind w:left="799" w:right="282" w:firstLine="0"/>
        <w:jc w:val="both"/>
        <w:rPr>
          <w:sz w:val="22"/>
        </w:rPr>
      </w:pPr>
      <w:r>
        <w:rPr>
          <w:sz w:val="22"/>
          <w:u w:val="single"/>
        </w:rPr>
        <w:t>Expérience professionnelle</w:t>
      </w:r>
      <w:r>
        <w:rPr>
          <w:sz w:val="22"/>
        </w:rPr>
        <w:t> : au moins cinq ans d'expérience professionnelle dans des fonctions administratives, juridiques, scientifiques, techniques, de conseil ou de contrôle, équivalentes à celles du groupe de fonctions AD ;</w:t>
      </w:r>
    </w:p>
    <w:p>
      <w:pPr>
        <w:pStyle w:val="BodyText"/>
      </w:pPr>
    </w:p>
    <w:p>
      <w:pPr>
        <w:pStyle w:val="ListParagraph"/>
        <w:numPr>
          <w:ilvl w:val="2"/>
          <w:numId w:val="3"/>
        </w:numPr>
        <w:tabs>
          <w:tab w:pos="959" w:val="left" w:leader="none"/>
        </w:tabs>
        <w:spacing w:line="240" w:lineRule="auto" w:before="0" w:after="0"/>
        <w:ind w:left="799" w:right="278" w:firstLine="0"/>
        <w:jc w:val="both"/>
        <w:rPr>
          <w:sz w:val="22"/>
        </w:rPr>
      </w:pPr>
      <w:r>
        <w:rPr>
          <w:sz w:val="22"/>
          <w:u w:val="single"/>
        </w:rPr>
        <w:t>Ancienneté</w:t>
      </w:r>
      <w:r>
        <w:rPr>
          <w:sz w:val="22"/>
        </w:rPr>
        <w:t> : les candidats doivent avoir au moins un an d'ancienneté chez leur employeur, c'est-à-dire avoir travaillé pour un employeur éligible tel que décrit à l'art. 1 de la décision END, sur une base permanente ou contractuelle, pendant au moins un an avant le détachement ;</w:t>
      </w:r>
    </w:p>
    <w:p>
      <w:pPr>
        <w:pStyle w:val="BodyText"/>
        <w:spacing w:before="2"/>
      </w:pPr>
    </w:p>
    <w:p>
      <w:pPr>
        <w:pStyle w:val="ListParagraph"/>
        <w:numPr>
          <w:ilvl w:val="2"/>
          <w:numId w:val="3"/>
        </w:numPr>
        <w:tabs>
          <w:tab w:pos="1004" w:val="left" w:leader="none"/>
        </w:tabs>
        <w:spacing w:line="240" w:lineRule="auto" w:before="0" w:after="0"/>
        <w:ind w:left="799" w:right="280" w:firstLine="0"/>
        <w:jc w:val="both"/>
        <w:rPr>
          <w:sz w:val="22"/>
        </w:rPr>
      </w:pPr>
      <w:r>
        <w:rPr>
          <w:sz w:val="22"/>
          <w:u w:val="single"/>
        </w:rPr>
        <w:t>Compétences linguistiques</w:t>
      </w:r>
      <w:r>
        <w:rPr>
          <w:sz w:val="22"/>
        </w:rPr>
        <w:t> : connaissance approfondie d'une des langues de l'UE et connaissance satisfaisante d'une autre langue de l'UE dans la mesure nécessaire à l'exercice des fonctions. L'END d'un</w:t>
      </w:r>
      <w:r>
        <w:rPr>
          <w:spacing w:val="40"/>
          <w:sz w:val="22"/>
        </w:rPr>
        <w:t> </w:t>
      </w:r>
      <w:r>
        <w:rPr>
          <w:sz w:val="22"/>
        </w:rPr>
        <w:t>pays tiers doit apporter la preuve d'une connaissance approfondie d'une langue de l'UE nécessaire à</w:t>
      </w:r>
      <w:r>
        <w:rPr>
          <w:spacing w:val="40"/>
          <w:sz w:val="22"/>
        </w:rPr>
        <w:t> </w:t>
      </w:r>
      <w:r>
        <w:rPr>
          <w:sz w:val="22"/>
        </w:rPr>
        <w:t>l'exercice de ses fonctions.</w:t>
      </w:r>
    </w:p>
    <w:p>
      <w:pPr>
        <w:pStyle w:val="BodyText"/>
        <w:spacing w:before="4"/>
      </w:pPr>
    </w:p>
    <w:p>
      <w:pPr>
        <w:pStyle w:val="Heading1"/>
        <w:numPr>
          <w:ilvl w:val="1"/>
          <w:numId w:val="3"/>
        </w:numPr>
        <w:tabs>
          <w:tab w:pos="1081" w:val="left" w:leader="none"/>
        </w:tabs>
        <w:spacing w:line="240" w:lineRule="auto" w:before="0" w:after="0"/>
        <w:ind w:left="1080" w:right="0" w:hanging="282"/>
        <w:jc w:val="left"/>
      </w:pPr>
      <w:r>
        <w:rPr>
          <w:u w:val="single"/>
        </w:rPr>
        <w:t>Critères</w:t>
      </w:r>
      <w:r>
        <w:rPr>
          <w:spacing w:val="-3"/>
          <w:u w:val="single"/>
        </w:rPr>
        <w:t> </w:t>
      </w:r>
      <w:r>
        <w:rPr>
          <w:u w:val="single"/>
        </w:rPr>
        <w:t>de</w:t>
      </w:r>
      <w:r>
        <w:rPr>
          <w:spacing w:val="-3"/>
          <w:u w:val="single"/>
        </w:rPr>
        <w:t> </w:t>
      </w:r>
      <w:r>
        <w:rPr>
          <w:spacing w:val="-2"/>
          <w:u w:val="single"/>
        </w:rPr>
        <w:t>sélection</w:t>
      </w:r>
    </w:p>
    <w:p>
      <w:pPr>
        <w:pStyle w:val="BodyText"/>
        <w:spacing w:before="8"/>
        <w:rPr>
          <w:b/>
          <w:sz w:val="13"/>
        </w:rPr>
      </w:pPr>
    </w:p>
    <w:p>
      <w:pPr>
        <w:pStyle w:val="BodyText"/>
        <w:spacing w:line="252" w:lineRule="exact" w:before="92"/>
        <w:ind w:left="799"/>
      </w:pPr>
      <w:r>
        <w:rPr>
          <w:spacing w:val="-2"/>
          <w:u w:val="single"/>
        </w:rPr>
        <w:t>Diplôme</w:t>
      </w:r>
    </w:p>
    <w:p>
      <w:pPr>
        <w:pStyle w:val="ListParagraph"/>
        <w:numPr>
          <w:ilvl w:val="2"/>
          <w:numId w:val="3"/>
        </w:numPr>
        <w:tabs>
          <w:tab w:pos="925" w:val="left" w:leader="none"/>
        </w:tabs>
        <w:spacing w:line="252" w:lineRule="exact" w:before="0" w:after="0"/>
        <w:ind w:left="924" w:right="0" w:hanging="126"/>
        <w:jc w:val="left"/>
        <w:rPr>
          <w:sz w:val="22"/>
        </w:rPr>
      </w:pPr>
      <w:r>
        <w:rPr>
          <w:sz w:val="22"/>
        </w:rPr>
        <w:t>diplôme</w:t>
      </w:r>
      <w:r>
        <w:rPr>
          <w:spacing w:val="-4"/>
          <w:sz w:val="22"/>
        </w:rPr>
        <w:t> </w:t>
      </w:r>
      <w:r>
        <w:rPr>
          <w:sz w:val="22"/>
        </w:rPr>
        <w:t>universitaire</w:t>
      </w:r>
      <w:r>
        <w:rPr>
          <w:spacing w:val="-4"/>
          <w:sz w:val="22"/>
        </w:rPr>
        <w:t> </w:t>
      </w:r>
      <w:r>
        <w:rPr>
          <w:spacing w:val="-5"/>
          <w:sz w:val="22"/>
        </w:rPr>
        <w:t>ou</w:t>
      </w:r>
    </w:p>
    <w:p>
      <w:pPr>
        <w:pStyle w:val="ListParagraph"/>
        <w:numPr>
          <w:ilvl w:val="2"/>
          <w:numId w:val="3"/>
        </w:numPr>
        <w:tabs>
          <w:tab w:pos="925" w:val="left" w:leader="none"/>
        </w:tabs>
        <w:spacing w:line="252" w:lineRule="exact" w:before="0" w:after="0"/>
        <w:ind w:left="924" w:right="0" w:hanging="126"/>
        <w:jc w:val="left"/>
        <w:rPr>
          <w:sz w:val="22"/>
        </w:rPr>
      </w:pPr>
      <w:r>
        <w:rPr>
          <w:sz w:val="22"/>
        </w:rPr>
        <w:t>formation</w:t>
      </w:r>
      <w:r>
        <w:rPr>
          <w:spacing w:val="-7"/>
          <w:sz w:val="22"/>
        </w:rPr>
        <w:t> </w:t>
      </w:r>
      <w:r>
        <w:rPr>
          <w:sz w:val="22"/>
        </w:rPr>
        <w:t>professionnelle</w:t>
      </w:r>
      <w:r>
        <w:rPr>
          <w:spacing w:val="-7"/>
          <w:sz w:val="22"/>
        </w:rPr>
        <w:t> </w:t>
      </w:r>
      <w:r>
        <w:rPr>
          <w:sz w:val="22"/>
        </w:rPr>
        <w:t>ou</w:t>
      </w:r>
      <w:r>
        <w:rPr>
          <w:spacing w:val="-4"/>
          <w:sz w:val="22"/>
        </w:rPr>
        <w:t> </w:t>
      </w:r>
      <w:r>
        <w:rPr>
          <w:sz w:val="22"/>
        </w:rPr>
        <w:t>expérience</w:t>
      </w:r>
      <w:r>
        <w:rPr>
          <w:spacing w:val="-7"/>
          <w:sz w:val="22"/>
        </w:rPr>
        <w:t> </w:t>
      </w:r>
      <w:r>
        <w:rPr>
          <w:sz w:val="22"/>
        </w:rPr>
        <w:t>professionnelle</w:t>
      </w:r>
      <w:r>
        <w:rPr>
          <w:spacing w:val="-6"/>
          <w:sz w:val="22"/>
        </w:rPr>
        <w:t> </w:t>
      </w:r>
      <w:r>
        <w:rPr>
          <w:sz w:val="22"/>
        </w:rPr>
        <w:t>d'un</w:t>
      </w:r>
      <w:r>
        <w:rPr>
          <w:spacing w:val="-5"/>
          <w:sz w:val="22"/>
        </w:rPr>
        <w:t> </w:t>
      </w:r>
      <w:r>
        <w:rPr>
          <w:sz w:val="22"/>
        </w:rPr>
        <w:t>niveau</w:t>
      </w:r>
      <w:r>
        <w:rPr>
          <w:spacing w:val="-4"/>
          <w:sz w:val="22"/>
        </w:rPr>
        <w:t> </w:t>
      </w:r>
      <w:r>
        <w:rPr>
          <w:spacing w:val="-2"/>
          <w:sz w:val="22"/>
        </w:rPr>
        <w:t>équivalent</w:t>
      </w:r>
    </w:p>
    <w:p>
      <w:pPr>
        <w:pStyle w:val="BodyText"/>
      </w:pPr>
    </w:p>
    <w:p>
      <w:pPr>
        <w:pStyle w:val="BodyText"/>
        <w:ind w:left="910"/>
      </w:pPr>
      <w:r>
        <w:rPr/>
        <w:t>dans</w:t>
      </w:r>
      <w:r>
        <w:rPr>
          <w:spacing w:val="-5"/>
        </w:rPr>
        <w:t> </w:t>
      </w:r>
      <w:r>
        <w:rPr/>
        <w:t>le(s)</w:t>
      </w:r>
      <w:r>
        <w:rPr>
          <w:spacing w:val="-4"/>
        </w:rPr>
        <w:t> </w:t>
      </w:r>
      <w:r>
        <w:rPr/>
        <w:t>domaine(s)</w:t>
      </w:r>
      <w:r>
        <w:rPr>
          <w:spacing w:val="-4"/>
        </w:rPr>
        <w:t> </w:t>
      </w:r>
      <w:r>
        <w:rPr>
          <w:spacing w:val="-10"/>
        </w:rPr>
        <w:t>:</w:t>
      </w:r>
    </w:p>
    <w:p>
      <w:pPr>
        <w:pStyle w:val="ListParagraph"/>
        <w:numPr>
          <w:ilvl w:val="2"/>
          <w:numId w:val="3"/>
        </w:numPr>
        <w:tabs>
          <w:tab w:pos="925" w:val="left" w:leader="none"/>
        </w:tabs>
        <w:spacing w:line="252" w:lineRule="exact" w:before="2" w:after="0"/>
        <w:ind w:left="924" w:right="0" w:hanging="126"/>
        <w:jc w:val="left"/>
        <w:rPr>
          <w:sz w:val="22"/>
        </w:rPr>
      </w:pPr>
      <w:r>
        <w:rPr>
          <w:sz w:val="22"/>
        </w:rPr>
        <w:t>Politique</w:t>
      </w:r>
      <w:r>
        <w:rPr>
          <w:spacing w:val="-4"/>
          <w:sz w:val="22"/>
        </w:rPr>
        <w:t> </w:t>
      </w:r>
      <w:r>
        <w:rPr>
          <w:sz w:val="22"/>
        </w:rPr>
        <w:t>ou</w:t>
      </w:r>
      <w:r>
        <w:rPr>
          <w:spacing w:val="-2"/>
          <w:sz w:val="22"/>
        </w:rPr>
        <w:t> </w:t>
      </w:r>
      <w:r>
        <w:rPr>
          <w:sz w:val="22"/>
        </w:rPr>
        <w:t>financement</w:t>
      </w:r>
      <w:r>
        <w:rPr>
          <w:spacing w:val="-3"/>
          <w:sz w:val="22"/>
        </w:rPr>
        <w:t> </w:t>
      </w:r>
      <w:r>
        <w:rPr>
          <w:sz w:val="22"/>
        </w:rPr>
        <w:t>de</w:t>
      </w:r>
      <w:r>
        <w:rPr>
          <w:spacing w:val="-2"/>
          <w:sz w:val="22"/>
        </w:rPr>
        <w:t> </w:t>
      </w:r>
      <w:r>
        <w:rPr>
          <w:sz w:val="22"/>
        </w:rPr>
        <w:t>la</w:t>
      </w:r>
      <w:r>
        <w:rPr>
          <w:spacing w:val="-2"/>
          <w:sz w:val="22"/>
        </w:rPr>
        <w:t> </w:t>
      </w:r>
      <w:r>
        <w:rPr>
          <w:sz w:val="22"/>
        </w:rPr>
        <w:t>recherche</w:t>
      </w:r>
      <w:r>
        <w:rPr>
          <w:spacing w:val="-3"/>
          <w:sz w:val="22"/>
        </w:rPr>
        <w:t> </w:t>
      </w:r>
      <w:r>
        <w:rPr>
          <w:sz w:val="22"/>
        </w:rPr>
        <w:t>et</w:t>
      </w:r>
      <w:r>
        <w:rPr>
          <w:spacing w:val="-1"/>
          <w:sz w:val="22"/>
        </w:rPr>
        <w:t> </w:t>
      </w:r>
      <w:r>
        <w:rPr>
          <w:sz w:val="22"/>
        </w:rPr>
        <w:t>de</w:t>
      </w:r>
      <w:r>
        <w:rPr>
          <w:spacing w:val="-1"/>
          <w:sz w:val="22"/>
        </w:rPr>
        <w:t> </w:t>
      </w:r>
      <w:r>
        <w:rPr>
          <w:spacing w:val="-2"/>
          <w:sz w:val="22"/>
        </w:rPr>
        <w:t>l'innovation</w:t>
      </w:r>
    </w:p>
    <w:p>
      <w:pPr>
        <w:pStyle w:val="ListParagraph"/>
        <w:numPr>
          <w:ilvl w:val="2"/>
          <w:numId w:val="3"/>
        </w:numPr>
        <w:tabs>
          <w:tab w:pos="925" w:val="left" w:leader="none"/>
        </w:tabs>
        <w:spacing w:line="252" w:lineRule="exact" w:before="0" w:after="0"/>
        <w:ind w:left="924" w:right="0" w:hanging="126"/>
        <w:jc w:val="left"/>
        <w:rPr>
          <w:sz w:val="22"/>
        </w:rPr>
      </w:pPr>
      <w:r>
        <w:rPr>
          <w:sz w:val="22"/>
        </w:rPr>
        <w:t>Politique</w:t>
      </w:r>
      <w:r>
        <w:rPr>
          <w:spacing w:val="-1"/>
          <w:sz w:val="22"/>
        </w:rPr>
        <w:t> </w:t>
      </w:r>
      <w:r>
        <w:rPr>
          <w:spacing w:val="-2"/>
          <w:sz w:val="22"/>
        </w:rPr>
        <w:t>publique</w:t>
      </w:r>
    </w:p>
    <w:p>
      <w:pPr>
        <w:pStyle w:val="ListParagraph"/>
        <w:numPr>
          <w:ilvl w:val="2"/>
          <w:numId w:val="3"/>
        </w:numPr>
        <w:tabs>
          <w:tab w:pos="925" w:val="left" w:leader="none"/>
        </w:tabs>
        <w:spacing w:line="252" w:lineRule="exact" w:before="0" w:after="0"/>
        <w:ind w:left="924" w:right="0" w:hanging="126"/>
        <w:jc w:val="left"/>
        <w:rPr>
          <w:sz w:val="22"/>
        </w:rPr>
      </w:pPr>
      <w:r>
        <w:rPr>
          <w:sz w:val="22"/>
        </w:rPr>
        <w:t>Politique/relations</w:t>
      </w:r>
      <w:r>
        <w:rPr>
          <w:spacing w:val="-9"/>
          <w:sz w:val="22"/>
        </w:rPr>
        <w:t> </w:t>
      </w:r>
      <w:r>
        <w:rPr>
          <w:spacing w:val="-2"/>
          <w:sz w:val="22"/>
        </w:rPr>
        <w:t>internationales</w:t>
      </w:r>
    </w:p>
    <w:p>
      <w:pPr>
        <w:pStyle w:val="ListParagraph"/>
        <w:numPr>
          <w:ilvl w:val="2"/>
          <w:numId w:val="3"/>
        </w:numPr>
        <w:tabs>
          <w:tab w:pos="925" w:val="left" w:leader="none"/>
        </w:tabs>
        <w:spacing w:line="252" w:lineRule="exact" w:before="1" w:after="0"/>
        <w:ind w:left="924" w:right="0" w:hanging="126"/>
        <w:jc w:val="left"/>
        <w:rPr>
          <w:sz w:val="22"/>
        </w:rPr>
      </w:pPr>
      <w:r>
        <w:rPr>
          <w:spacing w:val="-2"/>
          <w:sz w:val="22"/>
        </w:rPr>
        <w:t>Économie</w:t>
      </w:r>
    </w:p>
    <w:p>
      <w:pPr>
        <w:pStyle w:val="ListParagraph"/>
        <w:numPr>
          <w:ilvl w:val="2"/>
          <w:numId w:val="3"/>
        </w:numPr>
        <w:tabs>
          <w:tab w:pos="927" w:val="left" w:leader="none"/>
        </w:tabs>
        <w:spacing w:line="252" w:lineRule="exact" w:before="0" w:after="0"/>
        <w:ind w:left="926" w:right="0" w:hanging="128"/>
        <w:jc w:val="left"/>
        <w:rPr>
          <w:sz w:val="22"/>
        </w:rPr>
      </w:pPr>
      <w:r>
        <w:rPr>
          <w:spacing w:val="-2"/>
          <w:sz w:val="22"/>
        </w:rPr>
        <w:t>Droit</w:t>
      </w:r>
    </w:p>
    <w:p>
      <w:pPr>
        <w:pStyle w:val="ListParagraph"/>
        <w:numPr>
          <w:ilvl w:val="2"/>
          <w:numId w:val="3"/>
        </w:numPr>
        <w:tabs>
          <w:tab w:pos="925" w:val="left" w:leader="none"/>
        </w:tabs>
        <w:spacing w:line="477" w:lineRule="auto" w:before="2" w:after="0"/>
        <w:ind w:left="799" w:right="7495" w:firstLine="0"/>
        <w:jc w:val="left"/>
        <w:rPr>
          <w:sz w:val="22"/>
        </w:rPr>
      </w:pPr>
      <w:r>
        <w:rPr>
          <w:sz w:val="22"/>
        </w:rPr>
        <w:t>Études européennes. </w:t>
      </w:r>
      <w:r>
        <w:rPr>
          <w:sz w:val="22"/>
          <w:u w:val="single"/>
        </w:rPr>
        <w:t>Expérience</w:t>
      </w:r>
      <w:r>
        <w:rPr>
          <w:spacing w:val="-4"/>
          <w:sz w:val="22"/>
          <w:u w:val="single"/>
        </w:rPr>
        <w:t> </w:t>
      </w:r>
      <w:r>
        <w:rPr>
          <w:spacing w:val="-2"/>
          <w:sz w:val="22"/>
          <w:u w:val="single"/>
        </w:rPr>
        <w:t>pr</w:t>
      </w:r>
      <w:r>
        <w:rPr>
          <w:spacing w:val="-2"/>
          <w:sz w:val="22"/>
          <w:u w:val="single"/>
        </w:rPr>
        <w:t>of</w:t>
      </w:r>
      <w:r>
        <w:rPr>
          <w:spacing w:val="-2"/>
          <w:sz w:val="22"/>
          <w:u w:val="single"/>
        </w:rPr>
        <w:t>e</w:t>
      </w:r>
      <w:r>
        <w:rPr>
          <w:spacing w:val="-2"/>
          <w:sz w:val="22"/>
          <w:u w:val="single"/>
        </w:rPr>
        <w:t>ss</w:t>
      </w:r>
      <w:r>
        <w:rPr>
          <w:spacing w:val="-2"/>
          <w:sz w:val="22"/>
          <w:u w:val="single"/>
        </w:rPr>
        <w:t>i</w:t>
      </w:r>
      <w:r>
        <w:rPr>
          <w:spacing w:val="-2"/>
          <w:sz w:val="22"/>
          <w:u w:val="single"/>
        </w:rPr>
        <w:t>onne</w:t>
      </w:r>
      <w:r>
        <w:rPr>
          <w:spacing w:val="-2"/>
          <w:sz w:val="22"/>
          <w:u w:val="single"/>
        </w:rPr>
        <w:t>l</w:t>
      </w:r>
      <w:r>
        <w:rPr>
          <w:spacing w:val="-2"/>
          <w:sz w:val="22"/>
          <w:u w:val="single"/>
        </w:rPr>
        <w:t>l</w:t>
      </w:r>
      <w:r>
        <w:rPr>
          <w:spacing w:val="-2"/>
          <w:sz w:val="22"/>
          <w:u w:val="single"/>
        </w:rPr>
        <w:t>e</w:t>
      </w:r>
    </w:p>
    <w:p>
      <w:pPr>
        <w:pStyle w:val="BodyText"/>
        <w:spacing w:before="3"/>
        <w:ind w:left="799" w:right="283"/>
        <w:jc w:val="both"/>
      </w:pPr>
      <w:r>
        <w:rPr/>
        <w:t>Expérience professionnelle couvrant une bonne connaissance de la politique de recherche et d'innovation d'au moins un État membre de l'UE ou d'un pays associé ; bonne compréhension des institutions</w:t>
      </w:r>
      <w:r>
        <w:rPr>
          <w:spacing w:val="40"/>
        </w:rPr>
        <w:t> </w:t>
      </w:r>
      <w:r>
        <w:rPr/>
        <w:t>européennes</w:t>
      </w:r>
      <w:r>
        <w:rPr>
          <w:spacing w:val="19"/>
        </w:rPr>
        <w:t> </w:t>
      </w:r>
      <w:r>
        <w:rPr/>
        <w:t>et</w:t>
      </w:r>
      <w:r>
        <w:rPr>
          <w:spacing w:val="22"/>
        </w:rPr>
        <w:t> </w:t>
      </w:r>
      <w:r>
        <w:rPr/>
        <w:t>de</w:t>
      </w:r>
      <w:r>
        <w:rPr>
          <w:spacing w:val="21"/>
        </w:rPr>
        <w:t> </w:t>
      </w:r>
      <w:r>
        <w:rPr/>
        <w:t>leur</w:t>
      </w:r>
      <w:r>
        <w:rPr>
          <w:spacing w:val="22"/>
        </w:rPr>
        <w:t> </w:t>
      </w:r>
      <w:r>
        <w:rPr/>
        <w:t>interaction</w:t>
      </w:r>
      <w:r>
        <w:rPr>
          <w:spacing w:val="21"/>
        </w:rPr>
        <w:t> </w:t>
      </w:r>
      <w:r>
        <w:rPr/>
        <w:t>;</w:t>
      </w:r>
      <w:r>
        <w:rPr>
          <w:spacing w:val="21"/>
        </w:rPr>
        <w:t> </w:t>
      </w:r>
      <w:r>
        <w:rPr/>
        <w:t>capacité</w:t>
      </w:r>
      <w:r>
        <w:rPr>
          <w:spacing w:val="21"/>
        </w:rPr>
        <w:t> </w:t>
      </w:r>
      <w:r>
        <w:rPr/>
        <w:t>à</w:t>
      </w:r>
      <w:r>
        <w:rPr>
          <w:spacing w:val="22"/>
        </w:rPr>
        <w:t> </w:t>
      </w:r>
      <w:r>
        <w:rPr/>
        <w:t>coopérer</w:t>
      </w:r>
      <w:r>
        <w:rPr>
          <w:spacing w:val="22"/>
        </w:rPr>
        <w:t> </w:t>
      </w:r>
      <w:r>
        <w:rPr/>
        <w:t>efficacement</w:t>
      </w:r>
      <w:r>
        <w:rPr>
          <w:spacing w:val="22"/>
        </w:rPr>
        <w:t> </w:t>
      </w:r>
      <w:r>
        <w:rPr/>
        <w:t>avec</w:t>
      </w:r>
      <w:r>
        <w:rPr>
          <w:spacing w:val="21"/>
        </w:rPr>
        <w:t> </w:t>
      </w:r>
      <w:r>
        <w:rPr/>
        <w:t>les</w:t>
      </w:r>
      <w:r>
        <w:rPr>
          <w:spacing w:val="20"/>
        </w:rPr>
        <w:t> </w:t>
      </w:r>
      <w:r>
        <w:rPr/>
        <w:t>parties</w:t>
      </w:r>
      <w:r>
        <w:rPr>
          <w:spacing w:val="21"/>
        </w:rPr>
        <w:t> </w:t>
      </w:r>
      <w:r>
        <w:rPr/>
        <w:t>prenantes</w:t>
      </w:r>
      <w:r>
        <w:rPr>
          <w:spacing w:val="21"/>
        </w:rPr>
        <w:t> </w:t>
      </w:r>
      <w:r>
        <w:rPr/>
        <w:t>au</w:t>
      </w:r>
      <w:r>
        <w:rPr>
          <w:spacing w:val="22"/>
        </w:rPr>
        <w:t> </w:t>
      </w:r>
      <w:r>
        <w:rPr>
          <w:spacing w:val="-2"/>
        </w:rPr>
        <w:t>niveau</w:t>
      </w:r>
    </w:p>
    <w:p>
      <w:pPr>
        <w:spacing w:after="0"/>
        <w:jc w:val="both"/>
        <w:sectPr>
          <w:pgSz w:w="11910" w:h="16840"/>
          <w:pgMar w:header="0" w:footer="690" w:top="1040" w:bottom="880" w:left="480" w:right="740"/>
        </w:sectPr>
      </w:pPr>
    </w:p>
    <w:p>
      <w:pPr>
        <w:pStyle w:val="BodyText"/>
        <w:spacing w:before="68"/>
        <w:ind w:left="799" w:right="183"/>
      </w:pPr>
      <w:r>
        <w:rPr/>
        <w:t>européen. Excellentes compétences en communication écrite et orale en termes d'analyse et de présentation des politiques.</w:t>
      </w:r>
    </w:p>
    <w:p>
      <w:pPr>
        <w:pStyle w:val="BodyText"/>
        <w:spacing w:before="2"/>
      </w:pPr>
    </w:p>
    <w:p>
      <w:pPr>
        <w:pStyle w:val="BodyText"/>
        <w:ind w:left="1080"/>
      </w:pPr>
      <w:r>
        <w:rPr>
          <w:u w:val="single"/>
        </w:rPr>
        <w:t>Langue(s)</w:t>
      </w:r>
      <w:r>
        <w:rPr>
          <w:spacing w:val="-6"/>
          <w:u w:val="single"/>
        </w:rPr>
        <w:t> </w:t>
      </w:r>
      <w:r>
        <w:rPr>
          <w:u w:val="single"/>
        </w:rPr>
        <w:t>nécessaire(s)</w:t>
      </w:r>
      <w:r>
        <w:rPr>
          <w:spacing w:val="-3"/>
          <w:u w:val="single"/>
        </w:rPr>
        <w:t> </w:t>
      </w:r>
      <w:r>
        <w:rPr>
          <w:u w:val="single"/>
        </w:rPr>
        <w:t>à</w:t>
      </w:r>
      <w:r>
        <w:rPr>
          <w:spacing w:val="-6"/>
          <w:u w:val="single"/>
        </w:rPr>
        <w:t> </w:t>
      </w:r>
      <w:r>
        <w:rPr>
          <w:u w:val="single"/>
        </w:rPr>
        <w:t>l'exercice</w:t>
      </w:r>
      <w:r>
        <w:rPr>
          <w:spacing w:val="-4"/>
          <w:u w:val="single"/>
        </w:rPr>
        <w:t> </w:t>
      </w:r>
      <w:r>
        <w:rPr>
          <w:u w:val="single"/>
        </w:rPr>
        <w:t>des</w:t>
      </w:r>
      <w:r>
        <w:rPr>
          <w:spacing w:val="-3"/>
          <w:u w:val="single"/>
        </w:rPr>
        <w:t> </w:t>
      </w:r>
      <w:r>
        <w:rPr>
          <w:spacing w:val="-2"/>
          <w:u w:val="single"/>
        </w:rPr>
        <w:t>fonctions</w:t>
      </w:r>
    </w:p>
    <w:p>
      <w:pPr>
        <w:pStyle w:val="BodyText"/>
        <w:spacing w:before="1"/>
        <w:rPr>
          <w:sz w:val="14"/>
        </w:rPr>
      </w:pPr>
    </w:p>
    <w:p>
      <w:pPr>
        <w:pStyle w:val="BodyText"/>
        <w:spacing w:before="92"/>
        <w:ind w:left="1080"/>
      </w:pPr>
      <w:r>
        <w:rPr/>
        <w:t>L'anglais</w:t>
      </w:r>
      <w:r>
        <w:rPr>
          <w:spacing w:val="-4"/>
        </w:rPr>
        <w:t> </w:t>
      </w:r>
      <w:r>
        <w:rPr/>
        <w:t>et</w:t>
      </w:r>
      <w:r>
        <w:rPr>
          <w:spacing w:val="-2"/>
        </w:rPr>
        <w:t> </w:t>
      </w:r>
      <w:r>
        <w:rPr/>
        <w:t>une</w:t>
      </w:r>
      <w:r>
        <w:rPr>
          <w:spacing w:val="-6"/>
        </w:rPr>
        <w:t> </w:t>
      </w:r>
      <w:r>
        <w:rPr/>
        <w:t>autre</w:t>
      </w:r>
      <w:r>
        <w:rPr>
          <w:spacing w:val="-5"/>
        </w:rPr>
        <w:t> </w:t>
      </w:r>
      <w:r>
        <w:rPr/>
        <w:t>langue</w:t>
      </w:r>
      <w:r>
        <w:rPr>
          <w:spacing w:val="-1"/>
        </w:rPr>
        <w:t> </w:t>
      </w:r>
      <w:r>
        <w:rPr/>
        <w:t>officielle</w:t>
      </w:r>
      <w:r>
        <w:rPr>
          <w:spacing w:val="-4"/>
        </w:rPr>
        <w:t> </w:t>
      </w:r>
      <w:r>
        <w:rPr/>
        <w:t>de</w:t>
      </w:r>
      <w:r>
        <w:rPr>
          <w:spacing w:val="-5"/>
        </w:rPr>
        <w:t> </w:t>
      </w:r>
      <w:r>
        <w:rPr/>
        <w:t>l'Union</w:t>
      </w:r>
      <w:r>
        <w:rPr>
          <w:spacing w:val="-3"/>
        </w:rPr>
        <w:t> </w:t>
      </w:r>
      <w:r>
        <w:rPr>
          <w:spacing w:val="-2"/>
        </w:rPr>
        <w:t>européenne.</w:t>
      </w:r>
    </w:p>
    <w:p>
      <w:pPr>
        <w:pStyle w:val="BodyText"/>
        <w:spacing w:before="3"/>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Soumission</w:t>
      </w:r>
      <w:r>
        <w:rPr>
          <w:b/>
          <w:spacing w:val="-7"/>
          <w:sz w:val="24"/>
          <w:u w:val="single"/>
        </w:rPr>
        <w:t> </w:t>
      </w:r>
      <w:r>
        <w:rPr>
          <w:b/>
          <w:sz w:val="24"/>
          <w:u w:val="single"/>
        </w:rPr>
        <w:t>des</w:t>
      </w:r>
      <w:r>
        <w:rPr>
          <w:b/>
          <w:spacing w:val="-7"/>
          <w:sz w:val="24"/>
          <w:u w:val="single"/>
        </w:rPr>
        <w:t> </w:t>
      </w:r>
      <w:r>
        <w:rPr>
          <w:b/>
          <w:sz w:val="24"/>
          <w:u w:val="single"/>
        </w:rPr>
        <w:t>candidatures</w:t>
      </w:r>
      <w:r>
        <w:rPr>
          <w:b/>
          <w:spacing w:val="-7"/>
          <w:sz w:val="24"/>
          <w:u w:val="single"/>
        </w:rPr>
        <w:t> </w:t>
      </w:r>
      <w:r>
        <w:rPr>
          <w:b/>
          <w:sz w:val="24"/>
          <w:u w:val="single"/>
        </w:rPr>
        <w:t>et</w:t>
      </w:r>
      <w:r>
        <w:rPr>
          <w:b/>
          <w:spacing w:val="-7"/>
          <w:sz w:val="24"/>
          <w:u w:val="single"/>
        </w:rPr>
        <w:t> </w:t>
      </w:r>
      <w:r>
        <w:rPr>
          <w:b/>
          <w:sz w:val="24"/>
          <w:u w:val="single"/>
        </w:rPr>
        <w:t>procédure</w:t>
      </w:r>
      <w:r>
        <w:rPr>
          <w:b/>
          <w:spacing w:val="-8"/>
          <w:sz w:val="24"/>
          <w:u w:val="single"/>
        </w:rPr>
        <w:t> </w:t>
      </w:r>
      <w:r>
        <w:rPr>
          <w:b/>
          <w:sz w:val="24"/>
          <w:u w:val="single"/>
        </w:rPr>
        <w:t>de</w:t>
      </w:r>
      <w:r>
        <w:rPr>
          <w:b/>
          <w:spacing w:val="-8"/>
          <w:sz w:val="24"/>
          <w:u w:val="single"/>
        </w:rPr>
        <w:t> </w:t>
      </w:r>
      <w:r>
        <w:rPr>
          <w:b/>
          <w:spacing w:val="-2"/>
          <w:sz w:val="24"/>
          <w:u w:val="single"/>
        </w:rPr>
        <w:t>sélection</w:t>
      </w:r>
    </w:p>
    <w:p>
      <w:pPr>
        <w:pStyle w:val="BodyText"/>
        <w:spacing w:before="7"/>
        <w:rPr>
          <w:b/>
          <w:sz w:val="15"/>
        </w:rPr>
      </w:pPr>
    </w:p>
    <w:p>
      <w:pPr>
        <w:spacing w:line="240" w:lineRule="auto" w:before="91"/>
        <w:ind w:left="799" w:right="279" w:firstLine="0"/>
        <w:jc w:val="both"/>
        <w:rPr>
          <w:b/>
          <w:sz w:val="22"/>
        </w:rPr>
      </w:pPr>
      <w:r>
        <w:rPr>
          <w:sz w:val="22"/>
        </w:rPr>
        <w:t>Les candidats doivent envoyer leur candidature selon </w:t>
      </w:r>
      <w:r>
        <w:rPr>
          <w:b/>
          <w:sz w:val="22"/>
          <w:u w:val="single"/>
        </w:rPr>
        <w:t>le format CV Europass</w:t>
      </w:r>
      <w:r>
        <w:rPr>
          <w:b/>
          <w:sz w:val="22"/>
        </w:rPr>
        <w:t> </w:t>
      </w:r>
      <w:r>
        <w:rPr>
          <w:sz w:val="22"/>
        </w:rPr>
        <w:t>(</w:t>
      </w:r>
      <w:hyperlink r:id="rId8">
        <w:r>
          <w:rPr>
            <w:sz w:val="22"/>
          </w:rPr>
          <w:t>http://europass.cedefop.europa.eu/en/documents/curriculum-vitae)</w:t>
        </w:r>
      </w:hyperlink>
      <w:r>
        <w:rPr>
          <w:sz w:val="22"/>
        </w:rPr>
        <w:t> en anglais, français ou allemand </w:t>
      </w:r>
      <w:r>
        <w:rPr>
          <w:b/>
          <w:sz w:val="22"/>
          <w:u w:val="single"/>
        </w:rPr>
        <w:t>uniquement à la Représentation permanente / Mission diplomatique auprès de l'UE de leur pays</w:t>
      </w:r>
      <w:r>
        <w:rPr>
          <w:sz w:val="22"/>
        </w:rPr>
        <w:t>, qui</w:t>
      </w:r>
      <w:r>
        <w:rPr>
          <w:spacing w:val="40"/>
          <w:sz w:val="22"/>
        </w:rPr>
        <w:t> </w:t>
      </w:r>
      <w:r>
        <w:rPr>
          <w:sz w:val="22"/>
        </w:rPr>
        <w:t>la transmettra aux services compétents de la Commission dans le délai fixé par cette dernière. Le CV doit mentionner la date de naissance et la nationalité du candidat. </w:t>
      </w:r>
      <w:r>
        <w:rPr>
          <w:b/>
          <w:sz w:val="22"/>
        </w:rPr>
        <w:t>Le non-respect de cette procédure ou de ces délais entraînera automatiquement l'invalidation de la candidature.</w:t>
      </w:r>
    </w:p>
    <w:p>
      <w:pPr>
        <w:pStyle w:val="BodyText"/>
        <w:spacing w:before="1"/>
        <w:rPr>
          <w:b/>
        </w:rPr>
      </w:pPr>
    </w:p>
    <w:p>
      <w:pPr>
        <w:pStyle w:val="BodyText"/>
        <w:ind w:left="799" w:right="277"/>
        <w:jc w:val="both"/>
      </w:pPr>
      <w:r>
        <w:rPr/>
        <w:t>Les candidats sont priés de ne pas ajouter d'autres documents (tels que copie du passeport, copie des diplômes ou certificat d'expérience professionnelle, etc.) Si nécessaire, ceux-ci seront demandés </w:t>
      </w:r>
      <w:r>
        <w:rPr>
          <w:spacing w:val="-2"/>
        </w:rPr>
        <w:t>ultérieurement.</w:t>
      </w:r>
    </w:p>
    <w:p>
      <w:pPr>
        <w:pStyle w:val="BodyText"/>
        <w:spacing w:line="252" w:lineRule="exact"/>
        <w:ind w:left="799"/>
        <w:jc w:val="both"/>
      </w:pPr>
      <w:r>
        <w:rPr/>
        <w:t>Les</w:t>
      </w:r>
      <w:r>
        <w:rPr>
          <w:spacing w:val="-6"/>
        </w:rPr>
        <w:t> </w:t>
      </w:r>
      <w:r>
        <w:rPr/>
        <w:t>candidats</w:t>
      </w:r>
      <w:r>
        <w:rPr>
          <w:spacing w:val="-4"/>
        </w:rPr>
        <w:t> </w:t>
      </w:r>
      <w:r>
        <w:rPr/>
        <w:t>seront</w:t>
      </w:r>
      <w:r>
        <w:rPr>
          <w:spacing w:val="-2"/>
        </w:rPr>
        <w:t> </w:t>
      </w:r>
      <w:r>
        <w:rPr/>
        <w:t>informés</w:t>
      </w:r>
      <w:r>
        <w:rPr>
          <w:spacing w:val="-4"/>
        </w:rPr>
        <w:t> </w:t>
      </w:r>
      <w:r>
        <w:rPr/>
        <w:t>du</w:t>
      </w:r>
      <w:r>
        <w:rPr>
          <w:spacing w:val="-4"/>
        </w:rPr>
        <w:t> </w:t>
      </w:r>
      <w:r>
        <w:rPr/>
        <w:t>suivi</w:t>
      </w:r>
      <w:r>
        <w:rPr>
          <w:spacing w:val="-2"/>
        </w:rPr>
        <w:t> </w:t>
      </w:r>
      <w:r>
        <w:rPr/>
        <w:t>de</w:t>
      </w:r>
      <w:r>
        <w:rPr>
          <w:spacing w:val="-6"/>
        </w:rPr>
        <w:t> </w:t>
      </w:r>
      <w:r>
        <w:rPr/>
        <w:t>leur</w:t>
      </w:r>
      <w:r>
        <w:rPr>
          <w:spacing w:val="-3"/>
        </w:rPr>
        <w:t> </w:t>
      </w:r>
      <w:r>
        <w:rPr/>
        <w:t>candidature</w:t>
      </w:r>
      <w:r>
        <w:rPr>
          <w:spacing w:val="-4"/>
        </w:rPr>
        <w:t> </w:t>
      </w:r>
      <w:r>
        <w:rPr/>
        <w:t>par</w:t>
      </w:r>
      <w:r>
        <w:rPr>
          <w:spacing w:val="-6"/>
        </w:rPr>
        <w:t> </w:t>
      </w:r>
      <w:r>
        <w:rPr/>
        <w:t>l'unité</w:t>
      </w:r>
      <w:r>
        <w:rPr>
          <w:spacing w:val="1"/>
        </w:rPr>
        <w:t> </w:t>
      </w:r>
      <w:r>
        <w:rPr>
          <w:spacing w:val="-2"/>
        </w:rPr>
        <w:t>concernée.</w:t>
      </w:r>
    </w:p>
    <w:p>
      <w:pPr>
        <w:pStyle w:val="BodyText"/>
        <w:spacing w:before="6"/>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Conditions</w:t>
      </w:r>
      <w:r>
        <w:rPr>
          <w:b/>
          <w:spacing w:val="-8"/>
          <w:sz w:val="24"/>
          <w:u w:val="single"/>
        </w:rPr>
        <w:t> </w:t>
      </w:r>
      <w:r>
        <w:rPr>
          <w:b/>
          <w:sz w:val="24"/>
          <w:u w:val="single"/>
        </w:rPr>
        <w:t>du</w:t>
      </w:r>
      <w:r>
        <w:rPr>
          <w:b/>
          <w:spacing w:val="-7"/>
          <w:sz w:val="24"/>
          <w:u w:val="single"/>
        </w:rPr>
        <w:t> </w:t>
      </w:r>
      <w:r>
        <w:rPr>
          <w:b/>
          <w:spacing w:val="-2"/>
          <w:sz w:val="24"/>
          <w:u w:val="single"/>
        </w:rPr>
        <w:t>détachement</w:t>
      </w:r>
    </w:p>
    <w:p>
      <w:pPr>
        <w:pStyle w:val="BodyText"/>
        <w:spacing w:before="7"/>
        <w:rPr>
          <w:b/>
          <w:sz w:val="15"/>
        </w:rPr>
      </w:pPr>
    </w:p>
    <w:p>
      <w:pPr>
        <w:spacing w:before="91"/>
        <w:ind w:left="799" w:right="280" w:firstLine="0"/>
        <w:jc w:val="both"/>
        <w:rPr>
          <w:sz w:val="22"/>
        </w:rPr>
      </w:pPr>
      <w:r>
        <w:rPr>
          <w:sz w:val="22"/>
        </w:rPr>
        <w:t>Le détachement sera régi par la </w:t>
      </w:r>
      <w:r>
        <w:rPr>
          <w:b/>
          <w:sz w:val="22"/>
        </w:rPr>
        <w:t>décision C (2008)6866 de la Commission du 12/11/2008 </w:t>
      </w:r>
      <w:r>
        <w:rPr>
          <w:sz w:val="22"/>
        </w:rPr>
        <w:t>fixant les règles relatives au détachement auprès de la Commission d'experts nationaux et d'experts nationaux en formation professionnelle (décision END).</w:t>
      </w:r>
    </w:p>
    <w:p>
      <w:pPr>
        <w:pStyle w:val="BodyText"/>
        <w:ind w:left="799" w:right="287"/>
        <w:jc w:val="both"/>
      </w:pPr>
      <w:r>
        <w:rPr/>
        <w:t>L'END restera employé et rémunéré par son employeur pendant son détachement. Il restera également couvert par le système national de sécurité sociale.</w:t>
      </w:r>
    </w:p>
    <w:p>
      <w:pPr>
        <w:pStyle w:val="BodyText"/>
        <w:ind w:left="799" w:right="286"/>
        <w:jc w:val="both"/>
      </w:pPr>
      <w:r>
        <w:rPr/>
        <w:t>Sauf pour les END sans frais, des indemnités peuvent être accordées par la Commission aux END remplissant les conditions prévues à l'art. 17 de la décision relative à l'END.</w:t>
      </w:r>
    </w:p>
    <w:p>
      <w:pPr>
        <w:pStyle w:val="BodyText"/>
      </w:pPr>
    </w:p>
    <w:p>
      <w:pPr>
        <w:pStyle w:val="BodyText"/>
        <w:ind w:left="799" w:right="284"/>
        <w:jc w:val="both"/>
      </w:pPr>
      <w:r>
        <w:rPr/>
        <w:t>Pendant le détachement,</w:t>
      </w:r>
      <w:r>
        <w:rPr>
          <w:spacing w:val="-2"/>
        </w:rPr>
        <w:t> </w:t>
      </w:r>
      <w:r>
        <w:rPr/>
        <w:t>les END</w:t>
      </w:r>
      <w:r>
        <w:rPr>
          <w:spacing w:val="-1"/>
        </w:rPr>
        <w:t> </w:t>
      </w:r>
      <w:r>
        <w:rPr/>
        <w:t>sont</w:t>
      </w:r>
      <w:r>
        <w:rPr>
          <w:spacing w:val="-1"/>
        </w:rPr>
        <w:t> </w:t>
      </w:r>
      <w:r>
        <w:rPr/>
        <w:t>soumis à</w:t>
      </w:r>
      <w:r>
        <w:rPr>
          <w:spacing w:val="-2"/>
        </w:rPr>
        <w:t> </w:t>
      </w:r>
      <w:r>
        <w:rPr/>
        <w:t>des</w:t>
      </w:r>
      <w:r>
        <w:rPr>
          <w:spacing w:val="-2"/>
        </w:rPr>
        <w:t> </w:t>
      </w:r>
      <w:r>
        <w:rPr/>
        <w:t>obligations</w:t>
      </w:r>
      <w:r>
        <w:rPr>
          <w:spacing w:val="-2"/>
        </w:rPr>
        <w:t> </w:t>
      </w:r>
      <w:r>
        <w:rPr/>
        <w:t>de confidentialité,</w:t>
      </w:r>
      <w:r>
        <w:rPr>
          <w:spacing w:val="-2"/>
        </w:rPr>
        <w:t> </w:t>
      </w:r>
      <w:r>
        <w:rPr/>
        <w:t>de loyauté</w:t>
      </w:r>
      <w:r>
        <w:rPr>
          <w:spacing w:val="-2"/>
        </w:rPr>
        <w:t> </w:t>
      </w:r>
      <w:r>
        <w:rPr/>
        <w:t>et</w:t>
      </w:r>
      <w:r>
        <w:rPr>
          <w:spacing w:val="-1"/>
        </w:rPr>
        <w:t> </w:t>
      </w:r>
      <w:r>
        <w:rPr/>
        <w:t>d'absence de conflit d'intérêts, comme le prévoient les art. 6 et 7 de la décision relative aux END.</w:t>
      </w:r>
    </w:p>
    <w:p>
      <w:pPr>
        <w:pStyle w:val="BodyText"/>
        <w:ind w:left="799"/>
        <w:jc w:val="both"/>
      </w:pPr>
      <w:r>
        <w:rPr/>
        <w:t>Si</w:t>
      </w:r>
      <w:r>
        <w:rPr>
          <w:spacing w:val="-5"/>
        </w:rPr>
        <w:t> </w:t>
      </w:r>
      <w:r>
        <w:rPr/>
        <w:t>un</w:t>
      </w:r>
      <w:r>
        <w:rPr>
          <w:spacing w:val="-2"/>
        </w:rPr>
        <w:t> </w:t>
      </w:r>
      <w:r>
        <w:rPr/>
        <w:t>document</w:t>
      </w:r>
      <w:r>
        <w:rPr>
          <w:spacing w:val="-2"/>
        </w:rPr>
        <w:t> </w:t>
      </w:r>
      <w:r>
        <w:rPr/>
        <w:t>est</w:t>
      </w:r>
      <w:r>
        <w:rPr>
          <w:spacing w:val="-1"/>
        </w:rPr>
        <w:t> </w:t>
      </w:r>
      <w:r>
        <w:rPr/>
        <w:t>inexact,</w:t>
      </w:r>
      <w:r>
        <w:rPr>
          <w:spacing w:val="-6"/>
        </w:rPr>
        <w:t> </w:t>
      </w:r>
      <w:r>
        <w:rPr/>
        <w:t>incomplet</w:t>
      </w:r>
      <w:r>
        <w:rPr>
          <w:spacing w:val="-3"/>
        </w:rPr>
        <w:t> </w:t>
      </w:r>
      <w:r>
        <w:rPr/>
        <w:t>ou</w:t>
      </w:r>
      <w:r>
        <w:rPr>
          <w:spacing w:val="-3"/>
        </w:rPr>
        <w:t> </w:t>
      </w:r>
      <w:r>
        <w:rPr/>
        <w:t>manquant,</w:t>
      </w:r>
      <w:r>
        <w:rPr>
          <w:spacing w:val="-2"/>
        </w:rPr>
        <w:t> </w:t>
      </w:r>
      <w:r>
        <w:rPr/>
        <w:t>la</w:t>
      </w:r>
      <w:r>
        <w:rPr>
          <w:spacing w:val="-7"/>
        </w:rPr>
        <w:t> </w:t>
      </w:r>
      <w:r>
        <w:rPr/>
        <w:t>candidature</w:t>
      </w:r>
      <w:r>
        <w:rPr>
          <w:spacing w:val="-5"/>
        </w:rPr>
        <w:t> </w:t>
      </w:r>
      <w:r>
        <w:rPr/>
        <w:t>peut</w:t>
      </w:r>
      <w:r>
        <w:rPr>
          <w:spacing w:val="-1"/>
        </w:rPr>
        <w:t> </w:t>
      </w:r>
      <w:r>
        <w:rPr/>
        <w:t>être</w:t>
      </w:r>
      <w:r>
        <w:rPr>
          <w:spacing w:val="-4"/>
        </w:rPr>
        <w:t> </w:t>
      </w:r>
      <w:r>
        <w:rPr>
          <w:spacing w:val="-2"/>
        </w:rPr>
        <w:t>annulée.</w:t>
      </w:r>
    </w:p>
    <w:p>
      <w:pPr>
        <w:pStyle w:val="BodyText"/>
        <w:spacing w:before="1"/>
      </w:pPr>
    </w:p>
    <w:p>
      <w:pPr>
        <w:pStyle w:val="BodyText"/>
        <w:ind w:left="799" w:right="281"/>
        <w:jc w:val="both"/>
      </w:pPr>
      <w:r>
        <w:rPr/>
        <w:t>Le personnel affecté dans une </w:t>
      </w:r>
      <w:r>
        <w:rPr>
          <w:b/>
        </w:rPr>
        <w:t>délégation de l'Union européenne </w:t>
      </w:r>
      <w:r>
        <w:rPr/>
        <w:t>est tenu de posséder une habilitation de sécurité (jusqu'au niveau SECRET UE/EU SECRET selon la décision (UE, Euratom) 2015/444 de la Commission du 13 mars 2015, JO L 72 du 17.03.2015, p. 53).</w:t>
      </w:r>
    </w:p>
    <w:p>
      <w:pPr>
        <w:pStyle w:val="BodyText"/>
        <w:ind w:left="799" w:right="287"/>
        <w:jc w:val="both"/>
      </w:pPr>
      <w:r>
        <w:rPr/>
        <w:t>Le candidat sélectionné a l'obligation de lancer la procédure d'habilitation avant d'obtenir la confirmation de </w:t>
      </w:r>
      <w:r>
        <w:rPr>
          <w:spacing w:val="-2"/>
        </w:rPr>
        <w:t>détachement.</w:t>
      </w:r>
    </w:p>
    <w:p>
      <w:pPr>
        <w:pStyle w:val="BodyText"/>
        <w:spacing w:before="5"/>
        <w:rPr>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Traitement</w:t>
      </w:r>
      <w:r>
        <w:rPr>
          <w:b/>
          <w:spacing w:val="-7"/>
          <w:sz w:val="24"/>
          <w:u w:val="single"/>
        </w:rPr>
        <w:t> </w:t>
      </w:r>
      <w:r>
        <w:rPr>
          <w:b/>
          <w:sz w:val="24"/>
          <w:u w:val="single"/>
        </w:rPr>
        <w:t>des</w:t>
      </w:r>
      <w:r>
        <w:rPr>
          <w:b/>
          <w:spacing w:val="-6"/>
          <w:sz w:val="24"/>
          <w:u w:val="single"/>
        </w:rPr>
        <w:t> </w:t>
      </w:r>
      <w:r>
        <w:rPr>
          <w:b/>
          <w:sz w:val="24"/>
          <w:u w:val="single"/>
        </w:rPr>
        <w:t>données</w:t>
      </w:r>
      <w:r>
        <w:rPr>
          <w:b/>
          <w:spacing w:val="-5"/>
          <w:sz w:val="24"/>
          <w:u w:val="single"/>
        </w:rPr>
        <w:t> </w:t>
      </w:r>
      <w:r>
        <w:rPr>
          <w:b/>
          <w:spacing w:val="-2"/>
          <w:sz w:val="24"/>
          <w:u w:val="single"/>
        </w:rPr>
        <w:t>personnelles</w:t>
      </w:r>
    </w:p>
    <w:p>
      <w:pPr>
        <w:pStyle w:val="BodyText"/>
        <w:spacing w:before="7"/>
        <w:rPr>
          <w:b/>
          <w:sz w:val="15"/>
        </w:rPr>
      </w:pPr>
    </w:p>
    <w:p>
      <w:pPr>
        <w:pStyle w:val="BodyText"/>
        <w:spacing w:before="91"/>
        <w:ind w:left="799" w:right="285"/>
        <w:jc w:val="both"/>
      </w:pPr>
      <w:r>
        <w:rPr/>
        <w:t>La sélection, le détachement et la fin du détachement d'un expert national nécessitent que la Commission</w:t>
      </w:r>
      <w:r>
        <w:rPr>
          <w:spacing w:val="40"/>
        </w:rPr>
        <w:t> </w:t>
      </w:r>
      <w:r>
        <w:rPr/>
        <w:t>(les services compétents de la DG RH, de la DG BUDG, du PMO et de la DG concernée) traite des données à caractère personnel concernant la personne à détacher, sous la responsabilité du chef d'unité de la DG RH.DDG.B4. Le traitement des données est soumis à la décision END ainsi qu'au règlement (UE) </w:t>
      </w:r>
      <w:r>
        <w:rPr>
          <w:spacing w:val="-2"/>
        </w:rPr>
        <w:t>2018/1725.</w:t>
      </w:r>
    </w:p>
    <w:p>
      <w:pPr>
        <w:pStyle w:val="BodyText"/>
        <w:spacing w:before="1"/>
        <w:ind w:left="799" w:right="281"/>
        <w:jc w:val="both"/>
      </w:pPr>
      <w:r>
        <w:rPr/>
        <w:t>Les données sont conservées par les services compétents pendant 10 ans après le détachement (2</w:t>
      </w:r>
      <w:r>
        <w:rPr>
          <w:spacing w:val="22"/>
        </w:rPr>
        <w:t> </w:t>
      </w:r>
      <w:r>
        <w:rPr/>
        <w:t>ans pour</w:t>
      </w:r>
      <w:r>
        <w:rPr>
          <w:spacing w:val="40"/>
        </w:rPr>
        <w:t> </w:t>
      </w:r>
      <w:r>
        <w:rPr/>
        <w:t>les experts non sélectionnés ou non détachés).</w:t>
      </w:r>
    </w:p>
    <w:p>
      <w:pPr>
        <w:pStyle w:val="BodyText"/>
        <w:ind w:left="799" w:right="281"/>
        <w:jc w:val="both"/>
      </w:pPr>
      <w:r>
        <w:rPr/>
        <w:t>Vous disposez de droits spécifiques en tant que "personne concernée" en vertu du chapitre III (articles 14 à 25) du règlement (UE) 2018/1725, notamment le droit d'accès, de rectification ou d'effacement de vos données personnelles et le droit de restreindre le traitement de vos données personnelles. Le cas échéant, vous avez également le droit de vous opposer au traitement ou le droit à la portabilité des données.</w:t>
      </w:r>
    </w:p>
    <w:p>
      <w:pPr>
        <w:spacing w:after="0"/>
        <w:jc w:val="both"/>
        <w:sectPr>
          <w:pgSz w:w="11910" w:h="16840"/>
          <w:pgMar w:header="0" w:footer="690" w:top="1040" w:bottom="880" w:left="480" w:right="740"/>
        </w:sectPr>
      </w:pPr>
    </w:p>
    <w:p>
      <w:pPr>
        <w:pStyle w:val="BodyText"/>
        <w:spacing w:before="68"/>
        <w:ind w:left="799" w:right="286"/>
        <w:jc w:val="both"/>
      </w:pPr>
      <w:r>
        <w:rPr/>
        <w:t>Vous pouvez exercer vos droits en contactant le contrôleur des données ou, en cas de conflit, le délégué à la protection des données. Si nécessaire, vous pouvez également vous adresser au Contrôleur européen de la protection des données. Ses coordonnées sont indiquées ci-dessous.</w:t>
      </w:r>
    </w:p>
    <w:p>
      <w:pPr>
        <w:spacing w:before="2"/>
        <w:ind w:left="799" w:right="0" w:firstLine="0"/>
        <w:jc w:val="left"/>
        <w:rPr>
          <w:sz w:val="22"/>
        </w:rPr>
      </w:pPr>
      <w:r>
        <w:rPr>
          <w:w w:val="100"/>
          <w:sz w:val="22"/>
        </w:rPr>
        <w:t>.</w:t>
      </w:r>
    </w:p>
    <w:p>
      <w:pPr>
        <w:pStyle w:val="BodyText"/>
        <w:spacing w:before="5"/>
      </w:pPr>
    </w:p>
    <w:p>
      <w:pPr>
        <w:pStyle w:val="Heading1"/>
        <w:ind w:left="372" w:firstLine="0"/>
      </w:pPr>
      <w:r>
        <w:rPr>
          <w:u w:val="single"/>
        </w:rPr>
        <w:t>Informations</w:t>
      </w:r>
      <w:r>
        <w:rPr>
          <w:spacing w:val="-3"/>
          <w:u w:val="single"/>
        </w:rPr>
        <w:t> </w:t>
      </w:r>
      <w:r>
        <w:rPr>
          <w:u w:val="single"/>
        </w:rPr>
        <w:t>sur</w:t>
      </w:r>
      <w:r>
        <w:rPr>
          <w:spacing w:val="-6"/>
          <w:u w:val="single"/>
        </w:rPr>
        <w:t> </w:t>
      </w:r>
      <w:r>
        <w:rPr>
          <w:u w:val="single"/>
        </w:rPr>
        <w:t>le</w:t>
      </w:r>
      <w:r>
        <w:rPr>
          <w:spacing w:val="-4"/>
          <w:u w:val="single"/>
        </w:rPr>
        <w:t> </w:t>
      </w:r>
      <w:r>
        <w:rPr>
          <w:spacing w:val="-2"/>
          <w:u w:val="single"/>
        </w:rPr>
        <w:t>contact</w:t>
      </w:r>
    </w:p>
    <w:p>
      <w:pPr>
        <w:pStyle w:val="BodyText"/>
        <w:spacing w:before="10"/>
        <w:rPr>
          <w:b/>
          <w:sz w:val="13"/>
        </w:rPr>
      </w:pPr>
    </w:p>
    <w:p>
      <w:pPr>
        <w:pStyle w:val="ListParagraph"/>
        <w:numPr>
          <w:ilvl w:val="0"/>
          <w:numId w:val="4"/>
        </w:numPr>
        <w:tabs>
          <w:tab w:pos="1211" w:val="left" w:leader="none"/>
        </w:tabs>
        <w:spacing w:line="251" w:lineRule="exact" w:before="92" w:after="0"/>
        <w:ind w:left="1210" w:right="0" w:hanging="131"/>
        <w:jc w:val="both"/>
        <w:rPr>
          <w:b/>
          <w:sz w:val="22"/>
        </w:rPr>
      </w:pPr>
      <w:r>
        <w:rPr>
          <w:b/>
          <w:sz w:val="22"/>
        </w:rPr>
        <w:t>Le</w:t>
      </w:r>
      <w:r>
        <w:rPr>
          <w:b/>
          <w:spacing w:val="-3"/>
          <w:sz w:val="22"/>
        </w:rPr>
        <w:t> </w:t>
      </w:r>
      <w:r>
        <w:rPr>
          <w:b/>
          <w:sz w:val="22"/>
        </w:rPr>
        <w:t>contrôleur</w:t>
      </w:r>
      <w:r>
        <w:rPr>
          <w:b/>
          <w:spacing w:val="-3"/>
          <w:sz w:val="22"/>
        </w:rPr>
        <w:t> </w:t>
      </w:r>
      <w:r>
        <w:rPr>
          <w:b/>
          <w:sz w:val="22"/>
        </w:rPr>
        <w:t>des</w:t>
      </w:r>
      <w:r>
        <w:rPr>
          <w:b/>
          <w:spacing w:val="-3"/>
          <w:sz w:val="22"/>
        </w:rPr>
        <w:t> </w:t>
      </w:r>
      <w:r>
        <w:rPr>
          <w:b/>
          <w:spacing w:val="-2"/>
          <w:sz w:val="22"/>
        </w:rPr>
        <w:t>données</w:t>
      </w:r>
    </w:p>
    <w:p>
      <w:pPr>
        <w:pStyle w:val="BodyText"/>
        <w:ind w:left="1080" w:right="107"/>
        <w:jc w:val="both"/>
      </w:pPr>
      <w:r>
        <w:rPr/>
        <w:t>Si vous souhaitez exercer vos droits en vertu du règlement (UE) 2018/1725, ou si vous avez des commentaires, des questions ou des préoccupations, ou si vous souhaitez déposer une plainte concernant la collecte et l'utilisation de vos données personnelles, n'hésitez pas à contacter le contrôleur des données, HR.DDG. B.4, </w:t>
      </w:r>
      <w:hyperlink r:id="rId9">
        <w:r>
          <w:rPr>
            <w:u w:val="single"/>
          </w:rPr>
          <w:t>HR-MAIL-B4@ec.europa.eu.</w:t>
        </w:r>
      </w:hyperlink>
    </w:p>
    <w:p>
      <w:pPr>
        <w:pStyle w:val="BodyText"/>
        <w:spacing w:before="10"/>
        <w:rPr>
          <w:sz w:val="13"/>
        </w:rPr>
      </w:pPr>
    </w:p>
    <w:p>
      <w:pPr>
        <w:pStyle w:val="Heading1"/>
        <w:numPr>
          <w:ilvl w:val="0"/>
          <w:numId w:val="4"/>
        </w:numPr>
        <w:tabs>
          <w:tab w:pos="1208" w:val="left" w:leader="none"/>
        </w:tabs>
        <w:spacing w:line="252" w:lineRule="exact" w:before="92" w:after="0"/>
        <w:ind w:left="1207" w:right="0" w:hanging="128"/>
        <w:jc w:val="both"/>
        <w:rPr>
          <w:b w:val="0"/>
        </w:rPr>
      </w:pPr>
      <w:r>
        <w:rPr/>
        <w:t>Le</w:t>
      </w:r>
      <w:r>
        <w:rPr>
          <w:spacing w:val="-4"/>
        </w:rPr>
        <w:t> </w:t>
      </w:r>
      <w:r>
        <w:rPr/>
        <w:t>délégué</w:t>
      </w:r>
      <w:r>
        <w:rPr>
          <w:spacing w:val="-4"/>
        </w:rPr>
        <w:t> </w:t>
      </w:r>
      <w:r>
        <w:rPr/>
        <w:t>à</w:t>
      </w:r>
      <w:r>
        <w:rPr>
          <w:spacing w:val="-2"/>
        </w:rPr>
        <w:t> </w:t>
      </w:r>
      <w:r>
        <w:rPr/>
        <w:t>la</w:t>
      </w:r>
      <w:r>
        <w:rPr>
          <w:spacing w:val="-5"/>
        </w:rPr>
        <w:t> </w:t>
      </w:r>
      <w:r>
        <w:rPr/>
        <w:t>protection</w:t>
      </w:r>
      <w:r>
        <w:rPr>
          <w:spacing w:val="-2"/>
        </w:rPr>
        <w:t> </w:t>
      </w:r>
      <w:r>
        <w:rPr/>
        <w:t>des</w:t>
      </w:r>
      <w:r>
        <w:rPr>
          <w:spacing w:val="-1"/>
        </w:rPr>
        <w:t> </w:t>
      </w:r>
      <w:r>
        <w:rPr/>
        <w:t>données</w:t>
      </w:r>
      <w:r>
        <w:rPr>
          <w:spacing w:val="-4"/>
        </w:rPr>
        <w:t> </w:t>
      </w:r>
      <w:r>
        <w:rPr/>
        <w:t>(DPD)</w:t>
      </w:r>
      <w:r>
        <w:rPr>
          <w:spacing w:val="-2"/>
        </w:rPr>
        <w:t> </w:t>
      </w:r>
      <w:r>
        <w:rPr/>
        <w:t>de</w:t>
      </w:r>
      <w:r>
        <w:rPr>
          <w:spacing w:val="-5"/>
        </w:rPr>
        <w:t> </w:t>
      </w:r>
      <w:r>
        <w:rPr/>
        <w:t>la</w:t>
      </w:r>
      <w:r>
        <w:rPr>
          <w:spacing w:val="-4"/>
        </w:rPr>
        <w:t> </w:t>
      </w:r>
      <w:r>
        <w:rPr>
          <w:spacing w:val="-2"/>
        </w:rPr>
        <w:t>Commission</w:t>
      </w:r>
    </w:p>
    <w:p>
      <w:pPr>
        <w:pStyle w:val="BodyText"/>
        <w:ind w:left="1080" w:right="106"/>
        <w:jc w:val="both"/>
      </w:pPr>
      <w:r>
        <w:rPr/>
        <w:t>Vous pouvez contacter le délégué à la protection des données (</w:t>
      </w:r>
      <w:r>
        <w:rPr>
          <w:u w:val="single"/>
        </w:rPr>
        <w:t>DATA-PROTECTION-</w:t>
      </w:r>
      <w:r>
        <w:rPr/>
        <w:t> </w:t>
      </w:r>
      <w:r>
        <w:rPr>
          <w:u w:val="single"/>
        </w:rPr>
        <w:t>OFFICER@ec.europa.eu</w:t>
      </w:r>
      <w:r>
        <w:rPr/>
        <w:t>) en ce qui concerne les questions liées au traitement de vos données personnelles en vertu du règlement (UE) 2018/1725.</w:t>
      </w:r>
    </w:p>
    <w:p>
      <w:pPr>
        <w:pStyle w:val="BodyText"/>
        <w:spacing w:before="5"/>
      </w:pPr>
    </w:p>
    <w:p>
      <w:pPr>
        <w:pStyle w:val="Heading1"/>
        <w:numPr>
          <w:ilvl w:val="0"/>
          <w:numId w:val="4"/>
        </w:numPr>
        <w:tabs>
          <w:tab w:pos="1211" w:val="left" w:leader="none"/>
        </w:tabs>
        <w:spacing w:line="250" w:lineRule="exact" w:before="0" w:after="0"/>
        <w:ind w:left="1210" w:right="0" w:hanging="131"/>
        <w:jc w:val="both"/>
      </w:pPr>
      <w:r>
        <w:rPr/>
        <w:t>Le</w:t>
      </w:r>
      <w:r>
        <w:rPr>
          <w:spacing w:val="-5"/>
        </w:rPr>
        <w:t> </w:t>
      </w:r>
      <w:r>
        <w:rPr/>
        <w:t>Contrôleur</w:t>
      </w:r>
      <w:r>
        <w:rPr>
          <w:spacing w:val="-3"/>
        </w:rPr>
        <w:t> </w:t>
      </w:r>
      <w:r>
        <w:rPr/>
        <w:t>européen</w:t>
      </w:r>
      <w:r>
        <w:rPr>
          <w:spacing w:val="-9"/>
        </w:rPr>
        <w:t> </w:t>
      </w:r>
      <w:r>
        <w:rPr/>
        <w:t>de</w:t>
      </w:r>
      <w:r>
        <w:rPr>
          <w:spacing w:val="-3"/>
        </w:rPr>
        <w:t> </w:t>
      </w:r>
      <w:r>
        <w:rPr/>
        <w:t>la</w:t>
      </w:r>
      <w:r>
        <w:rPr>
          <w:spacing w:val="-3"/>
        </w:rPr>
        <w:t> </w:t>
      </w:r>
      <w:r>
        <w:rPr/>
        <w:t>protection</w:t>
      </w:r>
      <w:r>
        <w:rPr>
          <w:spacing w:val="-3"/>
        </w:rPr>
        <w:t> </w:t>
      </w:r>
      <w:r>
        <w:rPr/>
        <w:t>des</w:t>
      </w:r>
      <w:r>
        <w:rPr>
          <w:spacing w:val="-3"/>
        </w:rPr>
        <w:t> </w:t>
      </w:r>
      <w:r>
        <w:rPr/>
        <w:t>données</w:t>
      </w:r>
      <w:r>
        <w:rPr>
          <w:spacing w:val="-2"/>
        </w:rPr>
        <w:t> (CEPD)</w:t>
      </w:r>
    </w:p>
    <w:p>
      <w:pPr>
        <w:pStyle w:val="BodyText"/>
        <w:ind w:left="1080" w:right="109"/>
        <w:jc w:val="both"/>
      </w:pPr>
      <w:r>
        <w:rPr/>
        <w:t>Vous</w:t>
      </w:r>
      <w:r>
        <w:rPr>
          <w:spacing w:val="-4"/>
        </w:rPr>
        <w:t> </w:t>
      </w:r>
      <w:r>
        <w:rPr/>
        <w:t>avez</w:t>
      </w:r>
      <w:r>
        <w:rPr>
          <w:spacing w:val="-4"/>
        </w:rPr>
        <w:t> </w:t>
      </w:r>
      <w:r>
        <w:rPr/>
        <w:t>le</w:t>
      </w:r>
      <w:r>
        <w:rPr>
          <w:spacing w:val="-1"/>
        </w:rPr>
        <w:t> </w:t>
      </w:r>
      <w:r>
        <w:rPr/>
        <w:t>droit</w:t>
      </w:r>
      <w:r>
        <w:rPr>
          <w:spacing w:val="-1"/>
        </w:rPr>
        <w:t> </w:t>
      </w:r>
      <w:r>
        <w:rPr/>
        <w:t>de</w:t>
      </w:r>
      <w:r>
        <w:rPr>
          <w:spacing w:val="-2"/>
        </w:rPr>
        <w:t> </w:t>
      </w:r>
      <w:r>
        <w:rPr/>
        <w:t>recourir</w:t>
      </w:r>
      <w:r>
        <w:rPr>
          <w:spacing w:val="-4"/>
        </w:rPr>
        <w:t> </w:t>
      </w:r>
      <w:r>
        <w:rPr/>
        <w:t>(c'est-à-dire</w:t>
      </w:r>
      <w:r>
        <w:rPr>
          <w:spacing w:val="-2"/>
        </w:rPr>
        <w:t> </w:t>
      </w:r>
      <w:r>
        <w:rPr/>
        <w:t>que</w:t>
      </w:r>
      <w:r>
        <w:rPr>
          <w:spacing w:val="-2"/>
        </w:rPr>
        <w:t> </w:t>
      </w:r>
      <w:r>
        <w:rPr/>
        <w:t>vous</w:t>
      </w:r>
      <w:r>
        <w:rPr>
          <w:spacing w:val="-2"/>
        </w:rPr>
        <w:t> </w:t>
      </w:r>
      <w:r>
        <w:rPr/>
        <w:t>pouvez</w:t>
      </w:r>
      <w:r>
        <w:rPr>
          <w:spacing w:val="-4"/>
        </w:rPr>
        <w:t> </w:t>
      </w:r>
      <w:r>
        <w:rPr/>
        <w:t>déposer</w:t>
      </w:r>
      <w:r>
        <w:rPr>
          <w:spacing w:val="-1"/>
        </w:rPr>
        <w:t> </w:t>
      </w:r>
      <w:r>
        <w:rPr/>
        <w:t>une</w:t>
      </w:r>
      <w:r>
        <w:rPr>
          <w:spacing w:val="-2"/>
        </w:rPr>
        <w:t> </w:t>
      </w:r>
      <w:r>
        <w:rPr/>
        <w:t>plainte)</w:t>
      </w:r>
      <w:r>
        <w:rPr>
          <w:spacing w:val="-2"/>
        </w:rPr>
        <w:t> </w:t>
      </w:r>
      <w:r>
        <w:rPr/>
        <w:t>au</w:t>
      </w:r>
      <w:r>
        <w:rPr>
          <w:spacing w:val="-2"/>
        </w:rPr>
        <w:t> </w:t>
      </w:r>
      <w:r>
        <w:rPr/>
        <w:t>Contrôleur</w:t>
      </w:r>
      <w:r>
        <w:rPr>
          <w:spacing w:val="-2"/>
        </w:rPr>
        <w:t> </w:t>
      </w:r>
      <w:r>
        <w:rPr/>
        <w:t>européen</w:t>
      </w:r>
      <w:r>
        <w:rPr>
          <w:spacing w:val="-2"/>
        </w:rPr>
        <w:t> </w:t>
      </w:r>
      <w:r>
        <w:rPr/>
        <w:t>de la protection des données (</w:t>
      </w:r>
      <w:r>
        <w:rPr>
          <w:u w:val="single"/>
        </w:rPr>
        <w:t>edps@edps.europa.eu</w:t>
      </w:r>
      <w:r>
        <w:rPr/>
        <w:t>) si vous estimez que vos droits au titre du règlement (UE) 2018/1725 ont été violés</w:t>
      </w:r>
      <w:r>
        <w:rPr>
          <w:spacing w:val="-2"/>
        </w:rPr>
        <w:t> </w:t>
      </w:r>
      <w:r>
        <w:rPr/>
        <w:t>à</w:t>
      </w:r>
      <w:r>
        <w:rPr>
          <w:spacing w:val="-2"/>
        </w:rPr>
        <w:t> </w:t>
      </w:r>
      <w:r>
        <w:rPr/>
        <w:t>la suite</w:t>
      </w:r>
      <w:r>
        <w:rPr>
          <w:spacing w:val="-2"/>
        </w:rPr>
        <w:t> </w:t>
      </w:r>
      <w:r>
        <w:rPr/>
        <w:t>du</w:t>
      </w:r>
      <w:r>
        <w:rPr>
          <w:spacing w:val="-2"/>
        </w:rPr>
        <w:t> </w:t>
      </w:r>
      <w:r>
        <w:rPr/>
        <w:t>traitement de vos</w:t>
      </w:r>
      <w:r>
        <w:rPr>
          <w:spacing w:val="-2"/>
        </w:rPr>
        <w:t> </w:t>
      </w:r>
      <w:r>
        <w:rPr/>
        <w:t>données à</w:t>
      </w:r>
      <w:r>
        <w:rPr>
          <w:spacing w:val="-2"/>
        </w:rPr>
        <w:t> </w:t>
      </w:r>
      <w:r>
        <w:rPr/>
        <w:t>caractère personnel par</w:t>
      </w:r>
      <w:r>
        <w:rPr>
          <w:spacing w:val="-1"/>
        </w:rPr>
        <w:t> </w:t>
      </w:r>
      <w:r>
        <w:rPr/>
        <w:t>le</w:t>
      </w:r>
      <w:r>
        <w:rPr>
          <w:spacing w:val="-2"/>
        </w:rPr>
        <w:t> </w:t>
      </w:r>
      <w:r>
        <w:rPr/>
        <w:t>responsable du </w:t>
      </w:r>
      <w:r>
        <w:rPr>
          <w:spacing w:val="-2"/>
        </w:rPr>
        <w:t>traitement.</w:t>
      </w:r>
    </w:p>
    <w:p>
      <w:pPr>
        <w:pStyle w:val="BodyText"/>
        <w:ind w:left="1080" w:right="112"/>
        <w:jc w:val="both"/>
      </w:pPr>
      <w:r>
        <w:rPr/>
        <w:t>A l'attention des candidats de pays tiers : vos données personnelles peuvent être utilisées pour les vérifications nécessaires.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36672"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0"/>
      <w:numFmt w:val="bullet"/>
      <w:lvlText w:val="-"/>
      <w:lvlJc w:val="left"/>
      <w:pPr>
        <w:ind w:left="1210" w:hanging="130"/>
      </w:pPr>
      <w:rPr>
        <w:rFonts w:hint="default" w:ascii="Times New Roman" w:hAnsi="Times New Roman" w:eastAsia="Times New Roman" w:cs="Times New Roman"/>
        <w:w w:val="100"/>
        <w:lang w:val="fr-FR" w:eastAsia="en-US" w:bidi="ar-SA"/>
      </w:rPr>
    </w:lvl>
    <w:lvl w:ilvl="1">
      <w:start w:val="0"/>
      <w:numFmt w:val="bullet"/>
      <w:lvlText w:val="•"/>
      <w:lvlJc w:val="left"/>
      <w:pPr>
        <w:ind w:left="2166" w:hanging="130"/>
      </w:pPr>
      <w:rPr>
        <w:rFonts w:hint="default"/>
        <w:lang w:val="fr-FR" w:eastAsia="en-US" w:bidi="ar-SA"/>
      </w:rPr>
    </w:lvl>
    <w:lvl w:ilvl="2">
      <w:start w:val="0"/>
      <w:numFmt w:val="bullet"/>
      <w:lvlText w:val="•"/>
      <w:lvlJc w:val="left"/>
      <w:pPr>
        <w:ind w:left="3113" w:hanging="130"/>
      </w:pPr>
      <w:rPr>
        <w:rFonts w:hint="default"/>
        <w:lang w:val="fr-FR" w:eastAsia="en-US" w:bidi="ar-SA"/>
      </w:rPr>
    </w:lvl>
    <w:lvl w:ilvl="3">
      <w:start w:val="0"/>
      <w:numFmt w:val="bullet"/>
      <w:lvlText w:val="•"/>
      <w:lvlJc w:val="left"/>
      <w:pPr>
        <w:ind w:left="4059" w:hanging="130"/>
      </w:pPr>
      <w:rPr>
        <w:rFonts w:hint="default"/>
        <w:lang w:val="fr-FR" w:eastAsia="en-US" w:bidi="ar-SA"/>
      </w:rPr>
    </w:lvl>
    <w:lvl w:ilvl="4">
      <w:start w:val="0"/>
      <w:numFmt w:val="bullet"/>
      <w:lvlText w:val="•"/>
      <w:lvlJc w:val="left"/>
      <w:pPr>
        <w:ind w:left="5006" w:hanging="130"/>
      </w:pPr>
      <w:rPr>
        <w:rFonts w:hint="default"/>
        <w:lang w:val="fr-FR" w:eastAsia="en-US" w:bidi="ar-SA"/>
      </w:rPr>
    </w:lvl>
    <w:lvl w:ilvl="5">
      <w:start w:val="0"/>
      <w:numFmt w:val="bullet"/>
      <w:lvlText w:val="•"/>
      <w:lvlJc w:val="left"/>
      <w:pPr>
        <w:ind w:left="5953" w:hanging="130"/>
      </w:pPr>
      <w:rPr>
        <w:rFonts w:hint="default"/>
        <w:lang w:val="fr-FR" w:eastAsia="en-US" w:bidi="ar-SA"/>
      </w:rPr>
    </w:lvl>
    <w:lvl w:ilvl="6">
      <w:start w:val="0"/>
      <w:numFmt w:val="bullet"/>
      <w:lvlText w:val="•"/>
      <w:lvlJc w:val="left"/>
      <w:pPr>
        <w:ind w:left="6899" w:hanging="130"/>
      </w:pPr>
      <w:rPr>
        <w:rFonts w:hint="default"/>
        <w:lang w:val="fr-FR" w:eastAsia="en-US" w:bidi="ar-SA"/>
      </w:rPr>
    </w:lvl>
    <w:lvl w:ilvl="7">
      <w:start w:val="0"/>
      <w:numFmt w:val="bullet"/>
      <w:lvlText w:val="•"/>
      <w:lvlJc w:val="left"/>
      <w:pPr>
        <w:ind w:left="7846" w:hanging="130"/>
      </w:pPr>
      <w:rPr>
        <w:rFonts w:hint="default"/>
        <w:lang w:val="fr-FR" w:eastAsia="en-US" w:bidi="ar-SA"/>
      </w:rPr>
    </w:lvl>
    <w:lvl w:ilvl="8">
      <w:start w:val="0"/>
      <w:numFmt w:val="bullet"/>
      <w:lvlText w:val="•"/>
      <w:lvlJc w:val="left"/>
      <w:pPr>
        <w:ind w:left="8793" w:hanging="130"/>
      </w:pPr>
      <w:rPr>
        <w:rFonts w:hint="default"/>
        <w:lang w:val="fr-FR" w:eastAsia="en-US" w:bidi="ar-SA"/>
      </w:rPr>
    </w:lvl>
  </w:abstractNum>
  <w:abstractNum w:abstractNumId="1">
    <w:multiLevelType w:val="hybridMultilevel"/>
    <w:lvl w:ilvl="0">
      <w:start w:val="0"/>
      <w:numFmt w:val="bullet"/>
      <w:lvlText w:val=""/>
      <w:lvlJc w:val="left"/>
      <w:pPr>
        <w:ind w:left="501" w:hanging="397"/>
      </w:pPr>
      <w:rPr>
        <w:rFonts w:hint="default" w:ascii="Wingdings 2" w:hAnsi="Wingdings 2" w:eastAsia="Wingdings 2" w:cs="Wingdings 2"/>
        <w:b/>
        <w:bCs/>
        <w:i w:val="0"/>
        <w:iCs w:val="0"/>
        <w:w w:val="99"/>
        <w:sz w:val="24"/>
        <w:szCs w:val="24"/>
        <w:lang w:val="fr-FR" w:eastAsia="en-US" w:bidi="ar-SA"/>
      </w:rPr>
    </w:lvl>
    <w:lvl w:ilvl="1">
      <w:start w:val="0"/>
      <w:numFmt w:val="bullet"/>
      <w:lvlText w:val=""/>
      <w:lvlJc w:val="left"/>
      <w:pPr>
        <w:ind w:left="1089" w:hanging="276"/>
      </w:pPr>
      <w:rPr>
        <w:rFonts w:hint="default" w:ascii="Wingdings 2" w:hAnsi="Wingdings 2" w:eastAsia="Wingdings 2" w:cs="Wingdings 2"/>
        <w:b/>
        <w:bCs/>
        <w:i w:val="0"/>
        <w:iCs w:val="0"/>
        <w:w w:val="99"/>
        <w:sz w:val="24"/>
        <w:szCs w:val="24"/>
        <w:lang w:val="fr-FR" w:eastAsia="en-US" w:bidi="ar-SA"/>
      </w:rPr>
    </w:lvl>
    <w:lvl w:ilvl="2">
      <w:start w:val="0"/>
      <w:numFmt w:val="bullet"/>
      <w:lvlText w:val="•"/>
      <w:lvlJc w:val="left"/>
      <w:pPr>
        <w:ind w:left="2065" w:hanging="276"/>
      </w:pPr>
      <w:rPr>
        <w:rFonts w:hint="default"/>
        <w:lang w:val="fr-FR" w:eastAsia="en-US" w:bidi="ar-SA"/>
      </w:rPr>
    </w:lvl>
    <w:lvl w:ilvl="3">
      <w:start w:val="0"/>
      <w:numFmt w:val="bullet"/>
      <w:lvlText w:val="•"/>
      <w:lvlJc w:val="left"/>
      <w:pPr>
        <w:ind w:left="3050" w:hanging="276"/>
      </w:pPr>
      <w:rPr>
        <w:rFonts w:hint="default"/>
        <w:lang w:val="fr-FR" w:eastAsia="en-US" w:bidi="ar-SA"/>
      </w:rPr>
    </w:lvl>
    <w:lvl w:ilvl="4">
      <w:start w:val="0"/>
      <w:numFmt w:val="bullet"/>
      <w:lvlText w:val="•"/>
      <w:lvlJc w:val="left"/>
      <w:pPr>
        <w:ind w:left="4035" w:hanging="276"/>
      </w:pPr>
      <w:rPr>
        <w:rFonts w:hint="default"/>
        <w:lang w:val="fr-FR" w:eastAsia="en-US" w:bidi="ar-SA"/>
      </w:rPr>
    </w:lvl>
    <w:lvl w:ilvl="5">
      <w:start w:val="0"/>
      <w:numFmt w:val="bullet"/>
      <w:lvlText w:val="•"/>
      <w:lvlJc w:val="left"/>
      <w:pPr>
        <w:ind w:left="5020" w:hanging="276"/>
      </w:pPr>
      <w:rPr>
        <w:rFonts w:hint="default"/>
        <w:lang w:val="fr-FR" w:eastAsia="en-US" w:bidi="ar-SA"/>
      </w:rPr>
    </w:lvl>
    <w:lvl w:ilvl="6">
      <w:start w:val="0"/>
      <w:numFmt w:val="bullet"/>
      <w:lvlText w:val="•"/>
      <w:lvlJc w:val="left"/>
      <w:pPr>
        <w:ind w:left="6005" w:hanging="276"/>
      </w:pPr>
      <w:rPr>
        <w:rFonts w:hint="default"/>
        <w:lang w:val="fr-FR" w:eastAsia="en-US" w:bidi="ar-SA"/>
      </w:rPr>
    </w:lvl>
    <w:lvl w:ilvl="7">
      <w:start w:val="0"/>
      <w:numFmt w:val="bullet"/>
      <w:lvlText w:val="•"/>
      <w:lvlJc w:val="left"/>
      <w:pPr>
        <w:ind w:left="6990" w:hanging="276"/>
      </w:pPr>
      <w:rPr>
        <w:rFonts w:hint="default"/>
        <w:lang w:val="fr-FR" w:eastAsia="en-US" w:bidi="ar-SA"/>
      </w:rPr>
    </w:lvl>
    <w:lvl w:ilvl="8">
      <w:start w:val="0"/>
      <w:numFmt w:val="bullet"/>
      <w:lvlText w:val="•"/>
      <w:lvlJc w:val="left"/>
      <w:pPr>
        <w:ind w:left="7975" w:hanging="276"/>
      </w:pPr>
      <w:rPr>
        <w:rFonts w:hint="default"/>
        <w:lang w:val="fr-FR" w:eastAsia="en-US" w:bidi="ar-SA"/>
      </w:rPr>
    </w:lvl>
  </w:abstractNum>
  <w:abstractNum w:abstractNumId="0">
    <w:multiLevelType w:val="hybridMultilevel"/>
    <w:lvl w:ilvl="0">
      <w:start w:val="0"/>
      <w:numFmt w:val="bullet"/>
      <w:lvlText w:val=""/>
      <w:lvlJc w:val="left"/>
      <w:pPr>
        <w:ind w:left="918" w:hanging="473"/>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136" w:hanging="473"/>
      </w:pPr>
      <w:rPr>
        <w:rFonts w:hint="default"/>
        <w:lang w:val="fr-FR" w:eastAsia="en-US" w:bidi="ar-SA"/>
      </w:rPr>
    </w:lvl>
    <w:lvl w:ilvl="2">
      <w:start w:val="0"/>
      <w:numFmt w:val="bullet"/>
      <w:lvlText w:val="•"/>
      <w:lvlJc w:val="left"/>
      <w:pPr>
        <w:ind w:left="1352" w:hanging="473"/>
      </w:pPr>
      <w:rPr>
        <w:rFonts w:hint="default"/>
        <w:lang w:val="fr-FR" w:eastAsia="en-US" w:bidi="ar-SA"/>
      </w:rPr>
    </w:lvl>
    <w:lvl w:ilvl="3">
      <w:start w:val="0"/>
      <w:numFmt w:val="bullet"/>
      <w:lvlText w:val="•"/>
      <w:lvlJc w:val="left"/>
      <w:pPr>
        <w:ind w:left="1568" w:hanging="473"/>
      </w:pPr>
      <w:rPr>
        <w:rFonts w:hint="default"/>
        <w:lang w:val="fr-FR" w:eastAsia="en-US" w:bidi="ar-SA"/>
      </w:rPr>
    </w:lvl>
    <w:lvl w:ilvl="4">
      <w:start w:val="0"/>
      <w:numFmt w:val="bullet"/>
      <w:lvlText w:val="•"/>
      <w:lvlJc w:val="left"/>
      <w:pPr>
        <w:ind w:left="1784" w:hanging="473"/>
      </w:pPr>
      <w:rPr>
        <w:rFonts w:hint="default"/>
        <w:lang w:val="fr-FR" w:eastAsia="en-US" w:bidi="ar-SA"/>
      </w:rPr>
    </w:lvl>
    <w:lvl w:ilvl="5">
      <w:start w:val="0"/>
      <w:numFmt w:val="bullet"/>
      <w:lvlText w:val="•"/>
      <w:lvlJc w:val="left"/>
      <w:pPr>
        <w:ind w:left="2001" w:hanging="473"/>
      </w:pPr>
      <w:rPr>
        <w:rFonts w:hint="default"/>
        <w:lang w:val="fr-FR" w:eastAsia="en-US" w:bidi="ar-SA"/>
      </w:rPr>
    </w:lvl>
    <w:lvl w:ilvl="6">
      <w:start w:val="0"/>
      <w:numFmt w:val="bullet"/>
      <w:lvlText w:val="•"/>
      <w:lvlJc w:val="left"/>
      <w:pPr>
        <w:ind w:left="2217" w:hanging="473"/>
      </w:pPr>
      <w:rPr>
        <w:rFonts w:hint="default"/>
        <w:lang w:val="fr-FR" w:eastAsia="en-US" w:bidi="ar-SA"/>
      </w:rPr>
    </w:lvl>
    <w:lvl w:ilvl="7">
      <w:start w:val="0"/>
      <w:numFmt w:val="bullet"/>
      <w:lvlText w:val="•"/>
      <w:lvlJc w:val="left"/>
      <w:pPr>
        <w:ind w:left="2433" w:hanging="473"/>
      </w:pPr>
      <w:rPr>
        <w:rFonts w:hint="default"/>
        <w:lang w:val="fr-FR" w:eastAsia="en-US" w:bidi="ar-SA"/>
      </w:rPr>
    </w:lvl>
    <w:lvl w:ilvl="8">
      <w:start w:val="0"/>
      <w:numFmt w:val="bullet"/>
      <w:lvlText w:val="•"/>
      <w:lvlJc w:val="left"/>
      <w:pPr>
        <w:ind w:left="2649" w:hanging="473"/>
      </w:pPr>
      <w:rPr>
        <w:rFonts w:hint="default"/>
        <w:lang w:val="fr-FR" w:eastAsia="en-US" w:bidi="ar-SA"/>
      </w:rPr>
    </w:lvl>
  </w:abstractNum>
  <w:abstractNum w:abstractNumId="2">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fr-FR" w:eastAsia="en-US" w:bidi="ar-SA"/>
      </w:rPr>
    </w:lvl>
    <w:lvl w:ilvl="1">
      <w:start w:val="1"/>
      <w:numFmt w:val="lowerLetter"/>
      <w:lvlText w:val="%2)"/>
      <w:lvlJc w:val="left"/>
      <w:pPr>
        <w:ind w:left="1039" w:hanging="240"/>
        <w:jc w:val="left"/>
      </w:pPr>
      <w:rPr>
        <w:rFonts w:hint="default" w:ascii="Times New Roman" w:hAnsi="Times New Roman" w:eastAsia="Times New Roman" w:cs="Times New Roman"/>
        <w:b/>
        <w:bCs/>
        <w:i w:val="0"/>
        <w:iCs w:val="0"/>
        <w:w w:val="100"/>
        <w:sz w:val="22"/>
        <w:szCs w:val="22"/>
        <w:lang w:val="fr-FR" w:eastAsia="en-US" w:bidi="ar-SA"/>
      </w:rPr>
    </w:lvl>
    <w:lvl w:ilvl="2">
      <w:start w:val="0"/>
      <w:numFmt w:val="bullet"/>
      <w:lvlText w:val="-"/>
      <w:lvlJc w:val="left"/>
      <w:pPr>
        <w:ind w:left="799" w:hanging="219"/>
      </w:pPr>
      <w:rPr>
        <w:rFonts w:hint="default" w:ascii="Times New Roman" w:hAnsi="Times New Roman" w:eastAsia="Times New Roman" w:cs="Times New Roman"/>
        <w:b w:val="0"/>
        <w:bCs w:val="0"/>
        <w:i w:val="0"/>
        <w:iCs w:val="0"/>
        <w:w w:val="100"/>
        <w:sz w:val="22"/>
        <w:szCs w:val="22"/>
        <w:lang w:val="fr-FR" w:eastAsia="en-US" w:bidi="ar-SA"/>
      </w:rPr>
    </w:lvl>
    <w:lvl w:ilvl="3">
      <w:start w:val="0"/>
      <w:numFmt w:val="bullet"/>
      <w:lvlText w:val="•"/>
      <w:lvlJc w:val="left"/>
      <w:pPr>
        <w:ind w:left="3183" w:hanging="219"/>
      </w:pPr>
      <w:rPr>
        <w:rFonts w:hint="default"/>
        <w:lang w:val="fr-FR" w:eastAsia="en-US" w:bidi="ar-SA"/>
      </w:rPr>
    </w:lvl>
    <w:lvl w:ilvl="4">
      <w:start w:val="0"/>
      <w:numFmt w:val="bullet"/>
      <w:lvlText w:val="•"/>
      <w:lvlJc w:val="left"/>
      <w:pPr>
        <w:ind w:left="4255" w:hanging="219"/>
      </w:pPr>
      <w:rPr>
        <w:rFonts w:hint="default"/>
        <w:lang w:val="fr-FR" w:eastAsia="en-US" w:bidi="ar-SA"/>
      </w:rPr>
    </w:lvl>
    <w:lvl w:ilvl="5">
      <w:start w:val="0"/>
      <w:numFmt w:val="bullet"/>
      <w:lvlText w:val="•"/>
      <w:lvlJc w:val="left"/>
      <w:pPr>
        <w:ind w:left="5327" w:hanging="219"/>
      </w:pPr>
      <w:rPr>
        <w:rFonts w:hint="default"/>
        <w:lang w:val="fr-FR" w:eastAsia="en-US" w:bidi="ar-SA"/>
      </w:rPr>
    </w:lvl>
    <w:lvl w:ilvl="6">
      <w:start w:val="0"/>
      <w:numFmt w:val="bullet"/>
      <w:lvlText w:val="•"/>
      <w:lvlJc w:val="left"/>
      <w:pPr>
        <w:ind w:left="6399" w:hanging="219"/>
      </w:pPr>
      <w:rPr>
        <w:rFonts w:hint="default"/>
        <w:lang w:val="fr-FR" w:eastAsia="en-US" w:bidi="ar-SA"/>
      </w:rPr>
    </w:lvl>
    <w:lvl w:ilvl="7">
      <w:start w:val="0"/>
      <w:numFmt w:val="bullet"/>
      <w:lvlText w:val="•"/>
      <w:lvlJc w:val="left"/>
      <w:pPr>
        <w:ind w:left="7470" w:hanging="219"/>
      </w:pPr>
      <w:rPr>
        <w:rFonts w:hint="default"/>
        <w:lang w:val="fr-FR" w:eastAsia="en-US" w:bidi="ar-SA"/>
      </w:rPr>
    </w:lvl>
    <w:lvl w:ilvl="8">
      <w:start w:val="0"/>
      <w:numFmt w:val="bullet"/>
      <w:lvlText w:val="•"/>
      <w:lvlJc w:val="left"/>
      <w:pPr>
        <w:ind w:left="8542" w:hanging="219"/>
      </w:pPr>
      <w:rPr>
        <w:rFonts w:hint="default"/>
        <w:lang w:val="fr-FR" w:eastAsia="en-US" w:bidi="ar-SA"/>
      </w:rPr>
    </w:lvl>
  </w:abstract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ind w:left="1210" w:hanging="131"/>
      <w:outlineLvl w:val="1"/>
    </w:pPr>
    <w:rPr>
      <w:rFonts w:ascii="Times New Roman" w:hAnsi="Times New Roman" w:eastAsia="Times New Roman" w:cs="Times New Roman"/>
      <w:b/>
      <w:bCs/>
      <w:sz w:val="22"/>
      <w:szCs w:val="22"/>
      <w:lang w:val="fr-FR" w:eastAsia="en-US" w:bidi="ar-SA"/>
    </w:rPr>
  </w:style>
  <w:style w:styleId="ListParagraph" w:type="paragraph">
    <w:name w:val="List Paragraph"/>
    <w:basedOn w:val="Normal"/>
    <w:uiPriority w:val="1"/>
    <w:qFormat/>
    <w:pPr>
      <w:ind w:left="799" w:hanging="126"/>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Fabienne.Gautier@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MAIL-B4@ec.europa.eu" TargetMode="External"/><Relationship Id="rId1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2023-03-15T16:45:58Z</dcterms:created>
  <dcterms:modified xsi:type="dcterms:W3CDTF">2023-03-15T16:45:58Z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