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6" w:type="dxa"/>
            <w:gridSpan w:val="2"/>
          </w:tcPr>
          <w:p>
            <w:pPr>
              <w:pStyle w:val="TableParagraph"/>
              <w:spacing w:before="167"/>
              <w:rPr>
                <w:b/>
                <w:sz w:val="24"/>
              </w:rPr>
            </w:pPr>
            <w:r>
              <w:rPr>
                <w:b/>
                <w:spacing w:val="-2"/>
                <w:sz w:val="24"/>
              </w:rPr>
              <w:t>MOVE-B-</w:t>
            </w:r>
            <w:r>
              <w:rPr>
                <w:b/>
                <w:spacing w:val="-10"/>
                <w:sz w:val="24"/>
              </w:rPr>
              <w:t>5</w:t>
            </w:r>
          </w:p>
        </w:tc>
      </w:tr>
      <w:tr>
        <w:trPr>
          <w:trHeight w:val="256" w:hRule="atLeast"/>
        </w:trPr>
        <w:tc>
          <w:tcPr>
            <w:tcW w:w="4359" w:type="dxa"/>
            <w:tcBorders>
              <w:bottom w:val="nil"/>
            </w:tcBorders>
          </w:tcPr>
          <w:p>
            <w:pPr>
              <w:pStyle w:val="TableParagraph"/>
              <w:spacing w:line="237" w:lineRule="exact"/>
              <w:rPr>
                <w:b/>
                <w:sz w:val="22"/>
              </w:rPr>
            </w:pPr>
            <w:r>
              <w:rPr>
                <w:b/>
                <w:sz w:val="22"/>
              </w:rPr>
              <w:t>Head</w:t>
            </w:r>
            <w:r>
              <w:rPr>
                <w:b/>
                <w:spacing w:val="-2"/>
                <w:sz w:val="22"/>
              </w:rPr>
              <w:t> </w:t>
            </w:r>
            <w:r>
              <w:rPr>
                <w:b/>
                <w:sz w:val="22"/>
              </w:rPr>
              <w:t>of</w:t>
            </w:r>
            <w:r>
              <w:rPr>
                <w:b/>
                <w:spacing w:val="-1"/>
                <w:sz w:val="22"/>
              </w:rPr>
              <w:t> </w:t>
            </w:r>
            <w:r>
              <w:rPr>
                <w:b/>
                <w:spacing w:val="-2"/>
                <w:sz w:val="22"/>
              </w:rPr>
              <w:t>Unit:</w:t>
            </w:r>
          </w:p>
        </w:tc>
        <w:tc>
          <w:tcPr>
            <w:tcW w:w="5596" w:type="dxa"/>
            <w:gridSpan w:val="2"/>
            <w:tcBorders>
              <w:bottom w:val="nil"/>
            </w:tcBorders>
          </w:tcPr>
          <w:p>
            <w:pPr>
              <w:pStyle w:val="TableParagraph"/>
              <w:spacing w:line="237" w:lineRule="exact"/>
              <w:rPr>
                <w:b/>
                <w:sz w:val="22"/>
              </w:rPr>
            </w:pPr>
            <w:r>
              <w:rPr>
                <w:b/>
                <w:sz w:val="22"/>
              </w:rPr>
              <w:t>Elisabeth</w:t>
            </w:r>
            <w:r>
              <w:rPr>
                <w:b/>
                <w:spacing w:val="-6"/>
                <w:sz w:val="22"/>
              </w:rPr>
              <w:t> </w:t>
            </w:r>
            <w:r>
              <w:rPr>
                <w:b/>
                <w:spacing w:val="-2"/>
                <w:sz w:val="22"/>
              </w:rPr>
              <w:t>Kotthaus</w:t>
            </w:r>
          </w:p>
        </w:tc>
      </w:tr>
      <w:tr>
        <w:trPr>
          <w:trHeight w:val="253" w:hRule="atLeast"/>
        </w:trPr>
        <w:tc>
          <w:tcPr>
            <w:tcW w:w="4359" w:type="dxa"/>
            <w:tcBorders>
              <w:top w:val="nil"/>
              <w:bottom w:val="nil"/>
            </w:tcBorders>
          </w:tcPr>
          <w:p>
            <w:pPr>
              <w:pStyle w:val="TableParagraph"/>
              <w:spacing w:line="233" w:lineRule="exact"/>
              <w:rPr>
                <w:b/>
                <w:sz w:val="22"/>
              </w:rPr>
            </w:pPr>
            <w:r>
              <w:rPr>
                <w:b/>
                <w:sz w:val="22"/>
              </w:rPr>
              <w:t>Email</w:t>
            </w:r>
            <w:r>
              <w:rPr>
                <w:b/>
                <w:spacing w:val="-2"/>
                <w:sz w:val="22"/>
              </w:rPr>
              <w:t> address:</w:t>
            </w:r>
          </w:p>
        </w:tc>
        <w:tc>
          <w:tcPr>
            <w:tcW w:w="5596"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Elisabeth.Kotthaus@ec.europa.eu</w:t>
              </w:r>
            </w:hyperlink>
          </w:p>
        </w:tc>
      </w:tr>
      <w:tr>
        <w:trPr>
          <w:trHeight w:val="251" w:hRule="atLeast"/>
        </w:trPr>
        <w:tc>
          <w:tcPr>
            <w:tcW w:w="4359" w:type="dxa"/>
            <w:tcBorders>
              <w:top w:val="nil"/>
              <w:bottom w:val="nil"/>
            </w:tcBorders>
          </w:tcPr>
          <w:p>
            <w:pPr>
              <w:pStyle w:val="TableParagraph"/>
              <w:spacing w:line="232" w:lineRule="exact"/>
              <w:rPr>
                <w:b/>
                <w:sz w:val="22"/>
              </w:rPr>
            </w:pPr>
            <w:r>
              <w:rPr>
                <w:b/>
                <w:spacing w:val="-2"/>
                <w:sz w:val="22"/>
              </w:rPr>
              <w:t>Telephone:</w:t>
            </w:r>
          </w:p>
        </w:tc>
        <w:tc>
          <w:tcPr>
            <w:tcW w:w="5596" w:type="dxa"/>
            <w:gridSpan w:val="2"/>
            <w:tcBorders>
              <w:top w:val="nil"/>
              <w:bottom w:val="nil"/>
            </w:tcBorders>
          </w:tcPr>
          <w:p>
            <w:pPr>
              <w:pStyle w:val="TableParagraph"/>
              <w:spacing w:line="232" w:lineRule="exact"/>
              <w:rPr>
                <w:b/>
                <w:sz w:val="22"/>
              </w:rPr>
            </w:pPr>
            <w:r>
              <w:rPr>
                <w:b/>
                <w:sz w:val="22"/>
              </w:rPr>
              <w:t>+32</w:t>
            </w:r>
            <w:r>
              <w:rPr>
                <w:b/>
                <w:spacing w:val="-1"/>
                <w:sz w:val="22"/>
              </w:rPr>
              <w:t> </w:t>
            </w:r>
            <w:r>
              <w:rPr>
                <w:b/>
                <w:sz w:val="22"/>
              </w:rPr>
              <w:t>2</w:t>
            </w:r>
            <w:r>
              <w:rPr>
                <w:b/>
                <w:spacing w:val="-1"/>
                <w:sz w:val="22"/>
              </w:rPr>
              <w:t> </w:t>
            </w:r>
            <w:r>
              <w:rPr>
                <w:b/>
                <w:spacing w:val="-2"/>
                <w:sz w:val="22"/>
              </w:rPr>
              <w:t>2994870</w:t>
            </w:r>
          </w:p>
        </w:tc>
      </w:tr>
      <w:tr>
        <w:trPr>
          <w:trHeight w:val="263" w:hRule="atLeast"/>
        </w:trPr>
        <w:tc>
          <w:tcPr>
            <w:tcW w:w="4359" w:type="dxa"/>
            <w:tcBorders>
              <w:top w:val="nil"/>
              <w:bottom w:val="nil"/>
            </w:tcBorders>
          </w:tcPr>
          <w:p>
            <w:pPr>
              <w:pStyle w:val="TableParagraph"/>
              <w:spacing w:line="244" w:lineRule="exact"/>
              <w:rPr>
                <w:b/>
                <w:sz w:val="22"/>
              </w:rPr>
            </w:pPr>
            <w:r>
              <w:rPr>
                <w:b/>
                <w:sz w:val="22"/>
              </w:rPr>
              <w:t>Number</w:t>
            </w:r>
            <w:r>
              <w:rPr>
                <w:b/>
                <w:spacing w:val="-4"/>
                <w:sz w:val="22"/>
              </w:rPr>
              <w:t> </w:t>
            </w:r>
            <w:r>
              <w:rPr>
                <w:b/>
                <w:sz w:val="22"/>
              </w:rPr>
              <w:t>of</w:t>
            </w:r>
            <w:r>
              <w:rPr>
                <w:b/>
                <w:spacing w:val="-3"/>
                <w:sz w:val="22"/>
              </w:rPr>
              <w:t> </w:t>
            </w:r>
            <w:r>
              <w:rPr>
                <w:b/>
                <w:sz w:val="22"/>
              </w:rPr>
              <w:t>available</w:t>
            </w:r>
            <w:r>
              <w:rPr>
                <w:b/>
                <w:spacing w:val="-5"/>
                <w:sz w:val="22"/>
              </w:rPr>
              <w:t> </w:t>
            </w:r>
            <w:r>
              <w:rPr>
                <w:b/>
                <w:spacing w:val="-2"/>
                <w:sz w:val="22"/>
              </w:rPr>
              <w:t>posts:</w:t>
            </w:r>
          </w:p>
        </w:tc>
        <w:tc>
          <w:tcPr>
            <w:tcW w:w="5596" w:type="dxa"/>
            <w:gridSpan w:val="2"/>
            <w:tcBorders>
              <w:top w:val="nil"/>
              <w:bottom w:val="nil"/>
            </w:tcBorders>
          </w:tcPr>
          <w:p>
            <w:pPr>
              <w:pStyle w:val="TableParagraph"/>
              <w:spacing w:line="244" w:lineRule="exact"/>
              <w:rPr>
                <w:sz w:val="24"/>
              </w:rPr>
            </w:pPr>
            <w:r>
              <w:rPr>
                <w:sz w:val="24"/>
              </w:rPr>
              <w:t>1</w:t>
            </w:r>
          </w:p>
        </w:tc>
      </w:tr>
      <w:tr>
        <w:trPr>
          <w:trHeight w:val="254" w:hRule="atLeast"/>
        </w:trPr>
        <w:tc>
          <w:tcPr>
            <w:tcW w:w="4359" w:type="dxa"/>
            <w:tcBorders>
              <w:top w:val="nil"/>
              <w:bottom w:val="nil"/>
            </w:tcBorders>
          </w:tcPr>
          <w:p>
            <w:pPr>
              <w:pStyle w:val="TableParagraph"/>
              <w:spacing w:line="235" w:lineRule="exact"/>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6" w:type="dxa"/>
            <w:gridSpan w:val="2"/>
            <w:tcBorders>
              <w:top w:val="nil"/>
              <w:bottom w:val="nil"/>
            </w:tcBorders>
          </w:tcPr>
          <w:p>
            <w:pPr>
              <w:pStyle w:val="TableParagraph"/>
              <w:spacing w:line="225" w:lineRule="exact" w:before="10"/>
              <w:rPr>
                <w:b/>
                <w:sz w:val="22"/>
              </w:rPr>
            </w:pPr>
            <w:r>
              <w:rPr>
                <w:b/>
                <w:sz w:val="22"/>
              </w:rPr>
              <w:t>3</w:t>
            </w:r>
            <w:r>
              <w:rPr>
                <w:b/>
                <w:sz w:val="22"/>
                <w:vertAlign w:val="superscript"/>
              </w:rPr>
              <w:t>rd</w:t>
            </w:r>
            <w:r>
              <w:rPr>
                <w:b/>
                <w:sz w:val="22"/>
                <w:vertAlign w:val="baseline"/>
              </w:rPr>
              <w:t>-4</w:t>
            </w:r>
            <w:r>
              <w:rPr>
                <w:b/>
                <w:sz w:val="22"/>
                <w:vertAlign w:val="superscript"/>
              </w:rPr>
              <w:t>th</w:t>
            </w:r>
            <w:r>
              <w:rPr>
                <w:b/>
                <w:spacing w:val="38"/>
                <w:sz w:val="22"/>
                <w:vertAlign w:val="baseline"/>
              </w:rPr>
              <w:t>  </w:t>
            </w:r>
            <w:r>
              <w:rPr>
                <w:b/>
                <w:sz w:val="22"/>
                <w:vertAlign w:val="baseline"/>
              </w:rPr>
              <w:t>quarter</w:t>
            </w:r>
            <w:r>
              <w:rPr>
                <w:b/>
                <w:spacing w:val="41"/>
                <w:sz w:val="22"/>
                <w:vertAlign w:val="baseline"/>
              </w:rPr>
              <w:t>  </w:t>
            </w:r>
            <w:r>
              <w:rPr>
                <w:b/>
                <w:sz w:val="22"/>
                <w:vertAlign w:val="baseline"/>
              </w:rPr>
              <w:t>2023</w:t>
            </w:r>
            <w:r>
              <w:rPr>
                <w:b/>
                <w:spacing w:val="39"/>
                <w:sz w:val="22"/>
                <w:vertAlign w:val="baseline"/>
              </w:rPr>
              <w:t>  </w:t>
            </w:r>
            <w:r>
              <w:rPr>
                <w:b/>
                <w:sz w:val="22"/>
                <w:vertAlign w:val="baseline"/>
              </w:rPr>
              <w:t>(ideally</w:t>
            </w:r>
            <w:r>
              <w:rPr>
                <w:b/>
                <w:spacing w:val="41"/>
                <w:sz w:val="22"/>
                <w:vertAlign w:val="baseline"/>
              </w:rPr>
              <w:t>  </w:t>
            </w:r>
            <w:r>
              <w:rPr>
                <w:b/>
                <w:sz w:val="22"/>
                <w:vertAlign w:val="baseline"/>
              </w:rPr>
              <w:t>as</w:t>
            </w:r>
            <w:r>
              <w:rPr>
                <w:b/>
                <w:spacing w:val="40"/>
                <w:sz w:val="22"/>
                <w:vertAlign w:val="baseline"/>
              </w:rPr>
              <w:t>  </w:t>
            </w:r>
            <w:r>
              <w:rPr>
                <w:b/>
                <w:sz w:val="22"/>
                <w:vertAlign w:val="baseline"/>
              </w:rPr>
              <w:t>of</w:t>
            </w:r>
            <w:r>
              <w:rPr>
                <w:b/>
                <w:spacing w:val="39"/>
                <w:sz w:val="22"/>
                <w:vertAlign w:val="baseline"/>
              </w:rPr>
              <w:t>  </w:t>
            </w:r>
            <w:r>
              <w:rPr>
                <w:b/>
                <w:spacing w:val="-10"/>
                <w:sz w:val="22"/>
                <w:vertAlign w:val="baseline"/>
              </w:rPr>
              <w:t>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6" w:type="dxa"/>
            <w:gridSpan w:val="2"/>
            <w:tcBorders>
              <w:top w:val="nil"/>
              <w:bottom w:val="nil"/>
            </w:tcBorders>
          </w:tcPr>
          <w:p>
            <w:pPr>
              <w:pStyle w:val="TableParagraph"/>
              <w:spacing w:line="226" w:lineRule="exact" w:before="7"/>
              <w:rPr>
                <w:b/>
                <w:sz w:val="22"/>
              </w:rPr>
            </w:pPr>
            <w:r>
              <w:rPr>
                <w:b/>
                <w:sz w:val="22"/>
              </w:rPr>
              <w:t>September</w:t>
            </w:r>
            <w:r>
              <w:rPr>
                <w:b/>
                <w:spacing w:val="-5"/>
                <w:sz w:val="22"/>
              </w:rPr>
              <w:t> </w:t>
            </w:r>
            <w:r>
              <w:rPr>
                <w:b/>
                <w:sz w:val="22"/>
              </w:rPr>
              <w:t>2023)</w:t>
            </w:r>
            <w:r>
              <w:rPr>
                <w:b/>
                <w:spacing w:val="-3"/>
                <w:sz w:val="22"/>
              </w:rPr>
              <w:t> </w:t>
            </w:r>
            <w:r>
              <w:rPr>
                <w:b/>
                <w:spacing w:val="-10"/>
                <w:sz w:val="22"/>
                <w:vertAlign w:val="superscript"/>
              </w:rPr>
              <w:t>1</w:t>
            </w:r>
          </w:p>
        </w:tc>
      </w:tr>
      <w:tr>
        <w:trPr>
          <w:trHeight w:val="264" w:hRule="atLeast"/>
        </w:trPr>
        <w:tc>
          <w:tcPr>
            <w:tcW w:w="4359" w:type="dxa"/>
            <w:tcBorders>
              <w:top w:val="nil"/>
              <w:bottom w:val="nil"/>
            </w:tcBorders>
          </w:tcPr>
          <w:p>
            <w:pPr>
              <w:pStyle w:val="TableParagraph"/>
              <w:spacing w:line="237" w:lineRule="exact"/>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6" w:type="dxa"/>
            <w:gridSpan w:val="2"/>
            <w:tcBorders>
              <w:top w:val="nil"/>
              <w:bottom w:val="nil"/>
            </w:tcBorders>
          </w:tcPr>
          <w:p>
            <w:pPr>
              <w:pStyle w:val="TableParagraph"/>
              <w:spacing w:line="238" w:lineRule="exact" w:before="6"/>
              <w:rPr>
                <w:b/>
                <w:sz w:val="22"/>
              </w:rPr>
            </w:pPr>
            <w:r>
              <w:rPr>
                <w:b/>
                <w:sz w:val="22"/>
              </w:rPr>
              <w:t>1 </w:t>
            </w:r>
            <w:r>
              <w:rPr>
                <w:b/>
                <w:spacing w:val="-2"/>
                <w:sz w:val="22"/>
              </w:rPr>
              <w:t>year</w:t>
            </w:r>
            <w:r>
              <w:rPr>
                <w:b/>
                <w:spacing w:val="-2"/>
                <w:sz w:val="22"/>
                <w:vertAlign w:val="superscript"/>
              </w:rPr>
              <w:t>1</w:t>
            </w:r>
          </w:p>
        </w:tc>
      </w:tr>
      <w:tr>
        <w:trPr>
          <w:trHeight w:val="249" w:hRule="atLeast"/>
        </w:trPr>
        <w:tc>
          <w:tcPr>
            <w:tcW w:w="4359" w:type="dxa"/>
            <w:tcBorders>
              <w:top w:val="nil"/>
              <w:bottom w:val="nil"/>
            </w:tcBorders>
          </w:tcPr>
          <w:p>
            <w:pPr>
              <w:pStyle w:val="TableParagraph"/>
              <w:ind w:left="0"/>
              <w:rPr>
                <w:sz w:val="18"/>
              </w:rPr>
            </w:pPr>
          </w:p>
        </w:tc>
        <w:tc>
          <w:tcPr>
            <w:tcW w:w="5596" w:type="dxa"/>
            <w:gridSpan w:val="2"/>
            <w:tcBorders>
              <w:top w:val="nil"/>
            </w:tcBorders>
          </w:tcPr>
          <w:p>
            <w:pPr>
              <w:pStyle w:val="TableParagraph"/>
              <w:spacing w:line="230" w:lineRule="exact"/>
              <w:rPr>
                <w:b/>
                <w:sz w:val="22"/>
              </w:rPr>
            </w:pPr>
            <w:r>
              <w:rPr>
                <w:rFonts w:ascii="Wingdings 2" w:hAnsi="Wingdings 2"/>
                <w:sz w:val="22"/>
              </w:rPr>
              <w:t></w:t>
            </w:r>
            <w:r>
              <w:rPr>
                <w:spacing w:val="-2"/>
                <w:sz w:val="22"/>
              </w:rPr>
              <w:t> </w:t>
            </w:r>
            <w:r>
              <w:rPr>
                <w:b/>
                <w:sz w:val="22"/>
              </w:rPr>
              <w:t>Brussels</w:t>
            </w:r>
            <w:r>
              <w:rPr>
                <w:b/>
                <w:spacing w:val="51"/>
                <w:sz w:val="22"/>
              </w:rPr>
              <w:t> </w:t>
            </w:r>
            <w:r>
              <w:rPr>
                <w:rFonts w:ascii="Wingdings 2" w:hAnsi="Wingdings 2"/>
                <w:sz w:val="22"/>
              </w:rPr>
              <w:t></w:t>
            </w:r>
            <w:r>
              <w:rPr>
                <w:spacing w:val="-2"/>
                <w:sz w:val="22"/>
              </w:rPr>
              <w:t> </w:t>
            </w:r>
            <w:r>
              <w:rPr>
                <w:b/>
                <w:sz w:val="22"/>
              </w:rPr>
              <w:t>Luxemburg</w:t>
            </w:r>
            <w:r>
              <w:rPr>
                <w:b/>
                <w:spacing w:val="52"/>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spacing w:val="-10"/>
                <w:sz w:val="22"/>
              </w:rPr>
              <w:t></w:t>
            </w:r>
            <w:r>
              <w:rPr>
                <w:sz w:val="22"/>
              </w:rPr>
              <w:tab/>
            </w:r>
            <w:r>
              <w:rPr>
                <w:b/>
                <w:sz w:val="22"/>
              </w:rPr>
              <w:t>With</w:t>
            </w:r>
            <w:r>
              <w:rPr>
                <w:b/>
                <w:spacing w:val="-2"/>
                <w:sz w:val="22"/>
              </w:rPr>
              <w:t> allowances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3" w:hRule="atLeast"/>
        </w:trPr>
        <w:tc>
          <w:tcPr>
            <w:tcW w:w="9955" w:type="dxa"/>
            <w:gridSpan w:val="3"/>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4"/>
                <w:sz w:val="24"/>
              </w:rPr>
              <w:t> </w:t>
            </w:r>
            <w:r>
              <w:rPr>
                <w:b/>
                <w:sz w:val="24"/>
              </w:rPr>
              <w:t>EFTA</w:t>
            </w:r>
            <w:r>
              <w:rPr>
                <w:b/>
                <w:spacing w:val="-5"/>
                <w:sz w:val="24"/>
              </w:rPr>
              <w:t> </w:t>
            </w:r>
            <w:r>
              <w:rPr>
                <w:b/>
                <w:spacing w:val="-2"/>
                <w:sz w:val="24"/>
              </w:rPr>
              <w:t>countries:</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5"/>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1"/>
        <w:ind w:left="799" w:right="115"/>
        <w:jc w:val="both"/>
      </w:pPr>
      <w:r>
        <w:rPr/>
        <w:t>The SNE will actively collaborate in the tasks of the unit which are to conceive, develop, prepare, implement and monitor policies and related activities in the field of passenger rights policy in all modes of transport, as well as to coordinate within DG MOVE the social aspects of the EU transport policy and equal opportunities.</w:t>
      </w:r>
    </w:p>
    <w:p>
      <w:pPr>
        <w:pStyle w:val="BodyText"/>
        <w:spacing w:before="10"/>
        <w:rPr>
          <w:sz w:val="21"/>
        </w:rPr>
      </w:pPr>
    </w:p>
    <w:p>
      <w:pPr>
        <w:pStyle w:val="BodyText"/>
        <w:ind w:left="799"/>
        <w:jc w:val="both"/>
      </w:pPr>
      <w:r>
        <w:rPr/>
        <w:t>Main</w:t>
      </w:r>
      <w:r>
        <w:rPr>
          <w:spacing w:val="-6"/>
        </w:rPr>
        <w:t> </w:t>
      </w:r>
      <w:r>
        <w:rPr/>
        <w:t>tasks</w:t>
      </w:r>
      <w:r>
        <w:rPr>
          <w:spacing w:val="-2"/>
        </w:rPr>
        <w:t> </w:t>
      </w:r>
      <w:r>
        <w:rPr/>
        <w:t>will</w:t>
      </w:r>
      <w:r>
        <w:rPr>
          <w:spacing w:val="-2"/>
        </w:rPr>
        <w:t> </w:t>
      </w:r>
      <w:r>
        <w:rPr/>
        <w:t>be</w:t>
      </w:r>
      <w:r>
        <w:rPr>
          <w:spacing w:val="-2"/>
        </w:rPr>
        <w:t> </w:t>
      </w:r>
      <w:r>
        <w:rPr/>
        <w:t>dealing</w:t>
      </w:r>
      <w:r>
        <w:rPr>
          <w:spacing w:val="-8"/>
        </w:rPr>
        <w:t> </w:t>
      </w:r>
      <w:r>
        <w:rPr/>
        <w:t>with</w:t>
      </w:r>
      <w:r>
        <w:rPr>
          <w:spacing w:val="-5"/>
        </w:rPr>
        <w:t> </w:t>
      </w:r>
      <w:r>
        <w:rPr/>
        <w:t>the</w:t>
      </w:r>
      <w:r>
        <w:rPr>
          <w:spacing w:val="-2"/>
        </w:rPr>
        <w:t> </w:t>
      </w:r>
      <w:r>
        <w:rPr/>
        <w:t>passenger</w:t>
      </w:r>
      <w:r>
        <w:rPr>
          <w:spacing w:val="-2"/>
        </w:rPr>
        <w:t> </w:t>
      </w:r>
      <w:r>
        <w:rPr/>
        <w:t>rights</w:t>
      </w:r>
      <w:r>
        <w:rPr>
          <w:spacing w:val="-2"/>
        </w:rPr>
        <w:t> policy:</w:t>
      </w:r>
    </w:p>
    <w:p>
      <w:pPr>
        <w:pStyle w:val="BodyText"/>
        <w:spacing w:before="1"/>
      </w:pPr>
    </w:p>
    <w:p>
      <w:pPr>
        <w:pStyle w:val="ListParagraph"/>
        <w:numPr>
          <w:ilvl w:val="1"/>
          <w:numId w:val="3"/>
        </w:numPr>
        <w:tabs>
          <w:tab w:pos="1081" w:val="left" w:leader="none"/>
        </w:tabs>
        <w:spacing w:line="240" w:lineRule="auto" w:before="0" w:after="0"/>
        <w:ind w:left="1080" w:right="105" w:hanging="281"/>
        <w:jc w:val="both"/>
        <w:rPr>
          <w:sz w:val="22"/>
        </w:rPr>
      </w:pPr>
      <w:r>
        <w:rPr>
          <w:sz w:val="22"/>
        </w:rPr>
        <w:t>Contribute to impact assessments, conceiving policy and drafting legislative proposals, guidance and communications in the field of passenger rights (see especially actions 63 and 64 of the Action Plan of the Sustainable and Smart Mobility Strategy, </w:t>
      </w:r>
      <w:hyperlink r:id="rId8">
        <w:r>
          <w:rPr>
            <w:color w:val="0000FF"/>
            <w:sz w:val="22"/>
            <w:u w:val="single" w:color="0000FF"/>
          </w:rPr>
          <w:t>https://ec.europa.eu/info/law/better-regulation/have-your-</w:t>
        </w:r>
      </w:hyperlink>
      <w:r>
        <w:rPr>
          <w:color w:val="0000FF"/>
          <w:sz w:val="22"/>
        </w:rPr>
        <w:t> </w:t>
      </w:r>
      <w:hyperlink r:id="rId8">
        <w:r>
          <w:rPr>
            <w:color w:val="0000FF"/>
            <w:sz w:val="22"/>
            <w:u w:val="single" w:color="0000FF"/>
          </w:rPr>
          <w:t>say/initiatives/13290-Travel-better-protection-for-passengers-and-their-rights_en</w:t>
        </w:r>
      </w:hyperlink>
      <w:r>
        <w:rPr>
          <w:color w:val="0000FF"/>
          <w:sz w:val="22"/>
        </w:rPr>
        <w:t> </w:t>
      </w:r>
      <w:r>
        <w:rPr>
          <w:sz w:val="22"/>
        </w:rPr>
        <w:t>).</w:t>
      </w:r>
    </w:p>
    <w:p>
      <w:pPr>
        <w:pStyle w:val="ListParagraph"/>
        <w:numPr>
          <w:ilvl w:val="1"/>
          <w:numId w:val="3"/>
        </w:numPr>
        <w:tabs>
          <w:tab w:pos="1081" w:val="left" w:leader="none"/>
        </w:tabs>
        <w:spacing w:line="252" w:lineRule="exact" w:before="1" w:after="0"/>
        <w:ind w:left="1080" w:right="0" w:hanging="282"/>
        <w:jc w:val="both"/>
        <w:rPr>
          <w:sz w:val="22"/>
        </w:rPr>
      </w:pPr>
      <w:r>
        <w:rPr>
          <w:sz w:val="22"/>
        </w:rPr>
        <w:t>Assist</w:t>
      </w:r>
      <w:r>
        <w:rPr>
          <w:spacing w:val="-6"/>
          <w:sz w:val="22"/>
        </w:rPr>
        <w:t> </w:t>
      </w:r>
      <w:r>
        <w:rPr>
          <w:sz w:val="22"/>
        </w:rPr>
        <w:t>with</w:t>
      </w:r>
      <w:r>
        <w:rPr>
          <w:spacing w:val="-6"/>
          <w:sz w:val="22"/>
        </w:rPr>
        <w:t> </w:t>
      </w:r>
      <w:r>
        <w:rPr>
          <w:sz w:val="22"/>
        </w:rPr>
        <w:t>the</w:t>
      </w:r>
      <w:r>
        <w:rPr>
          <w:spacing w:val="-6"/>
          <w:sz w:val="22"/>
        </w:rPr>
        <w:t> </w:t>
      </w:r>
      <w:r>
        <w:rPr>
          <w:sz w:val="22"/>
        </w:rPr>
        <w:t>follow-up</w:t>
      </w:r>
      <w:r>
        <w:rPr>
          <w:spacing w:val="-4"/>
          <w:sz w:val="22"/>
        </w:rPr>
        <w:t> </w:t>
      </w:r>
      <w:r>
        <w:rPr>
          <w:sz w:val="22"/>
        </w:rPr>
        <w:t>of</w:t>
      </w:r>
      <w:r>
        <w:rPr>
          <w:spacing w:val="-5"/>
          <w:sz w:val="22"/>
        </w:rPr>
        <w:t> </w:t>
      </w:r>
      <w:r>
        <w:rPr>
          <w:sz w:val="22"/>
        </w:rPr>
        <w:t>interinstitutional</w:t>
      </w:r>
      <w:r>
        <w:rPr>
          <w:spacing w:val="-3"/>
          <w:sz w:val="22"/>
        </w:rPr>
        <w:t> </w:t>
      </w:r>
      <w:r>
        <w:rPr>
          <w:sz w:val="22"/>
        </w:rPr>
        <w:t>discussions</w:t>
      </w:r>
      <w:r>
        <w:rPr>
          <w:spacing w:val="-4"/>
          <w:sz w:val="22"/>
        </w:rPr>
        <w:t> </w:t>
      </w:r>
      <w:r>
        <w:rPr>
          <w:sz w:val="22"/>
        </w:rPr>
        <w:t>on</w:t>
      </w:r>
      <w:r>
        <w:rPr>
          <w:spacing w:val="-4"/>
          <w:sz w:val="22"/>
        </w:rPr>
        <w:t> </w:t>
      </w:r>
      <w:r>
        <w:rPr>
          <w:sz w:val="22"/>
        </w:rPr>
        <w:t>regulatory</w:t>
      </w:r>
      <w:r>
        <w:rPr>
          <w:spacing w:val="-7"/>
          <w:sz w:val="22"/>
        </w:rPr>
        <w:t> </w:t>
      </w:r>
      <w:r>
        <w:rPr>
          <w:sz w:val="22"/>
        </w:rPr>
        <w:t>developments</w:t>
      </w:r>
      <w:r>
        <w:rPr>
          <w:spacing w:val="-4"/>
          <w:sz w:val="22"/>
        </w:rPr>
        <w:t> </w:t>
      </w:r>
      <w:r>
        <w:rPr>
          <w:sz w:val="22"/>
        </w:rPr>
        <w:t>on</w:t>
      </w:r>
      <w:r>
        <w:rPr>
          <w:spacing w:val="-6"/>
          <w:sz w:val="22"/>
        </w:rPr>
        <w:t> </w:t>
      </w:r>
      <w:r>
        <w:rPr>
          <w:sz w:val="22"/>
        </w:rPr>
        <w:t>passenger</w:t>
      </w:r>
      <w:r>
        <w:rPr>
          <w:spacing w:val="-5"/>
          <w:sz w:val="22"/>
        </w:rPr>
        <w:t> </w:t>
      </w:r>
      <w:r>
        <w:rPr>
          <w:spacing w:val="-2"/>
          <w:sz w:val="22"/>
        </w:rPr>
        <w:t>rights.</w:t>
      </w:r>
    </w:p>
    <w:p>
      <w:pPr>
        <w:pStyle w:val="ListParagraph"/>
        <w:numPr>
          <w:ilvl w:val="1"/>
          <w:numId w:val="3"/>
        </w:numPr>
        <w:tabs>
          <w:tab w:pos="1081" w:val="left" w:leader="none"/>
        </w:tabs>
        <w:spacing w:line="240" w:lineRule="auto" w:before="0" w:after="0"/>
        <w:ind w:left="1080" w:right="108" w:hanging="281"/>
        <w:jc w:val="both"/>
        <w:rPr>
          <w:sz w:val="22"/>
        </w:rPr>
      </w:pPr>
      <w:r>
        <w:rPr>
          <w:sz w:val="22"/>
        </w:rPr>
        <w:t>Draft briefings, background papers, staff working documents and communications of the Commission, replies to correspondence and parliamentary questions, petitions, requests from the Ombudsman, contributions to inter-service consultations (consultations of other Directorates-General and Services on which DG MOVE is consulted).</w:t>
      </w:r>
    </w:p>
    <w:p>
      <w:pPr>
        <w:pStyle w:val="ListParagraph"/>
        <w:numPr>
          <w:ilvl w:val="1"/>
          <w:numId w:val="3"/>
        </w:numPr>
        <w:tabs>
          <w:tab w:pos="1081" w:val="left" w:leader="none"/>
        </w:tabs>
        <w:spacing w:line="252" w:lineRule="exact" w:before="1" w:after="0"/>
        <w:ind w:left="1080" w:right="0" w:hanging="282"/>
        <w:jc w:val="both"/>
        <w:rPr>
          <w:sz w:val="22"/>
        </w:rPr>
      </w:pPr>
      <w:r>
        <w:rPr>
          <w:sz w:val="22"/>
        </w:rPr>
        <w:t>Assist</w:t>
      </w:r>
      <w:r>
        <w:rPr>
          <w:spacing w:val="-5"/>
          <w:sz w:val="22"/>
        </w:rPr>
        <w:t> </w:t>
      </w:r>
      <w:r>
        <w:rPr>
          <w:sz w:val="22"/>
        </w:rPr>
        <w:t>in</w:t>
      </w:r>
      <w:r>
        <w:rPr>
          <w:spacing w:val="-3"/>
          <w:sz w:val="22"/>
        </w:rPr>
        <w:t> </w:t>
      </w:r>
      <w:r>
        <w:rPr>
          <w:sz w:val="22"/>
        </w:rPr>
        <w:t>replying</w:t>
      </w:r>
      <w:r>
        <w:rPr>
          <w:spacing w:val="-6"/>
          <w:sz w:val="22"/>
        </w:rPr>
        <w:t> </w:t>
      </w:r>
      <w:r>
        <w:rPr>
          <w:sz w:val="22"/>
        </w:rPr>
        <w:t>to</w:t>
      </w:r>
      <w:r>
        <w:rPr>
          <w:spacing w:val="-4"/>
          <w:sz w:val="22"/>
        </w:rPr>
        <w:t> </w:t>
      </w:r>
      <w:r>
        <w:rPr>
          <w:sz w:val="22"/>
        </w:rPr>
        <w:t>questions</w:t>
      </w:r>
      <w:r>
        <w:rPr>
          <w:spacing w:val="-3"/>
          <w:sz w:val="22"/>
        </w:rPr>
        <w:t> </w:t>
      </w:r>
      <w:r>
        <w:rPr>
          <w:sz w:val="22"/>
        </w:rPr>
        <w:t>of</w:t>
      </w:r>
      <w:r>
        <w:rPr>
          <w:spacing w:val="-5"/>
          <w:sz w:val="22"/>
        </w:rPr>
        <w:t> </w:t>
      </w:r>
      <w:r>
        <w:rPr>
          <w:sz w:val="22"/>
        </w:rPr>
        <w:t>the</w:t>
      </w:r>
      <w:r>
        <w:rPr>
          <w:spacing w:val="-6"/>
          <w:sz w:val="22"/>
        </w:rPr>
        <w:t> </w:t>
      </w:r>
      <w:r>
        <w:rPr>
          <w:sz w:val="22"/>
        </w:rPr>
        <w:t>national</w:t>
      </w:r>
      <w:r>
        <w:rPr>
          <w:spacing w:val="-5"/>
          <w:sz w:val="22"/>
        </w:rPr>
        <w:t> </w:t>
      </w:r>
      <w:r>
        <w:rPr>
          <w:sz w:val="22"/>
        </w:rPr>
        <w:t>enforcement</w:t>
      </w:r>
      <w:r>
        <w:rPr>
          <w:spacing w:val="-2"/>
          <w:sz w:val="22"/>
        </w:rPr>
        <w:t> </w:t>
      </w:r>
      <w:r>
        <w:rPr>
          <w:sz w:val="22"/>
        </w:rPr>
        <w:t>bodies</w:t>
      </w:r>
      <w:r>
        <w:rPr>
          <w:spacing w:val="-2"/>
          <w:sz w:val="22"/>
        </w:rPr>
        <w:t> </w:t>
      </w:r>
      <w:r>
        <w:rPr>
          <w:sz w:val="22"/>
        </w:rPr>
        <w:t>for</w:t>
      </w:r>
      <w:r>
        <w:rPr>
          <w:spacing w:val="-3"/>
          <w:sz w:val="22"/>
        </w:rPr>
        <w:t> </w:t>
      </w:r>
      <w:r>
        <w:rPr>
          <w:sz w:val="22"/>
        </w:rPr>
        <w:t>passenger</w:t>
      </w:r>
      <w:r>
        <w:rPr>
          <w:spacing w:val="-5"/>
          <w:sz w:val="22"/>
        </w:rPr>
        <w:t> </w:t>
      </w:r>
      <w:r>
        <w:rPr>
          <w:spacing w:val="-2"/>
          <w:sz w:val="22"/>
        </w:rPr>
        <w:t>rights.</w:t>
      </w:r>
    </w:p>
    <w:p>
      <w:pPr>
        <w:pStyle w:val="ListParagraph"/>
        <w:numPr>
          <w:ilvl w:val="1"/>
          <w:numId w:val="3"/>
        </w:numPr>
        <w:tabs>
          <w:tab w:pos="1081" w:val="left" w:leader="none"/>
        </w:tabs>
        <w:spacing w:line="252" w:lineRule="exact" w:before="0" w:after="0"/>
        <w:ind w:left="1080" w:right="0" w:hanging="282"/>
        <w:jc w:val="both"/>
        <w:rPr>
          <w:sz w:val="22"/>
        </w:rPr>
      </w:pPr>
      <w:r>
        <w:rPr>
          <w:sz w:val="22"/>
        </w:rPr>
        <w:t>Assist</w:t>
      </w:r>
      <w:r>
        <w:rPr>
          <w:spacing w:val="-4"/>
          <w:sz w:val="22"/>
        </w:rPr>
        <w:t> </w:t>
      </w:r>
      <w:r>
        <w:rPr>
          <w:sz w:val="22"/>
        </w:rPr>
        <w:t>in</w:t>
      </w:r>
      <w:r>
        <w:rPr>
          <w:spacing w:val="-4"/>
          <w:sz w:val="22"/>
        </w:rPr>
        <w:t> </w:t>
      </w:r>
      <w:r>
        <w:rPr>
          <w:sz w:val="22"/>
        </w:rPr>
        <w:t>assessing</w:t>
      </w:r>
      <w:r>
        <w:rPr>
          <w:spacing w:val="-6"/>
          <w:sz w:val="22"/>
        </w:rPr>
        <w:t> </w:t>
      </w:r>
      <w:r>
        <w:rPr>
          <w:sz w:val="22"/>
        </w:rPr>
        <w:t>the</w:t>
      </w:r>
      <w:r>
        <w:rPr>
          <w:spacing w:val="-3"/>
          <w:sz w:val="22"/>
        </w:rPr>
        <w:t> </w:t>
      </w:r>
      <w:r>
        <w:rPr>
          <w:sz w:val="22"/>
        </w:rPr>
        <w:t>annual</w:t>
      </w:r>
      <w:r>
        <w:rPr>
          <w:spacing w:val="-3"/>
          <w:sz w:val="22"/>
        </w:rPr>
        <w:t> </w:t>
      </w:r>
      <w:r>
        <w:rPr>
          <w:sz w:val="22"/>
        </w:rPr>
        <w:t>reports</w:t>
      </w:r>
      <w:r>
        <w:rPr>
          <w:spacing w:val="-5"/>
          <w:sz w:val="22"/>
        </w:rPr>
        <w:t> </w:t>
      </w:r>
      <w:r>
        <w:rPr>
          <w:sz w:val="22"/>
        </w:rPr>
        <w:t>of</w:t>
      </w:r>
      <w:r>
        <w:rPr>
          <w:spacing w:val="-3"/>
          <w:sz w:val="22"/>
        </w:rPr>
        <w:t> </w:t>
      </w:r>
      <w:r>
        <w:rPr>
          <w:sz w:val="22"/>
        </w:rPr>
        <w:t>national</w:t>
      </w:r>
      <w:r>
        <w:rPr>
          <w:spacing w:val="-3"/>
          <w:sz w:val="22"/>
        </w:rPr>
        <w:t> </w:t>
      </w:r>
      <w:r>
        <w:rPr>
          <w:sz w:val="22"/>
        </w:rPr>
        <w:t>enforcement</w:t>
      </w:r>
      <w:r>
        <w:rPr>
          <w:spacing w:val="-3"/>
          <w:sz w:val="22"/>
        </w:rPr>
        <w:t> </w:t>
      </w:r>
      <w:r>
        <w:rPr>
          <w:spacing w:val="-2"/>
          <w:sz w:val="22"/>
        </w:rPr>
        <w:t>bodies.</w:t>
      </w:r>
    </w:p>
    <w:p>
      <w:pPr>
        <w:pStyle w:val="ListParagraph"/>
        <w:numPr>
          <w:ilvl w:val="1"/>
          <w:numId w:val="3"/>
        </w:numPr>
        <w:tabs>
          <w:tab w:pos="1080" w:val="left" w:leader="none"/>
          <w:tab w:pos="1081" w:val="left" w:leader="none"/>
        </w:tabs>
        <w:spacing w:line="240" w:lineRule="auto" w:before="1" w:after="0"/>
        <w:ind w:left="1080" w:right="112" w:hanging="281"/>
        <w:jc w:val="left"/>
        <w:rPr>
          <w:sz w:val="22"/>
        </w:rPr>
      </w:pPr>
      <w:r>
        <w:rPr>
          <w:sz w:val="22"/>
        </w:rPr>
        <w:t>Assist</w:t>
      </w:r>
      <w:r>
        <w:rPr>
          <w:spacing w:val="38"/>
          <w:sz w:val="22"/>
        </w:rPr>
        <w:t> </w:t>
      </w:r>
      <w:r>
        <w:rPr>
          <w:sz w:val="22"/>
        </w:rPr>
        <w:t>with</w:t>
      </w:r>
      <w:r>
        <w:rPr>
          <w:spacing w:val="37"/>
          <w:sz w:val="22"/>
        </w:rPr>
        <w:t> </w:t>
      </w:r>
      <w:r>
        <w:rPr>
          <w:sz w:val="22"/>
        </w:rPr>
        <w:t>complaints,</w:t>
      </w:r>
      <w:r>
        <w:rPr>
          <w:spacing w:val="38"/>
          <w:sz w:val="22"/>
        </w:rPr>
        <w:t> </w:t>
      </w:r>
      <w:r>
        <w:rPr>
          <w:sz w:val="22"/>
        </w:rPr>
        <w:t>verify</w:t>
      </w:r>
      <w:r>
        <w:rPr>
          <w:spacing w:val="34"/>
          <w:sz w:val="22"/>
        </w:rPr>
        <w:t> </w:t>
      </w:r>
      <w:r>
        <w:rPr>
          <w:sz w:val="22"/>
        </w:rPr>
        <w:t>compliance</w:t>
      </w:r>
      <w:r>
        <w:rPr>
          <w:spacing w:val="37"/>
          <w:sz w:val="22"/>
        </w:rPr>
        <w:t> </w:t>
      </w:r>
      <w:r>
        <w:rPr>
          <w:sz w:val="22"/>
        </w:rPr>
        <w:t>with</w:t>
      </w:r>
      <w:r>
        <w:rPr>
          <w:spacing w:val="34"/>
          <w:sz w:val="22"/>
        </w:rPr>
        <w:t> </w:t>
      </w:r>
      <w:r>
        <w:rPr>
          <w:sz w:val="22"/>
        </w:rPr>
        <w:t>EU</w:t>
      </w:r>
      <w:r>
        <w:rPr>
          <w:spacing w:val="35"/>
          <w:sz w:val="22"/>
        </w:rPr>
        <w:t> </w:t>
      </w:r>
      <w:r>
        <w:rPr>
          <w:sz w:val="22"/>
        </w:rPr>
        <w:t>law</w:t>
      </w:r>
      <w:r>
        <w:rPr>
          <w:spacing w:val="36"/>
          <w:sz w:val="22"/>
        </w:rPr>
        <w:t> </w:t>
      </w:r>
      <w:r>
        <w:rPr>
          <w:sz w:val="22"/>
        </w:rPr>
        <w:t>and</w:t>
      </w:r>
      <w:r>
        <w:rPr>
          <w:spacing w:val="35"/>
          <w:sz w:val="22"/>
        </w:rPr>
        <w:t> </w:t>
      </w:r>
      <w:r>
        <w:rPr>
          <w:sz w:val="22"/>
        </w:rPr>
        <w:t>the</w:t>
      </w:r>
      <w:r>
        <w:rPr>
          <w:spacing w:val="35"/>
          <w:sz w:val="22"/>
        </w:rPr>
        <w:t> </w:t>
      </w:r>
      <w:r>
        <w:rPr>
          <w:sz w:val="22"/>
        </w:rPr>
        <w:t>transposition</w:t>
      </w:r>
      <w:r>
        <w:rPr>
          <w:spacing w:val="32"/>
          <w:sz w:val="22"/>
        </w:rPr>
        <w:t> </w:t>
      </w:r>
      <w:r>
        <w:rPr>
          <w:sz w:val="22"/>
        </w:rPr>
        <w:t>of</w:t>
      </w:r>
      <w:r>
        <w:rPr>
          <w:spacing w:val="38"/>
          <w:sz w:val="22"/>
        </w:rPr>
        <w:t> </w:t>
      </w:r>
      <w:r>
        <w:rPr>
          <w:sz w:val="22"/>
        </w:rPr>
        <w:t>EU</w:t>
      </w:r>
      <w:r>
        <w:rPr>
          <w:spacing w:val="35"/>
          <w:sz w:val="22"/>
        </w:rPr>
        <w:t> </w:t>
      </w:r>
      <w:r>
        <w:rPr>
          <w:sz w:val="22"/>
        </w:rPr>
        <w:t>law</w:t>
      </w:r>
      <w:r>
        <w:rPr>
          <w:spacing w:val="36"/>
          <w:sz w:val="22"/>
        </w:rPr>
        <w:t> </w:t>
      </w:r>
      <w:r>
        <w:rPr>
          <w:sz w:val="22"/>
        </w:rPr>
        <w:t>into</w:t>
      </w:r>
      <w:r>
        <w:rPr>
          <w:spacing w:val="37"/>
          <w:sz w:val="22"/>
        </w:rPr>
        <w:t> </w:t>
      </w:r>
      <w:r>
        <w:rPr>
          <w:sz w:val="22"/>
        </w:rPr>
        <w:t>Member States’ legislation.</w:t>
      </w:r>
    </w:p>
    <w:p>
      <w:pPr>
        <w:pStyle w:val="ListParagraph"/>
        <w:numPr>
          <w:ilvl w:val="1"/>
          <w:numId w:val="3"/>
        </w:numPr>
        <w:tabs>
          <w:tab w:pos="1080" w:val="left" w:leader="none"/>
          <w:tab w:pos="1081" w:val="left" w:leader="none"/>
        </w:tabs>
        <w:spacing w:line="240" w:lineRule="auto" w:before="1" w:after="0"/>
        <w:ind w:left="1080" w:right="110" w:hanging="281"/>
        <w:jc w:val="left"/>
        <w:rPr>
          <w:sz w:val="22"/>
        </w:rPr>
      </w:pPr>
      <w:r>
        <w:rPr>
          <w:sz w:val="22"/>
        </w:rPr>
        <w:t>Assist</w:t>
      </w:r>
      <w:r>
        <w:rPr>
          <w:spacing w:val="33"/>
          <w:sz w:val="22"/>
        </w:rPr>
        <w:t> </w:t>
      </w:r>
      <w:r>
        <w:rPr>
          <w:sz w:val="22"/>
        </w:rPr>
        <w:t>with</w:t>
      </w:r>
      <w:r>
        <w:rPr>
          <w:spacing w:val="32"/>
          <w:sz w:val="22"/>
        </w:rPr>
        <w:t> </w:t>
      </w:r>
      <w:r>
        <w:rPr>
          <w:sz w:val="22"/>
        </w:rPr>
        <w:t>the</w:t>
      </w:r>
      <w:r>
        <w:rPr>
          <w:spacing w:val="33"/>
          <w:sz w:val="22"/>
        </w:rPr>
        <w:t> </w:t>
      </w:r>
      <w:r>
        <w:rPr>
          <w:sz w:val="22"/>
        </w:rPr>
        <w:t>organisation</w:t>
      </w:r>
      <w:r>
        <w:rPr>
          <w:spacing w:val="32"/>
          <w:sz w:val="22"/>
        </w:rPr>
        <w:t> </w:t>
      </w:r>
      <w:r>
        <w:rPr>
          <w:sz w:val="22"/>
        </w:rPr>
        <w:t>of</w:t>
      </w:r>
      <w:r>
        <w:rPr>
          <w:spacing w:val="33"/>
          <w:sz w:val="22"/>
        </w:rPr>
        <w:t> </w:t>
      </w:r>
      <w:r>
        <w:rPr>
          <w:sz w:val="22"/>
        </w:rPr>
        <w:t>meetings,</w:t>
      </w:r>
      <w:r>
        <w:rPr>
          <w:spacing w:val="33"/>
          <w:sz w:val="22"/>
        </w:rPr>
        <w:t> </w:t>
      </w:r>
      <w:r>
        <w:rPr>
          <w:sz w:val="22"/>
        </w:rPr>
        <w:t>e.g.</w:t>
      </w:r>
      <w:r>
        <w:rPr>
          <w:spacing w:val="33"/>
          <w:sz w:val="22"/>
        </w:rPr>
        <w:t> </w:t>
      </w:r>
      <w:r>
        <w:rPr>
          <w:sz w:val="22"/>
        </w:rPr>
        <w:t>the</w:t>
      </w:r>
      <w:r>
        <w:rPr>
          <w:spacing w:val="33"/>
          <w:sz w:val="22"/>
        </w:rPr>
        <w:t> </w:t>
      </w:r>
      <w:r>
        <w:rPr>
          <w:sz w:val="22"/>
        </w:rPr>
        <w:t>meetings</w:t>
      </w:r>
      <w:r>
        <w:rPr>
          <w:spacing w:val="33"/>
          <w:sz w:val="22"/>
        </w:rPr>
        <w:t> </w:t>
      </w:r>
      <w:r>
        <w:rPr>
          <w:sz w:val="22"/>
        </w:rPr>
        <w:t>with</w:t>
      </w:r>
      <w:r>
        <w:rPr>
          <w:spacing w:val="35"/>
          <w:sz w:val="22"/>
        </w:rPr>
        <w:t> </w:t>
      </w:r>
      <w:r>
        <w:rPr>
          <w:sz w:val="22"/>
        </w:rPr>
        <w:t>national</w:t>
      </w:r>
      <w:r>
        <w:rPr>
          <w:spacing w:val="34"/>
          <w:sz w:val="22"/>
        </w:rPr>
        <w:t> </w:t>
      </w:r>
      <w:r>
        <w:rPr>
          <w:sz w:val="22"/>
        </w:rPr>
        <w:t>enforcement</w:t>
      </w:r>
      <w:r>
        <w:rPr>
          <w:spacing w:val="34"/>
          <w:sz w:val="22"/>
        </w:rPr>
        <w:t> </w:t>
      </w:r>
      <w:r>
        <w:rPr>
          <w:sz w:val="22"/>
        </w:rPr>
        <w:t>bodies</w:t>
      </w:r>
      <w:r>
        <w:rPr>
          <w:spacing w:val="36"/>
          <w:sz w:val="22"/>
        </w:rPr>
        <w:t> </w:t>
      </w:r>
      <w:r>
        <w:rPr>
          <w:sz w:val="22"/>
        </w:rPr>
        <w:t>(informal expert group on passenger rights E02681), events and communication activities.</w:t>
      </w:r>
    </w:p>
    <w:p>
      <w:pPr>
        <w:pStyle w:val="ListParagraph"/>
        <w:numPr>
          <w:ilvl w:val="1"/>
          <w:numId w:val="3"/>
        </w:numPr>
        <w:tabs>
          <w:tab w:pos="1080" w:val="left" w:leader="none"/>
          <w:tab w:pos="1081" w:val="left" w:leader="none"/>
        </w:tabs>
        <w:spacing w:line="240" w:lineRule="auto" w:before="0" w:after="0"/>
        <w:ind w:left="1080" w:right="107" w:hanging="281"/>
        <w:jc w:val="left"/>
        <w:rPr>
          <w:sz w:val="22"/>
        </w:rPr>
      </w:pPr>
      <w:r>
        <w:rPr>
          <w:sz w:val="22"/>
        </w:rPr>
        <w:t>Contribute to the management and follow-up of projects and studies on passenger rights, including a new Eurobarometer survey on passenger rights.</w:t>
      </w:r>
    </w:p>
    <w:p>
      <w:pPr>
        <w:pStyle w:val="BodyText"/>
        <w:rPr>
          <w:sz w:val="20"/>
        </w:rPr>
      </w:pPr>
    </w:p>
    <w:p>
      <w:pPr>
        <w:pStyle w:val="BodyText"/>
        <w:spacing w:before="10"/>
        <w:rPr>
          <w:sz w:val="26"/>
        </w:rPr>
      </w:pPr>
      <w:r>
        <w:rPr/>
        <w:pict>
          <v:rect style="position:absolute;margin-left:42.599998pt;margin-top:16.68814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799" w:val="left" w:leader="none"/>
          <w:tab w:pos="800" w:val="left" w:leader="none"/>
        </w:tabs>
        <w:spacing w:line="240" w:lineRule="auto" w:before="73" w:after="0"/>
        <w:ind w:left="799" w:right="0" w:hanging="428"/>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0"/>
          <w:numId w:val="4"/>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5"/>
        </w:numPr>
        <w:tabs>
          <w:tab w:pos="1081" w:val="left" w:leader="none"/>
        </w:tabs>
        <w:spacing w:line="240" w:lineRule="auto" w:before="0"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5"/>
        </w:numPr>
        <w:tabs>
          <w:tab w:pos="1081" w:val="left" w:leader="none"/>
        </w:tabs>
        <w:spacing w:line="240" w:lineRule="auto" w:before="0" w:after="0"/>
        <w:ind w:left="1080" w:right="116"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07"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4"/>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1"/>
        <w:ind w:left="1080"/>
      </w:pPr>
      <w:r>
        <w:rPr>
          <w:spacing w:val="-2"/>
          <w:u w:val="single"/>
        </w:rPr>
        <w:t>Diploma</w:t>
      </w:r>
    </w:p>
    <w:p>
      <w:pPr>
        <w:pStyle w:val="ListParagraph"/>
        <w:numPr>
          <w:ilvl w:val="1"/>
          <w:numId w:val="4"/>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477" w:lineRule="auto" w:before="1"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law or economics or transport policy.</w:t>
      </w:r>
    </w:p>
    <w:p>
      <w:pPr>
        <w:pStyle w:val="BodyText"/>
        <w:spacing w:before="4"/>
        <w:ind w:left="1080"/>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pPr>
      <w:r>
        <w:rPr/>
        <w:t>Experience</w:t>
      </w:r>
      <w:r>
        <w:rPr>
          <w:spacing w:val="22"/>
        </w:rPr>
        <w:t> </w:t>
      </w:r>
      <w:r>
        <w:rPr/>
        <w:t>or</w:t>
      </w:r>
      <w:r>
        <w:rPr>
          <w:spacing w:val="23"/>
        </w:rPr>
        <w:t> </w:t>
      </w:r>
      <w:r>
        <w:rPr/>
        <w:t>qualification in passenger rights;</w:t>
      </w:r>
      <w:r>
        <w:rPr>
          <w:spacing w:val="22"/>
        </w:rPr>
        <w:t> </w:t>
      </w:r>
      <w:r>
        <w:rPr/>
        <w:t>knowledge</w:t>
      </w:r>
      <w:r>
        <w:rPr>
          <w:spacing w:val="22"/>
        </w:rPr>
        <w:t> </w:t>
      </w:r>
      <w:r>
        <w:rPr/>
        <w:t>of or interest in</w:t>
      </w:r>
      <w:r>
        <w:rPr>
          <w:spacing w:val="22"/>
        </w:rPr>
        <w:t> </w:t>
      </w:r>
      <w:r>
        <w:rPr/>
        <w:t>passenger</w:t>
      </w:r>
      <w:r>
        <w:rPr>
          <w:spacing w:val="23"/>
        </w:rPr>
        <w:t> </w:t>
      </w:r>
      <w:r>
        <w:rPr/>
        <w:t>rights for sea</w:t>
      </w:r>
      <w:r>
        <w:rPr>
          <w:spacing w:val="22"/>
        </w:rPr>
        <w:t> </w:t>
      </w:r>
      <w:r>
        <w:rPr/>
        <w:t>and inland waterways as well as the social dimension of transport policies are also an asset.</w:t>
      </w:r>
    </w:p>
    <w:p>
      <w:pPr>
        <w:pStyle w:val="BodyText"/>
        <w:spacing w:before="11"/>
        <w:rPr>
          <w:sz w:val="21"/>
        </w:rPr>
      </w:pPr>
    </w:p>
    <w:p>
      <w:pPr>
        <w:pStyle w:val="BodyText"/>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English,</w:t>
      </w:r>
      <w:r>
        <w:rPr>
          <w:spacing w:val="-3"/>
        </w:rPr>
        <w:t> </w:t>
      </w:r>
      <w:r>
        <w:rPr/>
        <w:t>French</w:t>
      </w:r>
      <w:r>
        <w:rPr>
          <w:spacing w:val="-4"/>
        </w:rPr>
        <w:t> </w:t>
      </w:r>
      <w:r>
        <w:rPr/>
        <w:t>an</w:t>
      </w:r>
      <w:r>
        <w:rPr>
          <w:spacing w:val="-1"/>
        </w:rPr>
        <w:t> </w:t>
      </w:r>
      <w:r>
        <w:rPr>
          <w:spacing w:val="-2"/>
        </w:rPr>
        <w:t>asset.</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9">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9" w:right="269"/>
        <w:jc w:val="both"/>
      </w:pPr>
      <w:r>
        <w:rPr/>
        <w:t>Candidates are asked not to add any other documents (such as copy of passport, copy of degrees or</w:t>
      </w:r>
      <w:r>
        <w:rPr>
          <w:spacing w:val="40"/>
        </w:rPr>
        <w:t> </w:t>
      </w:r>
      <w:r>
        <w:rPr/>
        <w:t>certificate of professional experience, etc.). If necessary, these will be requested at a later stage.</w:t>
      </w:r>
    </w:p>
    <w:p>
      <w:pPr>
        <w:pStyle w:val="BodyText"/>
        <w:spacing w:before="1"/>
        <w:ind w:left="799"/>
        <w:jc w:val="both"/>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BodyText"/>
        <w:spacing w:before="3"/>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spacing w:before="91"/>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spacing w:after="0"/>
        <w:jc w:val="both"/>
        <w:rPr>
          <w:sz w:val="22"/>
        </w:rPr>
        <w:sectPr>
          <w:pgSz w:w="11910" w:h="16840"/>
          <w:pgMar w:header="0" w:footer="690" w:top="1040" w:bottom="880" w:left="480" w:right="740"/>
        </w:sectPr>
      </w:pPr>
    </w:p>
    <w:p>
      <w:pPr>
        <w:pStyle w:val="BodyText"/>
        <w:spacing w:before="68"/>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79"/>
        <w:jc w:val="both"/>
      </w:pPr>
      <w:r>
        <w:rPr/>
        <w:t>Unless for cost-free SNE, allowances may be granted by the Commission to SNE fulfilling the conditions provided for in Art. 17 of the SNE decision.</w:t>
      </w:r>
    </w:p>
    <w:p>
      <w:pPr>
        <w:pStyle w:val="BodyText"/>
        <w:spacing w:before="1"/>
      </w:pPr>
    </w:p>
    <w:p>
      <w:pPr>
        <w:pStyle w:val="BodyText"/>
        <w:spacing w:before="1"/>
        <w:ind w:left="799" w:right="290"/>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5"/>
        </w:rPr>
        <w:t> </w:t>
      </w:r>
      <w:r>
        <w:rPr/>
        <w:t>any</w:t>
      </w:r>
      <w:r>
        <w:rPr>
          <w:spacing w:val="-5"/>
        </w:rPr>
        <w:t> </w:t>
      </w:r>
      <w:r>
        <w:rPr/>
        <w:t>document</w:t>
      </w:r>
      <w:r>
        <w:rPr>
          <w:spacing w:val="-1"/>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2"/>
        </w:rPr>
        <w:t> </w:t>
      </w:r>
      <w:r>
        <w:rPr/>
        <w:t>the</w:t>
      </w:r>
      <w:r>
        <w:rPr>
          <w:spacing w:val="-5"/>
        </w:rPr>
        <w:t> </w:t>
      </w:r>
      <w:r>
        <w:rPr/>
        <w:t>application</w:t>
      </w:r>
      <w:r>
        <w:rPr>
          <w:spacing w:val="-2"/>
        </w:rPr>
        <w:t> </w:t>
      </w:r>
      <w:r>
        <w:rPr/>
        <w:t>may</w:t>
      </w:r>
      <w:r>
        <w:rPr>
          <w:spacing w:val="-5"/>
        </w:rPr>
        <w:t> </w:t>
      </w:r>
      <w:r>
        <w:rPr/>
        <w:t>be</w:t>
      </w:r>
      <w:r>
        <w:rPr>
          <w:spacing w:val="-2"/>
        </w:rPr>
        <w:t> cancelled.</w:t>
      </w:r>
    </w:p>
    <w:p>
      <w:pPr>
        <w:pStyle w:val="BodyText"/>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8"/>
        <w:rPr>
          <w:b/>
          <w:sz w:val="15"/>
        </w:rPr>
      </w:pPr>
    </w:p>
    <w:p>
      <w:pPr>
        <w:pStyle w:val="BodyText"/>
        <w:spacing w:before="91"/>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06955pt;width:3.72pt;height:.47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179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6" w:hanging="473"/>
      </w:pPr>
      <w:rPr>
        <w:rFonts w:hint="default"/>
        <w:lang w:val="en-US" w:eastAsia="en-US" w:bidi="ar-SA"/>
      </w:rPr>
    </w:lvl>
    <w:lvl w:ilvl="2">
      <w:start w:val="0"/>
      <w:numFmt w:val="bullet"/>
      <w:lvlText w:val="•"/>
      <w:lvlJc w:val="left"/>
      <w:pPr>
        <w:ind w:left="1352" w:hanging="473"/>
      </w:pPr>
      <w:rPr>
        <w:rFonts w:hint="default"/>
        <w:lang w:val="en-US" w:eastAsia="en-US" w:bidi="ar-SA"/>
      </w:rPr>
    </w:lvl>
    <w:lvl w:ilvl="3">
      <w:start w:val="0"/>
      <w:numFmt w:val="bullet"/>
      <w:lvlText w:val="•"/>
      <w:lvlJc w:val="left"/>
      <w:pPr>
        <w:ind w:left="1568" w:hanging="473"/>
      </w:pPr>
      <w:rPr>
        <w:rFonts w:hint="default"/>
        <w:lang w:val="en-US" w:eastAsia="en-US" w:bidi="ar-SA"/>
      </w:rPr>
    </w:lvl>
    <w:lvl w:ilvl="4">
      <w:start w:val="0"/>
      <w:numFmt w:val="bullet"/>
      <w:lvlText w:val="•"/>
      <w:lvlJc w:val="left"/>
      <w:pPr>
        <w:ind w:left="1784" w:hanging="473"/>
      </w:pPr>
      <w:rPr>
        <w:rFonts w:hint="default"/>
        <w:lang w:val="en-US" w:eastAsia="en-US" w:bidi="ar-SA"/>
      </w:rPr>
    </w:lvl>
    <w:lvl w:ilvl="5">
      <w:start w:val="0"/>
      <w:numFmt w:val="bullet"/>
      <w:lvlText w:val="•"/>
      <w:lvlJc w:val="left"/>
      <w:pPr>
        <w:ind w:left="2001" w:hanging="473"/>
      </w:pPr>
      <w:rPr>
        <w:rFonts w:hint="default"/>
        <w:lang w:val="en-US" w:eastAsia="en-US" w:bidi="ar-SA"/>
      </w:rPr>
    </w:lvl>
    <w:lvl w:ilvl="6">
      <w:start w:val="0"/>
      <w:numFmt w:val="bullet"/>
      <w:lvlText w:val="•"/>
      <w:lvlJc w:val="left"/>
      <w:pPr>
        <w:ind w:left="2217" w:hanging="473"/>
      </w:pPr>
      <w:rPr>
        <w:rFonts w:hint="default"/>
        <w:lang w:val="en-US" w:eastAsia="en-US" w:bidi="ar-SA"/>
      </w:rPr>
    </w:lvl>
    <w:lvl w:ilvl="7">
      <w:start w:val="0"/>
      <w:numFmt w:val="bullet"/>
      <w:lvlText w:val="•"/>
      <w:lvlJc w:val="left"/>
      <w:pPr>
        <w:ind w:left="2433" w:hanging="473"/>
      </w:pPr>
      <w:rPr>
        <w:rFonts w:hint="default"/>
        <w:lang w:val="en-US" w:eastAsia="en-US" w:bidi="ar-SA"/>
      </w:rPr>
    </w:lvl>
    <w:lvl w:ilvl="8">
      <w:start w:val="0"/>
      <w:numFmt w:val="bullet"/>
      <w:lvlText w:val="•"/>
      <w:lvlJc w:val="left"/>
      <w:pPr>
        <w:ind w:left="2649"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47" w:hanging="281"/>
      </w:pPr>
      <w:rPr>
        <w:rFonts w:hint="default"/>
        <w:lang w:val="en-US" w:eastAsia="en-US" w:bidi="ar-SA"/>
      </w:rPr>
    </w:lvl>
    <w:lvl w:ilvl="3">
      <w:start w:val="0"/>
      <w:numFmt w:val="bullet"/>
      <w:lvlText w:val="•"/>
      <w:lvlJc w:val="left"/>
      <w:pPr>
        <w:ind w:left="3214" w:hanging="281"/>
      </w:pPr>
      <w:rPr>
        <w:rFonts w:hint="default"/>
        <w:lang w:val="en-US" w:eastAsia="en-US" w:bidi="ar-SA"/>
      </w:rPr>
    </w:lvl>
    <w:lvl w:ilvl="4">
      <w:start w:val="0"/>
      <w:numFmt w:val="bullet"/>
      <w:lvlText w:val="•"/>
      <w:lvlJc w:val="left"/>
      <w:pPr>
        <w:ind w:left="4282" w:hanging="281"/>
      </w:pPr>
      <w:rPr>
        <w:rFonts w:hint="default"/>
        <w:lang w:val="en-US" w:eastAsia="en-US" w:bidi="ar-SA"/>
      </w:rPr>
    </w:lvl>
    <w:lvl w:ilvl="5">
      <w:start w:val="0"/>
      <w:numFmt w:val="bullet"/>
      <w:lvlText w:val="•"/>
      <w:lvlJc w:val="left"/>
      <w:pPr>
        <w:ind w:left="5349" w:hanging="281"/>
      </w:pPr>
      <w:rPr>
        <w:rFonts w:hint="default"/>
        <w:lang w:val="en-US" w:eastAsia="en-US" w:bidi="ar-SA"/>
      </w:rPr>
    </w:lvl>
    <w:lvl w:ilvl="6">
      <w:start w:val="0"/>
      <w:numFmt w:val="bullet"/>
      <w:lvlText w:val="•"/>
      <w:lvlJc w:val="left"/>
      <w:pPr>
        <w:ind w:left="6416" w:hanging="281"/>
      </w:pPr>
      <w:rPr>
        <w:rFonts w:hint="default"/>
        <w:lang w:val="en-US" w:eastAsia="en-US" w:bidi="ar-SA"/>
      </w:rPr>
    </w:lvl>
    <w:lvl w:ilvl="7">
      <w:start w:val="0"/>
      <w:numFmt w:val="bullet"/>
      <w:lvlText w:val="•"/>
      <w:lvlJc w:val="left"/>
      <w:pPr>
        <w:ind w:left="7484" w:hanging="281"/>
      </w:pPr>
      <w:rPr>
        <w:rFonts w:hint="default"/>
        <w:lang w:val="en-US" w:eastAsia="en-US" w:bidi="ar-SA"/>
      </w:rPr>
    </w:lvl>
    <w:lvl w:ilvl="8">
      <w:start w:val="0"/>
      <w:numFmt w:val="bullet"/>
      <w:lvlText w:val="•"/>
      <w:lvlJc w:val="left"/>
      <w:pPr>
        <w:ind w:left="8551" w:hanging="281"/>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28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lisabeth.Kotthaus@ec.europa.eu" TargetMode="External"/><Relationship Id="rId8" Type="http://schemas.openxmlformats.org/officeDocument/2006/relationships/hyperlink" Target="https://ec.europa.eu/info/law/better-regulation/have-your-say/initiatives/13290-Travel-better-protection-for-passengers-and-their-rights_en"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2023-03-15T15:30:47Z</dcterms:created>
  <dcterms:modified xsi:type="dcterms:W3CDTF">2023-03-15T15:30:47Z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