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8"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7" w:type="dxa"/>
          </w:tcPr>
          <w:p>
            <w:pPr>
              <w:pStyle w:val="TableParagraph"/>
              <w:spacing w:before="162"/>
              <w:rPr>
                <w:sz w:val="24"/>
              </w:rPr>
            </w:pPr>
            <w:r>
              <w:rPr>
                <w:sz w:val="24"/>
              </w:rPr>
              <w:t>DG</w:t>
            </w:r>
            <w:r>
              <w:rPr>
                <w:spacing w:val="-5"/>
                <w:sz w:val="24"/>
              </w:rPr>
              <w:t> </w:t>
            </w:r>
            <w:r>
              <w:rPr>
                <w:sz w:val="24"/>
              </w:rPr>
              <w:t>MOVE.B.2</w:t>
            </w:r>
            <w:r>
              <w:rPr>
                <w:spacing w:val="-3"/>
                <w:sz w:val="24"/>
              </w:rPr>
              <w:t> </w:t>
            </w:r>
            <w:r>
              <w:rPr>
                <w:sz w:val="24"/>
              </w:rPr>
              <w:t>Transport</w:t>
            </w:r>
            <w:r>
              <w:rPr>
                <w:spacing w:val="-4"/>
                <w:sz w:val="24"/>
              </w:rPr>
              <w:t> </w:t>
            </w:r>
            <w:r>
              <w:rPr>
                <w:spacing w:val="-2"/>
                <w:sz w:val="24"/>
              </w:rPr>
              <w:t>investment</w:t>
            </w:r>
          </w:p>
        </w:tc>
      </w:tr>
      <w:tr>
        <w:trPr>
          <w:trHeight w:val="1977" w:hRule="atLeast"/>
        </w:trPr>
        <w:tc>
          <w:tcPr>
            <w:tcW w:w="4359" w:type="dxa"/>
            <w:vMerge w:val="restart"/>
          </w:tcPr>
          <w:p>
            <w:pPr>
              <w:pStyle w:val="TableParagraph"/>
              <w:spacing w:line="251" w:lineRule="exact"/>
              <w:rPr>
                <w:b/>
                <w:sz w:val="22"/>
              </w:rPr>
            </w:pPr>
            <w:r>
              <w:rPr>
                <w:b/>
                <w:sz w:val="22"/>
              </w:rPr>
              <w:t>Head</w:t>
            </w:r>
            <w:r>
              <w:rPr>
                <w:b/>
                <w:spacing w:val="-4"/>
                <w:sz w:val="22"/>
              </w:rPr>
              <w:t> </w:t>
            </w:r>
            <w:r>
              <w:rPr>
                <w:b/>
                <w:sz w:val="22"/>
              </w:rPr>
              <w:t>of</w:t>
            </w:r>
            <w:r>
              <w:rPr>
                <w:b/>
                <w:spacing w:val="-1"/>
                <w:sz w:val="22"/>
              </w:rPr>
              <w:t> </w:t>
            </w:r>
            <w:r>
              <w:rPr>
                <w:b/>
                <w:spacing w:val="-2"/>
                <w:sz w:val="22"/>
              </w:rPr>
              <w:t>Unit:</w:t>
            </w:r>
          </w:p>
          <w:p>
            <w:pPr>
              <w:pStyle w:val="TableParagraph"/>
              <w:spacing w:before="1"/>
              <w:ind w:right="2826"/>
              <w:rPr>
                <w:b/>
                <w:sz w:val="22"/>
              </w:rPr>
            </w:pPr>
            <w:r>
              <w:rPr>
                <w:b/>
                <w:sz w:val="22"/>
              </w:rPr>
              <w:t>Email</w:t>
            </w:r>
            <w:r>
              <w:rPr>
                <w:b/>
                <w:spacing w:val="-14"/>
                <w:sz w:val="22"/>
              </w:rPr>
              <w:t> </w:t>
            </w:r>
            <w:r>
              <w:rPr>
                <w:b/>
                <w:sz w:val="22"/>
              </w:rPr>
              <w:t>address: </w:t>
            </w:r>
            <w:r>
              <w:rPr>
                <w:b/>
                <w:spacing w:val="-2"/>
                <w:sz w:val="22"/>
              </w:rPr>
              <w:t>Telephone:</w:t>
            </w:r>
          </w:p>
          <w:p>
            <w:pPr>
              <w:pStyle w:val="TableParagraph"/>
              <w:spacing w:before="1"/>
              <w:ind w:right="1278"/>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4"/>
                <w:sz w:val="22"/>
              </w:rPr>
              <w:t> </w:t>
            </w:r>
            <w:r>
              <w:rPr>
                <w:b/>
                <w:sz w:val="22"/>
              </w:rPr>
              <w:t>posts: Suggested taking up duty: Suggested</w:t>
            </w:r>
            <w:r>
              <w:rPr>
                <w:b/>
                <w:spacing w:val="-5"/>
                <w:sz w:val="22"/>
              </w:rPr>
              <w:t> </w:t>
            </w:r>
            <w:r>
              <w:rPr>
                <w:b/>
                <w:sz w:val="22"/>
              </w:rPr>
              <w:t>initial</w:t>
            </w:r>
            <w:r>
              <w:rPr>
                <w:b/>
                <w:spacing w:val="-4"/>
                <w:sz w:val="22"/>
              </w:rPr>
              <w:t> </w:t>
            </w:r>
            <w:r>
              <w:rPr>
                <w:b/>
                <w:sz w:val="22"/>
              </w:rPr>
              <w:t>duration: Place of secondment:</w:t>
            </w:r>
          </w:p>
        </w:tc>
        <w:tc>
          <w:tcPr>
            <w:tcW w:w="5597" w:type="dxa"/>
          </w:tcPr>
          <w:p>
            <w:pPr>
              <w:pStyle w:val="TableParagraph"/>
              <w:rPr>
                <w:sz w:val="24"/>
              </w:rPr>
            </w:pPr>
            <w:r>
              <w:rPr>
                <w:sz w:val="24"/>
              </w:rPr>
              <w:t>Philippe CHANTRAINE </w:t>
            </w:r>
            <w:hyperlink r:id="rId7">
              <w:r>
                <w:rPr>
                  <w:spacing w:val="-2"/>
                  <w:sz w:val="24"/>
                </w:rPr>
                <w:t>Philippe.chantraine@ec.europa.eu</w:t>
              </w:r>
            </w:hyperlink>
          </w:p>
          <w:p>
            <w:pPr>
              <w:pStyle w:val="TableParagraph"/>
              <w:rPr>
                <w:sz w:val="24"/>
              </w:rPr>
            </w:pPr>
            <w:r>
              <w:rPr>
                <w:sz w:val="24"/>
              </w:rPr>
              <w:t>+32</w:t>
            </w:r>
            <w:r>
              <w:rPr>
                <w:spacing w:val="-1"/>
                <w:sz w:val="24"/>
              </w:rPr>
              <w:t> </w:t>
            </w:r>
            <w:r>
              <w:rPr>
                <w:sz w:val="24"/>
              </w:rPr>
              <w:t>229 </w:t>
            </w:r>
            <w:r>
              <w:rPr>
                <w:spacing w:val="-2"/>
                <w:sz w:val="24"/>
              </w:rPr>
              <w:t>81913</w:t>
            </w:r>
          </w:p>
          <w:p>
            <w:pPr>
              <w:pStyle w:val="TableParagraph"/>
              <w:rPr>
                <w:sz w:val="24"/>
              </w:rPr>
            </w:pPr>
            <w:r>
              <w:rPr>
                <w:sz w:val="24"/>
              </w:rPr>
              <w:t>1</w:t>
            </w:r>
          </w:p>
          <w:p>
            <w:pPr>
              <w:pStyle w:val="TableParagraph"/>
              <w:rPr>
                <w:b/>
                <w:sz w:val="22"/>
              </w:rPr>
            </w:pPr>
            <w:r>
              <w:rPr>
                <w:b/>
                <w:sz w:val="22"/>
              </w:rPr>
              <w:t>3</w:t>
            </w:r>
            <w:r>
              <w:rPr>
                <w:b/>
                <w:sz w:val="22"/>
                <w:vertAlign w:val="superscript"/>
              </w:rPr>
              <w:t>rd</w:t>
            </w:r>
            <w:r>
              <w:rPr>
                <w:b/>
                <w:spacing w:val="-3"/>
                <w:sz w:val="22"/>
                <w:vertAlign w:val="baseline"/>
              </w:rPr>
              <w:t> </w:t>
            </w:r>
            <w:r>
              <w:rPr>
                <w:b/>
                <w:sz w:val="22"/>
                <w:vertAlign w:val="baseline"/>
              </w:rPr>
              <w:t>quarter</w:t>
            </w:r>
            <w:r>
              <w:rPr>
                <w:b/>
                <w:spacing w:val="-2"/>
                <w:sz w:val="22"/>
                <w:vertAlign w:val="baseline"/>
              </w:rPr>
              <w:t> </w:t>
            </w:r>
            <w:r>
              <w:rPr>
                <w:b/>
                <w:sz w:val="22"/>
                <w:vertAlign w:val="baseline"/>
              </w:rPr>
              <w:t>2023</w:t>
            </w:r>
            <w:r>
              <w:rPr>
                <w:b/>
                <w:spacing w:val="-4"/>
                <w:sz w:val="22"/>
                <w:vertAlign w:val="baseline"/>
              </w:rPr>
              <w:t> </w:t>
            </w:r>
            <w:r>
              <w:rPr>
                <w:b/>
                <w:spacing w:val="-10"/>
                <w:sz w:val="22"/>
                <w:vertAlign w:val="superscript"/>
              </w:rPr>
              <w:t>1</w:t>
            </w:r>
          </w:p>
          <w:p>
            <w:pPr>
              <w:pStyle w:val="TableParagraph"/>
              <w:spacing w:line="250" w:lineRule="exact"/>
              <w:rPr>
                <w:b/>
                <w:sz w:val="22"/>
              </w:rPr>
            </w:pPr>
            <w:r>
              <w:rPr>
                <w:b/>
                <w:sz w:val="22"/>
              </w:rPr>
              <w:t>1 </w:t>
            </w:r>
            <w:r>
              <w:rPr>
                <w:b/>
                <w:spacing w:val="-2"/>
                <w:sz w:val="22"/>
              </w:rPr>
              <w:t>year</w:t>
            </w:r>
            <w:r>
              <w:rPr>
                <w:b/>
                <w:spacing w:val="-2"/>
                <w:sz w:val="22"/>
                <w:vertAlign w:val="superscript"/>
              </w:rPr>
              <w:t>1</w:t>
            </w:r>
          </w:p>
          <w:p>
            <w:pPr>
              <w:pStyle w:val="TableParagraph"/>
              <w:spacing w:line="250" w:lineRule="exact"/>
              <w:rPr>
                <w:b/>
                <w:sz w:val="22"/>
              </w:rPr>
            </w:pPr>
            <w:r>
              <w:rPr>
                <w:sz w:val="22"/>
              </w:rPr>
              <w:t>X</w:t>
            </w:r>
            <w:r>
              <w:rPr>
                <w:spacing w:val="-3"/>
                <w:sz w:val="22"/>
              </w:rPr>
              <w:t> </w:t>
            </w:r>
            <w:r>
              <w:rPr>
                <w:b/>
                <w:sz w:val="22"/>
              </w:rPr>
              <w:t>Brussels</w:t>
            </w:r>
            <w:r>
              <w:rPr>
                <w:b/>
                <w:spacing w:val="52"/>
                <w:sz w:val="22"/>
              </w:rPr>
              <w:t> </w:t>
            </w:r>
            <w:r>
              <w:rPr>
                <w:rFonts w:ascii="Wingdings 2" w:hAnsi="Wingdings 2"/>
                <w:sz w:val="22"/>
              </w:rPr>
              <w:t></w:t>
            </w:r>
            <w:r>
              <w:rPr>
                <w:spacing w:val="-2"/>
                <w:sz w:val="22"/>
              </w:rPr>
              <w:t> </w:t>
            </w:r>
            <w:r>
              <w:rPr>
                <w:b/>
                <w:sz w:val="22"/>
              </w:rPr>
              <w:t>Luxemburg</w:t>
            </w:r>
            <w:r>
              <w:rPr>
                <w:b/>
                <w:spacing w:val="51"/>
                <w:sz w:val="22"/>
              </w:rPr>
              <w:t> </w:t>
            </w:r>
            <w:r>
              <w:rPr>
                <w:rFonts w:ascii="Wingdings 2" w:hAnsi="Wingdings 2"/>
                <w:sz w:val="22"/>
              </w:rPr>
              <w:t></w:t>
            </w:r>
            <w:r>
              <w:rPr>
                <w:spacing w:val="-2"/>
                <w:sz w:val="22"/>
              </w:rPr>
              <w:t> </w:t>
            </w:r>
            <w:r>
              <w:rPr>
                <w:b/>
                <w:sz w:val="22"/>
              </w:rPr>
              <w:t>Other:</w:t>
            </w:r>
            <w:r>
              <w:rPr>
                <w:b/>
                <w:spacing w:val="-2"/>
                <w:sz w:val="22"/>
              </w:rPr>
              <w:t> ……………..</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484" w:val="left" w:leader="none"/>
                <w:tab w:pos="2911" w:val="left" w:leader="none"/>
                <w:tab w:pos="3384" w:val="left" w:leader="none"/>
              </w:tabs>
              <w:spacing w:before="145"/>
              <w:rPr>
                <w:b/>
                <w:sz w:val="22"/>
              </w:rPr>
            </w:pPr>
            <w:r>
              <w:rPr>
                <w:b/>
                <w:spacing w:val="-10"/>
                <w:sz w:val="22"/>
              </w:rPr>
              <w:t>X</w:t>
            </w:r>
            <w:r>
              <w:rPr>
                <w:b/>
                <w:sz w:val="22"/>
              </w:rPr>
              <w:tab/>
              <w:t>With</w:t>
            </w:r>
            <w:r>
              <w:rPr>
                <w:b/>
                <w:spacing w:val="-3"/>
                <w:sz w:val="22"/>
              </w:rPr>
              <w:t> </w:t>
            </w:r>
            <w:r>
              <w:rPr>
                <w:b/>
                <w:spacing w:val="-2"/>
                <w:sz w:val="22"/>
              </w:rPr>
              <w:t>allowances</w:t>
            </w:r>
            <w:r>
              <w:rPr>
                <w:b/>
                <w:sz w:val="22"/>
              </w:rPr>
              <w:tab/>
            </w:r>
            <w:r>
              <w:rPr>
                <w:rFonts w:ascii="Wingdings 2" w:hAnsi="Wingdings 2"/>
                <w:spacing w:val="-10"/>
                <w:sz w:val="22"/>
              </w:rPr>
              <w:t></w:t>
            </w:r>
            <w:r>
              <w:rPr>
                <w:sz w:val="22"/>
              </w:rPr>
              <w:tab/>
            </w:r>
            <w:r>
              <w:rPr>
                <w:b/>
                <w:spacing w:val="-2"/>
                <w:sz w:val="22"/>
              </w:rPr>
              <w:t>Cost-</w:t>
            </w:r>
            <w:r>
              <w:rPr>
                <w:b/>
                <w:spacing w:val="-4"/>
                <w:sz w:val="22"/>
              </w:rPr>
              <w:t>free</w:t>
            </w:r>
          </w:p>
        </w:tc>
      </w:tr>
      <w:tr>
        <w:trPr>
          <w:trHeight w:val="2113" w:hRule="atLeast"/>
        </w:trPr>
        <w:tc>
          <w:tcPr>
            <w:tcW w:w="9956" w:type="dxa"/>
            <w:gridSpan w:val="2"/>
          </w:tcPr>
          <w:p>
            <w:pPr>
              <w:pStyle w:val="TableParagraph"/>
              <w:spacing w:before="113"/>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0"/>
              <w:ind w:left="0"/>
              <w:rPr>
                <w:b/>
                <w:sz w:val="21"/>
              </w:rPr>
            </w:pPr>
          </w:p>
          <w:p>
            <w:pPr>
              <w:pStyle w:val="TableParagraph"/>
              <w:numPr>
                <w:ilvl w:val="0"/>
                <w:numId w:val="1"/>
              </w:numPr>
              <w:tabs>
                <w:tab w:pos="561" w:val="left" w:leader="none"/>
                <w:tab w:pos="562" w:val="left" w:leader="none"/>
              </w:tabs>
              <w:spacing w:line="240" w:lineRule="auto" w:before="0" w:after="0"/>
              <w:ind w:left="561" w:right="0" w:hanging="457"/>
              <w:jc w:val="left"/>
              <w:rPr>
                <w:b/>
                <w:sz w:val="24"/>
              </w:rPr>
            </w:pPr>
            <w:r>
              <w:rPr>
                <w:b/>
                <w:sz w:val="24"/>
              </w:rPr>
              <w:t>the</w:t>
            </w:r>
            <w:r>
              <w:rPr>
                <w:b/>
                <w:spacing w:val="-8"/>
                <w:sz w:val="24"/>
              </w:rPr>
              <w:t> </w:t>
            </w:r>
            <w:r>
              <w:rPr>
                <w:b/>
                <w:sz w:val="24"/>
              </w:rPr>
              <w:t>following</w:t>
            </w:r>
            <w:r>
              <w:rPr>
                <w:b/>
                <w:spacing w:val="-6"/>
                <w:sz w:val="24"/>
              </w:rPr>
              <w:t> </w:t>
            </w:r>
            <w:r>
              <w:rPr>
                <w:b/>
                <w:sz w:val="24"/>
              </w:rPr>
              <w:t>EFTA</w:t>
            </w:r>
            <w:r>
              <w:rPr>
                <w:b/>
                <w:spacing w:val="-7"/>
                <w:sz w:val="24"/>
              </w:rPr>
              <w:t> </w:t>
            </w:r>
            <w:r>
              <w:rPr>
                <w:b/>
                <w:sz w:val="24"/>
              </w:rPr>
              <w:t>countries</w:t>
            </w:r>
            <w:r>
              <w:rPr>
                <w:b/>
                <w:spacing w:val="-6"/>
                <w:sz w:val="24"/>
              </w:rPr>
              <w:t> </w:t>
            </w:r>
            <w:r>
              <w:rPr>
                <w:b/>
                <w:spacing w:val="-10"/>
                <w:sz w:val="24"/>
              </w:rPr>
              <w:t>:</w:t>
            </w:r>
          </w:p>
          <w:p>
            <w:pPr>
              <w:pStyle w:val="TableParagraph"/>
              <w:numPr>
                <w:ilvl w:val="1"/>
                <w:numId w:val="1"/>
              </w:numPr>
              <w:tabs>
                <w:tab w:pos="1090" w:val="left" w:leader="none"/>
              </w:tabs>
              <w:spacing w:line="240" w:lineRule="auto" w:before="0" w:after="0"/>
              <w:ind w:left="1089"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3"/>
                <w:sz w:val="24"/>
              </w:rPr>
              <w:t> </w:t>
            </w:r>
            <w:r>
              <w:rPr>
                <w:rFonts w:ascii="Wingdings 2" w:hAnsi="Wingdings 2"/>
                <w:b/>
                <w:sz w:val="24"/>
              </w:rPr>
              <w:t></w:t>
            </w:r>
            <w:r>
              <w:rPr>
                <w:spacing w:val="-3"/>
                <w:sz w:val="24"/>
              </w:rPr>
              <w:t> </w:t>
            </w:r>
            <w:r>
              <w:rPr>
                <w:b/>
                <w:sz w:val="24"/>
              </w:rPr>
              <w:t>Norway</w:t>
            </w:r>
            <w:r>
              <w:rPr>
                <w:b/>
                <w:spacing w:val="49"/>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1"/>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2"/>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1"/>
              </w:numPr>
              <w:tabs>
                <w:tab w:pos="561" w:val="left" w:leader="none"/>
                <w:tab w:pos="562" w:val="left" w:leader="none"/>
              </w:tabs>
              <w:spacing w:line="240" w:lineRule="auto" w:before="0" w:after="0"/>
              <w:ind w:left="561" w:right="0" w:hanging="457"/>
              <w:jc w:val="left"/>
              <w:rPr>
                <w:b/>
                <w:sz w:val="24"/>
              </w:rPr>
            </w:pPr>
            <w:r>
              <w:rPr>
                <w:b/>
                <w:sz w:val="24"/>
              </w:rPr>
              <w:t>the</w:t>
            </w:r>
            <w:r>
              <w:rPr>
                <w:b/>
                <w:spacing w:val="-8"/>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1"/>
              </w:numPr>
              <w:tabs>
                <w:tab w:pos="561" w:val="left" w:leader="none"/>
                <w:tab w:pos="562" w:val="left" w:leader="none"/>
              </w:tabs>
              <w:spacing w:line="240" w:lineRule="auto" w:before="0" w:after="0"/>
              <w:ind w:left="561" w:right="0" w:hanging="457"/>
              <w:jc w:val="left"/>
              <w:rPr>
                <w:b/>
                <w:sz w:val="24"/>
              </w:rPr>
            </w:pPr>
            <w:r>
              <w:rPr>
                <w:b/>
                <w:sz w:val="24"/>
              </w:rPr>
              <w:t>the</w:t>
            </w:r>
            <w:r>
              <w:rPr>
                <w:b/>
                <w:spacing w:val="-13"/>
                <w:sz w:val="24"/>
              </w:rPr>
              <w:t> </w:t>
            </w:r>
            <w:r>
              <w:rPr>
                <w:b/>
                <w:sz w:val="24"/>
              </w:rPr>
              <w:t>following</w:t>
            </w:r>
            <w:r>
              <w:rPr>
                <w:b/>
                <w:spacing w:val="-13"/>
                <w:sz w:val="24"/>
              </w:rPr>
              <w:t> </w:t>
            </w:r>
            <w:r>
              <w:rPr>
                <w:b/>
                <w:sz w:val="24"/>
              </w:rPr>
              <w:t>intergovernmental</w:t>
            </w:r>
            <w:r>
              <w:rPr>
                <w:b/>
                <w:spacing w:val="-12"/>
                <w:sz w:val="24"/>
              </w:rPr>
              <w:t> </w:t>
            </w:r>
            <w:r>
              <w:rPr>
                <w:b/>
                <w:spacing w:val="-2"/>
                <w:sz w:val="24"/>
              </w:rPr>
              <w:t>organisations:</w:t>
            </w:r>
          </w:p>
        </w:tc>
      </w:tr>
    </w:tbl>
    <w:p>
      <w:pPr>
        <w:pStyle w:val="BodyText"/>
        <w:spacing w:before="1"/>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7"/>
        <w:rPr>
          <w:b/>
          <w:sz w:val="15"/>
        </w:rPr>
      </w:pPr>
    </w:p>
    <w:p>
      <w:pPr>
        <w:pStyle w:val="BodyText"/>
        <w:spacing w:before="92"/>
        <w:ind w:left="372" w:right="201"/>
      </w:pPr>
      <w:r>
        <w:rPr/>
        <w:t>The mission of Unit B.2 is to ensure an appropriate level of investment in transport, through a mix of instruments such</w:t>
      </w:r>
      <w:r>
        <w:rPr>
          <w:spacing w:val="-2"/>
        </w:rPr>
        <w:t> </w:t>
      </w:r>
      <w:r>
        <w:rPr/>
        <w:t>as</w:t>
      </w:r>
      <w:r>
        <w:rPr>
          <w:spacing w:val="-2"/>
        </w:rPr>
        <w:t> </w:t>
      </w:r>
      <w:r>
        <w:rPr/>
        <w:t>the</w:t>
      </w:r>
      <w:r>
        <w:rPr>
          <w:spacing w:val="-2"/>
        </w:rPr>
        <w:t> </w:t>
      </w:r>
      <w:r>
        <w:rPr/>
        <w:t>Connecting</w:t>
      </w:r>
      <w:r>
        <w:rPr>
          <w:spacing w:val="-5"/>
        </w:rPr>
        <w:t> </w:t>
      </w:r>
      <w:r>
        <w:rPr/>
        <w:t>Europe</w:t>
      </w:r>
      <w:r>
        <w:rPr>
          <w:spacing w:val="-2"/>
        </w:rPr>
        <w:t> </w:t>
      </w:r>
      <w:r>
        <w:rPr/>
        <w:t>Facility</w:t>
      </w:r>
      <w:r>
        <w:rPr>
          <w:spacing w:val="-5"/>
        </w:rPr>
        <w:t> </w:t>
      </w:r>
      <w:r>
        <w:rPr/>
        <w:t>(CEF),</w:t>
      </w:r>
      <w:r>
        <w:rPr>
          <w:spacing w:val="-2"/>
        </w:rPr>
        <w:t> </w:t>
      </w:r>
      <w:r>
        <w:rPr/>
        <w:t>the</w:t>
      </w:r>
      <w:r>
        <w:rPr>
          <w:spacing w:val="-2"/>
        </w:rPr>
        <w:t> </w:t>
      </w:r>
      <w:r>
        <w:rPr/>
        <w:t>Recovery</w:t>
      </w:r>
      <w:r>
        <w:rPr>
          <w:spacing w:val="-5"/>
        </w:rPr>
        <w:t> </w:t>
      </w:r>
      <w:r>
        <w:rPr/>
        <w:t>and</w:t>
      </w:r>
      <w:r>
        <w:rPr>
          <w:spacing w:val="-2"/>
        </w:rPr>
        <w:t> </w:t>
      </w:r>
      <w:r>
        <w:rPr/>
        <w:t>Resilience</w:t>
      </w:r>
      <w:r>
        <w:rPr>
          <w:spacing w:val="-2"/>
        </w:rPr>
        <w:t> </w:t>
      </w:r>
      <w:r>
        <w:rPr/>
        <w:t>Facility</w:t>
      </w:r>
      <w:r>
        <w:rPr>
          <w:spacing w:val="-5"/>
        </w:rPr>
        <w:t> </w:t>
      </w:r>
      <w:r>
        <w:rPr/>
        <w:t>(RRF),</w:t>
      </w:r>
      <w:r>
        <w:rPr>
          <w:spacing w:val="-2"/>
        </w:rPr>
        <w:t> </w:t>
      </w:r>
      <w:r>
        <w:rPr/>
        <w:t>the</w:t>
      </w:r>
      <w:r>
        <w:rPr>
          <w:spacing w:val="-2"/>
        </w:rPr>
        <w:t> </w:t>
      </w:r>
      <w:r>
        <w:rPr/>
        <w:t>regional</w:t>
      </w:r>
      <w:r>
        <w:rPr>
          <w:spacing w:val="-4"/>
        </w:rPr>
        <w:t> </w:t>
      </w:r>
      <w:r>
        <w:rPr/>
        <w:t>funds</w:t>
      </w:r>
      <w:r>
        <w:rPr>
          <w:spacing w:val="-2"/>
        </w:rPr>
        <w:t> </w:t>
      </w:r>
      <w:r>
        <w:rPr/>
        <w:t>and the InvestEU, combined with advisory services and regulatory measures within the Green Deal - Sustainable Europe Investment Plan.</w:t>
      </w:r>
    </w:p>
    <w:p>
      <w:pPr>
        <w:pStyle w:val="BodyText"/>
      </w:pPr>
    </w:p>
    <w:p>
      <w:pPr>
        <w:pStyle w:val="BodyText"/>
        <w:ind w:left="372"/>
      </w:pPr>
      <w:r>
        <w:rPr/>
        <w:t>The</w:t>
      </w:r>
      <w:r>
        <w:rPr>
          <w:spacing w:val="-5"/>
        </w:rPr>
        <w:t> </w:t>
      </w:r>
      <w:r>
        <w:rPr/>
        <w:t>Commissions</w:t>
      </w:r>
      <w:r>
        <w:rPr>
          <w:spacing w:val="-4"/>
        </w:rPr>
        <w:t> </w:t>
      </w:r>
      <w:r>
        <w:rPr/>
        <w:t>is</w:t>
      </w:r>
      <w:r>
        <w:rPr>
          <w:spacing w:val="-4"/>
        </w:rPr>
        <w:t> </w:t>
      </w:r>
      <w:r>
        <w:rPr/>
        <w:t>looking</w:t>
      </w:r>
      <w:r>
        <w:rPr>
          <w:spacing w:val="-5"/>
        </w:rPr>
        <w:t> </w:t>
      </w:r>
      <w:r>
        <w:rPr/>
        <w:t>for</w:t>
      </w:r>
      <w:r>
        <w:rPr>
          <w:spacing w:val="-2"/>
        </w:rPr>
        <w:t> </w:t>
      </w:r>
      <w:r>
        <w:rPr/>
        <w:t>a</w:t>
      </w:r>
      <w:r>
        <w:rPr>
          <w:spacing w:val="-2"/>
        </w:rPr>
        <w:t> </w:t>
      </w:r>
      <w:r>
        <w:rPr/>
        <w:t>SNE</w:t>
      </w:r>
      <w:r>
        <w:rPr>
          <w:spacing w:val="-2"/>
        </w:rPr>
        <w:t> </w:t>
      </w:r>
      <w:r>
        <w:rPr/>
        <w:t>who</w:t>
      </w:r>
      <w:r>
        <w:rPr>
          <w:spacing w:val="-3"/>
        </w:rPr>
        <w:t> </w:t>
      </w:r>
      <w:r>
        <w:rPr/>
        <w:t>would</w:t>
      </w:r>
      <w:r>
        <w:rPr>
          <w:spacing w:val="-2"/>
        </w:rPr>
        <w:t> </w:t>
      </w:r>
      <w:r>
        <w:rPr/>
        <w:t>be</w:t>
      </w:r>
      <w:r>
        <w:rPr>
          <w:spacing w:val="-4"/>
        </w:rPr>
        <w:t> </w:t>
      </w:r>
      <w:r>
        <w:rPr/>
        <w:t>entrusted</w:t>
      </w:r>
      <w:r>
        <w:rPr>
          <w:spacing w:val="-2"/>
        </w:rPr>
        <w:t> </w:t>
      </w:r>
      <w:r>
        <w:rPr/>
        <w:t>with</w:t>
      </w:r>
      <w:r>
        <w:rPr>
          <w:spacing w:val="-5"/>
        </w:rPr>
        <w:t> </w:t>
      </w:r>
      <w:r>
        <w:rPr/>
        <w:t>two</w:t>
      </w:r>
      <w:r>
        <w:rPr>
          <w:spacing w:val="-2"/>
        </w:rPr>
        <w:t> </w:t>
      </w:r>
      <w:r>
        <w:rPr/>
        <w:t>main</w:t>
      </w:r>
      <w:r>
        <w:rPr>
          <w:spacing w:val="-2"/>
        </w:rPr>
        <w:t> tasks:</w:t>
      </w:r>
    </w:p>
    <w:p>
      <w:pPr>
        <w:pStyle w:val="BodyText"/>
      </w:pPr>
    </w:p>
    <w:p>
      <w:pPr>
        <w:pStyle w:val="ListParagraph"/>
        <w:numPr>
          <w:ilvl w:val="1"/>
          <w:numId w:val="2"/>
        </w:numPr>
        <w:tabs>
          <w:tab w:pos="1093" w:val="left" w:leader="none"/>
        </w:tabs>
        <w:spacing w:line="240" w:lineRule="auto" w:before="0" w:after="0"/>
        <w:ind w:left="1092" w:right="328" w:hanging="361"/>
        <w:jc w:val="left"/>
        <w:rPr>
          <w:sz w:val="22"/>
        </w:rPr>
      </w:pPr>
      <w:r>
        <w:rPr>
          <w:sz w:val="22"/>
        </w:rPr>
        <w:t>In December 2022, the European Parliament and the Council agreed on the Commission proposal to establish a Social Climate Fund as part of the </w:t>
      </w:r>
      <w:hyperlink r:id="rId8">
        <w:r>
          <w:rPr>
            <w:color w:val="0000FF"/>
            <w:sz w:val="22"/>
            <w:u w:val="single" w:color="0000FF"/>
          </w:rPr>
          <w:t>Fit for 55</w:t>
        </w:r>
      </w:hyperlink>
      <w:r>
        <w:rPr>
          <w:color w:val="0000FF"/>
          <w:sz w:val="22"/>
        </w:rPr>
        <w:t> </w:t>
      </w:r>
      <w:r>
        <w:rPr>
          <w:sz w:val="22"/>
        </w:rPr>
        <w:t>package. The objective of the Fund is to</w:t>
      </w:r>
      <w:r>
        <w:rPr>
          <w:spacing w:val="-1"/>
          <w:sz w:val="22"/>
        </w:rPr>
        <w:t> </w:t>
      </w:r>
      <w:r>
        <w:rPr>
          <w:sz w:val="22"/>
        </w:rPr>
        <w:t>support vulnerable households, vulnerable micro-enterprises and vulnerable transport users among others by granting</w:t>
      </w:r>
      <w:r>
        <w:rPr>
          <w:spacing w:val="-4"/>
          <w:sz w:val="22"/>
        </w:rPr>
        <w:t> </w:t>
      </w:r>
      <w:r>
        <w:rPr>
          <w:sz w:val="22"/>
        </w:rPr>
        <w:t>improved</w:t>
      </w:r>
      <w:r>
        <w:rPr>
          <w:spacing w:val="-1"/>
          <w:sz w:val="22"/>
        </w:rPr>
        <w:t> </w:t>
      </w:r>
      <w:r>
        <w:rPr>
          <w:sz w:val="22"/>
        </w:rPr>
        <w:t>access</w:t>
      </w:r>
      <w:r>
        <w:rPr>
          <w:spacing w:val="-3"/>
          <w:sz w:val="22"/>
        </w:rPr>
        <w:t> </w:t>
      </w:r>
      <w:r>
        <w:rPr>
          <w:sz w:val="22"/>
        </w:rPr>
        <w:t>to</w:t>
      </w:r>
      <w:r>
        <w:rPr>
          <w:spacing w:val="-1"/>
          <w:sz w:val="22"/>
        </w:rPr>
        <w:t> </w:t>
      </w:r>
      <w:r>
        <w:rPr>
          <w:sz w:val="22"/>
        </w:rPr>
        <w:t>zero-</w:t>
      </w:r>
      <w:r>
        <w:rPr>
          <w:spacing w:val="-5"/>
          <w:sz w:val="22"/>
        </w:rPr>
        <w:t> </w:t>
      </w:r>
      <w:r>
        <w:rPr>
          <w:sz w:val="22"/>
        </w:rPr>
        <w:t>and</w:t>
      </w:r>
      <w:r>
        <w:rPr>
          <w:spacing w:val="-1"/>
          <w:sz w:val="22"/>
        </w:rPr>
        <w:t> </w:t>
      </w:r>
      <w:r>
        <w:rPr>
          <w:sz w:val="22"/>
        </w:rPr>
        <w:t>low-emission</w:t>
      </w:r>
      <w:r>
        <w:rPr>
          <w:spacing w:val="-1"/>
          <w:sz w:val="22"/>
        </w:rPr>
        <w:t> </w:t>
      </w:r>
      <w:r>
        <w:rPr>
          <w:sz w:val="22"/>
        </w:rPr>
        <w:t>mobility</w:t>
      </w:r>
      <w:r>
        <w:rPr>
          <w:spacing w:val="-4"/>
          <w:sz w:val="22"/>
        </w:rPr>
        <w:t> </w:t>
      </w:r>
      <w:r>
        <w:rPr>
          <w:sz w:val="22"/>
        </w:rPr>
        <w:t>and</w:t>
      </w:r>
      <w:r>
        <w:rPr>
          <w:spacing w:val="-3"/>
          <w:sz w:val="22"/>
        </w:rPr>
        <w:t> </w:t>
      </w:r>
      <w:r>
        <w:rPr>
          <w:sz w:val="22"/>
        </w:rPr>
        <w:t>transport.</w:t>
      </w:r>
      <w:r>
        <w:rPr>
          <w:spacing w:val="-2"/>
          <w:sz w:val="22"/>
        </w:rPr>
        <w:t> </w:t>
      </w:r>
      <w:r>
        <w:rPr>
          <w:sz w:val="22"/>
        </w:rPr>
        <w:t>The</w:t>
      </w:r>
      <w:r>
        <w:rPr>
          <w:spacing w:val="-3"/>
          <w:sz w:val="22"/>
        </w:rPr>
        <w:t> </w:t>
      </w:r>
      <w:r>
        <w:rPr>
          <w:sz w:val="22"/>
        </w:rPr>
        <w:t>tasks</w:t>
      </w:r>
      <w:r>
        <w:rPr>
          <w:spacing w:val="-1"/>
          <w:sz w:val="22"/>
        </w:rPr>
        <w:t> </w:t>
      </w:r>
      <w:r>
        <w:rPr>
          <w:sz w:val="22"/>
        </w:rPr>
        <w:t>for</w:t>
      </w:r>
      <w:r>
        <w:rPr>
          <w:spacing w:val="-3"/>
          <w:sz w:val="22"/>
        </w:rPr>
        <w:t> </w:t>
      </w:r>
      <w:r>
        <w:rPr>
          <w:sz w:val="22"/>
        </w:rPr>
        <w:t>the</w:t>
      </w:r>
      <w:r>
        <w:rPr>
          <w:spacing w:val="-1"/>
          <w:sz w:val="22"/>
        </w:rPr>
        <w:t> </w:t>
      </w:r>
      <w:r>
        <w:rPr>
          <w:sz w:val="22"/>
        </w:rPr>
        <w:t>SNE</w:t>
      </w:r>
      <w:r>
        <w:rPr>
          <w:spacing w:val="-1"/>
          <w:sz w:val="22"/>
        </w:rPr>
        <w:t> </w:t>
      </w:r>
      <w:r>
        <w:rPr>
          <w:sz w:val="22"/>
        </w:rPr>
        <w:t>would include to support the setting up of the fund in close cooperation with relevant Directorate Generals</w:t>
      </w:r>
    </w:p>
    <w:p>
      <w:pPr>
        <w:pStyle w:val="BodyText"/>
        <w:ind w:left="1092" w:right="201"/>
      </w:pPr>
      <w:r>
        <w:rPr/>
        <w:t>(CLIMA,</w:t>
      </w:r>
      <w:r>
        <w:rPr>
          <w:spacing w:val="-2"/>
        </w:rPr>
        <w:t> </w:t>
      </w:r>
      <w:r>
        <w:rPr/>
        <w:t>EMPL,</w:t>
      </w:r>
      <w:r>
        <w:rPr>
          <w:spacing w:val="-2"/>
        </w:rPr>
        <w:t> </w:t>
      </w:r>
      <w:r>
        <w:rPr/>
        <w:t>…),</w:t>
      </w:r>
      <w:r>
        <w:rPr>
          <w:spacing w:val="-2"/>
        </w:rPr>
        <w:t> </w:t>
      </w:r>
      <w:r>
        <w:rPr/>
        <w:t>to</w:t>
      </w:r>
      <w:r>
        <w:rPr>
          <w:spacing w:val="-2"/>
        </w:rPr>
        <w:t> </w:t>
      </w:r>
      <w:r>
        <w:rPr/>
        <w:t>coordinate</w:t>
      </w:r>
      <w:r>
        <w:rPr>
          <w:spacing w:val="-2"/>
        </w:rPr>
        <w:t> </w:t>
      </w:r>
      <w:r>
        <w:rPr/>
        <w:t>the</w:t>
      </w:r>
      <w:r>
        <w:rPr>
          <w:spacing w:val="-2"/>
        </w:rPr>
        <w:t> </w:t>
      </w:r>
      <w:r>
        <w:rPr/>
        <w:t>input</w:t>
      </w:r>
      <w:r>
        <w:rPr>
          <w:spacing w:val="-4"/>
        </w:rPr>
        <w:t> </w:t>
      </w:r>
      <w:r>
        <w:rPr/>
        <w:t>from</w:t>
      </w:r>
      <w:r>
        <w:rPr>
          <w:spacing w:val="-6"/>
        </w:rPr>
        <w:t> </w:t>
      </w:r>
      <w:r>
        <w:rPr/>
        <w:t>DG</w:t>
      </w:r>
      <w:r>
        <w:rPr>
          <w:spacing w:val="-1"/>
        </w:rPr>
        <w:t> </w:t>
      </w:r>
      <w:r>
        <w:rPr/>
        <w:t>MOVE</w:t>
      </w:r>
      <w:r>
        <w:rPr>
          <w:spacing w:val="-5"/>
        </w:rPr>
        <w:t> </w:t>
      </w:r>
      <w:r>
        <w:rPr/>
        <w:t>in</w:t>
      </w:r>
      <w:r>
        <w:rPr>
          <w:spacing w:val="-5"/>
        </w:rPr>
        <w:t> </w:t>
      </w:r>
      <w:r>
        <w:rPr/>
        <w:t>the</w:t>
      </w:r>
      <w:r>
        <w:rPr>
          <w:spacing w:val="-4"/>
        </w:rPr>
        <w:t> </w:t>
      </w:r>
      <w:r>
        <w:rPr/>
        <w:t>implementation</w:t>
      </w:r>
      <w:r>
        <w:rPr>
          <w:spacing w:val="-2"/>
        </w:rPr>
        <w:t> </w:t>
      </w:r>
      <w:r>
        <w:rPr/>
        <w:t>of</w:t>
      </w:r>
      <w:r>
        <w:rPr>
          <w:spacing w:val="-2"/>
        </w:rPr>
        <w:t> </w:t>
      </w:r>
      <w:r>
        <w:rPr/>
        <w:t>the</w:t>
      </w:r>
      <w:r>
        <w:rPr>
          <w:spacing w:val="-2"/>
        </w:rPr>
        <w:t> </w:t>
      </w:r>
      <w:r>
        <w:rPr/>
        <w:t>fund,</w:t>
      </w:r>
      <w:r>
        <w:rPr>
          <w:spacing w:val="-2"/>
        </w:rPr>
        <w:t> </w:t>
      </w:r>
      <w:r>
        <w:rPr/>
        <w:t>to contribute to the preparation of guidance material, etc.</w:t>
      </w:r>
    </w:p>
    <w:p>
      <w:pPr>
        <w:pStyle w:val="ListParagraph"/>
        <w:numPr>
          <w:ilvl w:val="1"/>
          <w:numId w:val="2"/>
        </w:numPr>
        <w:tabs>
          <w:tab w:pos="1093" w:val="left" w:leader="none"/>
        </w:tabs>
        <w:spacing w:line="240" w:lineRule="auto" w:before="0" w:after="0"/>
        <w:ind w:left="1092" w:right="139" w:hanging="361"/>
        <w:jc w:val="left"/>
        <w:rPr>
          <w:sz w:val="22"/>
        </w:rPr>
      </w:pPr>
      <w:r>
        <w:rPr>
          <w:sz w:val="22"/>
        </w:rPr>
        <w:t>The </w:t>
      </w:r>
      <w:hyperlink r:id="rId9">
        <w:r>
          <w:rPr>
            <w:color w:val="0000FF"/>
            <w:sz w:val="22"/>
            <w:u w:val="single" w:color="0000FF"/>
          </w:rPr>
          <w:t>Innovation Fund</w:t>
        </w:r>
      </w:hyperlink>
      <w:r>
        <w:rPr>
          <w:color w:val="0000FF"/>
          <w:sz w:val="22"/>
        </w:rPr>
        <w:t> </w:t>
      </w:r>
      <w:r>
        <w:rPr>
          <w:sz w:val="22"/>
        </w:rPr>
        <w:t>has been set up to use revenues from the Emission Trading Scheme in order to provide support for the commercial demonstration of innovative low-carbon technologies. Thereby, the fund</w:t>
      </w:r>
      <w:r>
        <w:rPr>
          <w:spacing w:val="-5"/>
          <w:sz w:val="22"/>
        </w:rPr>
        <w:t> </w:t>
      </w:r>
      <w:r>
        <w:rPr>
          <w:sz w:val="22"/>
        </w:rPr>
        <w:t>is</w:t>
      </w:r>
      <w:r>
        <w:rPr>
          <w:spacing w:val="-2"/>
          <w:sz w:val="22"/>
        </w:rPr>
        <w:t> </w:t>
      </w:r>
      <w:r>
        <w:rPr>
          <w:sz w:val="22"/>
        </w:rPr>
        <w:t>aiming</w:t>
      </w:r>
      <w:r>
        <w:rPr>
          <w:spacing w:val="-5"/>
          <w:sz w:val="22"/>
        </w:rPr>
        <w:t> </w:t>
      </w:r>
      <w:r>
        <w:rPr>
          <w:sz w:val="22"/>
        </w:rPr>
        <w:t>to</w:t>
      </w:r>
      <w:r>
        <w:rPr>
          <w:spacing w:val="-2"/>
          <w:sz w:val="22"/>
        </w:rPr>
        <w:t> </w:t>
      </w:r>
      <w:r>
        <w:rPr>
          <w:sz w:val="22"/>
        </w:rPr>
        <w:t>bring</w:t>
      </w:r>
      <w:r>
        <w:rPr>
          <w:spacing w:val="-5"/>
          <w:sz w:val="22"/>
        </w:rPr>
        <w:t> </w:t>
      </w:r>
      <w:r>
        <w:rPr>
          <w:sz w:val="22"/>
        </w:rPr>
        <w:t>to</w:t>
      </w:r>
      <w:r>
        <w:rPr>
          <w:spacing w:val="-2"/>
          <w:sz w:val="22"/>
        </w:rPr>
        <w:t> </w:t>
      </w:r>
      <w:r>
        <w:rPr>
          <w:sz w:val="22"/>
        </w:rPr>
        <w:t>the</w:t>
      </w:r>
      <w:r>
        <w:rPr>
          <w:spacing w:val="-2"/>
          <w:sz w:val="22"/>
        </w:rPr>
        <w:t> </w:t>
      </w:r>
      <w:r>
        <w:rPr>
          <w:sz w:val="22"/>
        </w:rPr>
        <w:t>market</w:t>
      </w:r>
      <w:r>
        <w:rPr>
          <w:spacing w:val="-1"/>
          <w:sz w:val="22"/>
        </w:rPr>
        <w:t> </w:t>
      </w:r>
      <w:r>
        <w:rPr>
          <w:sz w:val="22"/>
        </w:rPr>
        <w:t>industrial</w:t>
      </w:r>
      <w:r>
        <w:rPr>
          <w:spacing w:val="-1"/>
          <w:sz w:val="22"/>
        </w:rPr>
        <w:t> </w:t>
      </w:r>
      <w:r>
        <w:rPr>
          <w:sz w:val="22"/>
        </w:rPr>
        <w:t>solutions</w:t>
      </w:r>
      <w:r>
        <w:rPr>
          <w:spacing w:val="-2"/>
          <w:sz w:val="22"/>
        </w:rPr>
        <w:t> </w:t>
      </w:r>
      <w:r>
        <w:rPr>
          <w:sz w:val="22"/>
        </w:rPr>
        <w:t>to</w:t>
      </w:r>
      <w:r>
        <w:rPr>
          <w:spacing w:val="-5"/>
          <w:sz w:val="22"/>
        </w:rPr>
        <w:t> </w:t>
      </w:r>
      <w:r>
        <w:rPr>
          <w:sz w:val="22"/>
        </w:rPr>
        <w:t>decarbonise</w:t>
      </w:r>
      <w:r>
        <w:rPr>
          <w:spacing w:val="-2"/>
          <w:sz w:val="22"/>
        </w:rPr>
        <w:t> </w:t>
      </w:r>
      <w:r>
        <w:rPr>
          <w:sz w:val="22"/>
        </w:rPr>
        <w:t>Europe</w:t>
      </w:r>
      <w:r>
        <w:rPr>
          <w:spacing w:val="-2"/>
          <w:sz w:val="22"/>
        </w:rPr>
        <w:t> </w:t>
      </w:r>
      <w:r>
        <w:rPr>
          <w:sz w:val="22"/>
        </w:rPr>
        <w:t>and</w:t>
      </w:r>
      <w:r>
        <w:rPr>
          <w:spacing w:val="-2"/>
          <w:sz w:val="22"/>
        </w:rPr>
        <w:t> </w:t>
      </w:r>
      <w:r>
        <w:rPr>
          <w:sz w:val="22"/>
        </w:rPr>
        <w:t>support</w:t>
      </w:r>
      <w:r>
        <w:rPr>
          <w:spacing w:val="-4"/>
          <w:sz w:val="22"/>
        </w:rPr>
        <w:t> </w:t>
      </w:r>
      <w:r>
        <w:rPr>
          <w:sz w:val="22"/>
        </w:rPr>
        <w:t>its</w:t>
      </w:r>
      <w:r>
        <w:rPr>
          <w:spacing w:val="-2"/>
          <w:sz w:val="22"/>
        </w:rPr>
        <w:t> </w:t>
      </w:r>
      <w:r>
        <w:rPr>
          <w:sz w:val="22"/>
        </w:rPr>
        <w:t>transition</w:t>
      </w:r>
      <w:r>
        <w:rPr>
          <w:spacing w:val="-2"/>
          <w:sz w:val="22"/>
        </w:rPr>
        <w:t> </w:t>
      </w:r>
      <w:r>
        <w:rPr>
          <w:sz w:val="22"/>
        </w:rPr>
        <w:t>to climate neutrality. The tasks for the SNE would be to monitor and to contribute to the implementation of the fund, ensuring a high uptake in the field of transport, as well as coordination with other funding</w:t>
      </w:r>
    </w:p>
    <w:p>
      <w:pPr>
        <w:pStyle w:val="BodyText"/>
        <w:ind w:left="1092"/>
      </w:pPr>
      <w:r>
        <w:rPr/>
        <w:t>programmes</w:t>
      </w:r>
      <w:r>
        <w:rPr>
          <w:spacing w:val="-6"/>
        </w:rPr>
        <w:t> </w:t>
      </w:r>
      <w:r>
        <w:rPr/>
        <w:t>and</w:t>
      </w:r>
      <w:r>
        <w:rPr>
          <w:spacing w:val="-5"/>
        </w:rPr>
        <w:t> </w:t>
      </w:r>
      <w:r>
        <w:rPr/>
        <w:t>instruments</w:t>
      </w:r>
      <w:r>
        <w:rPr>
          <w:spacing w:val="-5"/>
        </w:rPr>
        <w:t> </w:t>
      </w:r>
      <w:r>
        <w:rPr/>
        <w:t>(like</w:t>
      </w:r>
      <w:r>
        <w:rPr>
          <w:spacing w:val="-7"/>
        </w:rPr>
        <w:t> </w:t>
      </w:r>
      <w:r>
        <w:rPr/>
        <w:t>the</w:t>
      </w:r>
      <w:r>
        <w:rPr>
          <w:spacing w:val="-5"/>
        </w:rPr>
        <w:t> </w:t>
      </w:r>
      <w:r>
        <w:rPr/>
        <w:t>Connecting</w:t>
      </w:r>
      <w:r>
        <w:rPr>
          <w:spacing w:val="-8"/>
        </w:rPr>
        <w:t> </w:t>
      </w:r>
      <w:r>
        <w:rPr/>
        <w:t>Europe</w:t>
      </w:r>
      <w:r>
        <w:rPr>
          <w:spacing w:val="-5"/>
        </w:rPr>
        <w:t> </w:t>
      </w:r>
      <w:r>
        <w:rPr/>
        <w:t>Facility,</w:t>
      </w:r>
      <w:r>
        <w:rPr>
          <w:spacing w:val="-5"/>
        </w:rPr>
        <w:t> </w:t>
      </w:r>
      <w:r>
        <w:rPr/>
        <w:t>InvestEU,</w:t>
      </w:r>
      <w:r>
        <w:rPr>
          <w:spacing w:val="-5"/>
        </w:rPr>
        <w:t> …).</w:t>
      </w:r>
    </w:p>
    <w:p>
      <w:pPr>
        <w:pStyle w:val="BodyText"/>
        <w:spacing w:before="10"/>
        <w:rPr>
          <w:sz w:val="21"/>
        </w:rPr>
      </w:pPr>
    </w:p>
    <w:p>
      <w:pPr>
        <w:pStyle w:val="BodyText"/>
        <w:spacing w:before="1"/>
        <w:ind w:left="372" w:right="201"/>
      </w:pPr>
      <w:r>
        <w:rPr/>
        <w:t>In</w:t>
      </w:r>
      <w:r>
        <w:rPr>
          <w:spacing w:val="-2"/>
        </w:rPr>
        <w:t> </w:t>
      </w:r>
      <w:r>
        <w:rPr/>
        <w:t>addition</w:t>
      </w:r>
      <w:r>
        <w:rPr>
          <w:spacing w:val="-5"/>
        </w:rPr>
        <w:t> </w:t>
      </w:r>
      <w:r>
        <w:rPr/>
        <w:t>to</w:t>
      </w:r>
      <w:r>
        <w:rPr>
          <w:spacing w:val="-5"/>
        </w:rPr>
        <w:t> </w:t>
      </w:r>
      <w:r>
        <w:rPr/>
        <w:t>these</w:t>
      </w:r>
      <w:r>
        <w:rPr>
          <w:spacing w:val="-2"/>
        </w:rPr>
        <w:t> </w:t>
      </w:r>
      <w:r>
        <w:rPr/>
        <w:t>main</w:t>
      </w:r>
      <w:r>
        <w:rPr>
          <w:spacing w:val="-2"/>
        </w:rPr>
        <w:t> </w:t>
      </w:r>
      <w:r>
        <w:rPr/>
        <w:t>tasks,</w:t>
      </w:r>
      <w:r>
        <w:rPr>
          <w:spacing w:val="-2"/>
        </w:rPr>
        <w:t> </w:t>
      </w:r>
      <w:r>
        <w:rPr/>
        <w:t>the</w:t>
      </w:r>
      <w:r>
        <w:rPr>
          <w:spacing w:val="-2"/>
        </w:rPr>
        <w:t> </w:t>
      </w:r>
      <w:r>
        <w:rPr/>
        <w:t>SNE</w:t>
      </w:r>
      <w:r>
        <w:rPr>
          <w:spacing w:val="-2"/>
        </w:rPr>
        <w:t> </w:t>
      </w:r>
      <w:r>
        <w:rPr/>
        <w:t>would</w:t>
      </w:r>
      <w:r>
        <w:rPr>
          <w:spacing w:val="-2"/>
        </w:rPr>
        <w:t> </w:t>
      </w:r>
      <w:r>
        <w:rPr/>
        <w:t>be</w:t>
      </w:r>
      <w:r>
        <w:rPr>
          <w:spacing w:val="-1"/>
        </w:rPr>
        <w:t> </w:t>
      </w:r>
      <w:r>
        <w:rPr/>
        <w:t>in</w:t>
      </w:r>
      <w:r>
        <w:rPr>
          <w:spacing w:val="-2"/>
        </w:rPr>
        <w:t> </w:t>
      </w:r>
      <w:r>
        <w:rPr/>
        <w:t>particular</w:t>
      </w:r>
      <w:r>
        <w:rPr>
          <w:spacing w:val="-2"/>
        </w:rPr>
        <w:t> </w:t>
      </w:r>
      <w:r>
        <w:rPr/>
        <w:t>following</w:t>
      </w:r>
      <w:r>
        <w:rPr>
          <w:spacing w:val="-5"/>
        </w:rPr>
        <w:t> </w:t>
      </w:r>
      <w:r>
        <w:rPr/>
        <w:t>several</w:t>
      </w:r>
      <w:r>
        <w:rPr>
          <w:spacing w:val="-4"/>
        </w:rPr>
        <w:t> </w:t>
      </w:r>
      <w:r>
        <w:rPr/>
        <w:t>Member</w:t>
      </w:r>
      <w:r>
        <w:rPr>
          <w:spacing w:val="-1"/>
        </w:rPr>
        <w:t> </w:t>
      </w:r>
      <w:r>
        <w:rPr/>
        <w:t>States</w:t>
      </w:r>
      <w:r>
        <w:rPr>
          <w:spacing w:val="-2"/>
        </w:rPr>
        <w:t> </w:t>
      </w:r>
      <w:r>
        <w:rPr/>
        <w:t>as</w:t>
      </w:r>
      <w:r>
        <w:rPr>
          <w:spacing w:val="-2"/>
        </w:rPr>
        <w:t> </w:t>
      </w:r>
      <w:r>
        <w:rPr/>
        <w:t>well</w:t>
      </w:r>
      <w:r>
        <w:rPr>
          <w:spacing w:val="-1"/>
        </w:rPr>
        <w:t> </w:t>
      </w:r>
      <w:r>
        <w:rPr/>
        <w:t>as</w:t>
      </w:r>
      <w:r>
        <w:rPr>
          <w:spacing w:val="-2"/>
        </w:rPr>
        <w:t> </w:t>
      </w:r>
      <w:r>
        <w:rPr/>
        <w:t>one</w:t>
      </w:r>
      <w:r>
        <w:rPr>
          <w:spacing w:val="-2"/>
        </w:rPr>
        <w:t> </w:t>
      </w:r>
      <w:r>
        <w:rPr/>
        <w:t>of the Core Network Corridors set up under the TEN-T regulation.</w:t>
      </w:r>
    </w:p>
    <w:p>
      <w:pPr>
        <w:pStyle w:val="BodyText"/>
        <w:rPr>
          <w:sz w:val="20"/>
        </w:rPr>
      </w:pPr>
    </w:p>
    <w:p>
      <w:pPr>
        <w:pStyle w:val="BodyText"/>
        <w:rPr>
          <w:sz w:val="20"/>
        </w:rPr>
      </w:pPr>
    </w:p>
    <w:p>
      <w:pPr>
        <w:pStyle w:val="BodyText"/>
        <w:spacing w:before="1"/>
        <w:rPr>
          <w:sz w:val="13"/>
        </w:rPr>
      </w:pPr>
      <w:r>
        <w:rPr/>
        <w:pict>
          <v:rect style="position:absolute;margin-left:42.599998pt;margin-top:8.765722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0"/>
          <w:numId w:val="2"/>
        </w:numPr>
        <w:tabs>
          <w:tab w:pos="799" w:val="left" w:leader="none"/>
          <w:tab w:pos="800" w:val="left" w:leader="none"/>
        </w:tabs>
        <w:spacing w:line="240" w:lineRule="auto" w:before="73" w:after="0"/>
        <w:ind w:left="799" w:right="0" w:hanging="428"/>
        <w:jc w:val="left"/>
        <w:rPr>
          <w:b/>
          <w:sz w:val="24"/>
        </w:rPr>
      </w:pPr>
      <w:r>
        <w:rPr>
          <w:b/>
          <w:sz w:val="24"/>
          <w:u w:val="single"/>
        </w:rPr>
        <w:t>Main</w:t>
      </w:r>
      <w:r>
        <w:rPr>
          <w:b/>
          <w:spacing w:val="-2"/>
          <w:sz w:val="24"/>
          <w:u w:val="single"/>
        </w:rPr>
        <w:t> qualifications</w:t>
      </w:r>
    </w:p>
    <w:p>
      <w:pPr>
        <w:pStyle w:val="BodyText"/>
        <w:spacing w:before="1"/>
        <w:rPr>
          <w:b/>
          <w:sz w:val="16"/>
        </w:rPr>
      </w:pPr>
    </w:p>
    <w:p>
      <w:pPr>
        <w:pStyle w:val="Heading1"/>
        <w:numPr>
          <w:ilvl w:val="0"/>
          <w:numId w:val="3"/>
        </w:numPr>
        <w:tabs>
          <w:tab w:pos="1040" w:val="left" w:leader="none"/>
        </w:tabs>
        <w:spacing w:line="240" w:lineRule="auto" w:before="91" w:after="0"/>
        <w:ind w:left="1039" w:right="0" w:hanging="241"/>
        <w:jc w:val="left"/>
      </w:pPr>
      <w:r>
        <w:rPr/>
        <w:t>Eligibility</w:t>
      </w:r>
      <w:r>
        <w:rPr>
          <w:spacing w:val="-10"/>
        </w:rPr>
        <w:t> </w:t>
      </w:r>
      <w:r>
        <w:rPr>
          <w:spacing w:val="-2"/>
        </w:rPr>
        <w:t>criteria</w:t>
      </w:r>
    </w:p>
    <w:p>
      <w:pPr>
        <w:pStyle w:val="BodyText"/>
        <w:spacing w:before="7"/>
        <w:rPr>
          <w:b/>
          <w:sz w:val="21"/>
        </w:rPr>
      </w:pPr>
    </w:p>
    <w:p>
      <w:pPr>
        <w:pStyle w:val="BodyText"/>
        <w:ind w:left="799" w:right="107"/>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spacing w:before="1"/>
      </w:pPr>
    </w:p>
    <w:p>
      <w:pPr>
        <w:pStyle w:val="ListParagraph"/>
        <w:numPr>
          <w:ilvl w:val="0"/>
          <w:numId w:val="4"/>
        </w:numPr>
        <w:tabs>
          <w:tab w:pos="1081" w:val="left" w:leader="none"/>
        </w:tabs>
        <w:spacing w:line="240" w:lineRule="auto" w:before="0" w:after="0"/>
        <w:ind w:left="1080" w:right="107"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1"/>
        <w:rPr>
          <w:sz w:val="21"/>
        </w:rPr>
      </w:pPr>
    </w:p>
    <w:p>
      <w:pPr>
        <w:pStyle w:val="ListParagraph"/>
        <w:numPr>
          <w:ilvl w:val="0"/>
          <w:numId w:val="4"/>
        </w:numPr>
        <w:tabs>
          <w:tab w:pos="1081" w:val="left" w:leader="none"/>
        </w:tabs>
        <w:spacing w:line="240" w:lineRule="auto" w:before="0" w:after="0"/>
        <w:ind w:left="1080" w:right="116"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
      </w:pPr>
    </w:p>
    <w:p>
      <w:pPr>
        <w:pStyle w:val="ListParagraph"/>
        <w:numPr>
          <w:ilvl w:val="0"/>
          <w:numId w:val="4"/>
        </w:numPr>
        <w:tabs>
          <w:tab w:pos="1081" w:val="left" w:leader="none"/>
        </w:tabs>
        <w:spacing w:line="240" w:lineRule="auto" w:before="0" w:after="0"/>
        <w:ind w:left="1080" w:right="112"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4"/>
        <w:rPr>
          <w:sz w:val="24"/>
        </w:rPr>
      </w:pPr>
    </w:p>
    <w:p>
      <w:pPr>
        <w:pStyle w:val="Heading1"/>
        <w:numPr>
          <w:ilvl w:val="0"/>
          <w:numId w:val="3"/>
        </w:numPr>
        <w:tabs>
          <w:tab w:pos="1081" w:val="left" w:leader="none"/>
        </w:tabs>
        <w:spacing w:line="240" w:lineRule="auto" w:before="0" w:after="0"/>
        <w:ind w:left="1080" w:right="0" w:hanging="282"/>
        <w:jc w:val="left"/>
      </w:pPr>
      <w:r>
        <w:rPr>
          <w:u w:val="single"/>
        </w:rPr>
        <w:t>Selection</w:t>
      </w:r>
      <w:r>
        <w:rPr>
          <w:spacing w:val="-4"/>
          <w:u w:val="single"/>
        </w:rPr>
        <w:t> </w:t>
      </w:r>
      <w:r>
        <w:rPr>
          <w:spacing w:val="-2"/>
          <w:u w:val="single"/>
        </w:rPr>
        <w:t>criteria</w:t>
      </w:r>
    </w:p>
    <w:p>
      <w:pPr>
        <w:pStyle w:val="BodyText"/>
        <w:spacing w:before="9"/>
        <w:rPr>
          <w:b/>
          <w:sz w:val="15"/>
        </w:rPr>
      </w:pPr>
    </w:p>
    <w:p>
      <w:pPr>
        <w:pStyle w:val="BodyText"/>
        <w:spacing w:line="252" w:lineRule="exact" w:before="91"/>
        <w:ind w:left="1080"/>
      </w:pPr>
      <w:r>
        <w:rPr>
          <w:spacing w:val="-2"/>
          <w:u w:val="single"/>
        </w:rPr>
        <w:t>Diploma</w:t>
      </w:r>
    </w:p>
    <w:p>
      <w:pPr>
        <w:pStyle w:val="ListParagraph"/>
        <w:numPr>
          <w:ilvl w:val="1"/>
          <w:numId w:val="3"/>
        </w:numPr>
        <w:tabs>
          <w:tab w:pos="1206" w:val="left" w:leader="none"/>
        </w:tabs>
        <w:spacing w:line="252" w:lineRule="exact" w:before="0"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1"/>
          <w:numId w:val="3"/>
        </w:numPr>
        <w:tabs>
          <w:tab w:pos="1206" w:val="left" w:leader="none"/>
        </w:tabs>
        <w:spacing w:line="240" w:lineRule="auto" w:before="1" w:after="0"/>
        <w:ind w:left="1205" w:right="0" w:hanging="126"/>
        <w:jc w:val="left"/>
        <w:rPr>
          <w:sz w:val="22"/>
        </w:rPr>
      </w:pPr>
      <w:r>
        <w:rPr>
          <w:sz w:val="22"/>
        </w:rPr>
        <w:t>professional</w:t>
      </w:r>
      <w:r>
        <w:rPr>
          <w:spacing w:val="-3"/>
          <w:sz w:val="22"/>
        </w:rPr>
        <w:t> </w:t>
      </w:r>
      <w:r>
        <w:rPr>
          <w:sz w:val="22"/>
        </w:rPr>
        <w:t>training</w:t>
      </w:r>
      <w:r>
        <w:rPr>
          <w:spacing w:val="-6"/>
          <w:sz w:val="22"/>
        </w:rPr>
        <w:t> </w:t>
      </w:r>
      <w:r>
        <w:rPr>
          <w:sz w:val="22"/>
        </w:rPr>
        <w:t>or</w:t>
      </w:r>
      <w:r>
        <w:rPr>
          <w:spacing w:val="-3"/>
          <w:sz w:val="22"/>
        </w:rPr>
        <w:t> </w:t>
      </w:r>
      <w:r>
        <w:rPr>
          <w:sz w:val="22"/>
        </w:rPr>
        <w:t>professional</w:t>
      </w:r>
      <w:r>
        <w:rPr>
          <w:spacing w:val="-5"/>
          <w:sz w:val="22"/>
        </w:rPr>
        <w:t> </w:t>
      </w:r>
      <w:r>
        <w:rPr>
          <w:sz w:val="22"/>
        </w:rPr>
        <w:t>experience</w:t>
      </w:r>
      <w:r>
        <w:rPr>
          <w:spacing w:val="-4"/>
          <w:sz w:val="22"/>
        </w:rPr>
        <w:t> </w:t>
      </w:r>
      <w:r>
        <w:rPr>
          <w:sz w:val="22"/>
        </w:rPr>
        <w:t>of</w:t>
      </w:r>
      <w:r>
        <w:rPr>
          <w:spacing w:val="-5"/>
          <w:sz w:val="22"/>
        </w:rPr>
        <w:t> </w:t>
      </w:r>
      <w:r>
        <w:rPr>
          <w:sz w:val="22"/>
        </w:rPr>
        <w:t>an</w:t>
      </w:r>
      <w:r>
        <w:rPr>
          <w:spacing w:val="-5"/>
          <w:sz w:val="22"/>
        </w:rPr>
        <w:t> </w:t>
      </w:r>
      <w:r>
        <w:rPr>
          <w:sz w:val="22"/>
        </w:rPr>
        <w:t>equivalent</w:t>
      </w:r>
      <w:r>
        <w:rPr>
          <w:spacing w:val="-4"/>
          <w:sz w:val="22"/>
        </w:rPr>
        <w:t> </w:t>
      </w:r>
      <w:r>
        <w:rPr>
          <w:spacing w:val="-2"/>
          <w:sz w:val="22"/>
        </w:rPr>
        <w:t>level</w:t>
      </w:r>
    </w:p>
    <w:p>
      <w:pPr>
        <w:pStyle w:val="BodyText"/>
        <w:spacing w:before="10"/>
        <w:rPr>
          <w:sz w:val="21"/>
        </w:rPr>
      </w:pPr>
    </w:p>
    <w:p>
      <w:pPr>
        <w:pStyle w:val="BodyText"/>
        <w:ind w:left="1080" w:right="201" w:firstLine="110"/>
      </w:pPr>
      <w:r>
        <w:rPr/>
        <w:t>in the field(s) : economics, law, business administration, political sciences, transport policy, geography,</w:t>
      </w:r>
      <w:r>
        <w:rPr>
          <w:spacing w:val="40"/>
        </w:rPr>
        <w:t> </w:t>
      </w:r>
      <w:r>
        <w:rPr/>
        <w:t>or engineering</w:t>
      </w:r>
    </w:p>
    <w:p>
      <w:pPr>
        <w:pStyle w:val="BodyText"/>
        <w:spacing w:before="2"/>
      </w:pPr>
    </w:p>
    <w:p>
      <w:pPr>
        <w:pStyle w:val="BodyText"/>
        <w:ind w:left="1080"/>
      </w:pPr>
      <w:r>
        <w:rPr>
          <w:u w:val="single"/>
        </w:rPr>
        <w:t>Professional</w:t>
      </w:r>
      <w:r>
        <w:rPr>
          <w:spacing w:val="-4"/>
          <w:u w:val="single"/>
        </w:rPr>
        <w:t> </w:t>
      </w:r>
      <w:r>
        <w:rPr>
          <w:spacing w:val="-2"/>
          <w:u w:val="single"/>
        </w:rPr>
        <w:t>experience</w:t>
      </w:r>
    </w:p>
    <w:p>
      <w:pPr>
        <w:pStyle w:val="BodyText"/>
        <w:spacing w:before="10"/>
        <w:rPr>
          <w:sz w:val="13"/>
        </w:rPr>
      </w:pPr>
    </w:p>
    <w:p>
      <w:pPr>
        <w:pStyle w:val="BodyText"/>
        <w:spacing w:before="92"/>
        <w:ind w:left="1080"/>
      </w:pPr>
      <w:r>
        <w:rPr/>
        <w:t>At</w:t>
      </w:r>
      <w:r>
        <w:rPr>
          <w:spacing w:val="32"/>
        </w:rPr>
        <w:t> </w:t>
      </w:r>
      <w:r>
        <w:rPr/>
        <w:t>least</w:t>
      </w:r>
      <w:r>
        <w:rPr>
          <w:spacing w:val="30"/>
        </w:rPr>
        <w:t> </w:t>
      </w:r>
      <w:r>
        <w:rPr/>
        <w:t>three</w:t>
      </w:r>
      <w:r>
        <w:rPr>
          <w:spacing w:val="32"/>
        </w:rPr>
        <w:t> </w:t>
      </w:r>
      <w:r>
        <w:rPr/>
        <w:t>years</w:t>
      </w:r>
      <w:r>
        <w:rPr>
          <w:spacing w:val="29"/>
        </w:rPr>
        <w:t> </w:t>
      </w:r>
      <w:r>
        <w:rPr/>
        <w:t>in</w:t>
      </w:r>
      <w:r>
        <w:rPr>
          <w:spacing w:val="31"/>
        </w:rPr>
        <w:t> </w:t>
      </w:r>
      <w:r>
        <w:rPr/>
        <w:t>transport</w:t>
      </w:r>
      <w:r>
        <w:rPr>
          <w:spacing w:val="32"/>
        </w:rPr>
        <w:t> </w:t>
      </w:r>
      <w:r>
        <w:rPr/>
        <w:t>policy.</w:t>
      </w:r>
      <w:r>
        <w:rPr>
          <w:spacing w:val="36"/>
        </w:rPr>
        <w:t> </w:t>
      </w:r>
      <w:r>
        <w:rPr/>
        <w:t>Experience</w:t>
      </w:r>
      <w:r>
        <w:rPr>
          <w:spacing w:val="29"/>
        </w:rPr>
        <w:t> </w:t>
      </w:r>
      <w:r>
        <w:rPr/>
        <w:t>in</w:t>
      </w:r>
      <w:r>
        <w:rPr>
          <w:spacing w:val="31"/>
        </w:rPr>
        <w:t> </w:t>
      </w:r>
      <w:r>
        <w:rPr/>
        <w:t>transport</w:t>
      </w:r>
      <w:r>
        <w:rPr>
          <w:spacing w:val="32"/>
        </w:rPr>
        <w:t> </w:t>
      </w:r>
      <w:r>
        <w:rPr/>
        <w:t>investment</w:t>
      </w:r>
      <w:r>
        <w:rPr>
          <w:spacing w:val="32"/>
        </w:rPr>
        <w:t> </w:t>
      </w:r>
      <w:r>
        <w:rPr/>
        <w:t>and</w:t>
      </w:r>
      <w:r>
        <w:rPr>
          <w:spacing w:val="31"/>
        </w:rPr>
        <w:t> </w:t>
      </w:r>
      <w:r>
        <w:rPr/>
        <w:t>transport</w:t>
      </w:r>
      <w:r>
        <w:rPr>
          <w:spacing w:val="30"/>
        </w:rPr>
        <w:t> </w:t>
      </w:r>
      <w:r>
        <w:rPr/>
        <w:t>infrastructure development would be an asset.</w:t>
      </w:r>
    </w:p>
    <w:p>
      <w:pPr>
        <w:pStyle w:val="BodyText"/>
        <w:spacing w:before="2"/>
      </w:pPr>
    </w:p>
    <w:p>
      <w:pPr>
        <w:pStyle w:val="BodyText"/>
        <w:ind w:left="1080"/>
      </w:pPr>
      <w:r>
        <w:rPr>
          <w:u w:val="single"/>
        </w:rPr>
        <w:t>Language(s)</w:t>
      </w:r>
      <w:r>
        <w:rPr>
          <w:spacing w:val="-3"/>
          <w:u w:val="single"/>
        </w:rPr>
        <w:t> </w:t>
      </w:r>
      <w:r>
        <w:rPr>
          <w:u w:val="single"/>
        </w:rPr>
        <w:t>necessary</w:t>
      </w:r>
      <w:r>
        <w:rPr>
          <w:spacing w:val="-7"/>
          <w:u w:val="single"/>
        </w:rPr>
        <w:t> </w:t>
      </w:r>
      <w:r>
        <w:rPr>
          <w:u w:val="single"/>
        </w:rPr>
        <w:t>for</w:t>
      </w:r>
      <w:r>
        <w:rPr>
          <w:spacing w:val="-3"/>
          <w:u w:val="single"/>
        </w:rPr>
        <w:t> </w:t>
      </w:r>
      <w:r>
        <w:rPr>
          <w:u w:val="single"/>
        </w:rPr>
        <w:t>the</w:t>
      </w:r>
      <w:r>
        <w:rPr>
          <w:spacing w:val="-4"/>
          <w:u w:val="single"/>
        </w:rPr>
        <w:t> </w:t>
      </w:r>
      <w:r>
        <w:rPr>
          <w:u w:val="single"/>
        </w:rPr>
        <w:t>performance</w:t>
      </w:r>
      <w:r>
        <w:rPr>
          <w:spacing w:val="-4"/>
          <w:u w:val="single"/>
        </w:rPr>
        <w:t> </w:t>
      </w:r>
      <w:r>
        <w:rPr>
          <w:u w:val="single"/>
        </w:rPr>
        <w:t>of</w:t>
      </w:r>
      <w:r>
        <w:rPr>
          <w:spacing w:val="-2"/>
          <w:u w:val="single"/>
        </w:rPr>
        <w:t> duties</w:t>
      </w:r>
    </w:p>
    <w:p>
      <w:pPr>
        <w:pStyle w:val="BodyText"/>
        <w:spacing w:before="1"/>
        <w:rPr>
          <w:sz w:val="14"/>
        </w:rPr>
      </w:pPr>
    </w:p>
    <w:p>
      <w:pPr>
        <w:pStyle w:val="BodyText"/>
        <w:spacing w:before="91"/>
        <w:ind w:left="1080"/>
      </w:pPr>
      <w:r>
        <w:rPr/>
        <w:t>English.</w:t>
      </w:r>
      <w:r>
        <w:rPr>
          <w:spacing w:val="-6"/>
        </w:rPr>
        <w:t> </w:t>
      </w:r>
      <w:r>
        <w:rPr/>
        <w:t>Knowledge</w:t>
      </w:r>
      <w:r>
        <w:rPr>
          <w:spacing w:val="-3"/>
        </w:rPr>
        <w:t> </w:t>
      </w:r>
      <w:r>
        <w:rPr/>
        <w:t>of</w:t>
      </w:r>
      <w:r>
        <w:rPr>
          <w:spacing w:val="-2"/>
        </w:rPr>
        <w:t> </w:t>
      </w:r>
      <w:r>
        <w:rPr/>
        <w:t>other</w:t>
      </w:r>
      <w:r>
        <w:rPr>
          <w:spacing w:val="-3"/>
        </w:rPr>
        <w:t> </w:t>
      </w:r>
      <w:r>
        <w:rPr/>
        <w:t>EU</w:t>
      </w:r>
      <w:r>
        <w:rPr>
          <w:spacing w:val="-5"/>
        </w:rPr>
        <w:t> </w:t>
      </w:r>
      <w:r>
        <w:rPr/>
        <w:t>languages</w:t>
      </w:r>
      <w:r>
        <w:rPr>
          <w:spacing w:val="-3"/>
        </w:rPr>
        <w:t> </w:t>
      </w:r>
      <w:r>
        <w:rPr/>
        <w:t>(especially</w:t>
      </w:r>
      <w:r>
        <w:rPr>
          <w:spacing w:val="-6"/>
        </w:rPr>
        <w:t> </w:t>
      </w:r>
      <w:r>
        <w:rPr/>
        <w:t>French)</w:t>
      </w:r>
      <w:r>
        <w:rPr>
          <w:spacing w:val="-3"/>
        </w:rPr>
        <w:t> </w:t>
      </w:r>
      <w:r>
        <w:rPr/>
        <w:t>would</w:t>
      </w:r>
      <w:r>
        <w:rPr>
          <w:spacing w:val="-3"/>
        </w:rPr>
        <w:t> </w:t>
      </w:r>
      <w:r>
        <w:rPr/>
        <w:t>be</w:t>
      </w:r>
      <w:r>
        <w:rPr>
          <w:spacing w:val="-3"/>
        </w:rPr>
        <w:t> </w:t>
      </w:r>
      <w:r>
        <w:rPr/>
        <w:t>an</w:t>
      </w:r>
      <w:r>
        <w:rPr>
          <w:spacing w:val="-6"/>
        </w:rPr>
        <w:t> </w:t>
      </w:r>
      <w:r>
        <w:rPr>
          <w:spacing w:val="-2"/>
        </w:rPr>
        <w:t>asset.</w:t>
      </w:r>
    </w:p>
    <w:p>
      <w:pPr>
        <w:pStyle w:val="BodyText"/>
        <w:spacing w:before="3"/>
      </w:pPr>
    </w:p>
    <w:p>
      <w:pPr>
        <w:pStyle w:val="ListParagraph"/>
        <w:numPr>
          <w:ilvl w:val="0"/>
          <w:numId w:val="2"/>
        </w:numPr>
        <w:tabs>
          <w:tab w:pos="799" w:val="left" w:leader="none"/>
          <w:tab w:pos="800" w:val="left" w:leader="none"/>
        </w:tabs>
        <w:spacing w:line="240" w:lineRule="auto" w:before="1"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7"/>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6"/>
        <w:rPr>
          <w:b/>
          <w:sz w:val="15"/>
        </w:rPr>
      </w:pPr>
    </w:p>
    <w:p>
      <w:pPr>
        <w:spacing w:line="240" w:lineRule="auto" w:before="92"/>
        <w:ind w:left="799" w:right="278" w:firstLine="0"/>
        <w:jc w:val="both"/>
        <w:rPr>
          <w:b/>
          <w:sz w:val="22"/>
        </w:rPr>
      </w:pPr>
      <w:r>
        <w:rPr>
          <w:sz w:val="22"/>
        </w:rPr>
        <w:t>Candidates should send their application according to the </w:t>
      </w:r>
      <w:r>
        <w:rPr>
          <w:b/>
          <w:sz w:val="22"/>
        </w:rPr>
        <w:t>Europass CV format </w:t>
      </w:r>
      <w:r>
        <w:rPr>
          <w:sz w:val="22"/>
        </w:rPr>
        <w:t>(</w:t>
      </w:r>
      <w:hyperlink r:id="rId10">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rPr>
          <w:b/>
        </w:rPr>
      </w:pPr>
    </w:p>
    <w:p>
      <w:pPr>
        <w:pStyle w:val="BodyText"/>
        <w:spacing w:before="1"/>
        <w:ind w:left="799" w:right="201"/>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w:t>
      </w:r>
      <w:r>
        <w:rPr>
          <w:spacing w:val="40"/>
        </w:rPr>
        <w:t> </w:t>
      </w:r>
      <w:r>
        <w:rPr/>
        <w:t>certificate of professional experience, etc.). If necessary, these will be requested at a later stage.</w:t>
      </w:r>
    </w:p>
    <w:p>
      <w:pPr>
        <w:pStyle w:val="BodyText"/>
        <w:ind w:left="799"/>
      </w:pPr>
      <w:r>
        <w:rPr/>
        <w:t>Candidates</w:t>
      </w:r>
      <w:r>
        <w:rPr>
          <w:spacing w:val="-3"/>
        </w:rPr>
        <w:t> </w:t>
      </w:r>
      <w:r>
        <w:rPr/>
        <w:t>will</w:t>
      </w:r>
      <w:r>
        <w:rPr>
          <w:spacing w:val="-2"/>
        </w:rPr>
        <w:t> </w:t>
      </w:r>
      <w:r>
        <w:rPr/>
        <w:t>be</w:t>
      </w:r>
      <w:r>
        <w:rPr>
          <w:spacing w:val="-3"/>
        </w:rPr>
        <w:t> </w:t>
      </w:r>
      <w:r>
        <w:rPr/>
        <w:t>informed</w:t>
      </w:r>
      <w:r>
        <w:rPr>
          <w:spacing w:val="-2"/>
        </w:rPr>
        <w:t> </w:t>
      </w:r>
      <w:r>
        <w:rPr/>
        <w:t>of</w:t>
      </w:r>
      <w:r>
        <w:rPr>
          <w:spacing w:val="-2"/>
        </w:rPr>
        <w:t> </w:t>
      </w:r>
      <w:r>
        <w:rPr/>
        <w:t>the</w:t>
      </w:r>
      <w:r>
        <w:rPr>
          <w:spacing w:val="-5"/>
        </w:rPr>
        <w:t> </w:t>
      </w:r>
      <w:r>
        <w:rPr/>
        <w:t>follow-up</w:t>
      </w:r>
      <w:r>
        <w:rPr>
          <w:spacing w:val="-3"/>
        </w:rPr>
        <w:t> </w:t>
      </w:r>
      <w:r>
        <w:rPr/>
        <w:t>of</w:t>
      </w:r>
      <w:r>
        <w:rPr>
          <w:spacing w:val="-2"/>
        </w:rPr>
        <w:t> </w:t>
      </w:r>
      <w:r>
        <w:rPr/>
        <w:t>their</w:t>
      </w:r>
      <w:r>
        <w:rPr>
          <w:spacing w:val="-5"/>
        </w:rPr>
        <w:t> </w:t>
      </w:r>
      <w:r>
        <w:rPr/>
        <w:t>application</w:t>
      </w:r>
      <w:r>
        <w:rPr>
          <w:spacing w:val="-6"/>
        </w:rPr>
        <w:t> </w:t>
      </w:r>
      <w:r>
        <w:rPr/>
        <w:t>by</w:t>
      </w:r>
      <w:r>
        <w:rPr>
          <w:spacing w:val="-5"/>
        </w:rPr>
        <w:t> </w:t>
      </w:r>
      <w:r>
        <w:rPr/>
        <w:t>the</w:t>
      </w:r>
      <w:r>
        <w:rPr>
          <w:spacing w:val="-3"/>
        </w:rPr>
        <w:t> </w:t>
      </w:r>
      <w:r>
        <w:rPr/>
        <w:t>unit</w:t>
      </w:r>
      <w:r>
        <w:rPr>
          <w:spacing w:val="-4"/>
        </w:rPr>
        <w:t> </w:t>
      </w:r>
      <w:r>
        <w:rPr>
          <w:spacing w:val="-2"/>
        </w:rPr>
        <w:t>concerned.</w:t>
      </w:r>
    </w:p>
    <w:p>
      <w:pPr>
        <w:pStyle w:val="ListParagraph"/>
        <w:numPr>
          <w:ilvl w:val="0"/>
          <w:numId w:val="2"/>
        </w:numPr>
        <w:tabs>
          <w:tab w:pos="799" w:val="left" w:leader="none"/>
          <w:tab w:pos="800" w:val="left" w:leader="none"/>
        </w:tabs>
        <w:spacing w:line="240" w:lineRule="auto" w:before="4"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3"/>
          <w:sz w:val="24"/>
          <w:u w:val="single"/>
        </w:rPr>
        <w:t> </w:t>
      </w:r>
      <w:r>
        <w:rPr>
          <w:b/>
          <w:sz w:val="24"/>
          <w:u w:val="single"/>
        </w:rPr>
        <w:t>the</w:t>
      </w:r>
      <w:r>
        <w:rPr>
          <w:b/>
          <w:spacing w:val="-6"/>
          <w:sz w:val="24"/>
          <w:u w:val="single"/>
        </w:rPr>
        <w:t> </w:t>
      </w:r>
      <w:r>
        <w:rPr>
          <w:b/>
          <w:spacing w:val="-2"/>
          <w:sz w:val="24"/>
          <w:u w:val="single"/>
        </w:rPr>
        <w:t>secondment</w:t>
      </w:r>
    </w:p>
    <w:p>
      <w:pPr>
        <w:pStyle w:val="BodyText"/>
        <w:spacing w:before="7"/>
        <w:rPr>
          <w:b/>
          <w:sz w:val="15"/>
        </w:rPr>
      </w:pPr>
    </w:p>
    <w:p>
      <w:pPr>
        <w:spacing w:before="92"/>
        <w:ind w:left="79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spacing w:after="0"/>
        <w:jc w:val="both"/>
        <w:rPr>
          <w:sz w:val="22"/>
        </w:rPr>
        <w:sectPr>
          <w:pgSz w:w="11910" w:h="16840"/>
          <w:pgMar w:header="0" w:footer="690" w:top="1040" w:bottom="880" w:left="480" w:right="740"/>
        </w:sectPr>
      </w:pPr>
    </w:p>
    <w:p>
      <w:pPr>
        <w:pStyle w:val="BodyText"/>
        <w:spacing w:before="68"/>
        <w:ind w:left="799" w:right="285"/>
        <w:jc w:val="both"/>
      </w:pPr>
      <w:r>
        <w:rPr/>
        <w:t>The SNE will remain employed and remunerated by his/her employer during the secondment. He/she will equally remain covered by the national social security system.</w:t>
      </w:r>
    </w:p>
    <w:p>
      <w:pPr>
        <w:pStyle w:val="BodyText"/>
        <w:spacing w:before="1"/>
        <w:ind w:left="799" w:right="286"/>
        <w:jc w:val="both"/>
      </w:pPr>
      <w:r>
        <w:rPr/>
        <w:t>Unless for cost-free SNE, allowances may be granted by the Commission to SNE fulfilling the conditions provided for in Art. 17 of the SNE decision.</w:t>
      </w:r>
    </w:p>
    <w:p>
      <w:pPr>
        <w:pStyle w:val="BodyText"/>
        <w:spacing w:before="1"/>
      </w:pPr>
    </w:p>
    <w:p>
      <w:pPr>
        <w:pStyle w:val="BodyText"/>
        <w:spacing w:before="1"/>
        <w:ind w:left="799" w:right="290"/>
        <w:jc w:val="both"/>
      </w:pPr>
      <w:r>
        <w:rPr/>
        <w:t>During the secondment, SNE are subject to confidentiality, loyalty and absence of conflict of interest obligations, as provided for in Art. 6 and 7 of the SNE Decision.</w:t>
      </w:r>
    </w:p>
    <w:p>
      <w:pPr>
        <w:pStyle w:val="BodyText"/>
        <w:spacing w:line="251" w:lineRule="exact"/>
        <w:ind w:left="799"/>
        <w:jc w:val="both"/>
      </w:pPr>
      <w:r>
        <w:rPr/>
        <w:t>If</w:t>
      </w:r>
      <w:r>
        <w:rPr>
          <w:spacing w:val="-3"/>
        </w:rPr>
        <w:t> </w:t>
      </w:r>
      <w:r>
        <w:rPr/>
        <w:t>any</w:t>
      </w:r>
      <w:r>
        <w:rPr>
          <w:spacing w:val="-5"/>
        </w:rPr>
        <w:t> </w:t>
      </w:r>
      <w:r>
        <w:rPr/>
        <w:t>document</w:t>
      </w:r>
      <w:r>
        <w:rPr>
          <w:spacing w:val="-2"/>
        </w:rPr>
        <w:t> </w:t>
      </w:r>
      <w:r>
        <w:rPr/>
        <w:t>is</w:t>
      </w:r>
      <w:r>
        <w:rPr>
          <w:spacing w:val="-4"/>
        </w:rPr>
        <w:t> </w:t>
      </w:r>
      <w:r>
        <w:rPr/>
        <w:t>inexact,</w:t>
      </w:r>
      <w:r>
        <w:rPr>
          <w:spacing w:val="-6"/>
        </w:rPr>
        <w:t> </w:t>
      </w:r>
      <w:r>
        <w:rPr/>
        <w:t>incomplete</w:t>
      </w:r>
      <w:r>
        <w:rPr>
          <w:spacing w:val="-3"/>
        </w:rPr>
        <w:t> </w:t>
      </w:r>
      <w:r>
        <w:rPr/>
        <w:t>or</w:t>
      </w:r>
      <w:r>
        <w:rPr>
          <w:spacing w:val="-2"/>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pStyle w:val="BodyText"/>
      </w:pPr>
    </w:p>
    <w:p>
      <w:pPr>
        <w:pStyle w:val="BodyText"/>
        <w:ind w:left="799" w:right="285"/>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ind w:left="799" w:right="116"/>
        <w:jc w:val="both"/>
      </w:pPr>
      <w:r>
        <w:rPr/>
        <w:t>The selected candidate has the obligation to launch the vetting procedure before getting the secondment </w:t>
      </w:r>
      <w:r>
        <w:rPr>
          <w:spacing w:val="-2"/>
        </w:rPr>
        <w:t>confirmation.</w:t>
      </w:r>
    </w:p>
    <w:p>
      <w:pPr>
        <w:pStyle w:val="BodyText"/>
        <w:spacing w:before="5"/>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8"/>
        <w:rPr>
          <w:b/>
          <w:sz w:val="15"/>
        </w:rPr>
      </w:pPr>
    </w:p>
    <w:p>
      <w:pPr>
        <w:pStyle w:val="BodyText"/>
        <w:spacing w:before="91"/>
        <w:ind w:left="799" w:right="285"/>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spacing w:before="1"/>
        <w:ind w:left="799" w:right="291"/>
        <w:jc w:val="both"/>
      </w:pPr>
      <w:r>
        <w:rPr/>
        <w:t>Data is kept by the competent services for 10 years after the secondment (2 years for not selected or not seconded experts).</w:t>
      </w:r>
    </w:p>
    <w:p>
      <w:pPr>
        <w:pStyle w:val="BodyText"/>
        <w:ind w:left="799" w:right="284"/>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ind w:left="799" w:right="283"/>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5"/>
      </w:pPr>
    </w:p>
    <w:p>
      <w:pPr>
        <w:pStyle w:val="Heading1"/>
        <w:ind w:left="799" w:firstLine="0"/>
      </w:pPr>
      <w:r>
        <w:rPr>
          <w:u w:val="single"/>
        </w:rPr>
        <w:t>Contact</w:t>
      </w:r>
      <w:r>
        <w:rPr>
          <w:spacing w:val="-4"/>
          <w:u w:val="single"/>
        </w:rPr>
        <w:t> </w:t>
      </w:r>
      <w:r>
        <w:rPr>
          <w:spacing w:val="-2"/>
          <w:u w:val="single"/>
        </w:rPr>
        <w:t>information</w:t>
      </w:r>
    </w:p>
    <w:p>
      <w:pPr>
        <w:pStyle w:val="BodyText"/>
        <w:spacing w:before="1"/>
        <w:rPr>
          <w:b/>
        </w:rPr>
      </w:pPr>
    </w:p>
    <w:p>
      <w:pPr>
        <w:pStyle w:val="ListParagraph"/>
        <w:numPr>
          <w:ilvl w:val="0"/>
          <w:numId w:val="5"/>
        </w:numPr>
        <w:tabs>
          <w:tab w:pos="1081" w:val="left" w:leader="none"/>
        </w:tabs>
        <w:spacing w:line="266" w:lineRule="exact" w:before="0"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ind w:left="1080" w:right="281"/>
        <w:jc w:val="both"/>
      </w:pPr>
      <w:r>
        <w:rPr/>
        <w:t>If you would like to exercise your rights under Regulation (EU) 2018/1725, or if you have comments, questions or</w:t>
      </w:r>
      <w:r>
        <w:rPr>
          <w:spacing w:val="-1"/>
        </w:rPr>
        <w:t> </w:t>
      </w:r>
      <w:r>
        <w:rPr/>
        <w:t>concerns, or</w:t>
      </w:r>
      <w:r>
        <w:rPr>
          <w:spacing w:val="-1"/>
        </w:rPr>
        <w:t> </w:t>
      </w:r>
      <w:r>
        <w:rPr/>
        <w:t>if</w:t>
      </w:r>
      <w:r>
        <w:rPr>
          <w:spacing w:val="-3"/>
        </w:rPr>
        <w:t> </w:t>
      </w:r>
      <w:r>
        <w:rPr/>
        <w:t>you would</w:t>
      </w:r>
      <w:r>
        <w:rPr>
          <w:spacing w:val="-1"/>
        </w:rPr>
        <w:t> </w:t>
      </w:r>
      <w:r>
        <w:rPr/>
        <w:t>like</w:t>
      </w:r>
      <w:r>
        <w:rPr>
          <w:spacing w:val="-1"/>
        </w:rPr>
        <w:t> </w:t>
      </w:r>
      <w:r>
        <w:rPr/>
        <w:t>to</w:t>
      </w:r>
      <w:r>
        <w:rPr>
          <w:spacing w:val="-1"/>
        </w:rPr>
        <w:t> </w:t>
      </w:r>
      <w:r>
        <w:rPr/>
        <w:t>submit a</w:t>
      </w:r>
      <w:r>
        <w:rPr>
          <w:spacing w:val="-1"/>
        </w:rPr>
        <w:t> </w:t>
      </w:r>
      <w:r>
        <w:rPr/>
        <w:t>complaint regarding</w:t>
      </w:r>
      <w:r>
        <w:rPr>
          <w:spacing w:val="-4"/>
        </w:rPr>
        <w:t> </w:t>
      </w:r>
      <w:r>
        <w:rPr/>
        <w:t>the</w:t>
      </w:r>
      <w:r>
        <w:rPr>
          <w:spacing w:val="-1"/>
        </w:rPr>
        <w:t> </w:t>
      </w:r>
      <w:r>
        <w:rPr/>
        <w:t>collection and use</w:t>
      </w:r>
      <w:r>
        <w:rPr>
          <w:spacing w:val="-1"/>
        </w:rPr>
        <w:t> </w:t>
      </w:r>
      <w:r>
        <w:rPr/>
        <w:t>of</w:t>
      </w:r>
      <w:r>
        <w:rPr>
          <w:spacing w:val="-1"/>
        </w:rPr>
        <w:t> </w:t>
      </w:r>
      <w:r>
        <w:rPr/>
        <w:t>your personal data, please feel free to contact the Data Controller, HR.DDG.B.4, </w:t>
      </w:r>
      <w:hyperlink r:id="rId11">
        <w:r>
          <w:rPr>
            <w:color w:val="0000FF"/>
            <w:u w:val="single" w:color="0000FF"/>
          </w:rPr>
          <w:t>HR-MAIL-</w:t>
        </w:r>
      </w:hyperlink>
      <w:r>
        <w:rPr>
          <w:color w:val="0000FF"/>
          <w:spacing w:val="40"/>
        </w:rPr>
        <w:t> </w:t>
      </w:r>
      <w:hyperlink r:id="rId11">
        <w:r>
          <w:rPr>
            <w:color w:val="0000FF"/>
            <w:spacing w:val="-2"/>
            <w:u w:val="single" w:color="0000FF"/>
          </w:rPr>
          <w:t>B4@ec.europa.eu</w:t>
        </w:r>
        <w:r>
          <w:rPr>
            <w:spacing w:val="-2"/>
          </w:rPr>
          <w:t>.</w:t>
        </w:r>
      </w:hyperlink>
    </w:p>
    <w:p>
      <w:pPr>
        <w:pStyle w:val="BodyText"/>
        <w:spacing w:before="3"/>
      </w:pPr>
    </w:p>
    <w:p>
      <w:pPr>
        <w:pStyle w:val="Heading1"/>
        <w:numPr>
          <w:ilvl w:val="0"/>
          <w:numId w:val="5"/>
        </w:numPr>
        <w:tabs>
          <w:tab w:pos="1081" w:val="left" w:leader="none"/>
        </w:tabs>
        <w:spacing w:line="266" w:lineRule="exact" w:before="0" w:after="0"/>
        <w:ind w:left="1080" w:right="0" w:hanging="282"/>
        <w:jc w:val="both"/>
      </w:pPr>
      <w:r>
        <w:rPr/>
        <w:t>The</w:t>
      </w:r>
      <w:r>
        <w:rPr>
          <w:spacing w:val="-4"/>
        </w:rPr>
        <w:t> </w:t>
      </w:r>
      <w:r>
        <w:rPr/>
        <w:t>Data</w:t>
      </w:r>
      <w:r>
        <w:rPr>
          <w:spacing w:val="-6"/>
        </w:rPr>
        <w:t> </w:t>
      </w:r>
      <w:r>
        <w:rPr/>
        <w:t>Protection</w:t>
      </w:r>
      <w:r>
        <w:rPr>
          <w:spacing w:val="-3"/>
        </w:rPr>
        <w:t> </w:t>
      </w:r>
      <w:r>
        <w:rPr/>
        <w:t>Officer</w:t>
      </w:r>
      <w:r>
        <w:rPr>
          <w:spacing w:val="-3"/>
        </w:rPr>
        <w:t> </w:t>
      </w:r>
      <w:r>
        <w:rPr/>
        <w:t>(DPO)</w:t>
      </w:r>
      <w:r>
        <w:rPr>
          <w:spacing w:val="-2"/>
        </w:rPr>
        <w:t> </w:t>
      </w:r>
      <w:r>
        <w:rPr/>
        <w:t>of</w:t>
      </w:r>
      <w:r>
        <w:rPr>
          <w:spacing w:val="-3"/>
        </w:rPr>
        <w:t> </w:t>
      </w:r>
      <w:r>
        <w:rPr/>
        <w:t>the</w:t>
      </w:r>
      <w:r>
        <w:rPr>
          <w:spacing w:val="-3"/>
        </w:rPr>
        <w:t> </w:t>
      </w:r>
      <w:r>
        <w:rPr>
          <w:spacing w:val="-2"/>
        </w:rPr>
        <w:t>Commission</w:t>
      </w:r>
    </w:p>
    <w:p>
      <w:pPr>
        <w:pStyle w:val="BodyText"/>
        <w:ind w:left="1080" w:right="280"/>
        <w:jc w:val="both"/>
      </w:pPr>
      <w:r>
        <w:rPr/>
        <w:t>You may contact the Data Protection Officer (</w:t>
      </w:r>
      <w:hyperlink r:id="rId12">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spacing w:before="3"/>
      </w:pPr>
    </w:p>
    <w:p>
      <w:pPr>
        <w:pStyle w:val="Heading1"/>
        <w:numPr>
          <w:ilvl w:val="0"/>
          <w:numId w:val="5"/>
        </w:numPr>
        <w:tabs>
          <w:tab w:pos="1081" w:val="left" w:leader="none"/>
        </w:tabs>
        <w:spacing w:line="266" w:lineRule="exact" w:before="0"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ind w:left="1080" w:right="286"/>
        <w:jc w:val="both"/>
      </w:pPr>
      <w:r>
        <w:rPr/>
        <w:pict>
          <v:rect style="position:absolute;margin-left:230.330002pt;margin-top:24.06955pt;width:3.72pt;height:.47998pt;mso-position-horizontal-relative:page;mso-position-vertical-relative:paragraph;z-index:15729152" id="docshape3" filled="true" fillcolor="#000000" stroked="false">
            <v:fill type="solid"/>
            <w10:wrap type="none"/>
          </v:rect>
        </w:pict>
      </w:r>
      <w:r>
        <w:rPr/>
        <w:t>You have the right to have recourse (i.e. you can lodge a complaint) to the European Data Protection Supervisor</w:t>
      </w:r>
      <w:r>
        <w:rPr>
          <w:u w:val="single"/>
        </w:rPr>
        <w:t> (</w:t>
      </w:r>
      <w:hyperlink r:id="rId13">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2" w:lineRule="exact"/>
        <w:ind w:left="1080"/>
        <w:jc w:val="both"/>
      </w:pPr>
      <w:r>
        <w:rPr/>
        <w:t>To</w:t>
      </w:r>
      <w:r>
        <w:rPr>
          <w:spacing w:val="-6"/>
        </w:rPr>
        <w:t> </w:t>
      </w:r>
      <w:r>
        <w:rPr/>
        <w:t>the</w:t>
      </w:r>
      <w:r>
        <w:rPr>
          <w:spacing w:val="-4"/>
        </w:rPr>
        <w:t> </w:t>
      </w:r>
      <w:r>
        <w:rPr/>
        <w:t>attention</w:t>
      </w:r>
      <w:r>
        <w:rPr>
          <w:spacing w:val="-3"/>
        </w:rPr>
        <w:t> </w:t>
      </w:r>
      <w:r>
        <w:rPr/>
        <w:t>of</w:t>
      </w:r>
      <w:r>
        <w:rPr>
          <w:spacing w:val="-4"/>
        </w:rPr>
        <w:t> </w:t>
      </w:r>
      <w:r>
        <w:rPr/>
        <w:t>candidates</w:t>
      </w:r>
      <w:r>
        <w:rPr>
          <w:spacing w:val="-2"/>
        </w:rPr>
        <w:t> </w:t>
      </w:r>
      <w:r>
        <w:rPr/>
        <w:t>from</w:t>
      </w:r>
      <w:r>
        <w:rPr>
          <w:spacing w:val="-7"/>
        </w:rPr>
        <w:t> </w:t>
      </w:r>
      <w:r>
        <w:rPr/>
        <w:t>third</w:t>
      </w:r>
      <w:r>
        <w:rPr>
          <w:spacing w:val="-5"/>
        </w:rPr>
        <w:t> </w:t>
      </w:r>
      <w:r>
        <w:rPr/>
        <w:t>countries:</w:t>
      </w:r>
      <w:r>
        <w:rPr>
          <w:spacing w:val="-1"/>
        </w:rPr>
        <w:t> </w:t>
      </w:r>
      <w:r>
        <w:rPr/>
        <w:t>your</w:t>
      </w:r>
      <w:r>
        <w:rPr>
          <w:spacing w:val="-3"/>
        </w:rPr>
        <w:t> </w:t>
      </w:r>
      <w:r>
        <w:rPr/>
        <w:t>personal</w:t>
      </w:r>
      <w:r>
        <w:rPr>
          <w:spacing w:val="-1"/>
        </w:rPr>
        <w:t> </w:t>
      </w:r>
      <w:r>
        <w:rPr/>
        <w:t>data</w:t>
      </w:r>
      <w:r>
        <w:rPr>
          <w:spacing w:val="-5"/>
        </w:rPr>
        <w:t> </w:t>
      </w:r>
      <w:r>
        <w:rPr/>
        <w:t>can</w:t>
      </w:r>
      <w:r>
        <w:rPr>
          <w:spacing w:val="-2"/>
        </w:rPr>
        <w:t> </w:t>
      </w:r>
      <w:r>
        <w:rPr/>
        <w:t>be</w:t>
      </w:r>
      <w:r>
        <w:rPr>
          <w:spacing w:val="-2"/>
        </w:rPr>
        <w:t> </w:t>
      </w:r>
      <w:r>
        <w:rPr/>
        <w:t>used</w:t>
      </w:r>
      <w:r>
        <w:rPr>
          <w:spacing w:val="-5"/>
        </w:rPr>
        <w:t> </w:t>
      </w:r>
      <w:r>
        <w:rPr/>
        <w:t>for</w:t>
      </w:r>
      <w:r>
        <w:rPr>
          <w:spacing w:val="-2"/>
        </w:rPr>
        <w:t> </w:t>
      </w:r>
      <w:r>
        <w:rPr/>
        <w:t>necessary</w:t>
      </w:r>
      <w:r>
        <w:rPr>
          <w:spacing w:val="-5"/>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0288"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2">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254" w:hanging="125"/>
      </w:pPr>
      <w:rPr>
        <w:rFonts w:hint="default"/>
        <w:lang w:val="en-US" w:eastAsia="en-US" w:bidi="ar-SA"/>
      </w:rPr>
    </w:lvl>
    <w:lvl w:ilvl="3">
      <w:start w:val="0"/>
      <w:numFmt w:val="bullet"/>
      <w:lvlText w:val="•"/>
      <w:lvlJc w:val="left"/>
      <w:pPr>
        <w:ind w:left="3308" w:hanging="125"/>
      </w:pPr>
      <w:rPr>
        <w:rFonts w:hint="default"/>
        <w:lang w:val="en-US" w:eastAsia="en-US" w:bidi="ar-SA"/>
      </w:rPr>
    </w:lvl>
    <w:lvl w:ilvl="4">
      <w:start w:val="0"/>
      <w:numFmt w:val="bullet"/>
      <w:lvlText w:val="•"/>
      <w:lvlJc w:val="left"/>
      <w:pPr>
        <w:ind w:left="4362" w:hanging="125"/>
      </w:pPr>
      <w:rPr>
        <w:rFonts w:hint="default"/>
        <w:lang w:val="en-US" w:eastAsia="en-US" w:bidi="ar-SA"/>
      </w:rPr>
    </w:lvl>
    <w:lvl w:ilvl="5">
      <w:start w:val="0"/>
      <w:numFmt w:val="bullet"/>
      <w:lvlText w:val="•"/>
      <w:lvlJc w:val="left"/>
      <w:pPr>
        <w:ind w:left="5416" w:hanging="125"/>
      </w:pPr>
      <w:rPr>
        <w:rFonts w:hint="default"/>
        <w:lang w:val="en-US" w:eastAsia="en-US" w:bidi="ar-SA"/>
      </w:rPr>
    </w:lvl>
    <w:lvl w:ilvl="6">
      <w:start w:val="0"/>
      <w:numFmt w:val="bullet"/>
      <w:lvlText w:val="•"/>
      <w:lvlJc w:val="left"/>
      <w:pPr>
        <w:ind w:left="6470" w:hanging="125"/>
      </w:pPr>
      <w:rPr>
        <w:rFonts w:hint="default"/>
        <w:lang w:val="en-US" w:eastAsia="en-US" w:bidi="ar-SA"/>
      </w:rPr>
    </w:lvl>
    <w:lvl w:ilvl="7">
      <w:start w:val="0"/>
      <w:numFmt w:val="bullet"/>
      <w:lvlText w:val="•"/>
      <w:lvlJc w:val="left"/>
      <w:pPr>
        <w:ind w:left="7524" w:hanging="125"/>
      </w:pPr>
      <w:rPr>
        <w:rFonts w:hint="default"/>
        <w:lang w:val="en-US" w:eastAsia="en-US" w:bidi="ar-SA"/>
      </w:rPr>
    </w:lvl>
    <w:lvl w:ilvl="8">
      <w:start w:val="0"/>
      <w:numFmt w:val="bullet"/>
      <w:lvlText w:val="•"/>
      <w:lvlJc w:val="left"/>
      <w:pPr>
        <w:ind w:left="8578" w:hanging="125"/>
      </w:pPr>
      <w:rPr>
        <w:rFonts w:hint="default"/>
        <w:lang w:val="en-US" w:eastAsia="en-US" w:bidi="ar-SA"/>
      </w:rPr>
    </w:lvl>
  </w:abstractNum>
  <w:abstractNum w:abstractNumId="0">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65" w:hanging="276"/>
      </w:pPr>
      <w:rPr>
        <w:rFonts w:hint="default"/>
        <w:lang w:val="en-US" w:eastAsia="en-US" w:bidi="ar-SA"/>
      </w:rPr>
    </w:lvl>
    <w:lvl w:ilvl="3">
      <w:start w:val="0"/>
      <w:numFmt w:val="bullet"/>
      <w:lvlText w:val="•"/>
      <w:lvlJc w:val="left"/>
      <w:pPr>
        <w:ind w:left="3050" w:hanging="276"/>
      </w:pPr>
      <w:rPr>
        <w:rFonts w:hint="default"/>
        <w:lang w:val="en-US" w:eastAsia="en-US" w:bidi="ar-SA"/>
      </w:rPr>
    </w:lvl>
    <w:lvl w:ilvl="4">
      <w:start w:val="0"/>
      <w:numFmt w:val="bullet"/>
      <w:lvlText w:val="•"/>
      <w:lvlJc w:val="left"/>
      <w:pPr>
        <w:ind w:left="4035" w:hanging="276"/>
      </w:pPr>
      <w:rPr>
        <w:rFonts w:hint="default"/>
        <w:lang w:val="en-US" w:eastAsia="en-US" w:bidi="ar-SA"/>
      </w:rPr>
    </w:lvl>
    <w:lvl w:ilvl="5">
      <w:start w:val="0"/>
      <w:numFmt w:val="bullet"/>
      <w:lvlText w:val="•"/>
      <w:lvlJc w:val="left"/>
      <w:pPr>
        <w:ind w:left="5020" w:hanging="276"/>
      </w:pPr>
      <w:rPr>
        <w:rFonts w:hint="default"/>
        <w:lang w:val="en-US" w:eastAsia="en-US" w:bidi="ar-SA"/>
      </w:rPr>
    </w:lvl>
    <w:lvl w:ilvl="6">
      <w:start w:val="0"/>
      <w:numFmt w:val="bullet"/>
      <w:lvlText w:val="•"/>
      <w:lvlJc w:val="left"/>
      <w:pPr>
        <w:ind w:left="6005" w:hanging="276"/>
      </w:pPr>
      <w:rPr>
        <w:rFonts w:hint="default"/>
        <w:lang w:val="en-US" w:eastAsia="en-US" w:bidi="ar-SA"/>
      </w:rPr>
    </w:lvl>
    <w:lvl w:ilvl="7">
      <w:start w:val="0"/>
      <w:numFmt w:val="bullet"/>
      <w:lvlText w:val="•"/>
      <w:lvlJc w:val="left"/>
      <w:pPr>
        <w:ind w:left="6990" w:hanging="276"/>
      </w:pPr>
      <w:rPr>
        <w:rFonts w:hint="default"/>
        <w:lang w:val="en-US" w:eastAsia="en-US" w:bidi="ar-SA"/>
      </w:rPr>
    </w:lvl>
    <w:lvl w:ilvl="8">
      <w:start w:val="0"/>
      <w:numFmt w:val="bullet"/>
      <w:lvlText w:val="•"/>
      <w:lvlJc w:val="left"/>
      <w:pPr>
        <w:ind w:left="7975" w:hanging="276"/>
      </w:pPr>
      <w:rPr>
        <w:rFonts w:hint="default"/>
        <w:lang w:val="en-US"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1"/>
      <w:numFmt w:val="decimal"/>
      <w:lvlText w:val="%2)"/>
      <w:lvlJc w:val="left"/>
      <w:pPr>
        <w:ind w:left="1092" w:hanging="361"/>
        <w:jc w:val="left"/>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165" w:hanging="361"/>
      </w:pPr>
      <w:rPr>
        <w:rFonts w:hint="default"/>
        <w:lang w:val="en-US" w:eastAsia="en-US" w:bidi="ar-SA"/>
      </w:rPr>
    </w:lvl>
    <w:lvl w:ilvl="3">
      <w:start w:val="0"/>
      <w:numFmt w:val="bullet"/>
      <w:lvlText w:val="•"/>
      <w:lvlJc w:val="left"/>
      <w:pPr>
        <w:ind w:left="3230" w:hanging="361"/>
      </w:pPr>
      <w:rPr>
        <w:rFonts w:hint="default"/>
        <w:lang w:val="en-US" w:eastAsia="en-US" w:bidi="ar-SA"/>
      </w:rPr>
    </w:lvl>
    <w:lvl w:ilvl="4">
      <w:start w:val="0"/>
      <w:numFmt w:val="bullet"/>
      <w:lvlText w:val="•"/>
      <w:lvlJc w:val="left"/>
      <w:pPr>
        <w:ind w:left="4295" w:hanging="361"/>
      </w:pPr>
      <w:rPr>
        <w:rFonts w:hint="default"/>
        <w:lang w:val="en-US" w:eastAsia="en-US" w:bidi="ar-SA"/>
      </w:rPr>
    </w:lvl>
    <w:lvl w:ilvl="5">
      <w:start w:val="0"/>
      <w:numFmt w:val="bullet"/>
      <w:lvlText w:val="•"/>
      <w:lvlJc w:val="left"/>
      <w:pPr>
        <w:ind w:left="5360" w:hanging="361"/>
      </w:pPr>
      <w:rPr>
        <w:rFonts w:hint="default"/>
        <w:lang w:val="en-US" w:eastAsia="en-US" w:bidi="ar-SA"/>
      </w:rPr>
    </w:lvl>
    <w:lvl w:ilvl="6">
      <w:start w:val="0"/>
      <w:numFmt w:val="bullet"/>
      <w:lvlText w:val="•"/>
      <w:lvlJc w:val="left"/>
      <w:pPr>
        <w:ind w:left="6425" w:hanging="361"/>
      </w:pPr>
      <w:rPr>
        <w:rFonts w:hint="default"/>
        <w:lang w:val="en-US" w:eastAsia="en-US" w:bidi="ar-SA"/>
      </w:rPr>
    </w:lvl>
    <w:lvl w:ilvl="7">
      <w:start w:val="0"/>
      <w:numFmt w:val="bullet"/>
      <w:lvlText w:val="•"/>
      <w:lvlJc w:val="left"/>
      <w:pPr>
        <w:ind w:left="7490" w:hanging="361"/>
      </w:pPr>
      <w:rPr>
        <w:rFonts w:hint="default"/>
        <w:lang w:val="en-US" w:eastAsia="en-US" w:bidi="ar-SA"/>
      </w:rPr>
    </w:lvl>
    <w:lvl w:ilvl="8">
      <w:start w:val="0"/>
      <w:numFmt w:val="bullet"/>
      <w:lvlText w:val="•"/>
      <w:lvlJc w:val="left"/>
      <w:pPr>
        <w:ind w:left="8556" w:hanging="361"/>
      </w:pPr>
      <w:rPr>
        <w:rFonts w:hint="default"/>
        <w:lang w:val="en-US"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Philippe.chantraine@ec.europa.eu" TargetMode="External"/><Relationship Id="rId8" Type="http://schemas.openxmlformats.org/officeDocument/2006/relationships/hyperlink" Target="https://climate.ec.europa.eu/eu-action/european-green-deal/delivering-european-green-deal_en" TargetMode="External"/><Relationship Id="rId9" Type="http://schemas.openxmlformats.org/officeDocument/2006/relationships/hyperlink" Target="https://climate.ec.europa.eu/eu-action/funding-climate-action/innovation-fund_en" TargetMode="External"/><Relationship Id="rId10" Type="http://schemas.openxmlformats.org/officeDocument/2006/relationships/hyperlink" Target="http://europass.cedefop.europa.eu/en/documents/curriculum-vitae" TargetMode="External"/><Relationship Id="rId11" Type="http://schemas.openxmlformats.org/officeDocument/2006/relationships/hyperlink" Target="mailto:HR-MAIL-B4@ec.europa.eu" TargetMode="External"/><Relationship Id="rId12" Type="http://schemas.openxmlformats.org/officeDocument/2006/relationships/hyperlink" Target="mailto:DATA-PROTECTION-OFFICER@ec.europa.eu" TargetMode="External"/><Relationship Id="rId13" Type="http://schemas.openxmlformats.org/officeDocument/2006/relationships/hyperlink" Target="mailto:edps@edps.europa.eu" TargetMode="External"/><Relationship Id="rId1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2023-03-15T15:30:24Z</dcterms:created>
  <dcterms:modified xsi:type="dcterms:W3CDTF">2023-03-15T15:30:24Z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