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105"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line="240" w:lineRule="auto"/>
              <w:ind w:right="49"/>
              <w:rPr>
                <w:sz w:val="24"/>
              </w:rPr>
            </w:pPr>
            <w:r>
              <w:rPr>
                <w:sz w:val="24"/>
              </w:rPr>
              <w:t>Generaldirektion Kommunikation, Direktion B (Strategie</w:t>
            </w:r>
            <w:r>
              <w:rPr>
                <w:spacing w:val="-11"/>
                <w:sz w:val="24"/>
              </w:rPr>
              <w:t> </w:t>
            </w:r>
            <w:r>
              <w:rPr>
                <w:sz w:val="24"/>
              </w:rPr>
              <w:t>und</w:t>
            </w:r>
            <w:r>
              <w:rPr>
                <w:spacing w:val="-11"/>
                <w:sz w:val="24"/>
              </w:rPr>
              <w:t> </w:t>
            </w:r>
            <w:r>
              <w:rPr>
                <w:sz w:val="24"/>
              </w:rPr>
              <w:t>institutionelle</w:t>
            </w:r>
            <w:r>
              <w:rPr>
                <w:spacing w:val="-12"/>
                <w:sz w:val="24"/>
              </w:rPr>
              <w:t> </w:t>
            </w:r>
            <w:r>
              <w:rPr>
                <w:sz w:val="24"/>
              </w:rPr>
              <w:t>Kommunikation),</w:t>
            </w:r>
            <w:r>
              <w:rPr>
                <w:spacing w:val="-11"/>
                <w:sz w:val="24"/>
              </w:rPr>
              <w:t> </w:t>
            </w:r>
            <w:r>
              <w:rPr>
                <w:sz w:val="24"/>
              </w:rPr>
              <w:t>Referat B1 (Strategie und Unternehmenskampagnen)</w:t>
            </w:r>
          </w:p>
        </w:tc>
      </w:tr>
      <w:tr>
        <w:trPr>
          <w:trHeight w:val="2023" w:hRule="atLeast"/>
        </w:trPr>
        <w:tc>
          <w:tcPr>
            <w:tcW w:w="4359" w:type="dxa"/>
            <w:vMerge w:val="restart"/>
          </w:tcPr>
          <w:p>
            <w:pPr>
              <w:pStyle w:val="TableParagraph"/>
              <w:spacing w:line="251" w:lineRule="exact"/>
              <w:rPr>
                <w:b/>
                <w:sz w:val="22"/>
              </w:rPr>
            </w:pPr>
            <w:r>
              <w:rPr>
                <w:b/>
                <w:spacing w:val="-2"/>
                <w:sz w:val="22"/>
              </w:rPr>
              <w:t>Referatsleiter:</w:t>
            </w:r>
          </w:p>
          <w:p>
            <w:pPr>
              <w:pStyle w:val="TableParagraph"/>
              <w:rPr>
                <w:b/>
                <w:sz w:val="22"/>
              </w:rPr>
            </w:pPr>
            <w:r>
              <w:rPr>
                <w:b/>
                <w:spacing w:val="-2"/>
                <w:sz w:val="22"/>
              </w:rPr>
              <w:t>E-Mail-Adresse:</w:t>
            </w:r>
          </w:p>
          <w:p>
            <w:pPr>
              <w:pStyle w:val="TableParagraph"/>
              <w:spacing w:before="1"/>
              <w:rPr>
                <w:b/>
                <w:sz w:val="22"/>
              </w:rPr>
            </w:pPr>
            <w:r>
              <w:rPr>
                <w:b/>
                <w:spacing w:val="-2"/>
                <w:sz w:val="22"/>
              </w:rPr>
              <w:t>Telefon:</w:t>
            </w:r>
          </w:p>
          <w:p>
            <w:pPr>
              <w:pStyle w:val="TableParagraph"/>
              <w:spacing w:line="240" w:lineRule="auto"/>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line="240" w:lineRule="auto"/>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spacing w:line="270" w:lineRule="exact"/>
              <w:rPr>
                <w:sz w:val="24"/>
              </w:rPr>
            </w:pPr>
            <w:r>
              <w:rPr>
                <w:sz w:val="24"/>
              </w:rPr>
              <w:t>Frau</w:t>
            </w:r>
            <w:r>
              <w:rPr>
                <w:spacing w:val="-8"/>
                <w:sz w:val="24"/>
              </w:rPr>
              <w:t> </w:t>
            </w:r>
            <w:r>
              <w:rPr>
                <w:sz w:val="24"/>
              </w:rPr>
              <w:t>Lene</w:t>
            </w:r>
            <w:r>
              <w:rPr>
                <w:spacing w:val="-10"/>
                <w:sz w:val="24"/>
              </w:rPr>
              <w:t> </w:t>
            </w:r>
            <w:r>
              <w:rPr>
                <w:sz w:val="24"/>
              </w:rPr>
              <w:t>NAESAGER</w:t>
            </w:r>
            <w:r>
              <w:rPr>
                <w:spacing w:val="-7"/>
                <w:sz w:val="24"/>
              </w:rPr>
              <w:t> </w:t>
            </w:r>
            <w:r>
              <w:rPr>
                <w:spacing w:val="-2"/>
                <w:sz w:val="24"/>
              </w:rPr>
              <w:t>(Referatsleiter)</w:t>
            </w:r>
          </w:p>
          <w:p>
            <w:pPr>
              <w:pStyle w:val="TableParagraph"/>
              <w:spacing w:line="281" w:lineRule="exact" w:before="5"/>
              <w:rPr>
                <w:sz w:val="24"/>
              </w:rPr>
            </w:pPr>
            <w:hyperlink r:id="rId7">
              <w:r>
                <w:rPr>
                  <w:rFonts w:ascii="Calibri"/>
                  <w:color w:val="0000FF"/>
                  <w:spacing w:val="-2"/>
                  <w:sz w:val="22"/>
                  <w:u w:val="single" w:color="0000FF"/>
                </w:rPr>
                <w:t>Lene</w:t>
              </w:r>
              <w:r>
                <w:rPr>
                  <w:color w:val="0000FF"/>
                  <w:spacing w:val="-2"/>
                  <w:sz w:val="24"/>
                  <w:u w:val="single" w:color="0000FF"/>
                </w:rPr>
                <w:t>.Naesager@ec.europa.eu</w:t>
              </w:r>
            </w:hyperlink>
          </w:p>
          <w:p>
            <w:pPr>
              <w:pStyle w:val="TableParagraph"/>
              <w:spacing w:line="274" w:lineRule="exact"/>
              <w:rPr>
                <w:sz w:val="24"/>
              </w:rPr>
            </w:pPr>
            <w:r>
              <w:rPr>
                <w:sz w:val="24"/>
              </w:rPr>
              <w:t>+</w:t>
            </w:r>
            <w:r>
              <w:rPr>
                <w:spacing w:val="-1"/>
                <w:sz w:val="24"/>
              </w:rPr>
              <w:t> </w:t>
            </w:r>
            <w:r>
              <w:rPr>
                <w:sz w:val="24"/>
              </w:rPr>
              <w:t>32 2 29 </w:t>
            </w:r>
            <w:r>
              <w:rPr>
                <w:spacing w:val="-2"/>
                <w:sz w:val="24"/>
              </w:rPr>
              <w:t>50015</w:t>
            </w:r>
          </w:p>
          <w:p>
            <w:pPr>
              <w:pStyle w:val="TableParagraph"/>
              <w:spacing w:line="240" w:lineRule="auto"/>
              <w:rPr>
                <w:sz w:val="24"/>
              </w:rPr>
            </w:pPr>
            <w:r>
              <w:rPr>
                <w:sz w:val="24"/>
              </w:rPr>
              <w:t>1</w:t>
            </w:r>
          </w:p>
          <w:p>
            <w:pPr>
              <w:pStyle w:val="TableParagraph"/>
              <w:spacing w:before="4"/>
              <w:rPr>
                <w:b/>
                <w:sz w:val="22"/>
              </w:rPr>
            </w:pPr>
            <w:r>
              <w:rPr>
                <w:b/>
                <w:sz w:val="22"/>
              </w:rPr>
              <w:t>1.</w:t>
            </w:r>
            <w:r>
              <w:rPr>
                <w:b/>
                <w:spacing w:val="-1"/>
                <w:sz w:val="22"/>
              </w:rPr>
              <w:t> </w:t>
            </w:r>
            <w:r>
              <w:rPr>
                <w:b/>
                <w:sz w:val="22"/>
              </w:rPr>
              <w:t>Juli </w:t>
            </w:r>
            <w:r>
              <w:rPr>
                <w:b/>
                <w:spacing w:val="-4"/>
                <w:sz w:val="22"/>
              </w:rPr>
              <w:t>2023</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rPr>
                <w:b/>
                <w:sz w:val="22"/>
              </w:rPr>
            </w:pPr>
            <w:r>
              <w:rPr>
                <w:rFonts w:ascii="Wingdings" w:hAnsi="Wingdings"/>
                <w:sz w:val="22"/>
              </w:rPr>
              <w:t></w:t>
            </w:r>
            <w:r>
              <w:rPr>
                <w:b/>
                <w:sz w:val="22"/>
              </w:rPr>
              <w:t>Brüssel</w:t>
            </w:r>
            <w:r>
              <w:rPr>
                <w:b/>
                <w:spacing w:val="-3"/>
                <w:sz w:val="22"/>
              </w:rPr>
              <w:t> </w:t>
            </w:r>
            <w:r>
              <w:rPr>
                <w:rFonts w:ascii="Wingdings 2" w:hAnsi="Wingdings 2"/>
                <w:sz w:val="22"/>
              </w:rPr>
              <w:t></w:t>
            </w:r>
            <w:r>
              <w:rPr>
                <w:spacing w:val="-3"/>
                <w:sz w:val="22"/>
              </w:rPr>
              <w:t> </w:t>
            </w:r>
            <w:r>
              <w:rPr>
                <w:b/>
                <w:sz w:val="22"/>
              </w:rPr>
              <w:t>Luxemburg</w:t>
            </w:r>
            <w:r>
              <w:rPr>
                <w:b/>
                <w:spacing w:val="-6"/>
                <w:sz w:val="22"/>
              </w:rPr>
              <w:t> </w:t>
            </w:r>
            <w:r>
              <w:rPr>
                <w:rFonts w:ascii="Wingdings 2" w:hAnsi="Wingdings 2"/>
                <w:sz w:val="22"/>
              </w:rPr>
              <w:t></w:t>
            </w:r>
            <w:r>
              <w:rPr>
                <w:spacing w:val="-3"/>
                <w:sz w:val="22"/>
              </w:rPr>
              <w:t> </w:t>
            </w:r>
            <w:r>
              <w:rPr>
                <w:b/>
                <w:sz w:val="22"/>
              </w:rPr>
              <w:t>Anderer:</w:t>
            </w:r>
            <w:r>
              <w:rPr>
                <w:b/>
                <w:spacing w:val="-3"/>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spacing w:line="240" w:lineRule="auto" w:before="145"/>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line="240" w:lineRule="auto"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line="240" w:lineRule="auto"/>
              <w:ind w:left="0"/>
              <w:rPr>
                <w:b/>
                <w:sz w:val="22"/>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2" w:lineRule="exact" w:before="2"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4"/>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6"/>
        <w:rPr>
          <w:b/>
          <w:sz w:val="15"/>
        </w:rPr>
      </w:pPr>
    </w:p>
    <w:p>
      <w:pPr>
        <w:pStyle w:val="BodyText"/>
        <w:spacing w:before="92"/>
        <w:ind w:left="372" w:right="105"/>
        <w:jc w:val="both"/>
      </w:pPr>
      <w:r>
        <w:rPr/>
        <w:t>Beitrag zu einer wirksamen, koordinierten und engagierten Kommunikationsstrategie, indem die Kommunikationstätigkeiten der Generaldirektionen (GD) Kommunikation auf die allgemeinen politischen Prioritäten und Kommunikationsleitlinien der Kommission abgestimmt werden, wobei eine kohärente Planung und eine kohärente Kommunikation zu gewährleisten sind.</w:t>
      </w:r>
    </w:p>
    <w:p>
      <w:pPr>
        <w:pStyle w:val="BodyText"/>
      </w:pPr>
    </w:p>
    <w:p>
      <w:pPr>
        <w:pStyle w:val="BodyText"/>
        <w:ind w:left="372" w:right="105"/>
        <w:jc w:val="both"/>
      </w:pPr>
      <w:r>
        <w:rPr/>
        <w:t>Überwachung der Umsetzung verschiedener Kommunikationsmaßnahmen der Generaldirektionen. Ausarbeitung entsprechender Berichte, Koordinierung des Standpunkts der GD Kommunikation zu vorgeschlagenen Kommunikationsmaßnahmen im Rahmen des Zustimmungsverfahrens.</w:t>
      </w:r>
    </w:p>
    <w:p>
      <w:pPr>
        <w:pStyle w:val="BodyText"/>
        <w:spacing w:before="10"/>
        <w:rPr>
          <w:sz w:val="21"/>
        </w:rPr>
      </w:pPr>
    </w:p>
    <w:p>
      <w:pPr>
        <w:pStyle w:val="BodyText"/>
        <w:ind w:left="372" w:right="115"/>
        <w:jc w:val="both"/>
      </w:pPr>
      <w:r>
        <w:rPr/>
        <w:t>Koordinierung des Standpunkts der GD Kommunikation zu Legislativvorschlägen und anderen Vorschlägen anderer Generaldirektionen im Rahmen der dienststellenübergreifenden Konsultation der Kommission.</w:t>
      </w:r>
    </w:p>
    <w:p>
      <w:pPr>
        <w:pStyle w:val="BodyText"/>
      </w:pPr>
    </w:p>
    <w:p>
      <w:pPr>
        <w:pStyle w:val="BodyText"/>
        <w:ind w:left="372" w:right="112"/>
        <w:jc w:val="both"/>
      </w:pPr>
      <w:r>
        <w:rPr/>
        <w:t>Beitrag zur Arbeit der Kommission zur Bekämpfung von Desinformation durch proaktive Organisation von Sitzungen von Untergruppen des Netzes gegen Desinformation und Bereitstellung von Beiträgen zu</w:t>
      </w:r>
      <w:r>
        <w:rPr>
          <w:spacing w:val="40"/>
        </w:rPr>
        <w:t> </w:t>
      </w:r>
      <w:r>
        <w:rPr/>
        <w:t>entsprechenden Berichten.</w:t>
      </w:r>
    </w:p>
    <w:p>
      <w:pPr>
        <w:pStyle w:val="BodyText"/>
        <w:spacing w:before="1"/>
      </w:pPr>
    </w:p>
    <w:p>
      <w:pPr>
        <w:pStyle w:val="BodyText"/>
        <w:ind w:left="372" w:right="108"/>
        <w:jc w:val="both"/>
      </w:pPr>
      <w:r>
        <w:rPr/>
        <w:t>Der ANS arbeitet unter der Aufsicht eines AD-Beamten, der den betreffenden Sektor leitet. Unbeschadet des Grundsatzes der loyalen Zusammenarbeit zwischen den nationalen/regionalen und europäischen Verwaltungen</w:t>
      </w:r>
      <w:r>
        <w:rPr>
          <w:spacing w:val="40"/>
        </w:rPr>
        <w:t> </w:t>
      </w:r>
      <w:r>
        <w:rPr/>
        <w:t>wird der/die ANS nicht in Einzelfällen im Zusammenhang mit Dossiers tätig, mit denen er/sie in den zwei Jahren vor Aufnahme der Tätigkeit bei der Kommission im Rahmen seiner/ihrer nationalen Verwaltung befasst war, oder mit unmittelbar angrenzenden Fällen. Keinesfalls vertreten sie die Kommission, um finanzielle oder sonstige Verpflichtungen einzugehen oder im Namen der Kommission zu verhandeln.</w:t>
      </w:r>
    </w:p>
    <w:p>
      <w:pPr>
        <w:spacing w:after="0"/>
        <w:jc w:val="both"/>
        <w:sectPr>
          <w:footerReference w:type="default" r:id="rId5"/>
          <w:type w:val="continuous"/>
          <w:pgSz w:w="11910" w:h="16840"/>
          <w:pgMar w:footer="690" w:header="0" w:top="520" w:bottom="880" w:left="480" w:right="740"/>
          <w:pgNumType w:start="1"/>
        </w:sectPr>
      </w:pPr>
    </w:p>
    <w:p>
      <w:pPr>
        <w:pStyle w:val="ListParagraph"/>
        <w:numPr>
          <w:ilvl w:val="0"/>
          <w:numId w:val="2"/>
        </w:numPr>
        <w:tabs>
          <w:tab w:pos="799" w:val="left" w:leader="none"/>
          <w:tab w:pos="800" w:val="left" w:leader="none"/>
        </w:tabs>
        <w:spacing w:line="240" w:lineRule="auto" w:before="73"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
        <w:rPr>
          <w:b/>
          <w:sz w:val="16"/>
        </w:rPr>
      </w:pPr>
    </w:p>
    <w:p>
      <w:pPr>
        <w:pStyle w:val="Heading1"/>
        <w:numPr>
          <w:ilvl w:val="1"/>
          <w:numId w:val="2"/>
        </w:numPr>
        <w:tabs>
          <w:tab w:pos="1040" w:val="left" w:leader="none"/>
        </w:tabs>
        <w:spacing w:line="240" w:lineRule="auto" w:before="91" w:after="0"/>
        <w:ind w:left="1039" w:right="0" w:hanging="241"/>
        <w:jc w:val="left"/>
      </w:pPr>
      <w:r>
        <w:rPr>
          <w:spacing w:val="-2"/>
          <w:u w:val="single"/>
        </w:rPr>
        <w:t>Zulassungskriterien</w:t>
      </w:r>
    </w:p>
    <w:p>
      <w:pPr>
        <w:pStyle w:val="BodyText"/>
        <w:spacing w:before="8"/>
        <w:rPr>
          <w:b/>
          <w:sz w:val="13"/>
        </w:rPr>
      </w:pPr>
    </w:p>
    <w:p>
      <w:pPr>
        <w:pStyle w:val="BodyText"/>
        <w:spacing w:before="91"/>
        <w:ind w:left="799" w:right="106"/>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2"/>
        </w:numPr>
        <w:tabs>
          <w:tab w:pos="1081" w:val="left" w:leader="none"/>
        </w:tabs>
        <w:spacing w:line="240" w:lineRule="auto" w:before="0" w:after="0"/>
        <w:ind w:left="1080" w:right="105"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2"/>
        </w:numPr>
        <w:tabs>
          <w:tab w:pos="1081" w:val="left" w:leader="none"/>
        </w:tabs>
        <w:spacing w:line="240" w:lineRule="auto" w:before="1" w:after="0"/>
        <w:ind w:left="1080" w:right="107"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4"/>
        </w:rPr>
      </w:pPr>
    </w:p>
    <w:p>
      <w:pPr>
        <w:pStyle w:val="Heading1"/>
        <w:numPr>
          <w:ilvl w:val="1"/>
          <w:numId w:val="2"/>
        </w:numPr>
        <w:tabs>
          <w:tab w:pos="1081" w:val="left" w:leader="none"/>
        </w:tabs>
        <w:spacing w:line="240" w:lineRule="auto" w:before="0" w:after="0"/>
        <w:ind w:left="1080" w:right="0" w:hanging="282"/>
        <w:jc w:val="left"/>
      </w:pPr>
      <w:r>
        <w:rPr>
          <w:spacing w:val="-2"/>
          <w:u w:val="single"/>
        </w:rPr>
        <w:t>Auswahlkriterien</w:t>
      </w:r>
    </w:p>
    <w:p>
      <w:pPr>
        <w:pStyle w:val="BodyText"/>
        <w:spacing w:before="6"/>
        <w:rPr>
          <w:b/>
          <w:sz w:val="15"/>
        </w:rPr>
      </w:pPr>
    </w:p>
    <w:p>
      <w:pPr>
        <w:pStyle w:val="BodyText"/>
        <w:spacing w:line="252" w:lineRule="exact" w:before="92"/>
        <w:ind w:left="1080"/>
      </w:pPr>
      <w:r>
        <w:rPr>
          <w:spacing w:val="-2"/>
          <w:u w:val="single"/>
        </w:rPr>
        <w:t>Bildungsabschluss</w:t>
      </w:r>
    </w:p>
    <w:p>
      <w:pPr>
        <w:pStyle w:val="ListParagraph"/>
        <w:numPr>
          <w:ilvl w:val="0"/>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3"/>
        </w:numPr>
        <w:tabs>
          <w:tab w:pos="1206" w:val="left" w:leader="none"/>
        </w:tabs>
        <w:spacing w:line="480" w:lineRule="auto" w:before="1" w:after="0"/>
        <w:ind w:left="1190" w:right="4307" w:hanging="111"/>
        <w:jc w:val="left"/>
        <w:rPr>
          <w:sz w:val="22"/>
        </w:rPr>
      </w:pPr>
      <w:r>
        <w:rPr>
          <w:sz w:val="22"/>
        </w:rPr>
        <w:t>eine</w:t>
      </w:r>
      <w:r>
        <w:rPr>
          <w:spacing w:val="-4"/>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z w:val="22"/>
        </w:rPr>
        <w:t>Berufserfahrung im Bereich: Kommunikation oder Recht</w:t>
      </w:r>
    </w:p>
    <w:p>
      <w:pPr>
        <w:pStyle w:val="BodyText"/>
        <w:spacing w:line="252" w:lineRule="exact"/>
        <w:ind w:left="1080"/>
      </w:pPr>
      <w:r>
        <w:rPr>
          <w:spacing w:val="-2"/>
          <w:u w:val="single"/>
        </w:rPr>
        <w:t>Berufserfahrung</w:t>
      </w:r>
    </w:p>
    <w:p>
      <w:pPr>
        <w:pStyle w:val="BodyText"/>
        <w:spacing w:before="1"/>
        <w:rPr>
          <w:sz w:val="14"/>
        </w:rPr>
      </w:pPr>
    </w:p>
    <w:p>
      <w:pPr>
        <w:pStyle w:val="BodyText"/>
        <w:spacing w:before="92"/>
        <w:ind w:left="1080"/>
      </w:pPr>
      <w:r>
        <w:rPr/>
        <w:t>Tätigkeitsbezogene</w:t>
      </w:r>
      <w:r>
        <w:rPr>
          <w:spacing w:val="-7"/>
        </w:rPr>
        <w:t> </w:t>
      </w:r>
      <w:r>
        <w:rPr/>
        <w:t>Berufserfahrung:</w:t>
      </w:r>
      <w:r>
        <w:rPr>
          <w:spacing w:val="-3"/>
        </w:rPr>
        <w:t> </w:t>
      </w:r>
      <w:r>
        <w:rPr/>
        <w:t>5</w:t>
      </w:r>
      <w:r>
        <w:rPr>
          <w:spacing w:val="-7"/>
        </w:rPr>
        <w:t> </w:t>
      </w:r>
      <w:r>
        <w:rPr/>
        <w:t>Jahre</w:t>
      </w:r>
      <w:r>
        <w:rPr>
          <w:spacing w:val="-4"/>
        </w:rPr>
        <w:t> </w:t>
      </w:r>
      <w:r>
        <w:rPr/>
        <w:t>in</w:t>
      </w:r>
      <w:r>
        <w:rPr>
          <w:spacing w:val="-4"/>
        </w:rPr>
        <w:t> </w:t>
      </w:r>
      <w:r>
        <w:rPr/>
        <w:t>dem</w:t>
      </w:r>
      <w:r>
        <w:rPr>
          <w:spacing w:val="-7"/>
        </w:rPr>
        <w:t> </w:t>
      </w:r>
      <w:r>
        <w:rPr/>
        <w:t>oben</w:t>
      </w:r>
      <w:r>
        <w:rPr>
          <w:spacing w:val="-4"/>
        </w:rPr>
        <w:t> </w:t>
      </w:r>
      <w:r>
        <w:rPr/>
        <w:t>genannten</w:t>
      </w:r>
      <w:r>
        <w:rPr>
          <w:spacing w:val="-4"/>
        </w:rPr>
        <w:t> </w:t>
      </w:r>
      <w:r>
        <w:rPr>
          <w:spacing w:val="-2"/>
        </w:rPr>
        <w:t>Bereich.</w:t>
      </w:r>
    </w:p>
    <w:p>
      <w:pPr>
        <w:pStyle w:val="BodyText"/>
      </w:pPr>
    </w:p>
    <w:p>
      <w:pPr>
        <w:pStyle w:val="BodyText"/>
        <w:ind w:left="1080"/>
      </w:pPr>
      <w:r>
        <w:rPr/>
        <w:t>Zu</w:t>
      </w:r>
      <w:r>
        <w:rPr>
          <w:spacing w:val="-7"/>
        </w:rPr>
        <w:t> </w:t>
      </w:r>
      <w:r>
        <w:rPr/>
        <w:t>den</w:t>
      </w:r>
      <w:r>
        <w:rPr>
          <w:spacing w:val="-4"/>
        </w:rPr>
        <w:t> </w:t>
      </w:r>
      <w:r>
        <w:rPr/>
        <w:t>Erfahrungen,</w:t>
      </w:r>
      <w:r>
        <w:rPr>
          <w:spacing w:val="-5"/>
        </w:rPr>
        <w:t> </w:t>
      </w:r>
      <w:r>
        <w:rPr/>
        <w:t>die</w:t>
      </w:r>
      <w:r>
        <w:rPr>
          <w:spacing w:val="-4"/>
        </w:rPr>
        <w:t> </w:t>
      </w:r>
      <w:r>
        <w:rPr/>
        <w:t>während</w:t>
      </w:r>
      <w:r>
        <w:rPr>
          <w:spacing w:val="-5"/>
        </w:rPr>
        <w:t> </w:t>
      </w:r>
      <w:r>
        <w:rPr/>
        <w:t>des</w:t>
      </w:r>
      <w:r>
        <w:rPr>
          <w:spacing w:val="-4"/>
        </w:rPr>
        <w:t> </w:t>
      </w:r>
      <w:r>
        <w:rPr/>
        <w:t>Auswahlverfahrens</w:t>
      </w:r>
      <w:r>
        <w:rPr>
          <w:spacing w:val="-5"/>
        </w:rPr>
        <w:t> </w:t>
      </w:r>
      <w:r>
        <w:rPr/>
        <w:t>berücksichtigt</w:t>
      </w:r>
      <w:r>
        <w:rPr>
          <w:spacing w:val="-3"/>
        </w:rPr>
        <w:t> </w:t>
      </w:r>
      <w:r>
        <w:rPr/>
        <w:t>werden,</w:t>
      </w:r>
      <w:r>
        <w:rPr>
          <w:spacing w:val="-6"/>
        </w:rPr>
        <w:t> </w:t>
      </w:r>
      <w:r>
        <w:rPr>
          <w:spacing w:val="-2"/>
        </w:rPr>
        <w:t>gehören:</w:t>
      </w:r>
    </w:p>
    <w:p>
      <w:pPr>
        <w:pStyle w:val="BodyText"/>
        <w:spacing w:before="2"/>
      </w:pPr>
    </w:p>
    <w:p>
      <w:pPr>
        <w:pStyle w:val="ListParagraph"/>
        <w:numPr>
          <w:ilvl w:val="1"/>
          <w:numId w:val="3"/>
        </w:numPr>
        <w:tabs>
          <w:tab w:pos="1800" w:val="left" w:leader="none"/>
          <w:tab w:pos="1801" w:val="left" w:leader="none"/>
        </w:tabs>
        <w:spacing w:line="269" w:lineRule="exact" w:before="0" w:after="0"/>
        <w:ind w:left="1800" w:right="0" w:hanging="361"/>
        <w:jc w:val="left"/>
        <w:rPr>
          <w:sz w:val="22"/>
        </w:rPr>
      </w:pPr>
      <w:r>
        <w:rPr>
          <w:sz w:val="22"/>
        </w:rPr>
        <w:t>Gesamterfahrung</w:t>
      </w:r>
      <w:r>
        <w:rPr>
          <w:spacing w:val="-7"/>
          <w:sz w:val="22"/>
        </w:rPr>
        <w:t> </w:t>
      </w:r>
      <w:r>
        <w:rPr>
          <w:sz w:val="22"/>
        </w:rPr>
        <w:t>im</w:t>
      </w:r>
      <w:r>
        <w:rPr>
          <w:spacing w:val="-7"/>
          <w:sz w:val="22"/>
        </w:rPr>
        <w:t> </w:t>
      </w:r>
      <w:r>
        <w:rPr>
          <w:sz w:val="22"/>
        </w:rPr>
        <w:t>Bereich</w:t>
      </w:r>
      <w:r>
        <w:rPr>
          <w:spacing w:val="-3"/>
          <w:sz w:val="22"/>
        </w:rPr>
        <w:t> </w:t>
      </w:r>
      <w:r>
        <w:rPr>
          <w:spacing w:val="-2"/>
          <w:sz w:val="22"/>
        </w:rPr>
        <w:t>Kommunikation.</w:t>
      </w:r>
    </w:p>
    <w:p>
      <w:pPr>
        <w:pStyle w:val="ListParagraph"/>
        <w:numPr>
          <w:ilvl w:val="1"/>
          <w:numId w:val="3"/>
        </w:numPr>
        <w:tabs>
          <w:tab w:pos="1800" w:val="left" w:leader="none"/>
          <w:tab w:pos="1801" w:val="left" w:leader="none"/>
        </w:tabs>
        <w:spacing w:line="240" w:lineRule="auto" w:before="0" w:after="0"/>
        <w:ind w:left="1800" w:right="173" w:hanging="360"/>
        <w:jc w:val="left"/>
        <w:rPr>
          <w:sz w:val="22"/>
        </w:rPr>
      </w:pPr>
      <w:r>
        <w:rPr>
          <w:sz w:val="22"/>
        </w:rPr>
        <w:t>Sehr</w:t>
      </w:r>
      <w:r>
        <w:rPr>
          <w:spacing w:val="40"/>
          <w:sz w:val="22"/>
        </w:rPr>
        <w:t> </w:t>
      </w:r>
      <w:r>
        <w:rPr>
          <w:sz w:val="22"/>
        </w:rPr>
        <w:t>gute</w:t>
      </w:r>
      <w:r>
        <w:rPr>
          <w:spacing w:val="40"/>
          <w:sz w:val="22"/>
        </w:rPr>
        <w:t> </w:t>
      </w:r>
      <w:r>
        <w:rPr>
          <w:sz w:val="22"/>
        </w:rPr>
        <w:t>Kenntnis</w:t>
      </w:r>
      <w:r>
        <w:rPr>
          <w:spacing w:val="40"/>
          <w:sz w:val="22"/>
        </w:rPr>
        <w:t> </w:t>
      </w:r>
      <w:r>
        <w:rPr>
          <w:sz w:val="22"/>
        </w:rPr>
        <w:t>der</w:t>
      </w:r>
      <w:r>
        <w:rPr>
          <w:spacing w:val="40"/>
          <w:sz w:val="22"/>
        </w:rPr>
        <w:t> </w:t>
      </w:r>
      <w:r>
        <w:rPr>
          <w:sz w:val="22"/>
        </w:rPr>
        <w:t>Kommunikationsaktivitäten</w:t>
      </w:r>
      <w:r>
        <w:rPr>
          <w:spacing w:val="40"/>
          <w:sz w:val="22"/>
        </w:rPr>
        <w:t> </w:t>
      </w:r>
      <w:r>
        <w:rPr>
          <w:sz w:val="22"/>
        </w:rPr>
        <w:t>und</w:t>
      </w:r>
      <w:r>
        <w:rPr>
          <w:spacing w:val="40"/>
          <w:sz w:val="22"/>
        </w:rPr>
        <w:t> </w:t>
      </w:r>
      <w:r>
        <w:rPr>
          <w:sz w:val="22"/>
        </w:rPr>
        <w:t>Erfahrung</w:t>
      </w:r>
      <w:r>
        <w:rPr>
          <w:spacing w:val="40"/>
          <w:sz w:val="22"/>
        </w:rPr>
        <w:t> </w:t>
      </w:r>
      <w:r>
        <w:rPr>
          <w:sz w:val="22"/>
        </w:rPr>
        <w:t>mit</w:t>
      </w:r>
      <w:r>
        <w:rPr>
          <w:spacing w:val="40"/>
          <w:sz w:val="22"/>
        </w:rPr>
        <w:t> </w:t>
      </w:r>
      <w:r>
        <w:rPr>
          <w:sz w:val="22"/>
        </w:rPr>
        <w:t>der</w:t>
      </w:r>
      <w:r>
        <w:rPr>
          <w:spacing w:val="40"/>
          <w:sz w:val="22"/>
        </w:rPr>
        <w:t> </w:t>
      </w:r>
      <w:r>
        <w:rPr>
          <w:sz w:val="22"/>
        </w:rPr>
        <w:t>Verwaltung</w:t>
      </w:r>
      <w:r>
        <w:rPr>
          <w:spacing w:val="40"/>
          <w:sz w:val="22"/>
        </w:rPr>
        <w:t> </w:t>
      </w:r>
      <w:r>
        <w:rPr>
          <w:sz w:val="22"/>
        </w:rPr>
        <w:t>groß angelegter Kommunikationsstrategien und-kampagnen, insbesondere mit europäischer Relevanz.</w:t>
      </w:r>
    </w:p>
    <w:p>
      <w:pPr>
        <w:pStyle w:val="ListParagraph"/>
        <w:numPr>
          <w:ilvl w:val="1"/>
          <w:numId w:val="3"/>
        </w:numPr>
        <w:tabs>
          <w:tab w:pos="1800" w:val="left" w:leader="none"/>
          <w:tab w:pos="1801" w:val="left" w:leader="none"/>
        </w:tabs>
        <w:spacing w:line="267" w:lineRule="exact" w:before="0" w:after="0"/>
        <w:ind w:left="1800" w:right="0" w:hanging="361"/>
        <w:jc w:val="left"/>
        <w:rPr>
          <w:sz w:val="22"/>
        </w:rPr>
      </w:pPr>
      <w:r>
        <w:rPr>
          <w:sz w:val="22"/>
        </w:rPr>
        <w:t>Externe</w:t>
      </w:r>
      <w:r>
        <w:rPr>
          <w:spacing w:val="-8"/>
          <w:sz w:val="22"/>
        </w:rPr>
        <w:t> </w:t>
      </w:r>
      <w:r>
        <w:rPr>
          <w:sz w:val="22"/>
        </w:rPr>
        <w:t>Kommunikation</w:t>
      </w:r>
      <w:r>
        <w:rPr>
          <w:spacing w:val="-4"/>
          <w:sz w:val="22"/>
        </w:rPr>
        <w:t> </w:t>
      </w:r>
      <w:r>
        <w:rPr>
          <w:sz w:val="22"/>
        </w:rPr>
        <w:t>über</w:t>
      </w:r>
      <w:r>
        <w:rPr>
          <w:spacing w:val="-2"/>
          <w:sz w:val="22"/>
        </w:rPr>
        <w:t> </w:t>
      </w:r>
      <w:r>
        <w:rPr>
          <w:sz w:val="22"/>
        </w:rPr>
        <w:t>verschiedene</w:t>
      </w:r>
      <w:r>
        <w:rPr>
          <w:spacing w:val="-6"/>
          <w:sz w:val="22"/>
        </w:rPr>
        <w:t> </w:t>
      </w:r>
      <w:r>
        <w:rPr>
          <w:sz w:val="22"/>
        </w:rPr>
        <w:t>Kanäle</w:t>
      </w:r>
      <w:r>
        <w:rPr>
          <w:spacing w:val="-4"/>
          <w:sz w:val="22"/>
        </w:rPr>
        <w:t> </w:t>
      </w:r>
      <w:r>
        <w:rPr>
          <w:sz w:val="22"/>
        </w:rPr>
        <w:t>(d.</w:t>
      </w:r>
      <w:r>
        <w:rPr>
          <w:spacing w:val="-2"/>
          <w:sz w:val="22"/>
        </w:rPr>
        <w:t> </w:t>
      </w:r>
      <w:r>
        <w:rPr>
          <w:sz w:val="22"/>
        </w:rPr>
        <w:t>h.</w:t>
      </w:r>
      <w:r>
        <w:rPr>
          <w:spacing w:val="-4"/>
          <w:sz w:val="22"/>
        </w:rPr>
        <w:t> </w:t>
      </w:r>
      <w:r>
        <w:rPr>
          <w:sz w:val="22"/>
        </w:rPr>
        <w:t>offline</w:t>
      </w:r>
      <w:r>
        <w:rPr>
          <w:spacing w:val="-4"/>
          <w:sz w:val="22"/>
        </w:rPr>
        <w:t> </w:t>
      </w:r>
      <w:r>
        <w:rPr>
          <w:sz w:val="22"/>
        </w:rPr>
        <w:t>und</w:t>
      </w:r>
      <w:r>
        <w:rPr>
          <w:spacing w:val="-3"/>
          <w:sz w:val="22"/>
        </w:rPr>
        <w:t> </w:t>
      </w:r>
      <w:r>
        <w:rPr>
          <w:spacing w:val="-2"/>
          <w:sz w:val="22"/>
        </w:rPr>
        <w:t>online).</w:t>
      </w:r>
    </w:p>
    <w:p>
      <w:pPr>
        <w:pStyle w:val="ListParagraph"/>
        <w:numPr>
          <w:ilvl w:val="1"/>
          <w:numId w:val="3"/>
        </w:numPr>
        <w:tabs>
          <w:tab w:pos="1800" w:val="left" w:leader="none"/>
          <w:tab w:pos="1801" w:val="left" w:leader="none"/>
        </w:tabs>
        <w:spacing w:line="269" w:lineRule="exact" w:before="0" w:after="0"/>
        <w:ind w:left="1800" w:right="0" w:hanging="361"/>
        <w:jc w:val="left"/>
        <w:rPr>
          <w:sz w:val="22"/>
        </w:rPr>
      </w:pPr>
      <w:r>
        <w:rPr>
          <w:sz w:val="22"/>
        </w:rPr>
        <w:t>Erstellung</w:t>
      </w:r>
      <w:r>
        <w:rPr>
          <w:spacing w:val="-7"/>
          <w:sz w:val="22"/>
        </w:rPr>
        <w:t> </w:t>
      </w:r>
      <w:r>
        <w:rPr>
          <w:sz w:val="22"/>
        </w:rPr>
        <w:t>von</w:t>
      </w:r>
      <w:r>
        <w:rPr>
          <w:spacing w:val="-4"/>
          <w:sz w:val="22"/>
        </w:rPr>
        <w:t> </w:t>
      </w:r>
      <w:r>
        <w:rPr>
          <w:sz w:val="22"/>
        </w:rPr>
        <w:t>Briefings</w:t>
      </w:r>
      <w:r>
        <w:rPr>
          <w:spacing w:val="-4"/>
          <w:sz w:val="22"/>
        </w:rPr>
        <w:t> </w:t>
      </w:r>
      <w:r>
        <w:rPr>
          <w:sz w:val="22"/>
        </w:rPr>
        <w:t>und</w:t>
      </w:r>
      <w:r>
        <w:rPr>
          <w:spacing w:val="-3"/>
          <w:sz w:val="22"/>
        </w:rPr>
        <w:t> </w:t>
      </w:r>
      <w:r>
        <w:rPr>
          <w:spacing w:val="-2"/>
          <w:sz w:val="22"/>
        </w:rPr>
        <w:t>Berichten.</w:t>
      </w:r>
    </w:p>
    <w:p>
      <w:pPr>
        <w:pStyle w:val="ListParagraph"/>
        <w:numPr>
          <w:ilvl w:val="1"/>
          <w:numId w:val="3"/>
        </w:numPr>
        <w:tabs>
          <w:tab w:pos="1800" w:val="left" w:leader="none"/>
          <w:tab w:pos="1801" w:val="left" w:leader="none"/>
        </w:tabs>
        <w:spacing w:line="269" w:lineRule="exact" w:before="0" w:after="0"/>
        <w:ind w:left="1800" w:right="0" w:hanging="361"/>
        <w:jc w:val="left"/>
        <w:rPr>
          <w:sz w:val="22"/>
        </w:rPr>
      </w:pPr>
      <w:r>
        <w:rPr>
          <w:sz w:val="22"/>
        </w:rPr>
        <w:t>Erfahrung</w:t>
      </w:r>
      <w:r>
        <w:rPr>
          <w:spacing w:val="-5"/>
          <w:sz w:val="22"/>
        </w:rPr>
        <w:t> </w:t>
      </w:r>
      <w:r>
        <w:rPr>
          <w:sz w:val="22"/>
        </w:rPr>
        <w:t>in</w:t>
      </w:r>
      <w:r>
        <w:rPr>
          <w:spacing w:val="-3"/>
          <w:sz w:val="22"/>
        </w:rPr>
        <w:t> </w:t>
      </w:r>
      <w:r>
        <w:rPr>
          <w:sz w:val="22"/>
        </w:rPr>
        <w:t>der</w:t>
      </w:r>
      <w:r>
        <w:rPr>
          <w:spacing w:val="-3"/>
          <w:sz w:val="22"/>
        </w:rPr>
        <w:t> </w:t>
      </w:r>
      <w:r>
        <w:rPr>
          <w:sz w:val="22"/>
        </w:rPr>
        <w:t>internen</w:t>
      </w:r>
      <w:r>
        <w:rPr>
          <w:spacing w:val="-4"/>
          <w:sz w:val="22"/>
        </w:rPr>
        <w:t> </w:t>
      </w:r>
      <w:r>
        <w:rPr>
          <w:spacing w:val="-2"/>
          <w:sz w:val="22"/>
        </w:rPr>
        <w:t>Koordinierung.</w:t>
      </w:r>
    </w:p>
    <w:p>
      <w:pPr>
        <w:pStyle w:val="ListParagraph"/>
        <w:numPr>
          <w:ilvl w:val="1"/>
          <w:numId w:val="3"/>
        </w:numPr>
        <w:tabs>
          <w:tab w:pos="1800" w:val="left" w:leader="none"/>
          <w:tab w:pos="1801" w:val="left" w:leader="none"/>
        </w:tabs>
        <w:spacing w:line="269" w:lineRule="exact" w:before="0" w:after="0"/>
        <w:ind w:left="1800" w:right="0" w:hanging="361"/>
        <w:jc w:val="left"/>
        <w:rPr>
          <w:sz w:val="22"/>
        </w:rPr>
      </w:pPr>
      <w:r>
        <w:rPr>
          <w:sz w:val="22"/>
        </w:rPr>
        <w:t>Erfahrung</w:t>
      </w:r>
      <w:r>
        <w:rPr>
          <w:spacing w:val="-6"/>
          <w:sz w:val="22"/>
        </w:rPr>
        <w:t> </w:t>
      </w:r>
      <w:r>
        <w:rPr>
          <w:sz w:val="22"/>
        </w:rPr>
        <w:t>bei</w:t>
      </w:r>
      <w:r>
        <w:rPr>
          <w:spacing w:val="-3"/>
          <w:sz w:val="22"/>
        </w:rPr>
        <w:t> </w:t>
      </w:r>
      <w:r>
        <w:rPr>
          <w:sz w:val="22"/>
        </w:rPr>
        <w:t>der</w:t>
      </w:r>
      <w:r>
        <w:rPr>
          <w:spacing w:val="-3"/>
          <w:sz w:val="22"/>
        </w:rPr>
        <w:t> </w:t>
      </w:r>
      <w:r>
        <w:rPr>
          <w:sz w:val="22"/>
        </w:rPr>
        <w:t>Bekämpfung</w:t>
      </w:r>
      <w:r>
        <w:rPr>
          <w:spacing w:val="-5"/>
          <w:sz w:val="22"/>
        </w:rPr>
        <w:t> </w:t>
      </w:r>
      <w:r>
        <w:rPr>
          <w:sz w:val="22"/>
        </w:rPr>
        <w:t>von</w:t>
      </w:r>
      <w:r>
        <w:rPr>
          <w:spacing w:val="-2"/>
          <w:sz w:val="22"/>
        </w:rPr>
        <w:t> Desinformation.</w:t>
      </w:r>
    </w:p>
    <w:p>
      <w:pPr>
        <w:pStyle w:val="BodyText"/>
      </w:pPr>
    </w:p>
    <w:p>
      <w:pPr>
        <w:pStyle w:val="BodyText"/>
        <w:ind w:left="1080"/>
      </w:pPr>
      <w:r>
        <w:rPr>
          <w:u w:val="single"/>
        </w:rPr>
        <w:t>Zur</w:t>
      </w:r>
      <w:r>
        <w:rPr>
          <w:spacing w:val="-4"/>
          <w:u w:val="single"/>
        </w:rPr>
        <w:t> </w:t>
      </w:r>
      <w:r>
        <w:rPr>
          <w:u w:val="single"/>
        </w:rPr>
        <w:t>Ausübung</w:t>
      </w:r>
      <w:r>
        <w:rPr>
          <w:spacing w:val="-5"/>
          <w:u w:val="single"/>
        </w:rPr>
        <w:t> </w:t>
      </w:r>
      <w:r>
        <w:rPr>
          <w:u w:val="single"/>
        </w:rPr>
        <w:t>der</w:t>
      </w:r>
      <w:r>
        <w:rPr>
          <w:spacing w:val="-6"/>
          <w:u w:val="single"/>
        </w:rPr>
        <w:t> </w:t>
      </w:r>
      <w:r>
        <w:rPr>
          <w:u w:val="single"/>
        </w:rPr>
        <w:t>Tätigkeit</w:t>
      </w:r>
      <w:r>
        <w:rPr>
          <w:spacing w:val="-2"/>
          <w:u w:val="single"/>
        </w:rPr>
        <w:t> </w:t>
      </w:r>
      <w:r>
        <w:rPr>
          <w:u w:val="single"/>
        </w:rPr>
        <w:t>erforderliche</w:t>
      </w:r>
      <w:r>
        <w:rPr>
          <w:spacing w:val="-3"/>
          <w:u w:val="single"/>
        </w:rPr>
        <w:t> </w:t>
      </w:r>
      <w:r>
        <w:rPr>
          <w:spacing w:val="-2"/>
          <w:u w:val="single"/>
        </w:rPr>
        <w:t>Sprachkenntnisse</w:t>
      </w:r>
    </w:p>
    <w:p>
      <w:pPr>
        <w:pStyle w:val="BodyText"/>
        <w:spacing w:before="10"/>
        <w:rPr>
          <w:sz w:val="13"/>
        </w:rPr>
      </w:pPr>
    </w:p>
    <w:p>
      <w:pPr>
        <w:pStyle w:val="BodyText"/>
        <w:spacing w:line="480" w:lineRule="auto" w:before="91"/>
        <w:ind w:left="1080" w:right="1235"/>
      </w:pPr>
      <w:r>
        <w:rPr/>
        <w:t>Englisch</w:t>
      </w:r>
      <w:r>
        <w:rPr>
          <w:spacing w:val="-6"/>
        </w:rPr>
        <w:t> </w:t>
      </w:r>
      <w:r>
        <w:rPr/>
        <w:t>ist</w:t>
      </w:r>
      <w:r>
        <w:rPr>
          <w:spacing w:val="-3"/>
        </w:rPr>
        <w:t> </w:t>
      </w:r>
      <w:r>
        <w:rPr/>
        <w:t>die</w:t>
      </w:r>
      <w:r>
        <w:rPr>
          <w:spacing w:val="-3"/>
        </w:rPr>
        <w:t> </w:t>
      </w:r>
      <w:r>
        <w:rPr/>
        <w:t>Hauptarbeitssprache</w:t>
      </w:r>
      <w:r>
        <w:rPr>
          <w:spacing w:val="-5"/>
        </w:rPr>
        <w:t> </w:t>
      </w:r>
      <w:r>
        <w:rPr/>
        <w:t>des</w:t>
      </w:r>
      <w:r>
        <w:rPr>
          <w:spacing w:val="-3"/>
        </w:rPr>
        <w:t> </w:t>
      </w:r>
      <w:r>
        <w:rPr/>
        <w:t>Referats</w:t>
      </w:r>
      <w:r>
        <w:rPr>
          <w:spacing w:val="-3"/>
        </w:rPr>
        <w:t> </w:t>
      </w:r>
      <w:r>
        <w:rPr/>
        <w:t>mit</w:t>
      </w:r>
      <w:r>
        <w:rPr>
          <w:spacing w:val="-3"/>
        </w:rPr>
        <w:t> </w:t>
      </w:r>
      <w:r>
        <w:rPr/>
        <w:t>sehr</w:t>
      </w:r>
      <w:r>
        <w:rPr>
          <w:spacing w:val="-3"/>
        </w:rPr>
        <w:t> </w:t>
      </w:r>
      <w:r>
        <w:rPr/>
        <w:t>guten</w:t>
      </w:r>
      <w:r>
        <w:rPr>
          <w:spacing w:val="-5"/>
        </w:rPr>
        <w:t> </w:t>
      </w:r>
      <w:r>
        <w:rPr/>
        <w:t>redaktionellen</w:t>
      </w:r>
      <w:r>
        <w:rPr>
          <w:spacing w:val="-3"/>
        </w:rPr>
        <w:t> </w:t>
      </w:r>
      <w:r>
        <w:rPr/>
        <w:t>Fähigkeiten. Weitere Sprachen, insbesondere Französisch, wären von Vorteil.</w:t>
      </w:r>
    </w:p>
    <w:p>
      <w:pPr>
        <w:pStyle w:val="ListParagraph"/>
        <w:numPr>
          <w:ilvl w:val="0"/>
          <w:numId w:val="2"/>
        </w:numPr>
        <w:tabs>
          <w:tab w:pos="799" w:val="left" w:leader="none"/>
          <w:tab w:pos="800" w:val="left" w:leader="none"/>
        </w:tabs>
        <w:spacing w:line="240" w:lineRule="auto" w:before="6"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w:t>
      </w:r>
      <w:r>
        <w:rPr>
          <w:b/>
          <w:spacing w:val="30"/>
          <w:sz w:val="22"/>
          <w:u w:val="single"/>
        </w:rPr>
        <w:t> </w:t>
      </w:r>
      <w:r>
        <w:rPr>
          <w:b/>
          <w:sz w:val="22"/>
          <w:u w:val="single"/>
        </w:rPr>
        <w:t>an</w:t>
      </w:r>
      <w:r>
        <w:rPr>
          <w:b/>
          <w:spacing w:val="34"/>
          <w:sz w:val="22"/>
          <w:u w:val="single"/>
        </w:rPr>
        <w:t> </w:t>
      </w:r>
      <w:r>
        <w:rPr>
          <w:b/>
          <w:sz w:val="22"/>
          <w:u w:val="single"/>
        </w:rPr>
        <w:t>die</w:t>
      </w:r>
      <w:r>
        <w:rPr>
          <w:b/>
          <w:spacing w:val="33"/>
          <w:sz w:val="22"/>
          <w:u w:val="single"/>
        </w:rPr>
        <w:t> </w:t>
      </w:r>
      <w:r>
        <w:rPr>
          <w:b/>
          <w:sz w:val="22"/>
          <w:u w:val="single"/>
        </w:rPr>
        <w:t>Ständige</w:t>
      </w:r>
      <w:r>
        <w:rPr>
          <w:b/>
          <w:spacing w:val="33"/>
          <w:sz w:val="22"/>
          <w:u w:val="single"/>
        </w:rPr>
        <w:t> </w:t>
      </w:r>
      <w:r>
        <w:rPr>
          <w:b/>
          <w:sz w:val="22"/>
          <w:u w:val="single"/>
        </w:rPr>
        <w:t>Vertretung</w:t>
      </w:r>
      <w:r>
        <w:rPr>
          <w:b/>
          <w:spacing w:val="32"/>
          <w:sz w:val="22"/>
          <w:u w:val="single"/>
        </w:rPr>
        <w:t> </w:t>
      </w:r>
      <w:r>
        <w:rPr>
          <w:b/>
          <w:sz w:val="22"/>
          <w:u w:val="single"/>
        </w:rPr>
        <w:t>/</w:t>
      </w:r>
      <w:r>
        <w:rPr>
          <w:b/>
          <w:spacing w:val="36"/>
          <w:sz w:val="22"/>
          <w:u w:val="single"/>
        </w:rPr>
        <w:t> </w:t>
      </w:r>
      <w:r>
        <w:rPr>
          <w:b/>
          <w:sz w:val="22"/>
          <w:u w:val="single"/>
        </w:rPr>
        <w:t>diplomatische</w:t>
      </w:r>
      <w:r>
        <w:rPr>
          <w:b/>
          <w:spacing w:val="33"/>
          <w:sz w:val="22"/>
          <w:u w:val="single"/>
        </w:rPr>
        <w:t> </w:t>
      </w:r>
      <w:r>
        <w:rPr>
          <w:b/>
          <w:sz w:val="22"/>
          <w:u w:val="single"/>
        </w:rPr>
        <w:t>Mission</w:t>
      </w:r>
      <w:r>
        <w:rPr>
          <w:b/>
          <w:spacing w:val="31"/>
          <w:sz w:val="22"/>
          <w:u w:val="single"/>
        </w:rPr>
        <w:t> </w:t>
      </w:r>
      <w:r>
        <w:rPr>
          <w:b/>
          <w:sz w:val="22"/>
          <w:u w:val="single"/>
        </w:rPr>
        <w:t>ihres</w:t>
      </w:r>
      <w:r>
        <w:rPr>
          <w:b/>
          <w:spacing w:val="35"/>
          <w:sz w:val="22"/>
          <w:u w:val="single"/>
        </w:rPr>
        <w:t> </w:t>
      </w:r>
      <w:r>
        <w:rPr>
          <w:b/>
          <w:sz w:val="22"/>
          <w:u w:val="single"/>
        </w:rPr>
        <w:t>Landes</w:t>
      </w:r>
      <w:r>
        <w:rPr>
          <w:b/>
          <w:spacing w:val="36"/>
          <w:sz w:val="22"/>
          <w:u w:val="single"/>
        </w:rPr>
        <w:t> </w:t>
      </w:r>
      <w:r>
        <w:rPr>
          <w:b/>
          <w:sz w:val="22"/>
          <w:u w:val="single"/>
        </w:rPr>
        <w:t>bei</w:t>
      </w:r>
      <w:r>
        <w:rPr>
          <w:b/>
          <w:spacing w:val="34"/>
          <w:sz w:val="22"/>
          <w:u w:val="single"/>
        </w:rPr>
        <w:t> </w:t>
      </w:r>
      <w:r>
        <w:rPr>
          <w:b/>
          <w:sz w:val="22"/>
          <w:u w:val="single"/>
        </w:rPr>
        <w:t>der</w:t>
      </w:r>
      <w:r>
        <w:rPr>
          <w:b/>
          <w:spacing w:val="33"/>
          <w:sz w:val="22"/>
          <w:u w:val="single"/>
        </w:rPr>
        <w:t> </w:t>
      </w:r>
      <w:r>
        <w:rPr>
          <w:b/>
          <w:sz w:val="22"/>
          <w:u w:val="single"/>
        </w:rPr>
        <w:t>EU</w:t>
      </w:r>
      <w:r>
        <w:rPr>
          <w:sz w:val="22"/>
        </w:rPr>
        <w:t>.</w:t>
      </w:r>
      <w:r>
        <w:rPr>
          <w:spacing w:val="35"/>
          <w:sz w:val="22"/>
        </w:rPr>
        <w:t> </w:t>
      </w:r>
      <w:r>
        <w:rPr>
          <w:spacing w:val="-2"/>
          <w:sz w:val="22"/>
        </w:rPr>
        <w:t>Diese</w:t>
      </w:r>
    </w:p>
    <w:p>
      <w:pPr>
        <w:spacing w:after="0"/>
        <w:jc w:val="both"/>
        <w:rPr>
          <w:sz w:val="22"/>
        </w:rPr>
        <w:sectPr>
          <w:pgSz w:w="11910" w:h="16840"/>
          <w:pgMar w:header="0" w:footer="690" w:top="1040" w:bottom="880" w:left="480" w:right="740"/>
        </w:sectPr>
      </w:pPr>
    </w:p>
    <w:p>
      <w:pPr>
        <w:pStyle w:val="BodyText"/>
        <w:spacing w:before="68"/>
        <w:ind w:left="799" w:right="281"/>
        <w:jc w:val="both"/>
      </w:pPr>
      <w:r>
        <w:rPr/>
        <w:t>leitet die Bewerbungen innerhalb der Fristen für das Auswahlverfahren an die zuständigen Kommissionsdienststellen weiter. Der Lebenslauf muss das Geburtsdatum und die Staatsangehörigkeit des Kandidaten enthalten. </w:t>
      </w:r>
      <w:r>
        <w:rPr>
          <w:b/>
        </w:rPr>
        <w:t>Bei Nichteinhaltung dieses Verfahrens oder der Fristen wird die Bewerbung automatisch ungültig. </w:t>
      </w:r>
      <w:r>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9" w:right="283"/>
        <w:jc w:val="both"/>
      </w:pPr>
      <w:r>
        <w:rPr/>
        <w:t>Die Bewerberinnen und Bewerber werden von dem einstellenden Referat über den Stand ihrer Bewerbung </w:t>
      </w:r>
      <w:r>
        <w:rPr>
          <w:spacing w:val="-2"/>
        </w:rPr>
        <w:t>informiert.</w:t>
      </w:r>
    </w:p>
    <w:p>
      <w:pPr>
        <w:pStyle w:val="BodyText"/>
        <w:spacing w:before="7"/>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7"/>
        <w:rPr>
          <w:b/>
          <w:sz w:val="15"/>
        </w:rPr>
      </w:pPr>
    </w:p>
    <w:p>
      <w:pPr>
        <w:spacing w:before="91"/>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ind w:left="799" w:right="284"/>
        <w:jc w:val="both"/>
      </w:pPr>
      <w:r>
        <w:rPr/>
        <w:t>Mit Ausnahme der unentgeltlich abgeordneten Sachverständigen können den ANS, die die Bedingungen nach Artikel 17 des ANS-Beschlusses erfüllen, Tagegelder gezahlt werden.</w:t>
      </w:r>
    </w:p>
    <w:p>
      <w:pPr>
        <w:pStyle w:val="BodyText"/>
        <w:spacing w:before="1"/>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1"/>
      </w:pPr>
    </w:p>
    <w:p>
      <w:pPr>
        <w:pStyle w:val="BodyText"/>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1"/>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9" w:right="283"/>
        <w:jc w:val="both"/>
      </w:pPr>
      <w:r>
        <w:rPr/>
        <w:t>Die Daten der ANS werden</w:t>
      </w:r>
      <w:r>
        <w:rPr>
          <w:spacing w:val="-1"/>
        </w:rPr>
        <w:t> </w:t>
      </w:r>
      <w:r>
        <w:rPr/>
        <w:t>für die Dauer von 7 Jahren</w:t>
      </w:r>
      <w:r>
        <w:rPr>
          <w:spacing w:val="-2"/>
        </w:rPr>
        <w:t> </w:t>
      </w:r>
      <w:r>
        <w:rPr/>
        <w:t>ab dem</w:t>
      </w:r>
      <w:r>
        <w:rPr>
          <w:spacing w:val="-2"/>
        </w:rPr>
        <w:t> </w:t>
      </w:r>
      <w:r>
        <w:rPr/>
        <w:t>Ende der Abordnung</w:t>
      </w:r>
      <w:r>
        <w:rPr>
          <w:spacing w:val="-2"/>
        </w:rPr>
        <w:t> </w:t>
      </w:r>
      <w:r>
        <w:rPr/>
        <w:t>aufbewahrt (zwei Jahre bei ANS, deren Bewerbung zurückgezogen wurde).</w:t>
      </w:r>
    </w:p>
    <w:p>
      <w:pPr>
        <w:pStyle w:val="BodyText"/>
        <w:spacing w:before="1"/>
        <w:ind w:left="799" w:right="108"/>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3"/>
      </w:pPr>
    </w:p>
    <w:p>
      <w:pPr>
        <w:pStyle w:val="Heading1"/>
        <w:spacing w:line="251"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1" w:lineRule="exact" w:before="0" w:after="0"/>
        <w:ind w:left="1080" w:right="0" w:hanging="282"/>
        <w:jc w:val="left"/>
        <w:rPr>
          <w:b/>
          <w:sz w:val="22"/>
        </w:rPr>
      </w:pPr>
      <w:r>
        <w:rPr>
          <w:b/>
          <w:sz w:val="22"/>
        </w:rPr>
        <w:t>Data</w:t>
      </w:r>
      <w:r>
        <w:rPr>
          <w:b/>
          <w:spacing w:val="-2"/>
          <w:sz w:val="22"/>
        </w:rPr>
        <w:t> Controller</w:t>
      </w:r>
    </w:p>
    <w:p>
      <w:pPr>
        <w:pStyle w:val="BodyText"/>
        <w:ind w:left="1080" w:right="106"/>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rPr>
          <w:sz w:val="14"/>
        </w:rPr>
      </w:pPr>
    </w:p>
    <w:p>
      <w:pPr>
        <w:pStyle w:val="Heading1"/>
        <w:numPr>
          <w:ilvl w:val="0"/>
          <w:numId w:val="4"/>
        </w:numPr>
        <w:tabs>
          <w:tab w:pos="1080" w:val="left" w:leader="none"/>
          <w:tab w:pos="1081" w:val="left" w:leader="none"/>
        </w:tabs>
        <w:spacing w:line="240" w:lineRule="auto" w:before="92"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spacing w:after="0" w:line="240" w:lineRule="auto"/>
        <w:jc w:val="left"/>
        <w:sectPr>
          <w:pgSz w:w="11910" w:h="16840"/>
          <w:pgMar w:header="0" w:footer="690" w:top="1040" w:bottom="880" w:left="480" w:right="740"/>
        </w:sectPr>
      </w:pPr>
    </w:p>
    <w:p>
      <w:pPr>
        <w:pStyle w:val="BodyText"/>
        <w:spacing w:before="68"/>
        <w:ind w:left="1080" w:right="104"/>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
      </w:pPr>
    </w:p>
    <w:p>
      <w:pPr>
        <w:pStyle w:val="Heading1"/>
        <w:numPr>
          <w:ilvl w:val="0"/>
          <w:numId w:val="4"/>
        </w:numPr>
        <w:tabs>
          <w:tab w:pos="1081" w:val="left" w:leader="none"/>
        </w:tabs>
        <w:spacing w:line="240" w:lineRule="auto" w:before="0" w:after="0"/>
        <w:ind w:left="1080" w:right="0" w:hanging="282"/>
        <w:jc w:val="both"/>
      </w:pPr>
      <w:r>
        <w:rPr/>
        <w:t>Europäische</w:t>
      </w:r>
      <w:r>
        <w:rPr>
          <w:spacing w:val="-8"/>
        </w:rPr>
        <w:t> </w:t>
      </w:r>
      <w:r>
        <w:rPr/>
        <w:t>Datenschutzbeauftragte</w:t>
      </w:r>
      <w:r>
        <w:rPr>
          <w:spacing w:val="-8"/>
        </w:rPr>
        <w:t> </w:t>
      </w:r>
      <w:r>
        <w:rPr>
          <w:spacing w:val="-2"/>
        </w:rPr>
        <w:t>(EDSB)</w:t>
      </w:r>
    </w:p>
    <w:p>
      <w:pPr>
        <w:pStyle w:val="BodyText"/>
        <w:spacing w:before="2"/>
        <w:ind w:left="1080"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spacing w:before="11"/>
        <w:rPr>
          <w:sz w:val="21"/>
        </w:rPr>
      </w:pPr>
    </w:p>
    <w:p>
      <w:pPr>
        <w:pStyle w:val="BodyText"/>
        <w:ind w:left="1080" w:right="113"/>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Wingdings">
    <w:altName w:val="Wingdings"/>
    <w:charset w:val="2"/>
    <w:family w:val="auto"/>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19776"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1800" w:hanging="360"/>
      </w:pPr>
      <w:rPr>
        <w:rFonts w:hint="default" w:ascii="Symbol" w:hAnsi="Symbol" w:eastAsia="Symbol" w:cs="Symbol"/>
        <w:b w:val="0"/>
        <w:bCs w:val="0"/>
        <w:i w:val="0"/>
        <w:iCs w:val="0"/>
        <w:w w:val="100"/>
        <w:sz w:val="22"/>
        <w:szCs w:val="22"/>
        <w:lang w:val="de-DE" w:eastAsia="en-US" w:bidi="ar-SA"/>
      </w:rPr>
    </w:lvl>
    <w:lvl w:ilvl="2">
      <w:start w:val="0"/>
      <w:numFmt w:val="bullet"/>
      <w:lvlText w:val="•"/>
      <w:lvlJc w:val="left"/>
      <w:pPr>
        <w:ind w:left="2787" w:hanging="360"/>
      </w:pPr>
      <w:rPr>
        <w:rFonts w:hint="default"/>
        <w:lang w:val="de-DE" w:eastAsia="en-US" w:bidi="ar-SA"/>
      </w:rPr>
    </w:lvl>
    <w:lvl w:ilvl="3">
      <w:start w:val="0"/>
      <w:numFmt w:val="bullet"/>
      <w:lvlText w:val="•"/>
      <w:lvlJc w:val="left"/>
      <w:pPr>
        <w:ind w:left="3774" w:hanging="360"/>
      </w:pPr>
      <w:rPr>
        <w:rFonts w:hint="default"/>
        <w:lang w:val="de-DE" w:eastAsia="en-US" w:bidi="ar-SA"/>
      </w:rPr>
    </w:lvl>
    <w:lvl w:ilvl="4">
      <w:start w:val="0"/>
      <w:numFmt w:val="bullet"/>
      <w:lvlText w:val="•"/>
      <w:lvlJc w:val="left"/>
      <w:pPr>
        <w:ind w:left="4762" w:hanging="360"/>
      </w:pPr>
      <w:rPr>
        <w:rFonts w:hint="default"/>
        <w:lang w:val="de-DE" w:eastAsia="en-US" w:bidi="ar-SA"/>
      </w:rPr>
    </w:lvl>
    <w:lvl w:ilvl="5">
      <w:start w:val="0"/>
      <w:numFmt w:val="bullet"/>
      <w:lvlText w:val="•"/>
      <w:lvlJc w:val="left"/>
      <w:pPr>
        <w:ind w:left="5749" w:hanging="360"/>
      </w:pPr>
      <w:rPr>
        <w:rFonts w:hint="default"/>
        <w:lang w:val="de-DE" w:eastAsia="en-US" w:bidi="ar-SA"/>
      </w:rPr>
    </w:lvl>
    <w:lvl w:ilvl="6">
      <w:start w:val="0"/>
      <w:numFmt w:val="bullet"/>
      <w:lvlText w:val="•"/>
      <w:lvlJc w:val="left"/>
      <w:pPr>
        <w:ind w:left="6736" w:hanging="360"/>
      </w:pPr>
      <w:rPr>
        <w:rFonts w:hint="default"/>
        <w:lang w:val="de-DE" w:eastAsia="en-US" w:bidi="ar-SA"/>
      </w:rPr>
    </w:lvl>
    <w:lvl w:ilvl="7">
      <w:start w:val="0"/>
      <w:numFmt w:val="bullet"/>
      <w:lvlText w:val="•"/>
      <w:lvlJc w:val="left"/>
      <w:pPr>
        <w:ind w:left="7724" w:hanging="360"/>
      </w:pPr>
      <w:rPr>
        <w:rFonts w:hint="default"/>
        <w:lang w:val="de-DE" w:eastAsia="en-US" w:bidi="ar-SA"/>
      </w:rPr>
    </w:lvl>
    <w:lvl w:ilvl="8">
      <w:start w:val="0"/>
      <w:numFmt w:val="bullet"/>
      <w:lvlText w:val="•"/>
      <w:lvlJc w:val="left"/>
      <w:pPr>
        <w:ind w:left="8711" w:hanging="360"/>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line="252" w:lineRule="exact"/>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Lene.Naesag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2023-03-15T15:50:01Z</dcterms:created>
  <dcterms:modified xsi:type="dcterms:W3CDTF">2023-03-15T15:50:01Z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