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7"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z w:val="24"/>
              </w:rPr>
              <w:t>MOVE.B.2</w:t>
            </w:r>
            <w:r>
              <w:rPr>
                <w:spacing w:val="-9"/>
                <w:sz w:val="24"/>
              </w:rPr>
              <w:t> </w:t>
            </w:r>
            <w:r>
              <w:rPr>
                <w:spacing w:val="-2"/>
                <w:sz w:val="24"/>
              </w:rPr>
              <w:t>Verkehrsinvestitionen</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rPr>
                <w:sz w:val="24"/>
              </w:rPr>
            </w:pPr>
            <w:r>
              <w:rPr>
                <w:sz w:val="24"/>
              </w:rPr>
              <w:t>Philippe CHANTRAINE </w:t>
            </w:r>
            <w:hyperlink r:id="rId7">
              <w:r>
                <w:rPr>
                  <w:spacing w:val="-2"/>
                  <w:sz w:val="24"/>
                </w:rPr>
                <w:t>Philippe.chantraine@ec.europa.eu</w:t>
              </w:r>
            </w:hyperlink>
          </w:p>
          <w:p>
            <w:pPr>
              <w:pStyle w:val="TableParagraph"/>
              <w:rPr>
                <w:sz w:val="24"/>
              </w:rPr>
            </w:pPr>
            <w:r>
              <w:rPr>
                <w:sz w:val="24"/>
              </w:rPr>
              <w:t>+32</w:t>
            </w:r>
            <w:r>
              <w:rPr>
                <w:spacing w:val="-1"/>
                <w:sz w:val="24"/>
              </w:rPr>
              <w:t> </w:t>
            </w:r>
            <w:r>
              <w:rPr>
                <w:sz w:val="24"/>
              </w:rPr>
              <w:t>229 </w:t>
            </w:r>
            <w:r>
              <w:rPr>
                <w:spacing w:val="-2"/>
                <w:sz w:val="24"/>
              </w:rPr>
              <w:t>81913</w:t>
            </w:r>
          </w:p>
          <w:p>
            <w:pPr>
              <w:pStyle w:val="TableParagraph"/>
              <w:rPr>
                <w:sz w:val="24"/>
              </w:rPr>
            </w:pPr>
            <w:r>
              <w:rPr>
                <w:sz w:val="24"/>
              </w:rPr>
              <w:t>1</w:t>
            </w:r>
          </w:p>
          <w:p>
            <w:pPr>
              <w:pStyle w:val="TableParagraph"/>
              <w:ind w:left="139"/>
              <w:rPr>
                <w:b/>
                <w:sz w:val="22"/>
              </w:rPr>
            </w:pPr>
            <w:r>
              <w:rPr>
                <w:b/>
                <w:sz w:val="22"/>
              </w:rPr>
              <w:t>Drittes</w:t>
            </w:r>
            <w:r>
              <w:rPr>
                <w:b/>
                <w:spacing w:val="-8"/>
                <w:sz w:val="22"/>
              </w:rPr>
              <w:t> </w:t>
            </w:r>
            <w:r>
              <w:rPr>
                <w:b/>
                <w:sz w:val="22"/>
              </w:rPr>
              <w:t>Quartal</w:t>
            </w:r>
            <w:r>
              <w:rPr>
                <w:b/>
                <w:spacing w:val="-3"/>
                <w:sz w:val="22"/>
              </w:rPr>
              <w:t> </w:t>
            </w:r>
            <w:r>
              <w:rPr>
                <w:b/>
                <w:spacing w:val="-4"/>
                <w:sz w:val="22"/>
              </w:rPr>
              <w:t>2023</w:t>
            </w:r>
            <w:r>
              <w:rPr>
                <w:b/>
                <w:spacing w:val="-4"/>
                <w:sz w:val="22"/>
                <w:vertAlign w:val="superscript"/>
              </w:rPr>
              <w:t>1</w:t>
            </w:r>
          </w:p>
          <w:p>
            <w:pPr>
              <w:pStyle w:val="TableParagraph"/>
              <w:rPr>
                <w:b/>
                <w:sz w:val="22"/>
              </w:rPr>
            </w:pPr>
            <w:r>
              <w:rPr>
                <w:b/>
                <w:sz w:val="22"/>
              </w:rPr>
              <w:t>1 </w:t>
            </w:r>
            <w:r>
              <w:rPr>
                <w:b/>
                <w:spacing w:val="-2"/>
                <w:sz w:val="22"/>
              </w:rPr>
              <w:t>Jahr</w:t>
            </w:r>
            <w:r>
              <w:rPr>
                <w:b/>
                <w:spacing w:val="-2"/>
                <w:sz w:val="22"/>
                <w:vertAlign w:val="superscript"/>
              </w:rPr>
              <w:t>1</w:t>
            </w:r>
          </w:p>
          <w:p>
            <w:pPr>
              <w:pStyle w:val="TableParagraph"/>
              <w:spacing w:before="7"/>
              <w:ind w:left="0"/>
              <w:rPr>
                <w:b/>
                <w:sz w:val="21"/>
              </w:rPr>
            </w:pPr>
          </w:p>
          <w:p>
            <w:pPr>
              <w:pStyle w:val="TableParagraph"/>
              <w:tabs>
                <w:tab w:pos="1522" w:val="left" w:leader="none"/>
              </w:tabs>
              <w:spacing w:line="238" w:lineRule="exact"/>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372"/>
      </w:pPr>
      <w:r>
        <w:rPr/>
        <w:t>Aufgabe</w:t>
      </w:r>
      <w:r>
        <w:rPr>
          <w:spacing w:val="-3"/>
        </w:rPr>
        <w:t> </w:t>
      </w:r>
      <w:r>
        <w:rPr/>
        <w:t>des</w:t>
      </w:r>
      <w:r>
        <w:rPr>
          <w:spacing w:val="-3"/>
        </w:rPr>
        <w:t> </w:t>
      </w:r>
      <w:r>
        <w:rPr/>
        <w:t>Referats</w:t>
      </w:r>
      <w:r>
        <w:rPr>
          <w:spacing w:val="-3"/>
        </w:rPr>
        <w:t> </w:t>
      </w:r>
      <w:r>
        <w:rPr/>
        <w:t>B.2</w:t>
      </w:r>
      <w:r>
        <w:rPr>
          <w:spacing w:val="-5"/>
        </w:rPr>
        <w:t> </w:t>
      </w:r>
      <w:r>
        <w:rPr/>
        <w:t>ist</w:t>
      </w:r>
      <w:r>
        <w:rPr>
          <w:spacing w:val="-2"/>
        </w:rPr>
        <w:t> </w:t>
      </w:r>
      <w:r>
        <w:rPr/>
        <w:t>es,</w:t>
      </w:r>
      <w:r>
        <w:rPr>
          <w:spacing w:val="-3"/>
        </w:rPr>
        <w:t> </w:t>
      </w:r>
      <w:r>
        <w:rPr/>
        <w:t>durch</w:t>
      </w:r>
      <w:r>
        <w:rPr>
          <w:spacing w:val="-3"/>
        </w:rPr>
        <w:t> </w:t>
      </w:r>
      <w:r>
        <w:rPr/>
        <w:t>eine</w:t>
      </w:r>
      <w:r>
        <w:rPr>
          <w:spacing w:val="-2"/>
        </w:rPr>
        <w:t> </w:t>
      </w:r>
      <w:r>
        <w:rPr/>
        <w:t>Kombination</w:t>
      </w:r>
      <w:r>
        <w:rPr>
          <w:spacing w:val="-3"/>
        </w:rPr>
        <w:t> </w:t>
      </w:r>
      <w:r>
        <w:rPr/>
        <w:t>von</w:t>
      </w:r>
      <w:r>
        <w:rPr>
          <w:spacing w:val="-1"/>
        </w:rPr>
        <w:t> </w:t>
      </w:r>
      <w:r>
        <w:rPr/>
        <w:t>Instrumenten</w:t>
      </w:r>
      <w:r>
        <w:rPr>
          <w:spacing w:val="-3"/>
        </w:rPr>
        <w:t> </w:t>
      </w:r>
      <w:r>
        <w:rPr/>
        <w:t>wie</w:t>
      </w:r>
      <w:r>
        <w:rPr>
          <w:spacing w:val="-3"/>
        </w:rPr>
        <w:t> </w:t>
      </w:r>
      <w:r>
        <w:rPr/>
        <w:t>der</w:t>
      </w:r>
      <w:r>
        <w:rPr>
          <w:spacing w:val="-3"/>
        </w:rPr>
        <w:t> </w:t>
      </w:r>
      <w:r>
        <w:rPr/>
        <w:t>Fazilität</w:t>
      </w:r>
      <w:r>
        <w:rPr>
          <w:spacing w:val="-5"/>
        </w:rPr>
        <w:t> </w:t>
      </w:r>
      <w:r>
        <w:rPr/>
        <w:t>„Connecting</w:t>
      </w:r>
      <w:r>
        <w:rPr>
          <w:spacing w:val="-5"/>
        </w:rPr>
        <w:t> </w:t>
      </w:r>
      <w:r>
        <w:rPr/>
        <w:t>Europe“ (CEF), der Aufbau- und Resilienzfazilität (ARF), der Regionalfonds und des Programms „InvestEU“ ein angemessenes Maß an Investitionen in den Verkehr sicherzustellen, in Kombination mit Beratungsdiensten und Regulierungsmaßnahmen im Rahmen des Investitionsplans für ein zukunftsfähiges Europa des Grünen Deals.</w:t>
      </w:r>
    </w:p>
    <w:p>
      <w:pPr>
        <w:pStyle w:val="BodyText"/>
        <w:spacing w:before="2"/>
      </w:pPr>
    </w:p>
    <w:p>
      <w:pPr>
        <w:pStyle w:val="BodyText"/>
        <w:ind w:left="372"/>
      </w:pPr>
      <w:r>
        <w:rPr/>
        <w:t>Die</w:t>
      </w:r>
      <w:r>
        <w:rPr>
          <w:spacing w:val="-6"/>
        </w:rPr>
        <w:t> </w:t>
      </w:r>
      <w:r>
        <w:rPr/>
        <w:t>Kommission</w:t>
      </w:r>
      <w:r>
        <w:rPr>
          <w:spacing w:val="-6"/>
        </w:rPr>
        <w:t> </w:t>
      </w:r>
      <w:r>
        <w:rPr/>
        <w:t>sucht</w:t>
      </w:r>
      <w:r>
        <w:rPr>
          <w:spacing w:val="-2"/>
        </w:rPr>
        <w:t> </w:t>
      </w:r>
      <w:r>
        <w:rPr/>
        <w:t>eine(n)</w:t>
      </w:r>
      <w:r>
        <w:rPr>
          <w:spacing w:val="-2"/>
        </w:rPr>
        <w:t> </w:t>
      </w:r>
      <w:r>
        <w:rPr/>
        <w:t>ANS,</w:t>
      </w:r>
      <w:r>
        <w:rPr>
          <w:spacing w:val="-4"/>
        </w:rPr>
        <w:t> </w:t>
      </w:r>
      <w:r>
        <w:rPr/>
        <w:t>für</w:t>
      </w:r>
      <w:r>
        <w:rPr>
          <w:spacing w:val="-2"/>
        </w:rPr>
        <w:t> </w:t>
      </w:r>
      <w:r>
        <w:rPr/>
        <w:t>zwei</w:t>
      </w:r>
      <w:r>
        <w:rPr>
          <w:spacing w:val="-2"/>
        </w:rPr>
        <w:t> Hauptaufgaben:</w:t>
      </w:r>
    </w:p>
    <w:p>
      <w:pPr>
        <w:pStyle w:val="BodyText"/>
        <w:spacing w:before="9"/>
        <w:rPr>
          <w:sz w:val="21"/>
        </w:rPr>
      </w:pPr>
    </w:p>
    <w:p>
      <w:pPr>
        <w:pStyle w:val="ListParagraph"/>
        <w:numPr>
          <w:ilvl w:val="1"/>
          <w:numId w:val="2"/>
        </w:numPr>
        <w:tabs>
          <w:tab w:pos="1093" w:val="left" w:leader="none"/>
        </w:tabs>
        <w:spacing w:line="240" w:lineRule="auto" w:before="1" w:after="0"/>
        <w:ind w:left="1092" w:right="119" w:hanging="361"/>
        <w:jc w:val="left"/>
        <w:rPr>
          <w:sz w:val="22"/>
        </w:rPr>
      </w:pPr>
      <w:r>
        <w:rPr>
          <w:sz w:val="22"/>
        </w:rPr>
        <w:t>Im Dezember 2022 einigten sich das Europäische Parlament und der Rat auf den Vorschlag der Kommission zur Einrichtung eines Klima-Sozialfonds als Teil des Pakets „</w:t>
      </w:r>
      <w:hyperlink r:id="rId8">
        <w:r>
          <w:rPr>
            <w:color w:val="0000FF"/>
            <w:sz w:val="22"/>
            <w:u w:val="single" w:color="0000FF"/>
          </w:rPr>
          <w:t>Fit für 55</w:t>
        </w:r>
      </w:hyperlink>
      <w:r>
        <w:rPr>
          <w:sz w:val="22"/>
        </w:rPr>
        <w:t>“. Ziel des Fonds ist</w:t>
      </w:r>
      <w:r>
        <w:rPr>
          <w:spacing w:val="40"/>
          <w:sz w:val="22"/>
        </w:rPr>
        <w:t> </w:t>
      </w:r>
      <w:r>
        <w:rPr>
          <w:sz w:val="22"/>
        </w:rPr>
        <w:t>es, finanziell schwächere Haushalte, Kleinstunternehmen und Verkehrsnutzer unter anderem durch einen verbesserten</w:t>
      </w:r>
      <w:r>
        <w:rPr>
          <w:spacing w:val="-4"/>
          <w:sz w:val="22"/>
        </w:rPr>
        <w:t> </w:t>
      </w:r>
      <w:r>
        <w:rPr>
          <w:sz w:val="22"/>
        </w:rPr>
        <w:t>Zugang</w:t>
      </w:r>
      <w:r>
        <w:rPr>
          <w:spacing w:val="-4"/>
          <w:sz w:val="22"/>
        </w:rPr>
        <w:t> </w:t>
      </w:r>
      <w:r>
        <w:rPr>
          <w:sz w:val="22"/>
        </w:rPr>
        <w:t>zu</w:t>
      </w:r>
      <w:r>
        <w:rPr>
          <w:spacing w:val="-4"/>
          <w:sz w:val="22"/>
        </w:rPr>
        <w:t> </w:t>
      </w:r>
      <w:r>
        <w:rPr>
          <w:sz w:val="22"/>
        </w:rPr>
        <w:t>emissionsfreier</w:t>
      </w:r>
      <w:r>
        <w:rPr>
          <w:spacing w:val="-4"/>
          <w:sz w:val="22"/>
        </w:rPr>
        <w:t> </w:t>
      </w:r>
      <w:r>
        <w:rPr>
          <w:sz w:val="22"/>
        </w:rPr>
        <w:t>und</w:t>
      </w:r>
      <w:r>
        <w:rPr>
          <w:spacing w:val="-7"/>
          <w:sz w:val="22"/>
        </w:rPr>
        <w:t> </w:t>
      </w:r>
      <w:r>
        <w:rPr>
          <w:sz w:val="22"/>
        </w:rPr>
        <w:t>emissionsarmer</w:t>
      </w:r>
      <w:r>
        <w:rPr>
          <w:spacing w:val="-3"/>
          <w:sz w:val="22"/>
        </w:rPr>
        <w:t> </w:t>
      </w:r>
      <w:r>
        <w:rPr>
          <w:sz w:val="22"/>
        </w:rPr>
        <w:t>Mobilität</w:t>
      </w:r>
      <w:r>
        <w:rPr>
          <w:spacing w:val="-3"/>
          <w:sz w:val="22"/>
        </w:rPr>
        <w:t> </w:t>
      </w:r>
      <w:r>
        <w:rPr>
          <w:sz w:val="22"/>
        </w:rPr>
        <w:t>und</w:t>
      </w:r>
      <w:r>
        <w:rPr>
          <w:spacing w:val="-4"/>
          <w:sz w:val="22"/>
        </w:rPr>
        <w:t> </w:t>
      </w:r>
      <w:r>
        <w:rPr>
          <w:sz w:val="22"/>
        </w:rPr>
        <w:t>entsprechenden</w:t>
      </w:r>
      <w:r>
        <w:rPr>
          <w:spacing w:val="-6"/>
          <w:sz w:val="22"/>
        </w:rPr>
        <w:t> </w:t>
      </w:r>
      <w:r>
        <w:rPr>
          <w:sz w:val="22"/>
        </w:rPr>
        <w:t>Verkehrsmitteln zu unterstützen. Zu den Aufgaben der/des ANS gehört die Unterstützung bei der Einrichtung des Fonds in enger Zusammenarbeit mit den zuständigen Generaldirektionen (CLIMA, EMPL usw.), die Koordinierung der Beiträge der GD MOVE bei der Durchführung des Fonds, Beiträge zur Ausarbeitung von Leitfäden </w:t>
      </w:r>
      <w:r>
        <w:rPr>
          <w:spacing w:val="-4"/>
          <w:sz w:val="22"/>
        </w:rPr>
        <w:t>usw.</w:t>
      </w:r>
    </w:p>
    <w:p>
      <w:pPr>
        <w:pStyle w:val="ListParagraph"/>
        <w:numPr>
          <w:ilvl w:val="1"/>
          <w:numId w:val="2"/>
        </w:numPr>
        <w:tabs>
          <w:tab w:pos="1093" w:val="left" w:leader="none"/>
        </w:tabs>
        <w:spacing w:line="240" w:lineRule="auto" w:before="2" w:after="0"/>
        <w:ind w:left="1092" w:right="156" w:hanging="361"/>
        <w:jc w:val="left"/>
        <w:rPr>
          <w:sz w:val="22"/>
        </w:rPr>
      </w:pPr>
      <w:r>
        <w:rPr>
          <w:sz w:val="22"/>
        </w:rPr>
        <w:t>Der </w:t>
      </w:r>
      <w:hyperlink r:id="rId9">
        <w:r>
          <w:rPr>
            <w:color w:val="0000FF"/>
            <w:sz w:val="22"/>
            <w:u w:val="single" w:color="0000FF"/>
          </w:rPr>
          <w:t>Innovationsfonds</w:t>
        </w:r>
      </w:hyperlink>
      <w:r>
        <w:rPr>
          <w:color w:val="0000FF"/>
          <w:sz w:val="22"/>
        </w:rPr>
        <w:t> </w:t>
      </w:r>
      <w:r>
        <w:rPr>
          <w:sz w:val="22"/>
        </w:rPr>
        <w:t>wurde</w:t>
      </w:r>
      <w:r>
        <w:rPr>
          <w:spacing w:val="-1"/>
          <w:sz w:val="22"/>
        </w:rPr>
        <w:t> </w:t>
      </w:r>
      <w:r>
        <w:rPr>
          <w:sz w:val="22"/>
        </w:rPr>
        <w:t>eingerichtet,</w:t>
      </w:r>
      <w:r>
        <w:rPr>
          <w:spacing w:val="-1"/>
          <w:sz w:val="22"/>
        </w:rPr>
        <w:t> </w:t>
      </w:r>
      <w:r>
        <w:rPr>
          <w:sz w:val="22"/>
        </w:rPr>
        <w:t>um</w:t>
      </w:r>
      <w:r>
        <w:rPr>
          <w:spacing w:val="-5"/>
          <w:sz w:val="22"/>
        </w:rPr>
        <w:t> </w:t>
      </w:r>
      <w:r>
        <w:rPr>
          <w:sz w:val="22"/>
        </w:rPr>
        <w:t>Einnahmen</w:t>
      </w:r>
      <w:r>
        <w:rPr>
          <w:spacing w:val="-1"/>
          <w:sz w:val="22"/>
        </w:rPr>
        <w:t> </w:t>
      </w:r>
      <w:r>
        <w:rPr>
          <w:sz w:val="22"/>
        </w:rPr>
        <w:t>aus</w:t>
      </w:r>
      <w:r>
        <w:rPr>
          <w:spacing w:val="-3"/>
          <w:sz w:val="22"/>
        </w:rPr>
        <w:t> </w:t>
      </w:r>
      <w:r>
        <w:rPr>
          <w:sz w:val="22"/>
        </w:rPr>
        <w:t>dem</w:t>
      </w:r>
      <w:r>
        <w:rPr>
          <w:spacing w:val="-5"/>
          <w:sz w:val="22"/>
        </w:rPr>
        <w:t> </w:t>
      </w:r>
      <w:r>
        <w:rPr>
          <w:sz w:val="22"/>
        </w:rPr>
        <w:t>Emissionshandelssystem</w:t>
      </w:r>
      <w:r>
        <w:rPr>
          <w:spacing w:val="-5"/>
          <w:sz w:val="22"/>
        </w:rPr>
        <w:t> </w:t>
      </w:r>
      <w:r>
        <w:rPr>
          <w:sz w:val="22"/>
        </w:rPr>
        <w:t>zu verwenden, um</w:t>
      </w:r>
      <w:r>
        <w:rPr>
          <w:spacing w:val="-7"/>
          <w:sz w:val="22"/>
        </w:rPr>
        <w:t> </w:t>
      </w:r>
      <w:r>
        <w:rPr>
          <w:sz w:val="22"/>
        </w:rPr>
        <w:t>die</w:t>
      </w:r>
      <w:r>
        <w:rPr>
          <w:spacing w:val="-3"/>
          <w:sz w:val="22"/>
        </w:rPr>
        <w:t> </w:t>
      </w:r>
      <w:r>
        <w:rPr>
          <w:sz w:val="22"/>
        </w:rPr>
        <w:t>kommerzielle</w:t>
      </w:r>
      <w:r>
        <w:rPr>
          <w:spacing w:val="-3"/>
          <w:sz w:val="22"/>
        </w:rPr>
        <w:t> </w:t>
      </w:r>
      <w:r>
        <w:rPr>
          <w:sz w:val="22"/>
        </w:rPr>
        <w:t>Demonstration</w:t>
      </w:r>
      <w:r>
        <w:rPr>
          <w:spacing w:val="-6"/>
          <w:sz w:val="22"/>
        </w:rPr>
        <w:t> </w:t>
      </w:r>
      <w:r>
        <w:rPr>
          <w:sz w:val="22"/>
        </w:rPr>
        <w:t>innovativer</w:t>
      </w:r>
      <w:r>
        <w:rPr>
          <w:spacing w:val="-2"/>
          <w:sz w:val="22"/>
        </w:rPr>
        <w:t> </w:t>
      </w:r>
      <w:r>
        <w:rPr>
          <w:sz w:val="22"/>
        </w:rPr>
        <w:t>CO2-armer</w:t>
      </w:r>
      <w:r>
        <w:rPr>
          <w:spacing w:val="-2"/>
          <w:sz w:val="22"/>
        </w:rPr>
        <w:t> </w:t>
      </w:r>
      <w:r>
        <w:rPr>
          <w:sz w:val="22"/>
        </w:rPr>
        <w:t>Technologien</w:t>
      </w:r>
      <w:r>
        <w:rPr>
          <w:spacing w:val="-3"/>
          <w:sz w:val="22"/>
        </w:rPr>
        <w:t> </w:t>
      </w:r>
      <w:r>
        <w:rPr>
          <w:sz w:val="22"/>
        </w:rPr>
        <w:t>zu</w:t>
      </w:r>
      <w:r>
        <w:rPr>
          <w:spacing w:val="-3"/>
          <w:sz w:val="22"/>
        </w:rPr>
        <w:t> </w:t>
      </w:r>
      <w:r>
        <w:rPr>
          <w:sz w:val="22"/>
        </w:rPr>
        <w:t>unterstützen.</w:t>
      </w:r>
      <w:r>
        <w:rPr>
          <w:spacing w:val="-3"/>
          <w:sz w:val="22"/>
        </w:rPr>
        <w:t> </w:t>
      </w:r>
      <w:r>
        <w:rPr>
          <w:sz w:val="22"/>
        </w:rPr>
        <w:t>Damit</w:t>
      </w:r>
      <w:r>
        <w:rPr>
          <w:spacing w:val="-2"/>
          <w:sz w:val="22"/>
        </w:rPr>
        <w:t> </w:t>
      </w:r>
      <w:r>
        <w:rPr>
          <w:sz w:val="22"/>
        </w:rPr>
        <w:t>zielt</w:t>
      </w:r>
      <w:r>
        <w:rPr>
          <w:spacing w:val="-5"/>
          <w:sz w:val="22"/>
        </w:rPr>
        <w:t> </w:t>
      </w:r>
      <w:r>
        <w:rPr>
          <w:sz w:val="22"/>
        </w:rPr>
        <w:t>der Fonds darauf ab, industrielle Lösungen zur Dekarbonisierung Europas und zur Unterstützung seines Übergangs zur Klimaneutralität auf den Markt zu bringen. Die Aufgaben der/des ANS bestehen darin, die Durchführung des Fonds zu verfolgen und dazu beizutragen, eine hohe Inanspruchnahme im Verkehrsbereich sicherzustellen sowie die Koordinierung mit anderen Finanzierungsprogrammen und - instrumenten (wie der Fazilität „Connecting Europe“, InvestEU usw.) sicherzustellen.</w:t>
      </w:r>
    </w:p>
    <w:p>
      <w:pPr>
        <w:pStyle w:val="BodyText"/>
        <w:spacing w:before="10"/>
        <w:rPr>
          <w:sz w:val="18"/>
        </w:rPr>
      </w:pPr>
      <w:r>
        <w:rPr/>
        <w:pict>
          <v:rect style="position:absolute;margin-left:42.599998pt;margin-top:12.09263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87"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37"/>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2"/>
        <w:ind w:left="372"/>
      </w:pPr>
      <w:r>
        <w:rPr/>
        <w:t>Zusätzlich</w:t>
      </w:r>
      <w:r>
        <w:rPr>
          <w:spacing w:val="-2"/>
        </w:rPr>
        <w:t> </w:t>
      </w:r>
      <w:r>
        <w:rPr/>
        <w:t>zu</w:t>
      </w:r>
      <w:r>
        <w:rPr>
          <w:spacing w:val="-2"/>
        </w:rPr>
        <w:t> </w:t>
      </w:r>
      <w:r>
        <w:rPr/>
        <w:t>diesen</w:t>
      </w:r>
      <w:r>
        <w:rPr>
          <w:spacing w:val="-2"/>
        </w:rPr>
        <w:t> </w:t>
      </w:r>
      <w:r>
        <w:rPr/>
        <w:t>Hauptaufgaben</w:t>
      </w:r>
      <w:r>
        <w:rPr>
          <w:spacing w:val="-2"/>
        </w:rPr>
        <w:t> </w:t>
      </w:r>
      <w:r>
        <w:rPr/>
        <w:t>wird</w:t>
      </w:r>
      <w:r>
        <w:rPr>
          <w:spacing w:val="-2"/>
        </w:rPr>
        <w:t> </w:t>
      </w:r>
      <w:r>
        <w:rPr/>
        <w:t>die/der</w:t>
      </w:r>
      <w:r>
        <w:rPr>
          <w:spacing w:val="-2"/>
        </w:rPr>
        <w:t> </w:t>
      </w:r>
      <w:r>
        <w:rPr/>
        <w:t>ANS</w:t>
      </w:r>
      <w:r>
        <w:rPr>
          <w:spacing w:val="-2"/>
        </w:rPr>
        <w:t> </w:t>
      </w:r>
      <w:r>
        <w:rPr/>
        <w:t>insbesondere</w:t>
      </w:r>
      <w:r>
        <w:rPr>
          <w:spacing w:val="-4"/>
        </w:rPr>
        <w:t> </w:t>
      </w:r>
      <w:r>
        <w:rPr/>
        <w:t>mehreren</w:t>
      </w:r>
      <w:r>
        <w:rPr>
          <w:spacing w:val="-4"/>
        </w:rPr>
        <w:t> </w:t>
      </w:r>
      <w:r>
        <w:rPr/>
        <w:t>Mitgliedstaaten</w:t>
      </w:r>
      <w:r>
        <w:rPr>
          <w:spacing w:val="-2"/>
        </w:rPr>
        <w:t> </w:t>
      </w:r>
      <w:r>
        <w:rPr/>
        <w:t>sowie</w:t>
      </w:r>
      <w:r>
        <w:rPr>
          <w:spacing w:val="-2"/>
        </w:rPr>
        <w:t> </w:t>
      </w:r>
      <w:r>
        <w:rPr/>
        <w:t>einem</w:t>
      </w:r>
      <w:r>
        <w:rPr>
          <w:spacing w:val="-6"/>
        </w:rPr>
        <w:t> </w:t>
      </w:r>
      <w:r>
        <w:rPr/>
        <w:t>der</w:t>
      </w:r>
      <w:r>
        <w:rPr>
          <w:spacing w:val="-1"/>
        </w:rPr>
        <w:t> </w:t>
      </w:r>
      <w:r>
        <w:rPr/>
        <w:t>im Rahmen der TEN-V-Verordnung eingerichteten Kernnetzkorridore folgen.</w:t>
      </w:r>
    </w:p>
    <w:p>
      <w:pPr>
        <w:pStyle w:val="BodyText"/>
        <w:spacing w:before="5"/>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1"/>
        <w:rPr>
          <w:b/>
          <w:sz w:val="15"/>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0"/>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0"/>
          <w:numId w:val="4"/>
        </w:numPr>
        <w:tabs>
          <w:tab w:pos="1081" w:val="left" w:leader="none"/>
        </w:tabs>
        <w:spacing w:line="240" w:lineRule="auto" w:before="1"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0"/>
          <w:numId w:val="4"/>
        </w:numPr>
        <w:tabs>
          <w:tab w:pos="1081" w:val="left" w:leader="none"/>
        </w:tabs>
        <w:spacing w:line="240" w:lineRule="auto" w:before="0" w:after="0"/>
        <w:ind w:left="1080" w:right="106"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8"/>
        <w:rPr>
          <w:b/>
          <w:sz w:val="15"/>
        </w:rPr>
      </w:pPr>
    </w:p>
    <w:p>
      <w:pPr>
        <w:pStyle w:val="BodyText"/>
        <w:spacing w:line="253" w:lineRule="exact" w:before="92"/>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ind w:left="1080" w:firstLine="110"/>
      </w:pPr>
      <w:r>
        <w:rPr/>
        <w:t>im</w:t>
      </w:r>
      <w:r>
        <w:rPr>
          <w:spacing w:val="80"/>
        </w:rPr>
        <w:t> </w:t>
      </w:r>
      <w:r>
        <w:rPr/>
        <w:t>Bereich:</w:t>
      </w:r>
      <w:r>
        <w:rPr>
          <w:spacing w:val="80"/>
        </w:rPr>
        <w:t> </w:t>
      </w:r>
      <w:r>
        <w:rPr/>
        <w:t>Wirtschaft,</w:t>
      </w:r>
      <w:r>
        <w:rPr>
          <w:spacing w:val="80"/>
        </w:rPr>
        <w:t> </w:t>
      </w:r>
      <w:r>
        <w:rPr/>
        <w:t>Recht,</w:t>
      </w:r>
      <w:r>
        <w:rPr>
          <w:spacing w:val="80"/>
        </w:rPr>
        <w:t> </w:t>
      </w:r>
      <w:r>
        <w:rPr/>
        <w:t>Unternehmensverwaltung,</w:t>
      </w:r>
      <w:r>
        <w:rPr>
          <w:spacing w:val="80"/>
        </w:rPr>
        <w:t> </w:t>
      </w:r>
      <w:r>
        <w:rPr/>
        <w:t>Politikwissenschaften,</w:t>
      </w:r>
      <w:r>
        <w:rPr>
          <w:spacing w:val="80"/>
        </w:rPr>
        <w:t> </w:t>
      </w:r>
      <w:r>
        <w:rPr/>
        <w:t>Verkehrspolitik,</w:t>
      </w:r>
      <w:r>
        <w:rPr>
          <w:spacing w:val="40"/>
        </w:rPr>
        <w:t> </w:t>
      </w:r>
      <w:r>
        <w:rPr/>
        <w:t>Geografie oder Ingenieurwesen</w:t>
      </w:r>
    </w:p>
    <w:p>
      <w:pPr>
        <w:pStyle w:val="BodyText"/>
        <w:spacing w:before="2"/>
      </w:pPr>
    </w:p>
    <w:p>
      <w:pPr>
        <w:pStyle w:val="BodyText"/>
        <w:ind w:left="1080"/>
      </w:pPr>
      <w:r>
        <w:rPr>
          <w:spacing w:val="-2"/>
          <w:u w:val="single"/>
        </w:rPr>
        <w:t>Berufserfahrung</w:t>
      </w:r>
    </w:p>
    <w:p>
      <w:pPr>
        <w:pStyle w:val="BodyText"/>
        <w:spacing w:before="10"/>
        <w:rPr>
          <w:sz w:val="13"/>
        </w:rPr>
      </w:pPr>
    </w:p>
    <w:p>
      <w:pPr>
        <w:pStyle w:val="BodyText"/>
        <w:spacing w:before="92"/>
        <w:ind w:left="1080"/>
      </w:pPr>
      <w:r>
        <w:rPr/>
        <w:t>Mindestens drei Jahre in der Verkehrspolitik. Erfahrungen mit Verkehrsinvestitionen und</w:t>
      </w:r>
      <w:r>
        <w:rPr>
          <w:spacing w:val="-1"/>
        </w:rPr>
        <w:t> </w:t>
      </w:r>
      <w:r>
        <w:rPr/>
        <w:t>der Entwicklung der Verkehrsinfrastruktur wären von Vorteil.</w:t>
      </w:r>
    </w:p>
    <w:p>
      <w:pPr>
        <w:pStyle w:val="BodyText"/>
        <w:spacing w:before="1"/>
      </w:pPr>
    </w:p>
    <w:p>
      <w:pPr>
        <w:pStyle w:val="BodyText"/>
        <w:spacing w:before="1"/>
        <w:ind w:left="1080"/>
      </w:pPr>
      <w:r>
        <w:rPr>
          <w:u w:val="single"/>
        </w:rPr>
        <w:t>Zur</w:t>
      </w:r>
      <w:r>
        <w:rPr>
          <w:spacing w:val="-5"/>
          <w:u w:val="single"/>
        </w:rPr>
        <w:t> </w:t>
      </w:r>
      <w:r>
        <w:rPr>
          <w:u w:val="single"/>
        </w:rPr>
        <w:t>Ausübung</w:t>
      </w:r>
      <w:r>
        <w:rPr>
          <w:spacing w:val="-5"/>
          <w:u w:val="single"/>
        </w:rPr>
        <w:t> </w:t>
      </w:r>
      <w:r>
        <w:rPr>
          <w:u w:val="single"/>
        </w:rPr>
        <w:t>der</w:t>
      </w:r>
      <w:r>
        <w:rPr>
          <w:spacing w:val="-5"/>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0"/>
        <w:rPr>
          <w:sz w:val="13"/>
        </w:rPr>
      </w:pPr>
    </w:p>
    <w:p>
      <w:pPr>
        <w:pStyle w:val="BodyText"/>
        <w:spacing w:before="91"/>
        <w:ind w:left="1080"/>
      </w:pPr>
      <w:r>
        <w:rPr/>
        <w:t>Englisch.</w:t>
      </w:r>
      <w:r>
        <w:rPr>
          <w:spacing w:val="-9"/>
        </w:rPr>
        <w:t> </w:t>
      </w:r>
      <w:r>
        <w:rPr/>
        <w:t>Kenntnisse</w:t>
      </w:r>
      <w:r>
        <w:rPr>
          <w:spacing w:val="-6"/>
        </w:rPr>
        <w:t> </w:t>
      </w:r>
      <w:r>
        <w:rPr/>
        <w:t>in</w:t>
      </w:r>
      <w:r>
        <w:rPr>
          <w:spacing w:val="-4"/>
        </w:rPr>
        <w:t> </w:t>
      </w:r>
      <w:r>
        <w:rPr/>
        <w:t>anderen</w:t>
      </w:r>
      <w:r>
        <w:rPr>
          <w:spacing w:val="-5"/>
        </w:rPr>
        <w:t> </w:t>
      </w:r>
      <w:r>
        <w:rPr/>
        <w:t>EU-Sprachen</w:t>
      </w:r>
      <w:r>
        <w:rPr>
          <w:spacing w:val="-4"/>
        </w:rPr>
        <w:t> </w:t>
      </w:r>
      <w:r>
        <w:rPr/>
        <w:t>(insbesondere</w:t>
      </w:r>
      <w:r>
        <w:rPr>
          <w:spacing w:val="-4"/>
        </w:rPr>
        <w:t> </w:t>
      </w:r>
      <w:r>
        <w:rPr/>
        <w:t>Französisch)</w:t>
      </w:r>
      <w:r>
        <w:rPr>
          <w:spacing w:val="-3"/>
        </w:rPr>
        <w:t> </w:t>
      </w:r>
      <w:r>
        <w:rPr/>
        <w:t>wären</w:t>
      </w:r>
      <w:r>
        <w:rPr>
          <w:spacing w:val="-6"/>
        </w:rPr>
        <w:t> </w:t>
      </w:r>
      <w:r>
        <w:rPr/>
        <w:t>von</w:t>
      </w:r>
      <w:r>
        <w:rPr>
          <w:spacing w:val="-3"/>
        </w:rPr>
        <w:t> </w:t>
      </w:r>
      <w:r>
        <w:rPr>
          <w:spacing w:val="-2"/>
        </w:rPr>
        <w:t>Vorteil.</w:t>
      </w:r>
    </w:p>
    <w:p>
      <w:pPr>
        <w:pStyle w:val="BodyText"/>
        <w:spacing w:before="6"/>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10">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spacing w:after="0"/>
        <w:jc w:val="both"/>
        <w:rPr>
          <w:sz w:val="22"/>
        </w:rPr>
        <w:sectPr>
          <w:pgSz w:w="11910" w:h="16840"/>
          <w:pgMar w:header="0" w:footer="690" w:top="1300" w:bottom="880" w:left="480" w:right="740"/>
        </w:sectPr>
      </w:pPr>
    </w:p>
    <w:p>
      <w:pPr>
        <w:pStyle w:val="BodyText"/>
        <w:spacing w:before="68"/>
        <w:ind w:left="799"/>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7"/>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3"/>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4"/>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79"/>
        <w:jc w:val="both"/>
      </w:pPr>
      <w:r>
        <w:rPr/>
        <w:t>Die Daten der ANS werden für die Dauer von zehn Jahren ab dem Ende der Abordnung aufbewahrt (zwei Jahre bei ANS, deren Bewerbung zurückgezogen oder nicht berücksichtigt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6"/>
      </w:pPr>
    </w:p>
    <w:p>
      <w:pPr>
        <w:pStyle w:val="Heading1"/>
        <w:spacing w:line="250" w:lineRule="exact"/>
        <w:ind w:left="799" w:firstLine="0"/>
      </w:pPr>
      <w:r>
        <w:rPr>
          <w:spacing w:val="-2"/>
          <w:u w:val="single"/>
        </w:rPr>
        <w:t>Kontaktinformationen</w:t>
      </w:r>
    </w:p>
    <w:p>
      <w:pPr>
        <w:pStyle w:val="ListParagraph"/>
        <w:numPr>
          <w:ilvl w:val="0"/>
          <w:numId w:val="5"/>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 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184"/>
      </w:pPr>
      <w:r>
        <w:rPr/>
        <w:t>Sie können sich an den Datenschutzbeauftragten (</w:t>
      </w:r>
      <w:hyperlink r:id="rId12">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0"/>
        <w:rPr>
          <w:sz w:val="21"/>
        </w:rPr>
      </w:pPr>
    </w:p>
    <w:p>
      <w:pPr>
        <w:pStyle w:val="Heading1"/>
        <w:numPr>
          <w:ilvl w:val="0"/>
          <w:numId w:val="5"/>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1"/>
        <w:ind w:left="1080" w:right="184"/>
      </w:pPr>
      <w:r>
        <w:rPr/>
        <w:t>Sie haben das Recht, sich an den Europäischen Datenschutzbeauftragten (</w:t>
      </w:r>
      <w:hyperlink r:id="rId13">
        <w:r>
          <w:rPr>
            <w:color w:val="0000FF"/>
            <w:u w:val="single" w:color="0000FF"/>
          </w:rPr>
          <w:t>edps@edps.europa.eu</w:t>
        </w:r>
      </w:hyperlink>
      <w:r>
        <w:rPr/>
        <w:t>) zu wenden</w:t>
      </w:r>
      <w:r>
        <w:rPr>
          <w:spacing w:val="-2"/>
        </w:rPr>
        <w:t> </w:t>
      </w:r>
      <w:r>
        <w:rPr/>
        <w:t>(d.h.</w:t>
      </w:r>
      <w:r>
        <w:rPr>
          <w:spacing w:val="-2"/>
        </w:rPr>
        <w:t> </w:t>
      </w:r>
      <w:r>
        <w:rPr/>
        <w:t>Sie</w:t>
      </w:r>
      <w:r>
        <w:rPr>
          <w:spacing w:val="-2"/>
        </w:rPr>
        <w:t> </w:t>
      </w:r>
      <w:r>
        <w:rPr/>
        <w:t>können</w:t>
      </w:r>
      <w:r>
        <w:rPr>
          <w:spacing w:val="-2"/>
        </w:rPr>
        <w:t> </w:t>
      </w:r>
      <w:r>
        <w:rPr/>
        <w:t>eine</w:t>
      </w:r>
      <w:r>
        <w:rPr>
          <w:spacing w:val="-2"/>
        </w:rPr>
        <w:t> </w:t>
      </w:r>
      <w:r>
        <w:rPr/>
        <w:t>Beschwerde</w:t>
      </w:r>
      <w:r>
        <w:rPr>
          <w:spacing w:val="-2"/>
        </w:rPr>
        <w:t> </w:t>
      </w:r>
      <w:r>
        <w:rPr/>
        <w:t>einlegen),</w:t>
      </w:r>
      <w:r>
        <w:rPr>
          <w:spacing w:val="-5"/>
        </w:rPr>
        <w:t> </w:t>
      </w:r>
      <w:r>
        <w:rPr/>
        <w:t>wenn</w:t>
      </w:r>
      <w:r>
        <w:rPr>
          <w:spacing w:val="-2"/>
        </w:rPr>
        <w:t> </w:t>
      </w:r>
      <w:r>
        <w:rPr/>
        <w:t>Sie</w:t>
      </w:r>
      <w:r>
        <w:rPr>
          <w:spacing w:val="-4"/>
        </w:rPr>
        <w:t> </w:t>
      </w:r>
      <w:r>
        <w:rPr/>
        <w:t>der</w:t>
      </w:r>
      <w:r>
        <w:rPr>
          <w:spacing w:val="-1"/>
        </w:rPr>
        <w:t> </w:t>
      </w:r>
      <w:r>
        <w:rPr/>
        <w:t>Ansicht</w:t>
      </w:r>
      <w:r>
        <w:rPr>
          <w:spacing w:val="-4"/>
        </w:rPr>
        <w:t> </w:t>
      </w:r>
      <w:r>
        <w:rPr/>
        <w:t>sind,</w:t>
      </w:r>
      <w:r>
        <w:rPr>
          <w:spacing w:val="-5"/>
        </w:rPr>
        <w:t> </w:t>
      </w:r>
      <w:r>
        <w:rPr/>
        <w:t>dass</w:t>
      </w:r>
      <w:r>
        <w:rPr>
          <w:spacing w:val="-2"/>
        </w:rPr>
        <w:t> </w:t>
      </w:r>
      <w:r>
        <w:rPr/>
        <w:t>Ihre</w:t>
      </w:r>
      <w:r>
        <w:rPr>
          <w:spacing w:val="-2"/>
        </w:rPr>
        <w:t> </w:t>
      </w:r>
      <w:r>
        <w:rPr/>
        <w:t>Rechte</w:t>
      </w:r>
      <w:r>
        <w:rPr>
          <w:spacing w:val="-2"/>
        </w:rPr>
        <w:t> </w:t>
      </w:r>
      <w:r>
        <w:rPr/>
        <w:t>gemäß</w:t>
      </w:r>
    </w:p>
    <w:p>
      <w:pPr>
        <w:spacing w:after="0"/>
        <w:sectPr>
          <w:pgSz w:w="11910" w:h="16840"/>
          <w:pgMar w:header="0" w:footer="690" w:top="1040" w:bottom="880" w:left="480" w:right="740"/>
        </w:sectPr>
      </w:pPr>
    </w:p>
    <w:p>
      <w:pPr>
        <w:pStyle w:val="BodyText"/>
        <w:spacing w:before="68"/>
        <w:ind w:left="1080"/>
      </w:pPr>
      <w:r>
        <w:rPr/>
        <w:t>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2"/>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875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decimal"/>
      <w:lvlText w:val="%2."/>
      <w:lvlJc w:val="left"/>
      <w:pPr>
        <w:ind w:left="1092" w:hanging="361"/>
        <w:jc w:val="left"/>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hilippe.chantraine@ec.europa.eu" TargetMode="External"/><Relationship Id="rId8" Type="http://schemas.openxmlformats.org/officeDocument/2006/relationships/hyperlink" Target="https://climate.ec.europa.eu/eu-action/european-green-deal/delivering-european-green-deal_en" TargetMode="External"/><Relationship Id="rId9" Type="http://schemas.openxmlformats.org/officeDocument/2006/relationships/hyperlink" Target="https://climate.ec.europa.eu/eu-action/funding-climate-action/innovation-fund_en" TargetMode="External"/><Relationship Id="rId10" Type="http://schemas.openxmlformats.org/officeDocument/2006/relationships/hyperlink" Target="http://europass.cedefop.europa.eu/de/documents/curriculum-vitae" TargetMode="External"/><Relationship Id="rId11" Type="http://schemas.openxmlformats.org/officeDocument/2006/relationships/hyperlink" Target="mailto:HR-MAIL-B4@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2023-03-15T16:07:03Z</dcterms:created>
  <dcterms:modified xsi:type="dcterms:W3CDTF">2023-03-15T16:07:03Z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