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pacing w:val="-2"/>
                <w:sz w:val="24"/>
              </w:rPr>
              <w:t>MOVE-B-</w:t>
            </w:r>
            <w:r>
              <w:rPr>
                <w:b/>
                <w:spacing w:val="-10"/>
                <w:sz w:val="24"/>
              </w:rPr>
              <w:t>5</w:t>
            </w:r>
          </w:p>
        </w:tc>
      </w:tr>
      <w:tr>
        <w:trPr>
          <w:trHeight w:val="2354"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567"/>
              <w:rPr>
                <w:b/>
                <w:sz w:val="22"/>
              </w:rPr>
            </w:pPr>
            <w:r>
              <w:rPr>
                <w:b/>
                <w:sz w:val="22"/>
              </w:rPr>
              <w:t>Elisabeth Kotthaus </w:t>
            </w:r>
            <w:hyperlink r:id="rId7">
              <w:r>
                <w:rPr>
                  <w:b/>
                  <w:color w:val="0000FF"/>
                  <w:spacing w:val="-2"/>
                  <w:sz w:val="22"/>
                  <w:u w:val="single" w:color="0000FF"/>
                </w:rPr>
                <w:t>Elisabeth.Kotthaus@ec.europa.eu</w:t>
              </w:r>
            </w:hyperlink>
          </w:p>
          <w:p>
            <w:pPr>
              <w:pStyle w:val="TableParagraph"/>
              <w:rPr>
                <w:b/>
                <w:sz w:val="22"/>
              </w:rPr>
            </w:pPr>
            <w:r>
              <w:rPr>
                <w:b/>
                <w:sz w:val="22"/>
              </w:rPr>
              <w:t>+32</w:t>
            </w:r>
            <w:r>
              <w:rPr>
                <w:b/>
                <w:spacing w:val="-1"/>
                <w:sz w:val="22"/>
              </w:rPr>
              <w:t> </w:t>
            </w:r>
            <w:r>
              <w:rPr>
                <w:b/>
                <w:sz w:val="22"/>
              </w:rPr>
              <w:t>2</w:t>
            </w:r>
            <w:r>
              <w:rPr>
                <w:b/>
                <w:spacing w:val="-1"/>
                <w:sz w:val="22"/>
              </w:rPr>
              <w:t> </w:t>
            </w:r>
            <w:r>
              <w:rPr>
                <w:b/>
                <w:spacing w:val="-2"/>
                <w:sz w:val="22"/>
              </w:rPr>
              <w:t>2994870</w:t>
            </w:r>
          </w:p>
          <w:p>
            <w:pPr>
              <w:pStyle w:val="TableParagraph"/>
              <w:spacing w:before="36"/>
              <w:rPr>
                <w:b/>
                <w:sz w:val="22"/>
              </w:rPr>
            </w:pPr>
            <w:r>
              <w:rPr>
                <w:b/>
                <w:w w:val="100"/>
                <w:sz w:val="22"/>
              </w:rPr>
              <w:t>1</w:t>
            </w:r>
          </w:p>
          <w:p>
            <w:pPr>
              <w:pStyle w:val="TableParagraph"/>
              <w:spacing w:line="252" w:lineRule="exact" w:before="40"/>
              <w:rPr>
                <w:b/>
                <w:sz w:val="22"/>
              </w:rPr>
            </w:pPr>
            <w:r>
              <w:rPr>
                <w:b/>
                <w:sz w:val="22"/>
              </w:rPr>
              <w:t>3.-4.</w:t>
            </w:r>
            <w:r>
              <w:rPr>
                <w:b/>
                <w:spacing w:val="75"/>
                <w:sz w:val="22"/>
              </w:rPr>
              <w:t> </w:t>
            </w:r>
            <w:r>
              <w:rPr>
                <w:b/>
                <w:sz w:val="22"/>
              </w:rPr>
              <w:t>Quartal</w:t>
            </w:r>
            <w:r>
              <w:rPr>
                <w:b/>
                <w:spacing w:val="79"/>
                <w:sz w:val="22"/>
              </w:rPr>
              <w:t> </w:t>
            </w:r>
            <w:r>
              <w:rPr>
                <w:b/>
                <w:sz w:val="22"/>
              </w:rPr>
              <w:t>2023</w:t>
            </w:r>
            <w:r>
              <w:rPr>
                <w:b/>
                <w:spacing w:val="77"/>
                <w:sz w:val="22"/>
              </w:rPr>
              <w:t> </w:t>
            </w:r>
            <w:r>
              <w:rPr>
                <w:b/>
                <w:sz w:val="22"/>
              </w:rPr>
              <w:t>(idealerweise</w:t>
            </w:r>
            <w:r>
              <w:rPr>
                <w:b/>
                <w:spacing w:val="78"/>
                <w:sz w:val="22"/>
              </w:rPr>
              <w:t> </w:t>
            </w:r>
            <w:r>
              <w:rPr>
                <w:b/>
                <w:sz w:val="22"/>
              </w:rPr>
              <w:t>zum</w:t>
            </w:r>
            <w:r>
              <w:rPr>
                <w:b/>
                <w:spacing w:val="79"/>
                <w:sz w:val="22"/>
              </w:rPr>
              <w:t> </w:t>
            </w:r>
            <w:r>
              <w:rPr>
                <w:b/>
                <w:spacing w:val="-5"/>
                <w:sz w:val="22"/>
              </w:rPr>
              <w:t>1.</w:t>
            </w:r>
          </w:p>
          <w:p>
            <w:pPr>
              <w:pStyle w:val="TableParagraph"/>
              <w:spacing w:line="252" w:lineRule="exact"/>
              <w:rPr>
                <w:b/>
                <w:sz w:val="22"/>
              </w:rPr>
            </w:pPr>
            <w:r>
              <w:rPr>
                <w:b/>
                <w:sz w:val="22"/>
              </w:rPr>
              <w:t>September</w:t>
            </w:r>
            <w:r>
              <w:rPr>
                <w:b/>
                <w:spacing w:val="-4"/>
                <w:sz w:val="22"/>
              </w:rPr>
              <w:t> </w:t>
            </w:r>
            <w:r>
              <w:rPr>
                <w:b/>
                <w:spacing w:val="-2"/>
                <w:sz w:val="22"/>
              </w:rPr>
              <w:t>2023)</w:t>
            </w:r>
            <w:r>
              <w:rPr>
                <w:b/>
                <w:spacing w:val="-2"/>
                <w:sz w:val="22"/>
                <w:vertAlign w:val="superscript"/>
              </w:rPr>
              <w:t>1</w:t>
            </w:r>
          </w:p>
          <w:p>
            <w:pPr>
              <w:pStyle w:val="TableParagraph"/>
              <w:rPr>
                <w:b/>
                <w:sz w:val="22"/>
              </w:rPr>
            </w:pPr>
            <w:r>
              <w:rPr>
                <w:b/>
                <w:sz w:val="22"/>
              </w:rPr>
              <w:t>1 </w:t>
            </w:r>
            <w:r>
              <w:rPr>
                <w:b/>
                <w:spacing w:val="-2"/>
                <w:sz w:val="22"/>
              </w:rPr>
              <w:t>Jahr</w:t>
            </w:r>
            <w:r>
              <w:rPr>
                <w:b/>
                <w:spacing w:val="-2"/>
                <w:sz w:val="22"/>
                <w:vertAlign w:val="superscript"/>
              </w:rPr>
              <w:t>1</w:t>
            </w:r>
          </w:p>
          <w:p>
            <w:pPr>
              <w:pStyle w:val="TableParagraph"/>
              <w:ind w:left="0"/>
              <w:rPr>
                <w:b/>
                <w:sz w:val="22"/>
              </w:rPr>
            </w:pPr>
          </w:p>
          <w:p>
            <w:pPr>
              <w:pStyle w:val="TableParagraph"/>
              <w:tabs>
                <w:tab w:pos="1522" w:val="left" w:leader="none"/>
              </w:tabs>
              <w:spacing w:line="236" w:lineRule="exact"/>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799" w:right="109"/>
        <w:jc w:val="both"/>
      </w:pPr>
      <w:r>
        <w:rPr/>
        <w:t>Der ANS wird aktiv an den Aufgaben des Referats mitarbeiten. Diese bestehen in der Konzeption, Entwicklung, Vorbereitung, Umsetzung und Überwachung der Politik im Bereich der Fahrgastrechte und der damit verbundenen Aktivitäten bei allen</w:t>
      </w:r>
      <w:r>
        <w:rPr>
          <w:spacing w:val="-2"/>
        </w:rPr>
        <w:t> </w:t>
      </w:r>
      <w:r>
        <w:rPr/>
        <w:t>Verkehrsmitteln sowie in der Koordinierung</w:t>
      </w:r>
      <w:r>
        <w:rPr>
          <w:spacing w:val="-3"/>
        </w:rPr>
        <w:t> </w:t>
      </w:r>
      <w:r>
        <w:rPr/>
        <w:t>der sozialen Aspekte der EU-Verkehrspolitik und der Chancengleichheit innerhalb der GD MOVE.</w:t>
      </w:r>
    </w:p>
    <w:p>
      <w:pPr>
        <w:pStyle w:val="BodyText"/>
      </w:pPr>
    </w:p>
    <w:p>
      <w:pPr>
        <w:pStyle w:val="BodyText"/>
        <w:ind w:left="799"/>
        <w:jc w:val="both"/>
      </w:pPr>
      <w:r>
        <w:rPr/>
        <w:t>Die</w:t>
      </w:r>
      <w:r>
        <w:rPr>
          <w:spacing w:val="-7"/>
        </w:rPr>
        <w:t> </w:t>
      </w:r>
      <w:r>
        <w:rPr/>
        <w:t>Hauptaufgaben</w:t>
      </w:r>
      <w:r>
        <w:rPr>
          <w:spacing w:val="-4"/>
        </w:rPr>
        <w:t> </w:t>
      </w:r>
      <w:r>
        <w:rPr/>
        <w:t>werden</w:t>
      </w:r>
      <w:r>
        <w:rPr>
          <w:spacing w:val="-6"/>
        </w:rPr>
        <w:t> </w:t>
      </w:r>
      <w:r>
        <w:rPr/>
        <w:t>sich</w:t>
      </w:r>
      <w:r>
        <w:rPr>
          <w:spacing w:val="-4"/>
        </w:rPr>
        <w:t> </w:t>
      </w:r>
      <w:r>
        <w:rPr/>
        <w:t>mit</w:t>
      </w:r>
      <w:r>
        <w:rPr>
          <w:spacing w:val="-4"/>
        </w:rPr>
        <w:t> </w:t>
      </w:r>
      <w:r>
        <w:rPr/>
        <w:t>der</w:t>
      </w:r>
      <w:r>
        <w:rPr>
          <w:spacing w:val="-3"/>
        </w:rPr>
        <w:t> </w:t>
      </w:r>
      <w:r>
        <w:rPr/>
        <w:t>Politik</w:t>
      </w:r>
      <w:r>
        <w:rPr>
          <w:spacing w:val="-7"/>
        </w:rPr>
        <w:t> </w:t>
      </w:r>
      <w:r>
        <w:rPr/>
        <w:t>der</w:t>
      </w:r>
      <w:r>
        <w:rPr>
          <w:spacing w:val="-3"/>
        </w:rPr>
        <w:t> </w:t>
      </w:r>
      <w:r>
        <w:rPr/>
        <w:t>Fahrgastrechte</w:t>
      </w:r>
      <w:r>
        <w:rPr>
          <w:spacing w:val="-4"/>
        </w:rPr>
        <w:t> </w:t>
      </w:r>
      <w:r>
        <w:rPr>
          <w:spacing w:val="-2"/>
        </w:rPr>
        <w:t>befassen:</w:t>
      </w:r>
    </w:p>
    <w:p>
      <w:pPr>
        <w:pStyle w:val="BodyText"/>
        <w:spacing w:before="1"/>
      </w:pPr>
    </w:p>
    <w:p>
      <w:pPr>
        <w:pStyle w:val="ListParagraph"/>
        <w:numPr>
          <w:ilvl w:val="1"/>
          <w:numId w:val="2"/>
        </w:numPr>
        <w:tabs>
          <w:tab w:pos="1093" w:val="left" w:leader="none"/>
        </w:tabs>
        <w:spacing w:line="240" w:lineRule="auto" w:before="1" w:after="0"/>
        <w:ind w:left="1092" w:right="108" w:hanging="361"/>
        <w:jc w:val="both"/>
        <w:rPr>
          <w:sz w:val="22"/>
        </w:rPr>
      </w:pPr>
      <w:r>
        <w:rPr>
          <w:sz w:val="22"/>
        </w:rPr>
        <w:t>Mitwirkung an Folgenabschätzungen, der Konzeption von Maßnahmen und der Ausarbeitung von Legislativvorschlägen, Leitlinien und Mitteilungen im Bereich der Fahrgastrechte (siehe insbesondere die Aktionen 63 und 64 des Aktionsplans der Strategie für nachhaltige und intelligente Mobilität, </w:t>
      </w:r>
      <w:hyperlink r:id="rId8">
        <w:r>
          <w:rPr>
            <w:color w:val="0000FF"/>
            <w:spacing w:val="-2"/>
            <w:sz w:val="22"/>
            <w:u w:val="single" w:color="0000FF"/>
          </w:rPr>
          <w:t>https://ec.europa.eu/info/law/better-regulation/have-your-say/initiatives/13290-Reisen-besserer-Schutz-fur-</w:t>
        </w:r>
      </w:hyperlink>
      <w:r>
        <w:rPr>
          <w:color w:val="0000FF"/>
          <w:spacing w:val="-2"/>
          <w:sz w:val="22"/>
        </w:rPr>
        <w:t> </w:t>
      </w:r>
      <w:hyperlink r:id="rId8">
        <w:r>
          <w:rPr>
            <w:color w:val="0000FF"/>
            <w:sz w:val="22"/>
            <w:u w:val="single" w:color="0000FF"/>
          </w:rPr>
          <w:t>Reisende-und-ihre-Rechte_de</w:t>
        </w:r>
      </w:hyperlink>
      <w:r>
        <w:rPr>
          <w:color w:val="0000FF"/>
          <w:sz w:val="22"/>
        </w:rPr>
        <w:t> </w:t>
      </w:r>
      <w:r>
        <w:rPr>
          <w:sz w:val="22"/>
        </w:rPr>
        <w:t>).</w:t>
      </w:r>
    </w:p>
    <w:p>
      <w:pPr>
        <w:pStyle w:val="ListParagraph"/>
        <w:numPr>
          <w:ilvl w:val="1"/>
          <w:numId w:val="2"/>
        </w:numPr>
        <w:tabs>
          <w:tab w:pos="1093" w:val="left" w:leader="none"/>
        </w:tabs>
        <w:spacing w:line="240" w:lineRule="auto" w:before="1" w:after="0"/>
        <w:ind w:left="1092" w:right="108" w:hanging="361"/>
        <w:jc w:val="both"/>
        <w:rPr>
          <w:sz w:val="22"/>
        </w:rPr>
      </w:pPr>
      <w:r>
        <w:rPr>
          <w:sz w:val="22"/>
        </w:rPr>
        <w:t>Unterstützung bei der Weiterverfolgung der interinstitutionellen Diskussionen über regulatorische Entwicklungen im Bereich der Fahrgastrechte.</w:t>
      </w:r>
    </w:p>
    <w:p>
      <w:pPr>
        <w:pStyle w:val="ListParagraph"/>
        <w:numPr>
          <w:ilvl w:val="1"/>
          <w:numId w:val="2"/>
        </w:numPr>
        <w:tabs>
          <w:tab w:pos="1093" w:val="left" w:leader="none"/>
        </w:tabs>
        <w:spacing w:line="240" w:lineRule="auto" w:before="0" w:after="0"/>
        <w:ind w:left="1092" w:right="107" w:hanging="361"/>
        <w:jc w:val="both"/>
        <w:rPr>
          <w:sz w:val="22"/>
        </w:rPr>
      </w:pPr>
      <w:r>
        <w:rPr>
          <w:sz w:val="22"/>
        </w:rPr>
        <w:t>Entwurf von Briefings, Hintergrundpapieren, Arbeitsdokumenten und Mitteilungen der Kommission, Antworten auf Schriftverkehr und parlamentarische Anfragen, Petitionen, Anfragen des Bürgerbeauftragten, Beiträge zu dienststellenübergreifenden Konsultationen (Konsultationen anderer Generaldirektionen und Dienststellen, zu denen die GD MOVE konsultiert wird).</w:t>
      </w:r>
    </w:p>
    <w:p>
      <w:pPr>
        <w:pStyle w:val="ListParagraph"/>
        <w:numPr>
          <w:ilvl w:val="1"/>
          <w:numId w:val="2"/>
        </w:numPr>
        <w:tabs>
          <w:tab w:pos="1093" w:val="left" w:leader="none"/>
        </w:tabs>
        <w:spacing w:line="268" w:lineRule="exact" w:before="0" w:after="0"/>
        <w:ind w:left="1092" w:right="0" w:hanging="361"/>
        <w:jc w:val="both"/>
        <w:rPr>
          <w:sz w:val="22"/>
        </w:rPr>
      </w:pPr>
      <w:r>
        <w:rPr>
          <w:sz w:val="22"/>
        </w:rPr>
        <w:t>Unterstützung</w:t>
      </w:r>
      <w:r>
        <w:rPr>
          <w:spacing w:val="-10"/>
          <w:sz w:val="22"/>
        </w:rPr>
        <w:t> </w:t>
      </w:r>
      <w:r>
        <w:rPr>
          <w:sz w:val="22"/>
        </w:rPr>
        <w:t>bei</w:t>
      </w:r>
      <w:r>
        <w:rPr>
          <w:spacing w:val="-4"/>
          <w:sz w:val="22"/>
        </w:rPr>
        <w:t> </w:t>
      </w:r>
      <w:r>
        <w:rPr>
          <w:sz w:val="22"/>
        </w:rPr>
        <w:t>der</w:t>
      </w:r>
      <w:r>
        <w:rPr>
          <w:spacing w:val="-5"/>
          <w:sz w:val="22"/>
        </w:rPr>
        <w:t> </w:t>
      </w:r>
      <w:r>
        <w:rPr>
          <w:sz w:val="22"/>
        </w:rPr>
        <w:t>Beantwortung</w:t>
      </w:r>
      <w:r>
        <w:rPr>
          <w:spacing w:val="-8"/>
          <w:sz w:val="22"/>
        </w:rPr>
        <w:t> </w:t>
      </w:r>
      <w:r>
        <w:rPr>
          <w:sz w:val="22"/>
        </w:rPr>
        <w:t>von</w:t>
      </w:r>
      <w:r>
        <w:rPr>
          <w:spacing w:val="-5"/>
          <w:sz w:val="22"/>
        </w:rPr>
        <w:t> </w:t>
      </w:r>
      <w:r>
        <w:rPr>
          <w:sz w:val="22"/>
        </w:rPr>
        <w:t>Fragen</w:t>
      </w:r>
      <w:r>
        <w:rPr>
          <w:spacing w:val="-5"/>
          <w:sz w:val="22"/>
        </w:rPr>
        <w:t> </w:t>
      </w:r>
      <w:r>
        <w:rPr>
          <w:sz w:val="22"/>
        </w:rPr>
        <w:t>der</w:t>
      </w:r>
      <w:r>
        <w:rPr>
          <w:spacing w:val="-5"/>
          <w:sz w:val="22"/>
        </w:rPr>
        <w:t> </w:t>
      </w:r>
      <w:r>
        <w:rPr>
          <w:sz w:val="22"/>
        </w:rPr>
        <w:t>nationalen</w:t>
      </w:r>
      <w:r>
        <w:rPr>
          <w:spacing w:val="-5"/>
          <w:sz w:val="22"/>
        </w:rPr>
        <w:t> </w:t>
      </w:r>
      <w:r>
        <w:rPr>
          <w:sz w:val="22"/>
        </w:rPr>
        <w:t>Durchsetzungsstellen</w:t>
      </w:r>
      <w:r>
        <w:rPr>
          <w:spacing w:val="-5"/>
          <w:sz w:val="22"/>
        </w:rPr>
        <w:t> </w:t>
      </w:r>
      <w:r>
        <w:rPr>
          <w:sz w:val="22"/>
        </w:rPr>
        <w:t>für</w:t>
      </w:r>
      <w:r>
        <w:rPr>
          <w:spacing w:val="-5"/>
          <w:sz w:val="22"/>
        </w:rPr>
        <w:t> </w:t>
      </w:r>
      <w:r>
        <w:rPr>
          <w:spacing w:val="-2"/>
          <w:sz w:val="22"/>
        </w:rPr>
        <w:t>Fahrgastrechte.</w:t>
      </w:r>
    </w:p>
    <w:p>
      <w:pPr>
        <w:pStyle w:val="ListParagraph"/>
        <w:numPr>
          <w:ilvl w:val="1"/>
          <w:numId w:val="2"/>
        </w:numPr>
        <w:tabs>
          <w:tab w:pos="1093" w:val="left" w:leader="none"/>
        </w:tabs>
        <w:spacing w:line="240" w:lineRule="auto" w:before="0" w:after="0"/>
        <w:ind w:left="1092" w:right="0" w:hanging="361"/>
        <w:jc w:val="both"/>
        <w:rPr>
          <w:sz w:val="22"/>
        </w:rPr>
      </w:pPr>
      <w:r>
        <w:rPr>
          <w:sz w:val="22"/>
        </w:rPr>
        <w:t>Unterstützung</w:t>
      </w:r>
      <w:r>
        <w:rPr>
          <w:spacing w:val="-9"/>
          <w:sz w:val="22"/>
        </w:rPr>
        <w:t> </w:t>
      </w:r>
      <w:r>
        <w:rPr>
          <w:sz w:val="22"/>
        </w:rPr>
        <w:t>bei</w:t>
      </w:r>
      <w:r>
        <w:rPr>
          <w:spacing w:val="-4"/>
          <w:sz w:val="22"/>
        </w:rPr>
        <w:t> </w:t>
      </w:r>
      <w:r>
        <w:rPr>
          <w:sz w:val="22"/>
        </w:rPr>
        <w:t>der</w:t>
      </w:r>
      <w:r>
        <w:rPr>
          <w:spacing w:val="-4"/>
          <w:sz w:val="22"/>
        </w:rPr>
        <w:t> </w:t>
      </w:r>
      <w:r>
        <w:rPr>
          <w:sz w:val="22"/>
        </w:rPr>
        <w:t>Bewertung</w:t>
      </w:r>
      <w:r>
        <w:rPr>
          <w:spacing w:val="-7"/>
          <w:sz w:val="22"/>
        </w:rPr>
        <w:t> </w:t>
      </w:r>
      <w:r>
        <w:rPr>
          <w:sz w:val="22"/>
        </w:rPr>
        <w:t>der</w:t>
      </w:r>
      <w:r>
        <w:rPr>
          <w:spacing w:val="-6"/>
          <w:sz w:val="22"/>
        </w:rPr>
        <w:t> </w:t>
      </w:r>
      <w:r>
        <w:rPr>
          <w:sz w:val="22"/>
        </w:rPr>
        <w:t>Jahresberichte</w:t>
      </w:r>
      <w:r>
        <w:rPr>
          <w:spacing w:val="-4"/>
          <w:sz w:val="22"/>
        </w:rPr>
        <w:t> </w:t>
      </w:r>
      <w:r>
        <w:rPr>
          <w:sz w:val="22"/>
        </w:rPr>
        <w:t>der</w:t>
      </w:r>
      <w:r>
        <w:rPr>
          <w:spacing w:val="-3"/>
          <w:sz w:val="22"/>
        </w:rPr>
        <w:t> </w:t>
      </w:r>
      <w:r>
        <w:rPr>
          <w:sz w:val="22"/>
        </w:rPr>
        <w:t>nationalen</w:t>
      </w:r>
      <w:r>
        <w:rPr>
          <w:spacing w:val="-4"/>
          <w:sz w:val="22"/>
        </w:rPr>
        <w:t> </w:t>
      </w:r>
      <w:r>
        <w:rPr>
          <w:spacing w:val="-2"/>
          <w:sz w:val="22"/>
        </w:rPr>
        <w:t>Durchsetzungsstellen.</w:t>
      </w:r>
    </w:p>
    <w:p>
      <w:pPr>
        <w:pStyle w:val="BodyText"/>
        <w:rPr>
          <w:sz w:val="20"/>
        </w:rPr>
      </w:pPr>
    </w:p>
    <w:p>
      <w:pPr>
        <w:pStyle w:val="BodyText"/>
        <w:spacing w:before="5"/>
        <w:rPr>
          <w:sz w:val="15"/>
        </w:rPr>
      </w:pPr>
      <w:r>
        <w:rPr/>
        <w:pict>
          <v:rect style="position:absolute;margin-left:42.599998pt;margin-top:10.094007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092" w:val="left" w:leader="none"/>
          <w:tab w:pos="1093" w:val="left" w:leader="none"/>
        </w:tabs>
        <w:spacing w:line="240" w:lineRule="auto" w:before="89" w:after="0"/>
        <w:ind w:left="1092" w:right="104" w:hanging="361"/>
        <w:jc w:val="left"/>
        <w:rPr>
          <w:sz w:val="22"/>
        </w:rPr>
      </w:pPr>
      <w:r>
        <w:rPr>
          <w:sz w:val="22"/>
        </w:rPr>
        <w:t>Unterstützung bei Beschwerden, Überprüfung der Einhaltung des EU-Rechts und der Umsetzung des EU- Rechts in die Rechtsvorschriften der Mitgliedstaaten.</w:t>
      </w:r>
    </w:p>
    <w:p>
      <w:pPr>
        <w:pStyle w:val="ListParagraph"/>
        <w:numPr>
          <w:ilvl w:val="1"/>
          <w:numId w:val="2"/>
        </w:numPr>
        <w:tabs>
          <w:tab w:pos="1092" w:val="left" w:leader="none"/>
          <w:tab w:pos="1093" w:val="left" w:leader="none"/>
        </w:tabs>
        <w:spacing w:line="240" w:lineRule="auto" w:before="2" w:after="0"/>
        <w:ind w:left="1092" w:right="113" w:hanging="361"/>
        <w:jc w:val="left"/>
        <w:rPr>
          <w:sz w:val="22"/>
        </w:rPr>
      </w:pPr>
      <w:r>
        <w:rPr>
          <w:sz w:val="22"/>
        </w:rPr>
        <w:t>Mithilfe</w:t>
      </w:r>
      <w:r>
        <w:rPr>
          <w:spacing w:val="40"/>
          <w:sz w:val="22"/>
        </w:rPr>
        <w:t> </w:t>
      </w:r>
      <w:r>
        <w:rPr>
          <w:sz w:val="22"/>
        </w:rPr>
        <w:t>bei</w:t>
      </w:r>
      <w:r>
        <w:rPr>
          <w:spacing w:val="40"/>
          <w:sz w:val="22"/>
        </w:rPr>
        <w:t> </w:t>
      </w:r>
      <w:r>
        <w:rPr>
          <w:sz w:val="22"/>
        </w:rPr>
        <w:t>der</w:t>
      </w:r>
      <w:r>
        <w:rPr>
          <w:spacing w:val="40"/>
          <w:sz w:val="22"/>
        </w:rPr>
        <w:t> </w:t>
      </w:r>
      <w:r>
        <w:rPr>
          <w:sz w:val="22"/>
        </w:rPr>
        <w:t>Organisation</w:t>
      </w:r>
      <w:r>
        <w:rPr>
          <w:spacing w:val="40"/>
          <w:sz w:val="22"/>
        </w:rPr>
        <w:t> </w:t>
      </w:r>
      <w:r>
        <w:rPr>
          <w:sz w:val="22"/>
        </w:rPr>
        <w:t>von</w:t>
      </w:r>
      <w:r>
        <w:rPr>
          <w:spacing w:val="40"/>
          <w:sz w:val="22"/>
        </w:rPr>
        <w:t> </w:t>
      </w:r>
      <w:r>
        <w:rPr>
          <w:sz w:val="22"/>
        </w:rPr>
        <w:t>Sitzungen,</w:t>
      </w:r>
      <w:r>
        <w:rPr>
          <w:spacing w:val="40"/>
          <w:sz w:val="22"/>
        </w:rPr>
        <w:t> </w:t>
      </w:r>
      <w:r>
        <w:rPr>
          <w:sz w:val="22"/>
        </w:rPr>
        <w:t>z.</w:t>
      </w:r>
      <w:r>
        <w:rPr>
          <w:spacing w:val="40"/>
          <w:sz w:val="22"/>
        </w:rPr>
        <w:t> </w:t>
      </w:r>
      <w:r>
        <w:rPr>
          <w:sz w:val="22"/>
        </w:rPr>
        <w:t>B.</w:t>
      </w:r>
      <w:r>
        <w:rPr>
          <w:spacing w:val="40"/>
          <w:sz w:val="22"/>
        </w:rPr>
        <w:t> </w:t>
      </w:r>
      <w:r>
        <w:rPr>
          <w:sz w:val="22"/>
        </w:rPr>
        <w:t>der</w:t>
      </w:r>
      <w:r>
        <w:rPr>
          <w:spacing w:val="40"/>
          <w:sz w:val="22"/>
        </w:rPr>
        <w:t> </w:t>
      </w:r>
      <w:r>
        <w:rPr>
          <w:sz w:val="22"/>
        </w:rPr>
        <w:t>Sitzungen</w:t>
      </w:r>
      <w:r>
        <w:rPr>
          <w:spacing w:val="40"/>
          <w:sz w:val="22"/>
        </w:rPr>
        <w:t> </w:t>
      </w:r>
      <w:r>
        <w:rPr>
          <w:sz w:val="22"/>
        </w:rPr>
        <w:t>mit</w:t>
      </w:r>
      <w:r>
        <w:rPr>
          <w:spacing w:val="40"/>
          <w:sz w:val="22"/>
        </w:rPr>
        <w:t> </w:t>
      </w:r>
      <w:r>
        <w:rPr>
          <w:sz w:val="22"/>
        </w:rPr>
        <w:t>nationalen</w:t>
      </w:r>
      <w:r>
        <w:rPr>
          <w:spacing w:val="40"/>
          <w:sz w:val="22"/>
        </w:rPr>
        <w:t> </w:t>
      </w:r>
      <w:r>
        <w:rPr>
          <w:sz w:val="22"/>
        </w:rPr>
        <w:t>Durchsetzungsstellen (informelle Expertengruppe für Fahrgastrechte E02681), Veranstaltungen und Kommunikationsaktivitäten.</w:t>
      </w:r>
    </w:p>
    <w:p>
      <w:pPr>
        <w:pStyle w:val="ListParagraph"/>
        <w:numPr>
          <w:ilvl w:val="1"/>
          <w:numId w:val="2"/>
        </w:numPr>
        <w:tabs>
          <w:tab w:pos="1092" w:val="left" w:leader="none"/>
          <w:tab w:pos="1093" w:val="left" w:leader="none"/>
        </w:tabs>
        <w:spacing w:line="240" w:lineRule="auto" w:before="0" w:after="0"/>
        <w:ind w:left="1092" w:right="113" w:hanging="361"/>
        <w:jc w:val="left"/>
        <w:rPr>
          <w:sz w:val="22"/>
        </w:rPr>
      </w:pPr>
      <w:r>
        <w:rPr>
          <w:sz w:val="22"/>
        </w:rPr>
        <w:t>Mitwirkung</w:t>
      </w:r>
      <w:r>
        <w:rPr>
          <w:spacing w:val="40"/>
          <w:sz w:val="22"/>
        </w:rPr>
        <w:t> </w:t>
      </w:r>
      <w:r>
        <w:rPr>
          <w:sz w:val="22"/>
        </w:rPr>
        <w:t>an</w:t>
      </w:r>
      <w:r>
        <w:rPr>
          <w:spacing w:val="40"/>
          <w:sz w:val="22"/>
        </w:rPr>
        <w:t> </w:t>
      </w:r>
      <w:r>
        <w:rPr>
          <w:sz w:val="22"/>
        </w:rPr>
        <w:t>der</w:t>
      </w:r>
      <w:r>
        <w:rPr>
          <w:spacing w:val="39"/>
          <w:sz w:val="22"/>
        </w:rPr>
        <w:t> </w:t>
      </w:r>
      <w:r>
        <w:rPr>
          <w:sz w:val="22"/>
        </w:rPr>
        <w:t>Verwaltung</w:t>
      </w:r>
      <w:r>
        <w:rPr>
          <w:spacing w:val="40"/>
          <w:sz w:val="22"/>
        </w:rPr>
        <w:t> </w:t>
      </w:r>
      <w:r>
        <w:rPr>
          <w:sz w:val="22"/>
        </w:rPr>
        <w:t>und</w:t>
      </w:r>
      <w:r>
        <w:rPr>
          <w:spacing w:val="40"/>
          <w:sz w:val="22"/>
        </w:rPr>
        <w:t> </w:t>
      </w:r>
      <w:r>
        <w:rPr>
          <w:sz w:val="22"/>
        </w:rPr>
        <w:t>Weiterverfolgung</w:t>
      </w:r>
      <w:r>
        <w:rPr>
          <w:spacing w:val="40"/>
          <w:sz w:val="22"/>
        </w:rPr>
        <w:t> </w:t>
      </w:r>
      <w:r>
        <w:rPr>
          <w:sz w:val="22"/>
        </w:rPr>
        <w:t>von</w:t>
      </w:r>
      <w:r>
        <w:rPr>
          <w:spacing w:val="40"/>
          <w:sz w:val="22"/>
        </w:rPr>
        <w:t> </w:t>
      </w:r>
      <w:r>
        <w:rPr>
          <w:sz w:val="22"/>
        </w:rPr>
        <w:t>Projekten</w:t>
      </w:r>
      <w:r>
        <w:rPr>
          <w:spacing w:val="40"/>
          <w:sz w:val="22"/>
        </w:rPr>
        <w:t> </w:t>
      </w:r>
      <w:r>
        <w:rPr>
          <w:sz w:val="22"/>
        </w:rPr>
        <w:t>und</w:t>
      </w:r>
      <w:r>
        <w:rPr>
          <w:spacing w:val="40"/>
          <w:sz w:val="22"/>
        </w:rPr>
        <w:t> </w:t>
      </w:r>
      <w:r>
        <w:rPr>
          <w:sz w:val="22"/>
        </w:rPr>
        <w:t>Studien</w:t>
      </w:r>
      <w:r>
        <w:rPr>
          <w:spacing w:val="40"/>
          <w:sz w:val="22"/>
        </w:rPr>
        <w:t> </w:t>
      </w:r>
      <w:r>
        <w:rPr>
          <w:sz w:val="22"/>
        </w:rPr>
        <w:t>über</w:t>
      </w:r>
      <w:r>
        <w:rPr>
          <w:spacing w:val="40"/>
          <w:sz w:val="22"/>
        </w:rPr>
        <w:t> </w:t>
      </w:r>
      <w:r>
        <w:rPr>
          <w:sz w:val="22"/>
        </w:rPr>
        <w:t>Fahrgastrechte, einschließlich einer neuen Eurobarometer-Umfrage über Fahrgastrechte.</w:t>
      </w:r>
    </w:p>
    <w:p>
      <w:pPr>
        <w:pStyle w:val="BodyText"/>
        <w:spacing w:before="3"/>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3"/>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05"/>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4"/>
        </w:numPr>
        <w:tabs>
          <w:tab w:pos="1081" w:val="left" w:leader="none"/>
        </w:tabs>
        <w:spacing w:line="240" w:lineRule="auto" w:before="0" w:after="0"/>
        <w:ind w:left="1080" w:right="108" w:hanging="281"/>
        <w:jc w:val="both"/>
        <w:rPr>
          <w:sz w:val="22"/>
        </w:rPr>
      </w:pPr>
      <w:r>
        <w:rPr>
          <w:sz w:val="22"/>
          <w:u w:val="single"/>
        </w:rPr>
        <w:t>Berufserfahrung</w:t>
      </w:r>
      <w:r>
        <w:rPr>
          <w:sz w:val="22"/>
        </w:rPr>
        <w:t>: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1" w:after="0"/>
        <w:ind w:left="1080" w:right="105" w:hanging="281"/>
        <w:jc w:val="both"/>
        <w:rPr>
          <w:sz w:val="22"/>
        </w:rPr>
      </w:pPr>
      <w:r>
        <w:rPr>
          <w:sz w:val="22"/>
          <w:u w:val="single"/>
        </w:rPr>
        <w:t>Dienstalter</w:t>
      </w:r>
      <w:r>
        <w:rPr>
          <w:sz w:val="22"/>
        </w:rPr>
        <w:t>: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9"/>
        <w:rPr>
          <w:sz w:val="21"/>
        </w:rPr>
      </w:pPr>
    </w:p>
    <w:p>
      <w:pPr>
        <w:pStyle w:val="ListParagraph"/>
        <w:numPr>
          <w:ilvl w:val="0"/>
          <w:numId w:val="4"/>
        </w:numPr>
        <w:tabs>
          <w:tab w:pos="1081" w:val="left" w:leader="none"/>
        </w:tabs>
        <w:spacing w:line="240" w:lineRule="auto" w:before="1" w:after="0"/>
        <w:ind w:left="1080" w:right="110" w:hanging="281"/>
        <w:jc w:val="both"/>
        <w:rPr>
          <w:sz w:val="22"/>
        </w:rPr>
      </w:pPr>
      <w:r>
        <w:rPr>
          <w:sz w:val="22"/>
          <w:u w:val="single"/>
        </w:rPr>
        <w:t>Sprachkenntnisse</w:t>
      </w:r>
      <w:r>
        <w:rPr>
          <w:sz w:val="22"/>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8"/>
        <w:rPr>
          <w:b/>
          <w:sz w:val="15"/>
        </w:rPr>
      </w:pPr>
    </w:p>
    <w:p>
      <w:pPr>
        <w:pStyle w:val="BodyText"/>
        <w:spacing w:line="252" w:lineRule="exact" w:before="92"/>
        <w:ind w:left="1080"/>
      </w:pPr>
      <w:r>
        <w:rPr>
          <w:spacing w:val="-2"/>
          <w:u w:val="single"/>
        </w:rPr>
        <w:t>Bildungsabschluss</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pPr>
    </w:p>
    <w:p>
      <w:pPr>
        <w:pStyle w:val="BodyText"/>
        <w:spacing w:line="480" w:lineRule="auto"/>
        <w:ind w:left="1080" w:right="1602" w:firstLine="110"/>
      </w:pPr>
      <w:r>
        <w:rPr/>
        <w:t>im</w:t>
      </w:r>
      <w:r>
        <w:rPr>
          <w:spacing w:val="-8"/>
        </w:rPr>
        <w:t> </w:t>
      </w:r>
      <w:r>
        <w:rPr/>
        <w:t>Bereich:</w:t>
      </w:r>
      <w:r>
        <w:rPr>
          <w:spacing w:val="-3"/>
        </w:rPr>
        <w:t> </w:t>
      </w:r>
      <w:r>
        <w:rPr/>
        <w:t>Rechts-</w:t>
      </w:r>
      <w:r>
        <w:rPr>
          <w:spacing w:val="-8"/>
        </w:rPr>
        <w:t> </w:t>
      </w:r>
      <w:r>
        <w:rPr/>
        <w:t>oder</w:t>
      </w:r>
      <w:r>
        <w:rPr>
          <w:spacing w:val="-3"/>
        </w:rPr>
        <w:t> </w:t>
      </w:r>
      <w:r>
        <w:rPr/>
        <w:t>Wirtschaftswissenschaften</w:t>
      </w:r>
      <w:r>
        <w:rPr>
          <w:spacing w:val="-9"/>
        </w:rPr>
        <w:t> </w:t>
      </w:r>
      <w:r>
        <w:rPr/>
        <w:t>oder</w:t>
      </w:r>
      <w:r>
        <w:rPr>
          <w:spacing w:val="-6"/>
        </w:rPr>
        <w:t> </w:t>
      </w:r>
      <w:r>
        <w:rPr/>
        <w:t>Verkehrspolitik. </w:t>
      </w:r>
      <w:r>
        <w:rPr>
          <w:spacing w:val="-2"/>
          <w:u w:val="single"/>
        </w:rPr>
        <w:t>Berufserfahrung</w:t>
      </w:r>
    </w:p>
    <w:p>
      <w:pPr>
        <w:pStyle w:val="BodyText"/>
        <w:spacing w:before="1"/>
        <w:ind w:left="1080" w:right="169"/>
        <w:jc w:val="both"/>
      </w:pPr>
      <w:r>
        <w:rPr/>
        <w:t>Erfahrung oder Qualifikation auf dem Gebiet der Fahrgastrechte; Kenntnisse über oder Interesse an Fahrgastrechten im See- und Binnenschiffsverkehr sowie an der sozialen Dimension der Verkehrspolitik sind ebenfalls von Vorteil.</w:t>
      </w:r>
    </w:p>
    <w:p>
      <w:pPr>
        <w:pStyle w:val="BodyText"/>
        <w:spacing w:before="2"/>
      </w:pPr>
    </w:p>
    <w:p>
      <w:pPr>
        <w:pStyle w:val="BodyText"/>
        <w:ind w:left="1080"/>
        <w:jc w:val="both"/>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0"/>
        <w:rPr>
          <w:sz w:val="13"/>
        </w:rPr>
      </w:pPr>
    </w:p>
    <w:p>
      <w:pPr>
        <w:pStyle w:val="BodyText"/>
        <w:spacing w:before="91"/>
        <w:ind w:left="1080"/>
      </w:pPr>
      <w:r>
        <w:rPr/>
        <w:t>Englisch,</w:t>
      </w:r>
      <w:r>
        <w:rPr>
          <w:spacing w:val="-5"/>
        </w:rPr>
        <w:t> </w:t>
      </w:r>
      <w:r>
        <w:rPr/>
        <w:t>Französisch</w:t>
      </w:r>
      <w:r>
        <w:rPr>
          <w:spacing w:val="-7"/>
        </w:rPr>
        <w:t> </w:t>
      </w:r>
      <w:r>
        <w:rPr/>
        <w:t>von</w:t>
      </w:r>
      <w:r>
        <w:rPr>
          <w:spacing w:val="-4"/>
        </w:rPr>
        <w:t> </w:t>
      </w:r>
      <w:r>
        <w:rPr>
          <w:spacing w:val="-2"/>
        </w:rPr>
        <w:t>Vorteil.</w:t>
      </w:r>
    </w:p>
    <w:p>
      <w:pPr>
        <w:pStyle w:val="BodyText"/>
        <w:spacing w:before="6"/>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9">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w:t>
      </w:r>
    </w:p>
    <w:p>
      <w:pPr>
        <w:spacing w:after="0"/>
        <w:jc w:val="both"/>
        <w:rPr>
          <w:sz w:val="22"/>
        </w:rPr>
        <w:sectPr>
          <w:pgSz w:w="11910" w:h="16840"/>
          <w:pgMar w:header="0" w:footer="690" w:top="1020" w:bottom="880" w:left="480" w:right="740"/>
        </w:sectPr>
      </w:pPr>
    </w:p>
    <w:p>
      <w:pPr>
        <w:pStyle w:val="Heading1"/>
        <w:spacing w:line="244" w:lineRule="auto" w:before="68"/>
        <w:ind w:left="799" w:right="287" w:firstLine="0"/>
        <w:jc w:val="both"/>
      </w:pPr>
      <w:r>
        <w:rPr>
          <w:b w:val="0"/>
        </w:rPr>
        <w:t>Kandidaten enthalten. </w:t>
      </w:r>
      <w:r>
        <w:rPr/>
        <w:t>Bei Nichteinhaltung dieses Verfahrens oder der Fristen wird die Bewerbung automatisch ungültig.</w:t>
      </w:r>
    </w:p>
    <w:p>
      <w:pPr>
        <w:pStyle w:val="BodyText"/>
        <w:spacing w:before="3"/>
        <w:rPr>
          <w:b/>
          <w:sz w:val="21"/>
        </w:rPr>
      </w:pPr>
    </w:p>
    <w:p>
      <w:pPr>
        <w:pStyle w:val="BodyText"/>
        <w:spacing w:before="1"/>
        <w:ind w:left="799" w:right="283"/>
        <w:jc w:val="both"/>
      </w:pPr>
      <w:r>
        <w:rPr/>
        <w:t>Die Bewerberinnen und Bewerber werden gebeten, ihrer Bewerbung</w:t>
      </w:r>
      <w:r>
        <w:rPr>
          <w:spacing w:val="-3"/>
        </w:rPr>
        <w:t> </w:t>
      </w:r>
      <w:r>
        <w:rPr/>
        <w:t>keine anderen Dokumente (wie Kopien des</w:t>
      </w:r>
      <w:r>
        <w:rPr>
          <w:spacing w:val="-1"/>
        </w:rPr>
        <w:t> </w:t>
      </w:r>
      <w:r>
        <w:rPr/>
        <w:t>Personalausweises,</w:t>
      </w:r>
      <w:r>
        <w:rPr>
          <w:spacing w:val="-4"/>
        </w:rPr>
        <w:t> </w:t>
      </w:r>
      <w:r>
        <w:rPr/>
        <w:t>Kopien</w:t>
      </w:r>
      <w:r>
        <w:rPr>
          <w:spacing w:val="-2"/>
        </w:rPr>
        <w:t> </w:t>
      </w:r>
      <w:r>
        <w:rPr/>
        <w:t>von</w:t>
      </w:r>
      <w:r>
        <w:rPr>
          <w:spacing w:val="-2"/>
        </w:rPr>
        <w:t> </w:t>
      </w:r>
      <w:r>
        <w:rPr/>
        <w:t>Abschlusszeugnissen,</w:t>
      </w:r>
      <w:r>
        <w:rPr>
          <w:spacing w:val="-2"/>
        </w:rPr>
        <w:t> </w:t>
      </w:r>
      <w:r>
        <w:rPr/>
        <w:t>Nachweise</w:t>
      </w:r>
      <w:r>
        <w:rPr>
          <w:spacing w:val="-1"/>
        </w:rPr>
        <w:t> </w:t>
      </w:r>
      <w:r>
        <w:rPr/>
        <w:t>der</w:t>
      </w:r>
      <w:r>
        <w:rPr>
          <w:spacing w:val="-3"/>
        </w:rPr>
        <w:t> </w:t>
      </w:r>
      <w:r>
        <w:rPr/>
        <w:t>Berufserfahrung</w:t>
      </w:r>
      <w:r>
        <w:rPr>
          <w:spacing w:val="-5"/>
        </w:rPr>
        <w:t> </w:t>
      </w:r>
      <w:r>
        <w:rPr/>
        <w:t>usw.)</w:t>
      </w:r>
      <w:r>
        <w:rPr>
          <w:spacing w:val="-1"/>
        </w:rPr>
        <w:t> </w:t>
      </w:r>
      <w:r>
        <w:rPr/>
        <w:t>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rPr>
          <w:sz w:val="24"/>
        </w:rPr>
      </w:pPr>
    </w:p>
    <w:p>
      <w:pPr>
        <w:pStyle w:val="BodyText"/>
        <w:spacing w:before="5"/>
        <w:rPr>
          <w:sz w:val="20"/>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spacing w:before="11"/>
        <w:rPr>
          <w:sz w:val="21"/>
        </w:rPr>
      </w:pPr>
    </w:p>
    <w:p>
      <w:pPr>
        <w:pStyle w:val="BodyText"/>
        <w:ind w:left="79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ind w:left="799" w:right="281"/>
        <w:jc w:val="both"/>
      </w:pPr>
      <w:r>
        <w:rPr/>
        <w:t>Mit Ausnahme der unentgeltlich abgeordneten Sachverständigen können den ANS, die die Bedingungen nach Artikel 17 des ANS-Beschlusses erfüllen, Tagegelder gezahlt werden.</w:t>
      </w:r>
    </w:p>
    <w:p>
      <w:pPr>
        <w:pStyle w:val="BodyText"/>
        <w:spacing w:before="1"/>
      </w:pP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line="252" w:lineRule="exact"/>
        <w:ind w:left="799"/>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3"/>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5"/>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persönlichen Daten zu beschränken. Gegebenenfalls 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ind w:left="799" w:firstLine="0"/>
      </w:pPr>
      <w:r>
        <w:rPr>
          <w:spacing w:val="-2"/>
          <w:u w:val="single"/>
        </w:rPr>
        <w:t>Kontaktinformationen</w:t>
      </w:r>
    </w:p>
    <w:p>
      <w:pPr>
        <w:pStyle w:val="BodyText"/>
        <w:spacing w:before="8"/>
        <w:rPr>
          <w:b/>
          <w:sz w:val="13"/>
        </w:rPr>
      </w:pPr>
    </w:p>
    <w:p>
      <w:pPr>
        <w:pStyle w:val="ListParagraph"/>
        <w:numPr>
          <w:ilvl w:val="0"/>
          <w:numId w:val="5"/>
        </w:numPr>
        <w:tabs>
          <w:tab w:pos="1080" w:val="left" w:leader="none"/>
          <w:tab w:pos="1081" w:val="left" w:leader="none"/>
        </w:tabs>
        <w:spacing w:line="240" w:lineRule="auto" w:before="92" w:after="0"/>
        <w:ind w:left="1080" w:right="0" w:hanging="282"/>
        <w:jc w:val="left"/>
        <w:rPr>
          <w:b/>
          <w:sz w:val="22"/>
        </w:rPr>
      </w:pPr>
      <w:r>
        <w:rPr>
          <w:b/>
          <w:sz w:val="22"/>
        </w:rPr>
        <w:t>Data</w:t>
      </w:r>
      <w:r>
        <w:rPr>
          <w:b/>
          <w:spacing w:val="-2"/>
          <w:sz w:val="22"/>
        </w:rPr>
        <w:t> Controller</w:t>
      </w:r>
    </w:p>
    <w:p>
      <w:pPr>
        <w:pStyle w:val="BodyText"/>
        <w:spacing w:before="1"/>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spacing w:after="0"/>
        <w:sectPr>
          <w:pgSz w:w="11910" w:h="16840"/>
          <w:pgMar w:header="0" w:footer="690" w:top="1040" w:bottom="880" w:left="480" w:right="740"/>
        </w:sectPr>
      </w:pPr>
    </w:p>
    <w:p>
      <w:pPr>
        <w:pStyle w:val="Heading1"/>
        <w:numPr>
          <w:ilvl w:val="0"/>
          <w:numId w:val="5"/>
        </w:numPr>
        <w:tabs>
          <w:tab w:pos="1080" w:val="left" w:leader="none"/>
          <w:tab w:pos="1081" w:val="left" w:leader="none"/>
        </w:tabs>
        <w:spacing w:line="240" w:lineRule="auto" w:before="68" w:after="0"/>
        <w:ind w:left="1080" w:right="0" w:hanging="282"/>
        <w:jc w:val="left"/>
      </w:pPr>
      <w:r>
        <w:rPr/>
        <w:t>Datenschutzbeauftragte</w:t>
      </w:r>
      <w:r>
        <w:rPr>
          <w:spacing w:val="-9"/>
        </w:rPr>
        <w:t> </w:t>
      </w:r>
      <w:r>
        <w:rPr/>
        <w:t>(DPO)</w:t>
      </w:r>
      <w:r>
        <w:rPr>
          <w:spacing w:val="-7"/>
        </w:rPr>
        <w:t> </w:t>
      </w:r>
      <w:r>
        <w:rPr/>
        <w:t>der</w:t>
      </w:r>
      <w:r>
        <w:rPr>
          <w:spacing w:val="-6"/>
        </w:rPr>
        <w:t> </w:t>
      </w:r>
      <w:r>
        <w:rPr>
          <w:spacing w:val="-2"/>
        </w:rPr>
        <w:t>Kommission</w:t>
      </w:r>
    </w:p>
    <w:p>
      <w:pPr>
        <w:pStyle w:val="BodyText"/>
        <w:spacing w:before="1"/>
        <w:ind w:left="1080" w:right="184"/>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 Verordnung</w:t>
      </w:r>
      <w:r>
        <w:rPr>
          <w:spacing w:val="-5"/>
        </w:rPr>
        <w:t> </w:t>
      </w:r>
      <w:r>
        <w:rPr/>
        <w:t>(EU) 2018/1725 haben.</w:t>
      </w:r>
    </w:p>
    <w:p>
      <w:pPr>
        <w:pStyle w:val="BodyText"/>
        <w:spacing w:before="1"/>
      </w:pPr>
    </w:p>
    <w:p>
      <w:pPr>
        <w:pStyle w:val="Heading1"/>
        <w:numPr>
          <w:ilvl w:val="0"/>
          <w:numId w:val="5"/>
        </w:numPr>
        <w:tabs>
          <w:tab w:pos="1080" w:val="left" w:leader="none"/>
          <w:tab w:pos="1081" w:val="left" w:leader="none"/>
        </w:tabs>
        <w:spacing w:line="252" w:lineRule="exact" w:before="1"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0"/>
        <w:rPr>
          <w:sz w:val="21"/>
        </w:rPr>
      </w:pPr>
    </w:p>
    <w:p>
      <w:pPr>
        <w:pStyle w:val="BodyText"/>
        <w:spacing w:before="1"/>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284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2" w:hanging="361"/>
      </w:pPr>
      <w:rPr>
        <w:rFonts w:hint="default" w:ascii="Verdana" w:hAnsi="Verdana" w:eastAsia="Verdana" w:cs="Verdana"/>
        <w:b w:val="0"/>
        <w:bCs w:val="0"/>
        <w:i w:val="0"/>
        <w:iCs w:val="0"/>
        <w:w w:val="100"/>
        <w:sz w:val="22"/>
        <w:szCs w:val="22"/>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92" w:hanging="361"/>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Elisabeth.Kotthaus@ec.europa.eu" TargetMode="External"/><Relationship Id="rId8" Type="http://schemas.openxmlformats.org/officeDocument/2006/relationships/hyperlink" Target="https://ec.europa.eu/info/law/better-regulation/have-your-say/initiatives/13290-Reisen-besserer-Schutz-fur-Reisende-und-ihre-Rechte_de" TargetMode="External"/><Relationship Id="rId9" Type="http://schemas.openxmlformats.org/officeDocument/2006/relationships/hyperlink" Target="http://europass.cedefop.europa.eu/de/documents/curriculum-vitae"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2023-03-15T16:07:26Z</dcterms:created>
  <dcterms:modified xsi:type="dcterms:W3CDTF">2023-03-15T16:07:26Z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