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8"/>
        <w:gridCol w:w="3089"/>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gridSpan w:val="2"/>
          </w:tcPr>
          <w:p>
            <w:pPr>
              <w:pStyle w:val="TableParagraph"/>
              <w:spacing w:before="167"/>
              <w:rPr>
                <w:b/>
                <w:sz w:val="24"/>
              </w:rPr>
            </w:pPr>
            <w:r>
              <w:rPr>
                <w:b/>
                <w:spacing w:val="-2"/>
                <w:sz w:val="24"/>
              </w:rPr>
              <w:t>INTPA-G-</w:t>
            </w:r>
            <w:r>
              <w:rPr>
                <w:b/>
                <w:spacing w:val="-5"/>
                <w:sz w:val="24"/>
              </w:rPr>
              <w:t>5_A</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tc>
        <w:tc>
          <w:tcPr>
            <w:tcW w:w="5597" w:type="dxa"/>
            <w:gridSpan w:val="2"/>
            <w:tcBorders>
              <w:bottom w:val="nil"/>
            </w:tcBorders>
          </w:tcPr>
          <w:p>
            <w:pPr>
              <w:pStyle w:val="TableParagraph"/>
              <w:spacing w:line="237" w:lineRule="exact"/>
              <w:rPr>
                <w:b/>
                <w:sz w:val="22"/>
              </w:rPr>
            </w:pPr>
            <w:r>
              <w:rPr>
                <w:b/>
                <w:sz w:val="22"/>
              </w:rPr>
              <w:t>Olivier</w:t>
            </w:r>
            <w:r>
              <w:rPr>
                <w:b/>
                <w:spacing w:val="-4"/>
                <w:sz w:val="22"/>
              </w:rPr>
              <w:t> </w:t>
            </w:r>
            <w:r>
              <w:rPr>
                <w:b/>
                <w:spacing w:val="-2"/>
                <w:sz w:val="22"/>
              </w:rPr>
              <w:t>Luyckx</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5"/>
                <w:sz w:val="22"/>
              </w:rPr>
              <w:t> </w:t>
            </w:r>
            <w:r>
              <w:rPr>
                <w:b/>
                <w:sz w:val="22"/>
              </w:rPr>
              <w:t>e-mail</w:t>
            </w:r>
            <w:r>
              <w:rPr>
                <w:b/>
                <w:spacing w:val="-5"/>
                <w:sz w:val="22"/>
              </w:rPr>
              <w:t> </w:t>
            </w:r>
            <w:r>
              <w:rPr>
                <w:b/>
                <w:spacing w:val="-10"/>
                <w:sz w:val="22"/>
              </w:rPr>
              <w:t>:</w:t>
            </w:r>
          </w:p>
        </w:tc>
        <w:tc>
          <w:tcPr>
            <w:tcW w:w="5597"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Olivier.Luyckx@ec.europa.eu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z w:val="22"/>
              </w:rPr>
              <w:t>Téléphone</w:t>
            </w:r>
            <w:r>
              <w:rPr>
                <w:b/>
                <w:spacing w:val="-5"/>
                <w:sz w:val="22"/>
              </w:rPr>
              <w:t> </w:t>
            </w:r>
            <w:r>
              <w:rPr>
                <w:b/>
                <w:spacing w:val="-10"/>
                <w:sz w:val="22"/>
              </w:rPr>
              <w:t>:</w:t>
            </w:r>
          </w:p>
        </w:tc>
        <w:tc>
          <w:tcPr>
            <w:tcW w:w="5597" w:type="dxa"/>
            <w:gridSpan w:val="2"/>
            <w:tcBorders>
              <w:top w:val="nil"/>
              <w:bottom w:val="nil"/>
            </w:tcBorders>
          </w:tcPr>
          <w:p>
            <w:pPr>
              <w:pStyle w:val="TableParagraph"/>
              <w:spacing w:line="233" w:lineRule="exact"/>
              <w:rPr>
                <w:b/>
                <w:sz w:val="22"/>
              </w:rPr>
            </w:pPr>
            <w:r>
              <w:rPr>
                <w:b/>
                <w:sz w:val="22"/>
              </w:rPr>
              <w:t>+32</w:t>
            </w:r>
            <w:r>
              <w:rPr>
                <w:b/>
                <w:spacing w:val="-2"/>
                <w:sz w:val="22"/>
              </w:rPr>
              <w:t> </w:t>
            </w:r>
            <w:r>
              <w:rPr>
                <w:b/>
                <w:sz w:val="22"/>
              </w:rPr>
              <w:t>229-</w:t>
            </w:r>
            <w:r>
              <w:rPr>
                <w:b/>
                <w:spacing w:val="-2"/>
                <w:sz w:val="22"/>
              </w:rPr>
              <w:t>64110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w:t>
            </w:r>
            <w:r>
              <w:rPr>
                <w:b/>
                <w:spacing w:val="-2"/>
                <w:sz w:val="22"/>
              </w:rPr>
              <w:t> disponibles:</w:t>
            </w:r>
          </w:p>
        </w:tc>
        <w:tc>
          <w:tcPr>
            <w:tcW w:w="5597"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5"/>
                <w:sz w:val="22"/>
              </w:rPr>
              <w:t> </w:t>
            </w:r>
            <w:r>
              <w:rPr>
                <w:b/>
                <w:sz w:val="22"/>
              </w:rPr>
              <w:t>fonction</w:t>
            </w:r>
            <w:r>
              <w:rPr>
                <w:b/>
                <w:spacing w:val="-5"/>
                <w:sz w:val="22"/>
              </w:rPr>
              <w:t> </w:t>
            </w:r>
            <w:r>
              <w:rPr>
                <w:b/>
                <w:sz w:val="22"/>
              </w:rPr>
              <w:t>souhaitée</w:t>
            </w:r>
            <w:r>
              <w:rPr>
                <w:b/>
                <w:spacing w:val="1"/>
                <w:sz w:val="22"/>
              </w:rPr>
              <w:t> </w:t>
            </w:r>
            <w:r>
              <w:rPr>
                <w:b/>
                <w:spacing w:val="-10"/>
                <w:sz w:val="22"/>
              </w:rPr>
              <w:t>:</w:t>
            </w:r>
          </w:p>
        </w:tc>
        <w:tc>
          <w:tcPr>
            <w:tcW w:w="5597" w:type="dxa"/>
            <w:gridSpan w:val="2"/>
            <w:tcBorders>
              <w:top w:val="nil"/>
              <w:bottom w:val="nil"/>
            </w:tcBorders>
          </w:tcPr>
          <w:p>
            <w:pPr>
              <w:pStyle w:val="TableParagraph"/>
              <w:spacing w:line="232" w:lineRule="exact"/>
              <w:rPr>
                <w:b/>
                <w:sz w:val="22"/>
              </w:rPr>
            </w:pPr>
            <w:r>
              <w:rPr>
                <w:b/>
                <w:sz w:val="22"/>
              </w:rPr>
              <w:t>2</w:t>
            </w:r>
            <w:r>
              <w:rPr>
                <w:b/>
                <w:sz w:val="22"/>
                <w:vertAlign w:val="superscript"/>
              </w:rPr>
              <w:t>ème</w:t>
            </w:r>
            <w:r>
              <w:rPr>
                <w:b/>
                <w:spacing w:val="-4"/>
                <w:sz w:val="22"/>
                <w:vertAlign w:val="baseline"/>
              </w:rPr>
              <w:t> </w:t>
            </w:r>
            <w:r>
              <w:rPr>
                <w:b/>
                <w:sz w:val="22"/>
                <w:vertAlign w:val="baseline"/>
              </w:rPr>
              <w:t>trimestre</w:t>
            </w:r>
            <w:r>
              <w:rPr>
                <w:b/>
                <w:spacing w:val="-4"/>
                <w:sz w:val="22"/>
                <w:vertAlign w:val="baseline"/>
              </w:rPr>
              <w:t> </w:t>
            </w:r>
            <w:r>
              <w:rPr>
                <w:b/>
                <w:sz w:val="22"/>
                <w:vertAlign w:val="baseline"/>
              </w:rPr>
              <w:t>2023</w:t>
            </w:r>
            <w:r>
              <w:rPr>
                <w:b/>
                <w:spacing w:val="-6"/>
                <w:sz w:val="22"/>
                <w:vertAlign w:val="baseline"/>
              </w:rPr>
              <w:t> </w:t>
            </w:r>
            <w:r>
              <w:rPr>
                <w:b/>
                <w:spacing w:val="-10"/>
                <w:sz w:val="22"/>
                <w:vertAlign w:val="superscript"/>
              </w:rPr>
              <w:t>1</w:t>
            </w:r>
          </w:p>
        </w:tc>
      </w:tr>
      <w:tr>
        <w:trPr>
          <w:trHeight w:val="251" w:hRule="atLeast"/>
        </w:trPr>
        <w:tc>
          <w:tcPr>
            <w:tcW w:w="4359" w:type="dxa"/>
            <w:tcBorders>
              <w:top w:val="nil"/>
              <w:bottom w:val="nil"/>
            </w:tcBorders>
          </w:tcPr>
          <w:p>
            <w:pPr>
              <w:pStyle w:val="TableParagraph"/>
              <w:spacing w:line="231" w:lineRule="exact"/>
              <w:rPr>
                <w:b/>
                <w:sz w:val="22"/>
              </w:rPr>
            </w:pPr>
            <w:r>
              <w:rPr>
                <w:b/>
                <w:sz w:val="22"/>
              </w:rPr>
              <w:t>Durée</w:t>
            </w:r>
            <w:r>
              <w:rPr>
                <w:b/>
                <w:spacing w:val="-6"/>
                <w:sz w:val="22"/>
              </w:rPr>
              <w:t> </w:t>
            </w:r>
            <w:r>
              <w:rPr>
                <w:b/>
                <w:sz w:val="22"/>
              </w:rPr>
              <w:t>initiale</w:t>
            </w:r>
            <w:r>
              <w:rPr>
                <w:b/>
                <w:spacing w:val="-5"/>
                <w:sz w:val="22"/>
              </w:rPr>
              <w:t> </w:t>
            </w:r>
            <w:r>
              <w:rPr>
                <w:b/>
                <w:sz w:val="22"/>
              </w:rPr>
              <w:t>souhaitée</w:t>
            </w:r>
            <w:r>
              <w:rPr>
                <w:b/>
                <w:spacing w:val="-6"/>
                <w:sz w:val="22"/>
              </w:rPr>
              <w:t> </w:t>
            </w:r>
            <w:r>
              <w:rPr>
                <w:b/>
                <w:spacing w:val="-10"/>
                <w:sz w:val="22"/>
              </w:rPr>
              <w:t>:</w:t>
            </w:r>
          </w:p>
        </w:tc>
        <w:tc>
          <w:tcPr>
            <w:tcW w:w="5597" w:type="dxa"/>
            <w:gridSpan w:val="2"/>
            <w:tcBorders>
              <w:top w:val="nil"/>
              <w:bottom w:val="nil"/>
            </w:tcBorders>
          </w:tcPr>
          <w:p>
            <w:pPr>
              <w:pStyle w:val="TableParagraph"/>
              <w:spacing w:line="231" w:lineRule="exact"/>
              <w:rPr>
                <w:b/>
                <w:sz w:val="22"/>
              </w:rPr>
            </w:pPr>
            <w:r>
              <w:rPr>
                <w:b/>
                <w:sz w:val="22"/>
              </w:rPr>
              <w:t>2 </w:t>
            </w:r>
            <w:r>
              <w:rPr>
                <w:b/>
                <w:spacing w:val="-4"/>
                <w:sz w:val="22"/>
              </w:rPr>
              <w:t>ans</w:t>
            </w:r>
            <w:r>
              <w:rPr>
                <w:b/>
                <w:spacing w:val="-4"/>
                <w:sz w:val="22"/>
                <w:vertAlign w:val="superscript"/>
              </w:rPr>
              <w:t>1</w:t>
            </w:r>
          </w:p>
        </w:tc>
      </w:tr>
      <w:tr>
        <w:trPr>
          <w:trHeight w:val="458" w:hRule="atLeast"/>
        </w:trPr>
        <w:tc>
          <w:tcPr>
            <w:tcW w:w="4359" w:type="dxa"/>
            <w:tcBorders>
              <w:top w:val="nil"/>
              <w:bottom w:val="nil"/>
            </w:tcBorders>
          </w:tcPr>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gridSpan w:val="2"/>
            <w:tcBorders>
              <w:top w:val="nil"/>
            </w:tcBorders>
          </w:tcPr>
          <w:p>
            <w:pPr>
              <w:pStyle w:val="TableParagraph"/>
              <w:spacing w:line="247"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8" w:type="dxa"/>
            <w:tcBorders>
              <w:right w:val="nil"/>
            </w:tcBorders>
          </w:tcPr>
          <w:p>
            <w:pPr>
              <w:pStyle w:val="TableParagraph"/>
              <w:numPr>
                <w:ilvl w:val="0"/>
                <w:numId w:val="1"/>
              </w:numPr>
              <w:tabs>
                <w:tab w:pos="523" w:val="left" w:leader="none"/>
                <w:tab w:pos="524"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p>
        </w:tc>
        <w:tc>
          <w:tcPr>
            <w:tcW w:w="3089" w:type="dxa"/>
            <w:tcBorders>
              <w:left w:val="nil"/>
            </w:tcBorders>
          </w:tcPr>
          <w:p>
            <w:pPr>
              <w:pStyle w:val="TableParagraph"/>
              <w:spacing w:before="145"/>
              <w:ind w:left="444"/>
              <w:rPr>
                <w:b/>
                <w:sz w:val="22"/>
              </w:rPr>
            </w:pPr>
            <w:r>
              <w:rPr>
                <w:rFonts w:ascii="Wingdings 2" w:hAnsi="Wingdings 2"/>
                <w:b/>
                <w:sz w:val="22"/>
              </w:rPr>
              <w:t></w:t>
            </w:r>
            <w:r>
              <w:rPr>
                <w:spacing w:val="52"/>
                <w:sz w:val="22"/>
              </w:rPr>
              <w:t> </w:t>
            </w:r>
            <w:r>
              <w:rPr>
                <w:b/>
                <w:sz w:val="22"/>
              </w:rPr>
              <w:t>Sans</w:t>
            </w:r>
            <w:r>
              <w:rPr>
                <w:b/>
                <w:spacing w:val="-3"/>
                <w:sz w:val="22"/>
              </w:rPr>
              <w:t> </w:t>
            </w:r>
            <w:r>
              <w:rPr>
                <w:b/>
                <w:spacing w:val="-2"/>
                <w:sz w:val="22"/>
              </w:rPr>
              <w:t>frais</w:t>
            </w:r>
          </w:p>
        </w:tc>
      </w:tr>
      <w:tr>
        <w:trPr>
          <w:trHeight w:val="2114" w:hRule="atLeast"/>
        </w:trPr>
        <w:tc>
          <w:tcPr>
            <w:tcW w:w="9956" w:type="dxa"/>
            <w:gridSpan w:val="3"/>
          </w:tcPr>
          <w:p>
            <w:pPr>
              <w:pStyle w:val="TableParagraph"/>
              <w:spacing w:before="171"/>
              <w:rPr>
                <w:b/>
                <w:sz w:val="22"/>
              </w:rPr>
            </w:pPr>
            <w:r>
              <w:rPr>
                <w:b/>
                <w:sz w:val="22"/>
              </w:rPr>
              <w:t>Cet</w:t>
            </w:r>
            <w:r>
              <w:rPr>
                <w:b/>
                <w:spacing w:val="-2"/>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before="92"/>
        <w:ind w:left="559" w:right="75"/>
      </w:pPr>
      <w:r>
        <w:rPr/>
        <w:t>Au sein de la Commission Européenne, la Direction Générale des Partenariats Internationaux est en charge de la politique de coopération au développement et de coopération dans le contexte plus large de la coopération internationale tout en s'adaptant sans cesse à l’évolutions des besoins des pays partenaires. Ceci comprend la coopération</w:t>
      </w:r>
      <w:r>
        <w:rPr>
          <w:spacing w:val="-5"/>
        </w:rPr>
        <w:t> </w:t>
      </w:r>
      <w:r>
        <w:rPr/>
        <w:t>avec</w:t>
      </w:r>
      <w:r>
        <w:rPr>
          <w:spacing w:val="-2"/>
        </w:rPr>
        <w:t> </w:t>
      </w:r>
      <w:r>
        <w:rPr/>
        <w:t>les</w:t>
      </w:r>
      <w:r>
        <w:rPr>
          <w:spacing w:val="-2"/>
        </w:rPr>
        <w:t> </w:t>
      </w:r>
      <w:r>
        <w:rPr/>
        <w:t>pays</w:t>
      </w:r>
      <w:r>
        <w:rPr>
          <w:spacing w:val="-2"/>
        </w:rPr>
        <w:t> </w:t>
      </w:r>
      <w:r>
        <w:rPr/>
        <w:t>en</w:t>
      </w:r>
      <w:r>
        <w:rPr>
          <w:spacing w:val="-2"/>
        </w:rPr>
        <w:t> </w:t>
      </w:r>
      <w:r>
        <w:rPr/>
        <w:t>voie</w:t>
      </w:r>
      <w:r>
        <w:rPr>
          <w:spacing w:val="-2"/>
        </w:rPr>
        <w:t> </w:t>
      </w:r>
      <w:r>
        <w:rPr/>
        <w:t>de</w:t>
      </w:r>
      <w:r>
        <w:rPr>
          <w:spacing w:val="-2"/>
        </w:rPr>
        <w:t> </w:t>
      </w:r>
      <w:r>
        <w:rPr/>
        <w:t>développement</w:t>
      </w:r>
      <w:r>
        <w:rPr>
          <w:spacing w:val="-1"/>
        </w:rPr>
        <w:t> </w:t>
      </w:r>
      <w:r>
        <w:rPr/>
        <w:t>à</w:t>
      </w:r>
      <w:r>
        <w:rPr>
          <w:spacing w:val="-4"/>
        </w:rPr>
        <w:t> </w:t>
      </w:r>
      <w:r>
        <w:rPr/>
        <w:t>différent</w:t>
      </w:r>
      <w:r>
        <w:rPr>
          <w:spacing w:val="-3"/>
        </w:rPr>
        <w:t> </w:t>
      </w:r>
      <w:r>
        <w:rPr/>
        <w:t>stades</w:t>
      </w:r>
      <w:r>
        <w:rPr>
          <w:spacing w:val="-4"/>
        </w:rPr>
        <w:t> </w:t>
      </w:r>
      <w:r>
        <w:rPr/>
        <w:t>en</w:t>
      </w:r>
      <w:r>
        <w:rPr>
          <w:spacing w:val="-4"/>
        </w:rPr>
        <w:t> </w:t>
      </w:r>
      <w:r>
        <w:rPr/>
        <w:t>incluant</w:t>
      </w:r>
      <w:r>
        <w:rPr>
          <w:spacing w:val="-4"/>
        </w:rPr>
        <w:t> </w:t>
      </w:r>
      <w:r>
        <w:rPr/>
        <w:t>les</w:t>
      </w:r>
      <w:r>
        <w:rPr>
          <w:spacing w:val="-2"/>
        </w:rPr>
        <w:t> </w:t>
      </w:r>
      <w:r>
        <w:rPr/>
        <w:t>pays</w:t>
      </w:r>
      <w:r>
        <w:rPr>
          <w:spacing w:val="-2"/>
        </w:rPr>
        <w:t> </w:t>
      </w:r>
      <w:r>
        <w:rPr/>
        <w:t>en</w:t>
      </w:r>
      <w:r>
        <w:rPr>
          <w:spacing w:val="-2"/>
        </w:rPr>
        <w:t> </w:t>
      </w:r>
      <w:r>
        <w:rPr/>
        <w:t>phase</w:t>
      </w:r>
      <w:r>
        <w:rPr>
          <w:spacing w:val="-4"/>
        </w:rPr>
        <w:t> </w:t>
      </w:r>
      <w:r>
        <w:rPr/>
        <w:t>transitoire, qu'ils soient à faible revenu ou à revenu intermédiaire. Dans le cadre de la mission générale de la DG INTPA, l'unité G5 contribue à</w:t>
      </w:r>
      <w:r>
        <w:rPr>
          <w:spacing w:val="-2"/>
        </w:rPr>
        <w:t> </w:t>
      </w:r>
      <w:r>
        <w:rPr/>
        <w:t>la</w:t>
      </w:r>
      <w:r>
        <w:rPr>
          <w:spacing w:val="-2"/>
        </w:rPr>
        <w:t> </w:t>
      </w:r>
      <w:r>
        <w:rPr/>
        <w:t>formulation de politiques</w:t>
      </w:r>
      <w:r>
        <w:rPr>
          <w:spacing w:val="-2"/>
        </w:rPr>
        <w:t> </w:t>
      </w:r>
      <w:r>
        <w:rPr/>
        <w:t>sectorielles dans</w:t>
      </w:r>
      <w:r>
        <w:rPr>
          <w:spacing w:val="-2"/>
        </w:rPr>
        <w:t> </w:t>
      </w:r>
      <w:r>
        <w:rPr/>
        <w:t>les</w:t>
      </w:r>
      <w:r>
        <w:rPr>
          <w:spacing w:val="-2"/>
        </w:rPr>
        <w:t> </w:t>
      </w:r>
      <w:r>
        <w:rPr/>
        <w:t>domaines</w:t>
      </w:r>
      <w:r>
        <w:rPr>
          <w:spacing w:val="-2"/>
        </w:rPr>
        <w:t> </w:t>
      </w:r>
      <w:r>
        <w:rPr/>
        <w:t>de la</w:t>
      </w:r>
      <w:r>
        <w:rPr>
          <w:spacing w:val="-2"/>
        </w:rPr>
        <w:t> </w:t>
      </w:r>
      <w:r>
        <w:rPr/>
        <w:t>paix, de</w:t>
      </w:r>
      <w:r>
        <w:rPr>
          <w:spacing w:val="-2"/>
        </w:rPr>
        <w:t> </w:t>
      </w:r>
      <w:r>
        <w:rPr/>
        <w:t>la</w:t>
      </w:r>
      <w:r>
        <w:rPr>
          <w:spacing w:val="-2"/>
        </w:rPr>
        <w:t> </w:t>
      </w:r>
      <w:r>
        <w:rPr/>
        <w:t>résilience,</w:t>
      </w:r>
      <w:r>
        <w:rPr>
          <w:spacing w:val="-3"/>
        </w:rPr>
        <w:t> </w:t>
      </w:r>
      <w:r>
        <w:rPr/>
        <w:t>de la stabilité et de la sécurité.</w:t>
      </w:r>
    </w:p>
    <w:p>
      <w:pPr>
        <w:pStyle w:val="BodyText"/>
      </w:pPr>
    </w:p>
    <w:p>
      <w:pPr>
        <w:pStyle w:val="BodyText"/>
        <w:ind w:left="559" w:right="147"/>
      </w:pPr>
      <w:r>
        <w:rPr/>
        <w:t>Au sein de la Direction G dédiée au développement humain, aux migrations, à la gouvernance et à la paix, l'unité</w:t>
      </w:r>
      <w:r>
        <w:rPr>
          <w:spacing w:val="-2"/>
        </w:rPr>
        <w:t> </w:t>
      </w:r>
      <w:r>
        <w:rPr/>
        <w:t>thématique</w:t>
      </w:r>
      <w:r>
        <w:rPr>
          <w:spacing w:val="-4"/>
        </w:rPr>
        <w:t> </w:t>
      </w:r>
      <w:r>
        <w:rPr/>
        <w:t>G5</w:t>
      </w:r>
      <w:r>
        <w:rPr>
          <w:spacing w:val="-2"/>
        </w:rPr>
        <w:t> </w:t>
      </w:r>
      <w:r>
        <w:rPr/>
        <w:t>"Résilience,</w:t>
      </w:r>
      <w:r>
        <w:rPr>
          <w:spacing w:val="-2"/>
        </w:rPr>
        <w:t> </w:t>
      </w:r>
      <w:r>
        <w:rPr/>
        <w:t>paix</w:t>
      </w:r>
      <w:r>
        <w:rPr>
          <w:spacing w:val="-5"/>
        </w:rPr>
        <w:t> </w:t>
      </w:r>
      <w:r>
        <w:rPr/>
        <w:t>et</w:t>
      </w:r>
      <w:r>
        <w:rPr>
          <w:spacing w:val="-4"/>
        </w:rPr>
        <w:t> </w:t>
      </w:r>
      <w:r>
        <w:rPr/>
        <w:t>sécurité"</w:t>
      </w:r>
      <w:r>
        <w:rPr>
          <w:spacing w:val="-1"/>
        </w:rPr>
        <w:t> </w:t>
      </w:r>
      <w:r>
        <w:rPr/>
        <w:t>a</w:t>
      </w:r>
      <w:r>
        <w:rPr>
          <w:spacing w:val="-4"/>
        </w:rPr>
        <w:t> </w:t>
      </w:r>
      <w:r>
        <w:rPr/>
        <w:t>pour</w:t>
      </w:r>
      <w:r>
        <w:rPr>
          <w:spacing w:val="-2"/>
        </w:rPr>
        <w:t> </w:t>
      </w:r>
      <w:r>
        <w:rPr/>
        <w:t>mission</w:t>
      </w:r>
      <w:r>
        <w:rPr>
          <w:spacing w:val="-2"/>
        </w:rPr>
        <w:t> </w:t>
      </w:r>
      <w:r>
        <w:rPr/>
        <w:t>de</w:t>
      </w:r>
      <w:r>
        <w:rPr>
          <w:spacing w:val="-4"/>
        </w:rPr>
        <w:t> </w:t>
      </w:r>
      <w:r>
        <w:rPr/>
        <w:t>contribuer</w:t>
      </w:r>
      <w:r>
        <w:rPr>
          <w:spacing w:val="-2"/>
        </w:rPr>
        <w:t> </w:t>
      </w:r>
      <w:r>
        <w:rPr/>
        <w:t>au</w:t>
      </w:r>
      <w:r>
        <w:rPr>
          <w:spacing w:val="-2"/>
        </w:rPr>
        <w:t> </w:t>
      </w:r>
      <w:r>
        <w:rPr/>
        <w:t>développement</w:t>
      </w:r>
      <w:r>
        <w:rPr>
          <w:spacing w:val="-1"/>
        </w:rPr>
        <w:t> </w:t>
      </w:r>
      <w:r>
        <w:rPr/>
        <w:t>durable,</w:t>
      </w:r>
      <w:r>
        <w:rPr>
          <w:spacing w:val="-4"/>
        </w:rPr>
        <w:t> </w:t>
      </w:r>
      <w:r>
        <w:rPr/>
        <w:t>à la paix et à la stabilité en :</w:t>
      </w:r>
    </w:p>
    <w:p>
      <w:pPr>
        <w:pStyle w:val="BodyText"/>
        <w:spacing w:before="2"/>
      </w:pPr>
    </w:p>
    <w:p>
      <w:pPr>
        <w:pStyle w:val="ListParagraph"/>
        <w:numPr>
          <w:ilvl w:val="1"/>
          <w:numId w:val="3"/>
        </w:numPr>
        <w:tabs>
          <w:tab w:pos="1279" w:val="left" w:leader="none"/>
          <w:tab w:pos="1280" w:val="left" w:leader="none"/>
        </w:tabs>
        <w:spacing w:line="240" w:lineRule="auto" w:before="0" w:after="0"/>
        <w:ind w:left="1279" w:right="275" w:hanging="360"/>
        <w:jc w:val="left"/>
        <w:rPr>
          <w:sz w:val="22"/>
        </w:rPr>
      </w:pPr>
      <w:r>
        <w:rPr>
          <w:sz w:val="22"/>
        </w:rPr>
        <w:t>fournissant une expertise et un soutien au renforcement des capacités permettant de contribuer à l'amélioration de la sécurité régionale et nationale, en intégrant tous les maillons de la chaine pénale (forces</w:t>
      </w:r>
      <w:r>
        <w:rPr>
          <w:spacing w:val="-2"/>
          <w:sz w:val="22"/>
        </w:rPr>
        <w:t> </w:t>
      </w:r>
      <w:r>
        <w:rPr>
          <w:sz w:val="22"/>
        </w:rPr>
        <w:t>de</w:t>
      </w:r>
      <w:r>
        <w:rPr>
          <w:spacing w:val="-4"/>
          <w:sz w:val="22"/>
        </w:rPr>
        <w:t> </w:t>
      </w:r>
      <w:r>
        <w:rPr>
          <w:sz w:val="22"/>
        </w:rPr>
        <w:t>l’ordre,</w:t>
      </w:r>
      <w:r>
        <w:rPr>
          <w:spacing w:val="-2"/>
          <w:sz w:val="22"/>
        </w:rPr>
        <w:t> </w:t>
      </w:r>
      <w:r>
        <w:rPr>
          <w:sz w:val="22"/>
        </w:rPr>
        <w:t>autorité</w:t>
      </w:r>
      <w:r>
        <w:rPr>
          <w:spacing w:val="-4"/>
          <w:sz w:val="22"/>
        </w:rPr>
        <w:t> </w:t>
      </w:r>
      <w:r>
        <w:rPr>
          <w:sz w:val="22"/>
        </w:rPr>
        <w:t>judiciaire,</w:t>
      </w:r>
      <w:r>
        <w:rPr>
          <w:spacing w:val="-2"/>
          <w:sz w:val="22"/>
        </w:rPr>
        <w:t> </w:t>
      </w:r>
      <w:r>
        <w:rPr>
          <w:sz w:val="22"/>
        </w:rPr>
        <w:t>gestion</w:t>
      </w:r>
      <w:r>
        <w:rPr>
          <w:spacing w:val="-2"/>
          <w:sz w:val="22"/>
        </w:rPr>
        <w:t> </w:t>
      </w:r>
      <w:r>
        <w:rPr>
          <w:sz w:val="22"/>
        </w:rPr>
        <w:t>des</w:t>
      </w:r>
      <w:r>
        <w:rPr>
          <w:spacing w:val="-2"/>
          <w:sz w:val="22"/>
        </w:rPr>
        <w:t> </w:t>
      </w:r>
      <w:r>
        <w:rPr>
          <w:sz w:val="22"/>
        </w:rPr>
        <w:t>frontières,</w:t>
      </w:r>
      <w:r>
        <w:rPr>
          <w:spacing w:val="-4"/>
          <w:sz w:val="22"/>
        </w:rPr>
        <w:t> </w:t>
      </w:r>
      <w:r>
        <w:rPr>
          <w:sz w:val="22"/>
        </w:rPr>
        <w:t>douane)</w:t>
      </w:r>
      <w:r>
        <w:rPr>
          <w:spacing w:val="-4"/>
          <w:sz w:val="22"/>
        </w:rPr>
        <w:t> </w:t>
      </w:r>
      <w:r>
        <w:rPr>
          <w:sz w:val="22"/>
        </w:rPr>
        <w:t>et</w:t>
      </w:r>
      <w:r>
        <w:rPr>
          <w:spacing w:val="-4"/>
          <w:sz w:val="22"/>
        </w:rPr>
        <w:t> </w:t>
      </w:r>
      <w:r>
        <w:rPr>
          <w:sz w:val="22"/>
        </w:rPr>
        <w:t>les</w:t>
      </w:r>
      <w:r>
        <w:rPr>
          <w:spacing w:val="-4"/>
          <w:sz w:val="22"/>
        </w:rPr>
        <w:t> </w:t>
      </w:r>
      <w:r>
        <w:rPr>
          <w:sz w:val="22"/>
        </w:rPr>
        <w:t>acteurs</w:t>
      </w:r>
      <w:r>
        <w:rPr>
          <w:spacing w:val="-4"/>
          <w:sz w:val="22"/>
        </w:rPr>
        <w:t> </w:t>
      </w:r>
      <w:r>
        <w:rPr>
          <w:sz w:val="22"/>
        </w:rPr>
        <w:t>militaires</w:t>
      </w:r>
      <w:r>
        <w:rPr>
          <w:spacing w:val="-2"/>
          <w:sz w:val="22"/>
        </w:rPr>
        <w:t> </w:t>
      </w:r>
      <w:r>
        <w:rPr>
          <w:sz w:val="22"/>
        </w:rPr>
        <w:t>en</w:t>
      </w:r>
      <w:r>
        <w:rPr>
          <w:spacing w:val="-4"/>
          <w:sz w:val="22"/>
        </w:rPr>
        <w:t> </w:t>
      </w:r>
      <w:r>
        <w:rPr>
          <w:sz w:val="22"/>
        </w:rPr>
        <w:t>appui aux programmes de soutien capacitaires de défense et de sécurité en lien avec le développement </w:t>
      </w:r>
      <w:r>
        <w:rPr>
          <w:spacing w:val="-2"/>
          <w:sz w:val="22"/>
        </w:rPr>
        <w:t>(CBDSD);</w:t>
      </w:r>
    </w:p>
    <w:p>
      <w:pPr>
        <w:pStyle w:val="ListParagraph"/>
        <w:numPr>
          <w:ilvl w:val="1"/>
          <w:numId w:val="3"/>
        </w:numPr>
        <w:tabs>
          <w:tab w:pos="1280" w:val="left" w:leader="none"/>
        </w:tabs>
        <w:spacing w:line="240" w:lineRule="auto" w:before="0" w:after="0"/>
        <w:ind w:left="1279" w:right="494" w:hanging="360"/>
        <w:jc w:val="both"/>
        <w:rPr>
          <w:sz w:val="22"/>
        </w:rPr>
      </w:pPr>
      <w:r>
        <w:rPr>
          <w:sz w:val="22"/>
        </w:rPr>
        <w:t>fournissant</w:t>
      </w:r>
      <w:r>
        <w:rPr>
          <w:spacing w:val="-1"/>
          <w:sz w:val="22"/>
        </w:rPr>
        <w:t> </w:t>
      </w:r>
      <w:r>
        <w:rPr>
          <w:sz w:val="22"/>
        </w:rPr>
        <w:t>une</w:t>
      </w:r>
      <w:r>
        <w:rPr>
          <w:spacing w:val="-4"/>
          <w:sz w:val="22"/>
        </w:rPr>
        <w:t> </w:t>
      </w:r>
      <w:r>
        <w:rPr>
          <w:sz w:val="22"/>
        </w:rPr>
        <w:t>expertise</w:t>
      </w:r>
      <w:r>
        <w:rPr>
          <w:spacing w:val="-2"/>
          <w:sz w:val="22"/>
        </w:rPr>
        <w:t> </w:t>
      </w:r>
      <w:r>
        <w:rPr>
          <w:sz w:val="22"/>
        </w:rPr>
        <w:t>et</w:t>
      </w:r>
      <w:r>
        <w:rPr>
          <w:spacing w:val="-4"/>
          <w:sz w:val="22"/>
        </w:rPr>
        <w:t> </w:t>
      </w:r>
      <w:r>
        <w:rPr>
          <w:sz w:val="22"/>
        </w:rPr>
        <w:t>un</w:t>
      </w:r>
      <w:r>
        <w:rPr>
          <w:spacing w:val="-2"/>
          <w:sz w:val="22"/>
        </w:rPr>
        <w:t> </w:t>
      </w:r>
      <w:r>
        <w:rPr>
          <w:sz w:val="22"/>
        </w:rPr>
        <w:t>soutien</w:t>
      </w:r>
      <w:r>
        <w:rPr>
          <w:spacing w:val="-2"/>
          <w:sz w:val="22"/>
        </w:rPr>
        <w:t> </w:t>
      </w:r>
      <w:r>
        <w:rPr>
          <w:sz w:val="22"/>
        </w:rPr>
        <w:t>au</w:t>
      </w:r>
      <w:r>
        <w:rPr>
          <w:spacing w:val="-5"/>
          <w:sz w:val="22"/>
        </w:rPr>
        <w:t> </w:t>
      </w:r>
      <w:r>
        <w:rPr>
          <w:sz w:val="22"/>
        </w:rPr>
        <w:t>renforcement</w:t>
      </w:r>
      <w:r>
        <w:rPr>
          <w:spacing w:val="-3"/>
          <w:sz w:val="22"/>
        </w:rPr>
        <w:t> </w:t>
      </w:r>
      <w:r>
        <w:rPr>
          <w:sz w:val="22"/>
        </w:rPr>
        <w:t>des</w:t>
      </w:r>
      <w:r>
        <w:rPr>
          <w:spacing w:val="-2"/>
          <w:sz w:val="22"/>
        </w:rPr>
        <w:t> </w:t>
      </w:r>
      <w:r>
        <w:rPr>
          <w:sz w:val="22"/>
        </w:rPr>
        <w:t>capacités,</w:t>
      </w:r>
      <w:r>
        <w:rPr>
          <w:spacing w:val="-2"/>
          <w:sz w:val="22"/>
        </w:rPr>
        <w:t> </w:t>
      </w:r>
      <w:r>
        <w:rPr>
          <w:sz w:val="22"/>
        </w:rPr>
        <w:t>permettant</w:t>
      </w:r>
      <w:r>
        <w:rPr>
          <w:spacing w:val="-1"/>
          <w:sz w:val="22"/>
        </w:rPr>
        <w:t> </w:t>
      </w:r>
      <w:r>
        <w:rPr>
          <w:sz w:val="22"/>
        </w:rPr>
        <w:t>de</w:t>
      </w:r>
      <w:r>
        <w:rPr>
          <w:spacing w:val="-2"/>
          <w:sz w:val="22"/>
        </w:rPr>
        <w:t> </w:t>
      </w:r>
      <w:r>
        <w:rPr>
          <w:sz w:val="22"/>
        </w:rPr>
        <w:t>s'assurer</w:t>
      </w:r>
      <w:r>
        <w:rPr>
          <w:spacing w:val="-2"/>
          <w:sz w:val="22"/>
        </w:rPr>
        <w:t> </w:t>
      </w:r>
      <w:r>
        <w:rPr>
          <w:sz w:val="22"/>
        </w:rPr>
        <w:t>de</w:t>
      </w:r>
      <w:r>
        <w:rPr>
          <w:spacing w:val="-4"/>
          <w:sz w:val="22"/>
        </w:rPr>
        <w:t> </w:t>
      </w:r>
      <w:r>
        <w:rPr>
          <w:sz w:val="22"/>
        </w:rPr>
        <w:t>la prise en</w:t>
      </w:r>
      <w:r>
        <w:rPr>
          <w:spacing w:val="-3"/>
          <w:sz w:val="22"/>
        </w:rPr>
        <w:t> </w:t>
      </w:r>
      <w:r>
        <w:rPr>
          <w:sz w:val="22"/>
        </w:rPr>
        <w:t>compte de</w:t>
      </w:r>
      <w:r>
        <w:rPr>
          <w:spacing w:val="-2"/>
          <w:sz w:val="22"/>
        </w:rPr>
        <w:t> </w:t>
      </w:r>
      <w:r>
        <w:rPr>
          <w:sz w:val="22"/>
        </w:rPr>
        <w:t>la sensibilité des</w:t>
      </w:r>
      <w:r>
        <w:rPr>
          <w:spacing w:val="-2"/>
          <w:sz w:val="22"/>
        </w:rPr>
        <w:t> </w:t>
      </w:r>
      <w:r>
        <w:rPr>
          <w:sz w:val="22"/>
        </w:rPr>
        <w:t>conflits, la consolidation</w:t>
      </w:r>
      <w:r>
        <w:rPr>
          <w:spacing w:val="-3"/>
          <w:sz w:val="22"/>
        </w:rPr>
        <w:t> </w:t>
      </w:r>
      <w:r>
        <w:rPr>
          <w:sz w:val="22"/>
        </w:rPr>
        <w:t>de</w:t>
      </w:r>
      <w:r>
        <w:rPr>
          <w:spacing w:val="-2"/>
          <w:sz w:val="22"/>
        </w:rPr>
        <w:t> </w:t>
      </w:r>
      <w:r>
        <w:rPr>
          <w:sz w:val="22"/>
        </w:rPr>
        <w:t>la paix</w:t>
      </w:r>
      <w:r>
        <w:rPr>
          <w:spacing w:val="-3"/>
          <w:sz w:val="22"/>
        </w:rPr>
        <w:t> </w:t>
      </w:r>
      <w:r>
        <w:rPr>
          <w:sz w:val="22"/>
        </w:rPr>
        <w:t>et de la résilience dans</w:t>
      </w:r>
      <w:r>
        <w:rPr>
          <w:spacing w:val="-2"/>
          <w:sz w:val="22"/>
        </w:rPr>
        <w:t> </w:t>
      </w:r>
      <w:r>
        <w:rPr>
          <w:sz w:val="22"/>
        </w:rPr>
        <w:t>les pays impactés par des crises et/ou des fragilités et subissant un processus de transition.</w:t>
      </w:r>
    </w:p>
    <w:p>
      <w:pPr>
        <w:pStyle w:val="BodyText"/>
        <w:spacing w:before="8"/>
        <w:rPr>
          <w:sz w:val="21"/>
        </w:rPr>
      </w:pPr>
    </w:p>
    <w:p>
      <w:pPr>
        <w:pStyle w:val="BodyText"/>
        <w:spacing w:before="1"/>
        <w:ind w:left="559" w:right="75"/>
      </w:pPr>
      <w:r>
        <w:rPr/>
        <w:t>L'unité est un centre d'expertise en matière de coopération liée à la résilience, la paix et la sécurité, y compris les</w:t>
      </w:r>
      <w:r>
        <w:rPr>
          <w:spacing w:val="-3"/>
        </w:rPr>
        <w:t> </w:t>
      </w:r>
      <w:r>
        <w:rPr/>
        <w:t>problématiques</w:t>
      </w:r>
      <w:r>
        <w:rPr>
          <w:spacing w:val="-3"/>
        </w:rPr>
        <w:t> </w:t>
      </w:r>
      <w:r>
        <w:rPr/>
        <w:t>affectant</w:t>
      </w:r>
      <w:r>
        <w:rPr>
          <w:spacing w:val="-2"/>
        </w:rPr>
        <w:t> </w:t>
      </w:r>
      <w:r>
        <w:rPr/>
        <w:t>les</w:t>
      </w:r>
      <w:r>
        <w:rPr>
          <w:spacing w:val="-3"/>
        </w:rPr>
        <w:t> </w:t>
      </w:r>
      <w:r>
        <w:rPr/>
        <w:t>questions</w:t>
      </w:r>
      <w:r>
        <w:rPr>
          <w:spacing w:val="-3"/>
        </w:rPr>
        <w:t> </w:t>
      </w:r>
      <w:r>
        <w:rPr/>
        <w:t>de</w:t>
      </w:r>
      <w:r>
        <w:rPr>
          <w:spacing w:val="-3"/>
        </w:rPr>
        <w:t> </w:t>
      </w:r>
      <w:r>
        <w:rPr/>
        <w:t>genre</w:t>
      </w:r>
      <w:r>
        <w:rPr>
          <w:spacing w:val="-3"/>
        </w:rPr>
        <w:t> </w:t>
      </w:r>
      <w:r>
        <w:rPr/>
        <w:t>et</w:t>
      </w:r>
      <w:r>
        <w:rPr>
          <w:spacing w:val="-2"/>
        </w:rPr>
        <w:t> </w:t>
      </w:r>
      <w:r>
        <w:rPr/>
        <w:t>les</w:t>
      </w:r>
      <w:r>
        <w:rPr>
          <w:spacing w:val="-3"/>
        </w:rPr>
        <w:t> </w:t>
      </w:r>
      <w:r>
        <w:rPr/>
        <w:t>mineurs.</w:t>
      </w:r>
      <w:r>
        <w:rPr>
          <w:spacing w:val="-5"/>
        </w:rPr>
        <w:t> </w:t>
      </w:r>
      <w:r>
        <w:rPr/>
        <w:t>Cela</w:t>
      </w:r>
      <w:r>
        <w:rPr>
          <w:spacing w:val="-3"/>
        </w:rPr>
        <w:t> </w:t>
      </w:r>
      <w:r>
        <w:rPr/>
        <w:t>implique</w:t>
      </w:r>
      <w:r>
        <w:rPr>
          <w:spacing w:val="-3"/>
        </w:rPr>
        <w:t> </w:t>
      </w:r>
      <w:r>
        <w:rPr/>
        <w:t>aussi</w:t>
      </w:r>
      <w:r>
        <w:rPr>
          <w:spacing w:val="-5"/>
        </w:rPr>
        <w:t> </w:t>
      </w:r>
      <w:r>
        <w:rPr/>
        <w:t>la</w:t>
      </w:r>
      <w:r>
        <w:rPr>
          <w:spacing w:val="-5"/>
        </w:rPr>
        <w:t> </w:t>
      </w:r>
      <w:r>
        <w:rPr/>
        <w:t>fourniture</w:t>
      </w:r>
      <w:r>
        <w:rPr>
          <w:spacing w:val="-3"/>
        </w:rPr>
        <w:t> </w:t>
      </w:r>
      <w:r>
        <w:rPr/>
        <w:t>d'expertise</w:t>
      </w:r>
    </w:p>
    <w:p>
      <w:pPr>
        <w:pStyle w:val="BodyText"/>
        <w:rPr>
          <w:sz w:val="20"/>
        </w:rPr>
      </w:pPr>
    </w:p>
    <w:p>
      <w:pPr>
        <w:pStyle w:val="BodyText"/>
        <w:spacing w:before="4"/>
        <w:rPr>
          <w:sz w:val="10"/>
        </w:rPr>
      </w:pPr>
      <w:r>
        <w:rPr/>
        <w:pict>
          <v:rect style="position:absolute;margin-left:42.599998pt;margin-top:7.1896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before="68"/>
        <w:ind w:left="559" w:right="147"/>
      </w:pPr>
      <w:r>
        <w:rPr/>
        <w:t>pour la coopération en matière de Réforme du Secteur de la Sécurité (RSS) : criminalité organisée transnationale (dont la criminalité environnementale, les trafics illicites et la cybercriminalité); la protection des</w:t>
      </w:r>
      <w:r>
        <w:rPr>
          <w:spacing w:val="-3"/>
        </w:rPr>
        <w:t> </w:t>
      </w:r>
      <w:r>
        <w:rPr/>
        <w:t>infrastructures</w:t>
      </w:r>
      <w:r>
        <w:rPr>
          <w:spacing w:val="-5"/>
        </w:rPr>
        <w:t> </w:t>
      </w:r>
      <w:r>
        <w:rPr/>
        <w:t>critiques</w:t>
      </w:r>
      <w:r>
        <w:rPr>
          <w:spacing w:val="-5"/>
        </w:rPr>
        <w:t> </w:t>
      </w:r>
      <w:r>
        <w:rPr/>
        <w:t>(sécurité</w:t>
      </w:r>
      <w:r>
        <w:rPr>
          <w:spacing w:val="-3"/>
        </w:rPr>
        <w:t> </w:t>
      </w:r>
      <w:r>
        <w:rPr/>
        <w:t>des</w:t>
      </w:r>
      <w:r>
        <w:rPr>
          <w:spacing w:val="-5"/>
        </w:rPr>
        <w:t> </w:t>
      </w:r>
      <w:r>
        <w:rPr/>
        <w:t>emprises</w:t>
      </w:r>
      <w:r>
        <w:rPr>
          <w:spacing w:val="-3"/>
        </w:rPr>
        <w:t> </w:t>
      </w:r>
      <w:r>
        <w:rPr/>
        <w:t>maritimes,</w:t>
      </w:r>
      <w:r>
        <w:rPr>
          <w:spacing w:val="-3"/>
        </w:rPr>
        <w:t> </w:t>
      </w:r>
      <w:r>
        <w:rPr/>
        <w:t>portuaires</w:t>
      </w:r>
      <w:r>
        <w:rPr>
          <w:spacing w:val="-3"/>
        </w:rPr>
        <w:t> </w:t>
      </w:r>
      <w:r>
        <w:rPr/>
        <w:t>et</w:t>
      </w:r>
      <w:r>
        <w:rPr>
          <w:spacing w:val="-2"/>
        </w:rPr>
        <w:t> </w:t>
      </w:r>
      <w:r>
        <w:rPr/>
        <w:t>aériennes);</w:t>
      </w:r>
      <w:r>
        <w:rPr>
          <w:spacing w:val="-2"/>
        </w:rPr>
        <w:t> </w:t>
      </w:r>
      <w:r>
        <w:rPr/>
        <w:t>la</w:t>
      </w:r>
      <w:r>
        <w:rPr>
          <w:spacing w:val="-3"/>
        </w:rPr>
        <w:t> </w:t>
      </w:r>
      <w:r>
        <w:rPr/>
        <w:t>prévention</w:t>
      </w:r>
      <w:r>
        <w:rPr>
          <w:spacing w:val="-3"/>
        </w:rPr>
        <w:t> </w:t>
      </w:r>
      <w:r>
        <w:rPr/>
        <w:t>et</w:t>
      </w:r>
      <w:r>
        <w:rPr>
          <w:spacing w:val="-2"/>
        </w:rPr>
        <w:t> </w:t>
      </w:r>
      <w:r>
        <w:rPr/>
        <w:t>la</w:t>
      </w:r>
      <w:r>
        <w:rPr>
          <w:spacing w:val="-5"/>
        </w:rPr>
        <w:t> </w:t>
      </w:r>
      <w:r>
        <w:rPr/>
        <w:t>lutte contre l'extrémisme violent, la lutte anti-blanchiment et le financement du terrorisme, etc.</w:t>
      </w:r>
    </w:p>
    <w:p>
      <w:pPr>
        <w:pStyle w:val="BodyText"/>
        <w:spacing w:before="2"/>
      </w:pPr>
    </w:p>
    <w:p>
      <w:pPr>
        <w:pStyle w:val="BodyText"/>
        <w:spacing w:before="1"/>
        <w:ind w:left="559"/>
      </w:pPr>
      <w:r>
        <w:rPr/>
        <w:t>Le</w:t>
      </w:r>
      <w:r>
        <w:rPr>
          <w:spacing w:val="-2"/>
        </w:rPr>
        <w:t> </w:t>
      </w:r>
      <w:r>
        <w:rPr/>
        <w:t>candidat</w:t>
      </w:r>
      <w:r>
        <w:rPr>
          <w:spacing w:val="-1"/>
        </w:rPr>
        <w:t> </w:t>
      </w:r>
      <w:r>
        <w:rPr/>
        <w:t>retenu</w:t>
      </w:r>
      <w:r>
        <w:rPr>
          <w:spacing w:val="-2"/>
        </w:rPr>
        <w:t> </w:t>
      </w:r>
      <w:r>
        <w:rPr/>
        <w:t>fera</w:t>
      </w:r>
      <w:r>
        <w:rPr>
          <w:spacing w:val="-2"/>
        </w:rPr>
        <w:t> </w:t>
      </w:r>
      <w:r>
        <w:rPr/>
        <w:t>partie</w:t>
      </w:r>
      <w:r>
        <w:rPr>
          <w:spacing w:val="-2"/>
        </w:rPr>
        <w:t> </w:t>
      </w:r>
      <w:r>
        <w:rPr/>
        <w:t>du</w:t>
      </w:r>
      <w:r>
        <w:rPr>
          <w:spacing w:val="-4"/>
        </w:rPr>
        <w:t> </w:t>
      </w:r>
      <w:r>
        <w:rPr/>
        <w:t>secteur</w:t>
      </w:r>
      <w:r>
        <w:rPr>
          <w:spacing w:val="-2"/>
        </w:rPr>
        <w:t> </w:t>
      </w:r>
      <w:r>
        <w:rPr/>
        <w:t>«</w:t>
      </w:r>
      <w:r>
        <w:rPr>
          <w:spacing w:val="-7"/>
        </w:rPr>
        <w:t> </w:t>
      </w:r>
      <w:r>
        <w:rPr/>
        <w:t>Sécurité</w:t>
      </w:r>
      <w:r>
        <w:rPr>
          <w:spacing w:val="-2"/>
        </w:rPr>
        <w:t> </w:t>
      </w:r>
      <w:r>
        <w:rPr/>
        <w:t>»,</w:t>
      </w:r>
      <w:r>
        <w:rPr>
          <w:spacing w:val="-2"/>
        </w:rPr>
        <w:t> </w:t>
      </w:r>
      <w:r>
        <w:rPr/>
        <w:t>actuellement</w:t>
      </w:r>
      <w:r>
        <w:rPr>
          <w:spacing w:val="-1"/>
        </w:rPr>
        <w:t> </w:t>
      </w:r>
      <w:r>
        <w:rPr/>
        <w:t>composé</w:t>
      </w:r>
      <w:r>
        <w:rPr>
          <w:spacing w:val="-2"/>
        </w:rPr>
        <w:t> </w:t>
      </w:r>
      <w:r>
        <w:rPr/>
        <w:t>de</w:t>
      </w:r>
      <w:r>
        <w:rPr>
          <w:spacing w:val="-2"/>
        </w:rPr>
        <w:t> </w:t>
      </w:r>
      <w:r>
        <w:rPr/>
        <w:t>huit</w:t>
      </w:r>
      <w:r>
        <w:rPr>
          <w:spacing w:val="-1"/>
        </w:rPr>
        <w:t> </w:t>
      </w:r>
      <w:r>
        <w:rPr/>
        <w:t>collègues</w:t>
      </w:r>
      <w:r>
        <w:rPr>
          <w:spacing w:val="-2"/>
        </w:rPr>
        <w:t> </w:t>
      </w:r>
      <w:r>
        <w:rPr/>
        <w:t>sous</w:t>
      </w:r>
      <w:r>
        <w:rPr>
          <w:spacing w:val="-4"/>
        </w:rPr>
        <w:t> </w:t>
      </w:r>
      <w:r>
        <w:rPr/>
        <w:t>la responsabilité d'un chef de secteur.</w:t>
      </w:r>
    </w:p>
    <w:p>
      <w:pPr>
        <w:pStyle w:val="BodyText"/>
        <w:spacing w:before="10"/>
        <w:rPr>
          <w:sz w:val="21"/>
        </w:rPr>
      </w:pPr>
    </w:p>
    <w:p>
      <w:pPr>
        <w:pStyle w:val="BodyText"/>
        <w:spacing w:before="1"/>
        <w:ind w:left="559"/>
      </w:pPr>
      <w:r>
        <w:rPr/>
        <w:t>Il/elle</w:t>
      </w:r>
      <w:r>
        <w:rPr>
          <w:spacing w:val="-5"/>
        </w:rPr>
        <w:t> </w:t>
      </w:r>
      <w:r>
        <w:rPr/>
        <w:t>aura</w:t>
      </w:r>
      <w:r>
        <w:rPr>
          <w:spacing w:val="-3"/>
        </w:rPr>
        <w:t> </w:t>
      </w:r>
      <w:r>
        <w:rPr/>
        <w:t>pour</w:t>
      </w:r>
      <w:r>
        <w:rPr>
          <w:spacing w:val="-3"/>
        </w:rPr>
        <w:t> </w:t>
      </w:r>
      <w:r>
        <w:rPr/>
        <w:t>mission</w:t>
      </w:r>
      <w:r>
        <w:rPr>
          <w:spacing w:val="-5"/>
        </w:rPr>
        <w:t> de:</w:t>
      </w:r>
    </w:p>
    <w:p>
      <w:pPr>
        <w:pStyle w:val="BodyText"/>
      </w:pPr>
    </w:p>
    <w:p>
      <w:pPr>
        <w:pStyle w:val="ListParagraph"/>
        <w:numPr>
          <w:ilvl w:val="0"/>
          <w:numId w:val="4"/>
        </w:numPr>
        <w:tabs>
          <w:tab w:pos="1280" w:val="left" w:leader="none"/>
        </w:tabs>
        <w:spacing w:line="240" w:lineRule="auto" w:before="0" w:after="0"/>
        <w:ind w:left="1279" w:right="200" w:hanging="360"/>
        <w:jc w:val="left"/>
        <w:rPr>
          <w:sz w:val="22"/>
        </w:rPr>
      </w:pPr>
      <w:r>
        <w:rPr>
          <w:sz w:val="22"/>
        </w:rPr>
        <w:t>conseiller et appuyer le développement et la gestion de projets et de programmes liés à la réforme du secteur de la sécurité et au renforcement de capacités afin d’aider les pays partenaires dans des domaines</w:t>
      </w:r>
      <w:r>
        <w:rPr>
          <w:spacing w:val="-2"/>
          <w:sz w:val="22"/>
        </w:rPr>
        <w:t> </w:t>
      </w:r>
      <w:r>
        <w:rPr>
          <w:sz w:val="22"/>
        </w:rPr>
        <w:t>tels</w:t>
      </w:r>
      <w:r>
        <w:rPr>
          <w:spacing w:val="-4"/>
          <w:sz w:val="22"/>
        </w:rPr>
        <w:t> </w:t>
      </w:r>
      <w:r>
        <w:rPr>
          <w:sz w:val="22"/>
        </w:rPr>
        <w:t>que</w:t>
      </w:r>
      <w:r>
        <w:rPr>
          <w:spacing w:val="-4"/>
          <w:sz w:val="22"/>
        </w:rPr>
        <w:t> </w:t>
      </w:r>
      <w:r>
        <w:rPr>
          <w:sz w:val="22"/>
        </w:rPr>
        <w:t>la</w:t>
      </w:r>
      <w:r>
        <w:rPr>
          <w:spacing w:val="-4"/>
          <w:sz w:val="22"/>
        </w:rPr>
        <w:t> </w:t>
      </w:r>
      <w:r>
        <w:rPr>
          <w:sz w:val="22"/>
        </w:rPr>
        <w:t>réforme</w:t>
      </w:r>
      <w:r>
        <w:rPr>
          <w:spacing w:val="-2"/>
          <w:sz w:val="22"/>
        </w:rPr>
        <w:t> </w:t>
      </w:r>
      <w:r>
        <w:rPr>
          <w:sz w:val="22"/>
        </w:rPr>
        <w:t>de</w:t>
      </w:r>
      <w:r>
        <w:rPr>
          <w:spacing w:val="-2"/>
          <w:sz w:val="22"/>
        </w:rPr>
        <w:t> </w:t>
      </w:r>
      <w:r>
        <w:rPr>
          <w:sz w:val="22"/>
        </w:rPr>
        <w:t>la</w:t>
      </w:r>
      <w:r>
        <w:rPr>
          <w:spacing w:val="-2"/>
          <w:sz w:val="22"/>
        </w:rPr>
        <w:t> </w:t>
      </w:r>
      <w:r>
        <w:rPr>
          <w:sz w:val="22"/>
        </w:rPr>
        <w:t>police,</w:t>
      </w:r>
      <w:r>
        <w:rPr>
          <w:spacing w:val="-2"/>
          <w:sz w:val="22"/>
        </w:rPr>
        <w:t> </w:t>
      </w:r>
      <w:r>
        <w:rPr>
          <w:sz w:val="22"/>
        </w:rPr>
        <w:t>et</w:t>
      </w:r>
      <w:r>
        <w:rPr>
          <w:spacing w:val="-1"/>
          <w:sz w:val="22"/>
        </w:rPr>
        <w:t> </w:t>
      </w:r>
      <w:r>
        <w:rPr>
          <w:sz w:val="22"/>
        </w:rPr>
        <w:t>la</w:t>
      </w:r>
      <w:r>
        <w:rPr>
          <w:spacing w:val="-2"/>
          <w:sz w:val="22"/>
        </w:rPr>
        <w:t> </w:t>
      </w:r>
      <w:r>
        <w:rPr>
          <w:sz w:val="22"/>
        </w:rPr>
        <w:t>gestion</w:t>
      </w:r>
      <w:r>
        <w:rPr>
          <w:spacing w:val="-5"/>
          <w:sz w:val="22"/>
        </w:rPr>
        <w:t> </w:t>
      </w:r>
      <w:r>
        <w:rPr>
          <w:sz w:val="22"/>
        </w:rPr>
        <w:t>des</w:t>
      </w:r>
      <w:r>
        <w:rPr>
          <w:spacing w:val="-2"/>
          <w:sz w:val="22"/>
        </w:rPr>
        <w:t> </w:t>
      </w:r>
      <w:r>
        <w:rPr>
          <w:sz w:val="22"/>
        </w:rPr>
        <w:t>frontières</w:t>
      </w:r>
      <w:r>
        <w:rPr>
          <w:spacing w:val="-2"/>
          <w:sz w:val="22"/>
        </w:rPr>
        <w:t> </w:t>
      </w:r>
      <w:r>
        <w:rPr>
          <w:sz w:val="22"/>
        </w:rPr>
        <w:t>en</w:t>
      </w:r>
      <w:r>
        <w:rPr>
          <w:spacing w:val="-2"/>
          <w:sz w:val="22"/>
        </w:rPr>
        <w:t> </w:t>
      </w:r>
      <w:r>
        <w:rPr>
          <w:sz w:val="22"/>
        </w:rPr>
        <w:t>particulier.</w:t>
      </w:r>
      <w:r>
        <w:rPr>
          <w:spacing w:val="-2"/>
          <w:sz w:val="22"/>
        </w:rPr>
        <w:t> </w:t>
      </w:r>
      <w:r>
        <w:rPr>
          <w:sz w:val="22"/>
        </w:rPr>
        <w:t>Ces</w:t>
      </w:r>
      <w:r>
        <w:rPr>
          <w:spacing w:val="-2"/>
          <w:sz w:val="22"/>
        </w:rPr>
        <w:t> </w:t>
      </w:r>
      <w:r>
        <w:rPr>
          <w:sz w:val="22"/>
        </w:rPr>
        <w:t>actions</w:t>
      </w:r>
      <w:r>
        <w:rPr>
          <w:spacing w:val="-2"/>
          <w:sz w:val="22"/>
        </w:rPr>
        <w:t> </w:t>
      </w:r>
      <w:r>
        <w:rPr>
          <w:sz w:val="22"/>
        </w:rPr>
        <w:t>seront mises en œuvre en coopération avec les organismes pertinents des pays partenaires (forces de police, de sécurité publique, police judiciaire, services de renseignement ou de contreterrorisme, gardes- frontières etc.) et leur autorité de tutelle (Ministère de la Défense, de l’Intérieur etc.), en accord avec les priorités de la Commission Européenne;</w:t>
      </w:r>
    </w:p>
    <w:p>
      <w:pPr>
        <w:pStyle w:val="ListParagraph"/>
        <w:numPr>
          <w:ilvl w:val="0"/>
          <w:numId w:val="4"/>
        </w:numPr>
        <w:tabs>
          <w:tab w:pos="1280" w:val="left" w:leader="none"/>
        </w:tabs>
        <w:spacing w:line="240" w:lineRule="auto" w:before="0" w:after="0"/>
        <w:ind w:left="1279" w:right="218" w:hanging="360"/>
        <w:jc w:val="left"/>
        <w:rPr>
          <w:sz w:val="22"/>
        </w:rPr>
      </w:pPr>
      <w:r>
        <w:rPr>
          <w:sz w:val="22"/>
        </w:rPr>
        <w:t>contribuer à la définition des politiques et des programmes de l’UE en matière de sécurité, y compris ceux liés à tous les types de grande criminalité organisée et à ses principaux vecteurs, notamment la gestion</w:t>
      </w:r>
      <w:r>
        <w:rPr>
          <w:spacing w:val="-2"/>
          <w:sz w:val="22"/>
        </w:rPr>
        <w:t> </w:t>
      </w:r>
      <w:r>
        <w:rPr>
          <w:sz w:val="22"/>
        </w:rPr>
        <w:t>des</w:t>
      </w:r>
      <w:r>
        <w:rPr>
          <w:spacing w:val="-4"/>
          <w:sz w:val="22"/>
        </w:rPr>
        <w:t> </w:t>
      </w:r>
      <w:r>
        <w:rPr>
          <w:sz w:val="22"/>
        </w:rPr>
        <w:t>frontières,</w:t>
      </w:r>
      <w:r>
        <w:rPr>
          <w:spacing w:val="-5"/>
          <w:sz w:val="22"/>
        </w:rPr>
        <w:t> </w:t>
      </w:r>
      <w:r>
        <w:rPr>
          <w:sz w:val="22"/>
        </w:rPr>
        <w:t>le</w:t>
      </w:r>
      <w:r>
        <w:rPr>
          <w:spacing w:val="-4"/>
          <w:sz w:val="22"/>
        </w:rPr>
        <w:t> </w:t>
      </w:r>
      <w:r>
        <w:rPr>
          <w:sz w:val="22"/>
        </w:rPr>
        <w:t>trafic</w:t>
      </w:r>
      <w:r>
        <w:rPr>
          <w:spacing w:val="-4"/>
          <w:sz w:val="22"/>
        </w:rPr>
        <w:t> </w:t>
      </w:r>
      <w:r>
        <w:rPr>
          <w:sz w:val="22"/>
        </w:rPr>
        <w:t>de</w:t>
      </w:r>
      <w:r>
        <w:rPr>
          <w:spacing w:val="-2"/>
          <w:sz w:val="22"/>
        </w:rPr>
        <w:t> </w:t>
      </w:r>
      <w:r>
        <w:rPr>
          <w:sz w:val="22"/>
        </w:rPr>
        <w:t>drogue</w:t>
      </w:r>
      <w:r>
        <w:rPr>
          <w:spacing w:val="-2"/>
          <w:sz w:val="22"/>
        </w:rPr>
        <w:t> </w:t>
      </w:r>
      <w:r>
        <w:rPr>
          <w:sz w:val="22"/>
        </w:rPr>
        <w:t>et</w:t>
      </w:r>
      <w:r>
        <w:rPr>
          <w:spacing w:val="-4"/>
          <w:sz w:val="22"/>
        </w:rPr>
        <w:t> </w:t>
      </w:r>
      <w:r>
        <w:rPr>
          <w:sz w:val="22"/>
        </w:rPr>
        <w:t>tous</w:t>
      </w:r>
      <w:r>
        <w:rPr>
          <w:spacing w:val="-2"/>
          <w:sz w:val="22"/>
        </w:rPr>
        <w:t> </w:t>
      </w:r>
      <w:r>
        <w:rPr>
          <w:sz w:val="22"/>
        </w:rPr>
        <w:t>les</w:t>
      </w:r>
      <w:r>
        <w:rPr>
          <w:spacing w:val="-2"/>
          <w:sz w:val="22"/>
        </w:rPr>
        <w:t> </w:t>
      </w:r>
      <w:r>
        <w:rPr>
          <w:sz w:val="22"/>
        </w:rPr>
        <w:t>autres</w:t>
      </w:r>
      <w:r>
        <w:rPr>
          <w:spacing w:val="-4"/>
          <w:sz w:val="22"/>
        </w:rPr>
        <w:t> </w:t>
      </w:r>
      <w:r>
        <w:rPr>
          <w:sz w:val="22"/>
        </w:rPr>
        <w:t>flux</w:t>
      </w:r>
      <w:r>
        <w:rPr>
          <w:spacing w:val="-2"/>
          <w:sz w:val="22"/>
        </w:rPr>
        <w:t> </w:t>
      </w:r>
      <w:r>
        <w:rPr>
          <w:sz w:val="22"/>
        </w:rPr>
        <w:t>illicites,</w:t>
      </w:r>
      <w:r>
        <w:rPr>
          <w:spacing w:val="-2"/>
          <w:sz w:val="22"/>
        </w:rPr>
        <w:t> </w:t>
      </w:r>
      <w:r>
        <w:rPr>
          <w:sz w:val="22"/>
        </w:rPr>
        <w:t>la</w:t>
      </w:r>
      <w:r>
        <w:rPr>
          <w:spacing w:val="-2"/>
          <w:sz w:val="22"/>
        </w:rPr>
        <w:t> </w:t>
      </w:r>
      <w:r>
        <w:rPr>
          <w:sz w:val="22"/>
        </w:rPr>
        <w:t>criminalité</w:t>
      </w:r>
      <w:r>
        <w:rPr>
          <w:spacing w:val="-4"/>
          <w:sz w:val="22"/>
        </w:rPr>
        <w:t> </w:t>
      </w:r>
      <w:r>
        <w:rPr>
          <w:sz w:val="22"/>
        </w:rPr>
        <w:t>financière</w:t>
      </w:r>
      <w:r>
        <w:rPr>
          <w:spacing w:val="-2"/>
          <w:sz w:val="22"/>
        </w:rPr>
        <w:t> </w:t>
      </w:r>
      <w:r>
        <w:rPr>
          <w:sz w:val="22"/>
        </w:rPr>
        <w:t>et</w:t>
      </w:r>
      <w:r>
        <w:rPr>
          <w:spacing w:val="-4"/>
          <w:sz w:val="22"/>
        </w:rPr>
        <w:t> </w:t>
      </w:r>
      <w:r>
        <w:rPr>
          <w:sz w:val="22"/>
        </w:rPr>
        <w:t>les crimes connexes, la lutte contre le terrorisme et perpétrés par tous les moyens (espaces et itinéraires numériques, maritimes ou aériens);</w:t>
      </w:r>
    </w:p>
    <w:p>
      <w:pPr>
        <w:pStyle w:val="ListParagraph"/>
        <w:numPr>
          <w:ilvl w:val="0"/>
          <w:numId w:val="4"/>
        </w:numPr>
        <w:tabs>
          <w:tab w:pos="1280" w:val="left" w:leader="none"/>
        </w:tabs>
        <w:spacing w:line="240" w:lineRule="auto" w:before="0" w:after="0"/>
        <w:ind w:left="1279" w:right="306" w:hanging="360"/>
        <w:jc w:val="left"/>
        <w:rPr>
          <w:sz w:val="22"/>
        </w:rPr>
      </w:pPr>
      <w:r>
        <w:rPr>
          <w:sz w:val="22"/>
        </w:rPr>
        <w:t>suivre</w:t>
      </w:r>
      <w:r>
        <w:rPr>
          <w:spacing w:val="-5"/>
          <w:sz w:val="22"/>
        </w:rPr>
        <w:t> </w:t>
      </w:r>
      <w:r>
        <w:rPr>
          <w:sz w:val="22"/>
        </w:rPr>
        <w:t>les</w:t>
      </w:r>
      <w:r>
        <w:rPr>
          <w:spacing w:val="-3"/>
          <w:sz w:val="22"/>
        </w:rPr>
        <w:t> </w:t>
      </w:r>
      <w:r>
        <w:rPr>
          <w:sz w:val="22"/>
        </w:rPr>
        <w:t>différents</w:t>
      </w:r>
      <w:r>
        <w:rPr>
          <w:spacing w:val="-3"/>
          <w:sz w:val="22"/>
        </w:rPr>
        <w:t> </w:t>
      </w:r>
      <w:r>
        <w:rPr>
          <w:sz w:val="22"/>
        </w:rPr>
        <w:t>dialogues</w:t>
      </w:r>
      <w:r>
        <w:rPr>
          <w:spacing w:val="-3"/>
          <w:sz w:val="22"/>
        </w:rPr>
        <w:t> </w:t>
      </w:r>
      <w:r>
        <w:rPr>
          <w:sz w:val="22"/>
        </w:rPr>
        <w:t>stratégiques</w:t>
      </w:r>
      <w:r>
        <w:rPr>
          <w:spacing w:val="-3"/>
          <w:sz w:val="22"/>
        </w:rPr>
        <w:t> </w:t>
      </w:r>
      <w:r>
        <w:rPr>
          <w:sz w:val="22"/>
        </w:rPr>
        <w:t>avec</w:t>
      </w:r>
      <w:r>
        <w:rPr>
          <w:spacing w:val="-5"/>
          <w:sz w:val="22"/>
        </w:rPr>
        <w:t> </w:t>
      </w:r>
      <w:r>
        <w:rPr>
          <w:sz w:val="22"/>
        </w:rPr>
        <w:t>les</w:t>
      </w:r>
      <w:r>
        <w:rPr>
          <w:spacing w:val="-5"/>
          <w:sz w:val="22"/>
        </w:rPr>
        <w:t> </w:t>
      </w:r>
      <w:r>
        <w:rPr>
          <w:sz w:val="22"/>
        </w:rPr>
        <w:t>pays</w:t>
      </w:r>
      <w:r>
        <w:rPr>
          <w:spacing w:val="-3"/>
          <w:sz w:val="22"/>
        </w:rPr>
        <w:t> </w:t>
      </w:r>
      <w:r>
        <w:rPr>
          <w:sz w:val="22"/>
        </w:rPr>
        <w:t>partenaires</w:t>
      </w:r>
      <w:r>
        <w:rPr>
          <w:spacing w:val="-5"/>
          <w:sz w:val="22"/>
        </w:rPr>
        <w:t> </w:t>
      </w:r>
      <w:r>
        <w:rPr>
          <w:sz w:val="22"/>
        </w:rPr>
        <w:t>aux</w:t>
      </w:r>
      <w:r>
        <w:rPr>
          <w:spacing w:val="-3"/>
          <w:sz w:val="22"/>
        </w:rPr>
        <w:t> </w:t>
      </w:r>
      <w:r>
        <w:rPr>
          <w:sz w:val="22"/>
        </w:rPr>
        <w:t>niveaux</w:t>
      </w:r>
      <w:r>
        <w:rPr>
          <w:spacing w:val="-3"/>
          <w:sz w:val="22"/>
        </w:rPr>
        <w:t> </w:t>
      </w:r>
      <w:r>
        <w:rPr>
          <w:sz w:val="22"/>
        </w:rPr>
        <w:t>bilatéral</w:t>
      </w:r>
      <w:r>
        <w:rPr>
          <w:spacing w:val="-2"/>
          <w:sz w:val="22"/>
        </w:rPr>
        <w:t> </w:t>
      </w:r>
      <w:r>
        <w:rPr>
          <w:sz w:val="22"/>
        </w:rPr>
        <w:t>et</w:t>
      </w:r>
      <w:r>
        <w:rPr>
          <w:spacing w:val="-2"/>
          <w:sz w:val="22"/>
        </w:rPr>
        <w:t> </w:t>
      </w:r>
      <w:r>
        <w:rPr>
          <w:sz w:val="22"/>
        </w:rPr>
        <w:t>régional et y contribuer;</w:t>
      </w:r>
    </w:p>
    <w:p>
      <w:pPr>
        <w:pStyle w:val="ListParagraph"/>
        <w:numPr>
          <w:ilvl w:val="0"/>
          <w:numId w:val="4"/>
        </w:numPr>
        <w:tabs>
          <w:tab w:pos="1280" w:val="left" w:leader="none"/>
        </w:tabs>
        <w:spacing w:line="240" w:lineRule="auto" w:before="0" w:after="0"/>
        <w:ind w:left="1279" w:right="395" w:hanging="360"/>
        <w:jc w:val="left"/>
        <w:rPr>
          <w:sz w:val="22"/>
        </w:rPr>
      </w:pPr>
      <w:r>
        <w:rPr>
          <w:sz w:val="22"/>
        </w:rPr>
        <w:t>conseiller</w:t>
      </w:r>
      <w:r>
        <w:rPr>
          <w:spacing w:val="-2"/>
          <w:sz w:val="22"/>
        </w:rPr>
        <w:t> </w:t>
      </w:r>
      <w:r>
        <w:rPr>
          <w:sz w:val="22"/>
        </w:rPr>
        <w:t>et</w:t>
      </w:r>
      <w:r>
        <w:rPr>
          <w:spacing w:val="-1"/>
          <w:sz w:val="22"/>
        </w:rPr>
        <w:t> </w:t>
      </w:r>
      <w:r>
        <w:rPr>
          <w:sz w:val="22"/>
        </w:rPr>
        <w:t>soutenir</w:t>
      </w:r>
      <w:r>
        <w:rPr>
          <w:spacing w:val="-4"/>
          <w:sz w:val="22"/>
        </w:rPr>
        <w:t> </w:t>
      </w:r>
      <w:r>
        <w:rPr>
          <w:sz w:val="22"/>
        </w:rPr>
        <w:t>les</w:t>
      </w:r>
      <w:r>
        <w:rPr>
          <w:spacing w:val="-2"/>
          <w:sz w:val="22"/>
        </w:rPr>
        <w:t> </w:t>
      </w:r>
      <w:r>
        <w:rPr>
          <w:sz w:val="22"/>
        </w:rPr>
        <w:t>autres</w:t>
      </w:r>
      <w:r>
        <w:rPr>
          <w:spacing w:val="-2"/>
          <w:sz w:val="22"/>
        </w:rPr>
        <w:t> </w:t>
      </w:r>
      <w:r>
        <w:rPr>
          <w:sz w:val="22"/>
        </w:rPr>
        <w:t>unités</w:t>
      </w:r>
      <w:r>
        <w:rPr>
          <w:spacing w:val="-2"/>
          <w:sz w:val="22"/>
        </w:rPr>
        <w:t> </w:t>
      </w:r>
      <w:r>
        <w:rPr>
          <w:sz w:val="22"/>
        </w:rPr>
        <w:t>de</w:t>
      </w:r>
      <w:r>
        <w:rPr>
          <w:spacing w:val="-2"/>
          <w:sz w:val="22"/>
        </w:rPr>
        <w:t> </w:t>
      </w:r>
      <w:r>
        <w:rPr>
          <w:sz w:val="22"/>
        </w:rPr>
        <w:t>la</w:t>
      </w:r>
      <w:r>
        <w:rPr>
          <w:spacing w:val="-2"/>
          <w:sz w:val="22"/>
        </w:rPr>
        <w:t> </w:t>
      </w:r>
      <w:r>
        <w:rPr>
          <w:sz w:val="22"/>
        </w:rPr>
        <w:t>DG</w:t>
      </w:r>
      <w:r>
        <w:rPr>
          <w:spacing w:val="-4"/>
          <w:sz w:val="22"/>
        </w:rPr>
        <w:t> </w:t>
      </w:r>
      <w:r>
        <w:rPr>
          <w:sz w:val="22"/>
        </w:rPr>
        <w:t>INTPA</w:t>
      </w:r>
      <w:r>
        <w:rPr>
          <w:spacing w:val="-4"/>
          <w:sz w:val="22"/>
        </w:rPr>
        <w:t> </w:t>
      </w:r>
      <w:r>
        <w:rPr>
          <w:sz w:val="22"/>
        </w:rPr>
        <w:t>(notamment</w:t>
      </w:r>
      <w:r>
        <w:rPr>
          <w:spacing w:val="-1"/>
          <w:sz w:val="22"/>
        </w:rPr>
        <w:t> </w:t>
      </w:r>
      <w:r>
        <w:rPr>
          <w:sz w:val="22"/>
        </w:rPr>
        <w:t>les</w:t>
      </w:r>
      <w:r>
        <w:rPr>
          <w:spacing w:val="-4"/>
          <w:sz w:val="22"/>
        </w:rPr>
        <w:t> </w:t>
      </w:r>
      <w:r>
        <w:rPr>
          <w:sz w:val="22"/>
        </w:rPr>
        <w:t>unités</w:t>
      </w:r>
      <w:r>
        <w:rPr>
          <w:spacing w:val="-2"/>
          <w:sz w:val="22"/>
        </w:rPr>
        <w:t> </w:t>
      </w:r>
      <w:r>
        <w:rPr>
          <w:sz w:val="22"/>
        </w:rPr>
        <w:t>géographiques)</w:t>
      </w:r>
      <w:r>
        <w:rPr>
          <w:spacing w:val="-1"/>
          <w:sz w:val="22"/>
        </w:rPr>
        <w:t> </w:t>
      </w:r>
      <w:r>
        <w:rPr>
          <w:sz w:val="22"/>
        </w:rPr>
        <w:t>et</w:t>
      </w:r>
      <w:r>
        <w:rPr>
          <w:spacing w:val="-4"/>
          <w:sz w:val="22"/>
        </w:rPr>
        <w:t> </w:t>
      </w:r>
      <w:r>
        <w:rPr>
          <w:sz w:val="22"/>
        </w:rPr>
        <w:t>les délégations de l’UE dans les domaines mentionnés et sur les tendances criminelles émergentes;</w:t>
      </w:r>
    </w:p>
    <w:p>
      <w:pPr>
        <w:pStyle w:val="ListParagraph"/>
        <w:numPr>
          <w:ilvl w:val="0"/>
          <w:numId w:val="4"/>
        </w:numPr>
        <w:tabs>
          <w:tab w:pos="1280" w:val="left" w:leader="none"/>
        </w:tabs>
        <w:spacing w:line="240" w:lineRule="auto" w:before="0" w:after="0"/>
        <w:ind w:left="1279" w:right="217" w:hanging="360"/>
        <w:jc w:val="left"/>
        <w:rPr>
          <w:sz w:val="22"/>
        </w:rPr>
      </w:pPr>
      <w:r>
        <w:rPr>
          <w:sz w:val="22"/>
        </w:rPr>
        <w:t>travailler</w:t>
      </w:r>
      <w:r>
        <w:rPr>
          <w:spacing w:val="-5"/>
          <w:sz w:val="22"/>
        </w:rPr>
        <w:t> </w:t>
      </w:r>
      <w:r>
        <w:rPr>
          <w:sz w:val="22"/>
        </w:rPr>
        <w:t>en</w:t>
      </w:r>
      <w:r>
        <w:rPr>
          <w:spacing w:val="-3"/>
          <w:sz w:val="22"/>
        </w:rPr>
        <w:t> </w:t>
      </w:r>
      <w:r>
        <w:rPr>
          <w:sz w:val="22"/>
        </w:rPr>
        <w:t>étroite</w:t>
      </w:r>
      <w:r>
        <w:rPr>
          <w:spacing w:val="-3"/>
          <w:sz w:val="22"/>
        </w:rPr>
        <w:t> </w:t>
      </w:r>
      <w:r>
        <w:rPr>
          <w:sz w:val="22"/>
        </w:rPr>
        <w:t>collaboration</w:t>
      </w:r>
      <w:r>
        <w:rPr>
          <w:spacing w:val="-3"/>
          <w:sz w:val="22"/>
        </w:rPr>
        <w:t> </w:t>
      </w:r>
      <w:r>
        <w:rPr>
          <w:sz w:val="22"/>
        </w:rPr>
        <w:t>avec</w:t>
      </w:r>
      <w:r>
        <w:rPr>
          <w:spacing w:val="-3"/>
          <w:sz w:val="22"/>
        </w:rPr>
        <w:t> </w:t>
      </w:r>
      <w:r>
        <w:rPr>
          <w:sz w:val="22"/>
        </w:rPr>
        <w:t>d’autres</w:t>
      </w:r>
      <w:r>
        <w:rPr>
          <w:spacing w:val="-3"/>
          <w:sz w:val="22"/>
        </w:rPr>
        <w:t> </w:t>
      </w:r>
      <w:r>
        <w:rPr>
          <w:sz w:val="22"/>
        </w:rPr>
        <w:t>services</w:t>
      </w:r>
      <w:r>
        <w:rPr>
          <w:spacing w:val="-5"/>
          <w:sz w:val="22"/>
        </w:rPr>
        <w:t> </w:t>
      </w:r>
      <w:r>
        <w:rPr>
          <w:sz w:val="22"/>
        </w:rPr>
        <w:t>de</w:t>
      </w:r>
      <w:r>
        <w:rPr>
          <w:spacing w:val="-3"/>
          <w:sz w:val="22"/>
        </w:rPr>
        <w:t> </w:t>
      </w:r>
      <w:r>
        <w:rPr>
          <w:sz w:val="22"/>
        </w:rPr>
        <w:t>la</w:t>
      </w:r>
      <w:r>
        <w:rPr>
          <w:spacing w:val="-5"/>
          <w:sz w:val="22"/>
        </w:rPr>
        <w:t> </w:t>
      </w:r>
      <w:r>
        <w:rPr>
          <w:sz w:val="22"/>
        </w:rPr>
        <w:t>Commission</w:t>
      </w:r>
      <w:r>
        <w:rPr>
          <w:spacing w:val="-3"/>
          <w:sz w:val="22"/>
        </w:rPr>
        <w:t> </w:t>
      </w:r>
      <w:r>
        <w:rPr>
          <w:sz w:val="22"/>
        </w:rPr>
        <w:t>européenne</w:t>
      </w:r>
      <w:r>
        <w:rPr>
          <w:spacing w:val="-3"/>
          <w:sz w:val="22"/>
        </w:rPr>
        <w:t> </w:t>
      </w:r>
      <w:r>
        <w:rPr>
          <w:sz w:val="22"/>
        </w:rPr>
        <w:t>et</w:t>
      </w:r>
      <w:r>
        <w:rPr>
          <w:spacing w:val="-2"/>
          <w:sz w:val="22"/>
        </w:rPr>
        <w:t> </w:t>
      </w:r>
      <w:r>
        <w:rPr>
          <w:sz w:val="22"/>
        </w:rPr>
        <w:t>du</w:t>
      </w:r>
      <w:r>
        <w:rPr>
          <w:spacing w:val="-3"/>
          <w:sz w:val="22"/>
        </w:rPr>
        <w:t> </w:t>
      </w:r>
      <w:r>
        <w:rPr>
          <w:sz w:val="22"/>
        </w:rPr>
        <w:t>SEAE</w:t>
      </w:r>
      <w:r>
        <w:rPr>
          <w:spacing w:val="-3"/>
          <w:sz w:val="22"/>
        </w:rPr>
        <w:t> </w:t>
      </w:r>
      <w:r>
        <w:rPr>
          <w:sz w:val="22"/>
        </w:rPr>
        <w:t>et, le cas échéant, assurer la liaison avec les parties prenantes externes.</w:t>
      </w:r>
    </w:p>
    <w:p>
      <w:pPr>
        <w:pStyle w:val="BodyText"/>
        <w:spacing w:before="5"/>
        <w:rPr>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5"/>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06"/>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0"/>
        <w:rPr>
          <w:sz w:val="21"/>
        </w:rPr>
      </w:pPr>
    </w:p>
    <w:p>
      <w:pPr>
        <w:pStyle w:val="ListParagraph"/>
        <w:numPr>
          <w:ilvl w:val="0"/>
          <w:numId w:val="6"/>
        </w:numPr>
        <w:tabs>
          <w:tab w:pos="841" w:val="left" w:leader="none"/>
        </w:tabs>
        <w:spacing w:line="240" w:lineRule="auto" w:before="0" w:after="0"/>
        <w:ind w:left="840" w:right="106"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6"/>
        </w:numPr>
        <w:tabs>
          <w:tab w:pos="841" w:val="left" w:leader="none"/>
        </w:tabs>
        <w:spacing w:line="240" w:lineRule="auto" w:before="1" w:after="0"/>
        <w:ind w:left="840" w:right="104" w:hanging="281"/>
        <w:jc w:val="both"/>
        <w:rPr>
          <w:sz w:val="22"/>
        </w:rPr>
      </w:pPr>
      <w:r>
        <w:rPr>
          <w:sz w:val="22"/>
        </w:rPr>
        <w:t>Ancienneté de service : avoir une ancienneté d'au moins un an auprès de son employeur, c'est-à-dire être employé</w:t>
      </w:r>
      <w:r>
        <w:rPr>
          <w:spacing w:val="-2"/>
          <w:sz w:val="22"/>
        </w:rPr>
        <w:t> </w:t>
      </w:r>
      <w:r>
        <w:rPr>
          <w:sz w:val="22"/>
        </w:rPr>
        <w:t>depuis</w:t>
      </w:r>
      <w:r>
        <w:rPr>
          <w:spacing w:val="-2"/>
          <w:sz w:val="22"/>
        </w:rPr>
        <w:t> </w:t>
      </w:r>
      <w:r>
        <w:rPr>
          <w:sz w:val="22"/>
        </w:rPr>
        <w:t>au</w:t>
      </w:r>
      <w:r>
        <w:rPr>
          <w:spacing w:val="-2"/>
          <w:sz w:val="22"/>
        </w:rPr>
        <w:t> </w:t>
      </w:r>
      <w:r>
        <w:rPr>
          <w:sz w:val="22"/>
        </w:rPr>
        <w:t>moins</w:t>
      </w:r>
      <w:r>
        <w:rPr>
          <w:spacing w:val="-2"/>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2"/>
          <w:sz w:val="22"/>
        </w:rPr>
        <w:t> </w:t>
      </w:r>
      <w:r>
        <w:rPr>
          <w:sz w:val="22"/>
        </w:rPr>
        <w:t>employeur</w:t>
      </w:r>
      <w:r>
        <w:rPr>
          <w:spacing w:val="-1"/>
          <w:sz w:val="22"/>
        </w:rPr>
        <w:t> </w:t>
      </w:r>
      <w:r>
        <w:rPr>
          <w:sz w:val="22"/>
        </w:rPr>
        <w:t>éligible</w:t>
      </w:r>
      <w:r>
        <w:rPr>
          <w:spacing w:val="-2"/>
          <w:sz w:val="22"/>
        </w:rPr>
        <w:t> </w:t>
      </w:r>
      <w:r>
        <w:rPr>
          <w:sz w:val="22"/>
        </w:rPr>
        <w:t>au</w:t>
      </w:r>
      <w:r>
        <w:rPr>
          <w:spacing w:val="-5"/>
          <w:sz w:val="22"/>
        </w:rPr>
        <w:t> </w:t>
      </w:r>
      <w:r>
        <w:rPr>
          <w:sz w:val="22"/>
        </w:rPr>
        <w:t>sens</w:t>
      </w:r>
      <w:r>
        <w:rPr>
          <w:spacing w:val="-2"/>
          <w:sz w:val="22"/>
        </w:rPr>
        <w:t> </w:t>
      </w:r>
      <w:r>
        <w:rPr>
          <w:sz w:val="22"/>
        </w:rPr>
        <w:t>de l'article</w:t>
      </w:r>
      <w:r>
        <w:rPr>
          <w:spacing w:val="-2"/>
          <w:sz w:val="22"/>
        </w:rPr>
        <w:t> </w:t>
      </w:r>
      <w:r>
        <w:rPr>
          <w:sz w:val="22"/>
        </w:rPr>
        <w:t>1</w:t>
      </w:r>
      <w:r>
        <w:rPr>
          <w:spacing w:val="-2"/>
          <w:sz w:val="22"/>
        </w:rPr>
        <w:t> </w:t>
      </w:r>
      <w:r>
        <w:rPr>
          <w:sz w:val="22"/>
        </w:rPr>
        <w:t>de</w:t>
      </w:r>
      <w:r>
        <w:rPr>
          <w:spacing w:val="-4"/>
          <w:sz w:val="22"/>
        </w:rPr>
        <w:t> </w:t>
      </w:r>
      <w:r>
        <w:rPr>
          <w:sz w:val="22"/>
        </w:rPr>
        <w:t>la</w:t>
      </w:r>
      <w:r>
        <w:rPr>
          <w:spacing w:val="-2"/>
          <w:sz w:val="22"/>
        </w:rPr>
        <w:t> </w:t>
      </w:r>
      <w:r>
        <w:rPr>
          <w:sz w:val="22"/>
        </w:rPr>
        <w:t>décision</w:t>
      </w:r>
      <w:r>
        <w:rPr>
          <w:spacing w:val="-2"/>
          <w:sz w:val="22"/>
        </w:rPr>
        <w:t> </w:t>
      </w:r>
      <w:r>
        <w:rPr>
          <w:sz w:val="22"/>
        </w:rPr>
        <w:t>END,</w:t>
      </w:r>
      <w:r>
        <w:rPr>
          <w:spacing w:val="-2"/>
          <w:sz w:val="22"/>
        </w:rPr>
        <w:t> </w:t>
      </w:r>
      <w:r>
        <w:rPr>
          <w:sz w:val="22"/>
        </w:rPr>
        <w:t>dans</w:t>
      </w:r>
      <w:r>
        <w:rPr>
          <w:spacing w:val="-2"/>
          <w:sz w:val="22"/>
        </w:rPr>
        <w:t> </w:t>
      </w:r>
      <w:r>
        <w:rPr>
          <w:sz w:val="22"/>
        </w:rPr>
        <w:t>un cadre statutaire ou contractuel avant le détachement;</w:t>
      </w:r>
    </w:p>
    <w:p>
      <w:pPr>
        <w:pStyle w:val="BodyText"/>
      </w:pPr>
    </w:p>
    <w:p>
      <w:pPr>
        <w:pStyle w:val="ListParagraph"/>
        <w:numPr>
          <w:ilvl w:val="0"/>
          <w:numId w:val="6"/>
        </w:numPr>
        <w:tabs>
          <w:tab w:pos="841" w:val="left" w:leader="none"/>
        </w:tabs>
        <w:spacing w:line="240" w:lineRule="auto" w:before="1" w:after="0"/>
        <w:ind w:left="840" w:right="110"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pPr>
    </w:p>
    <w:p>
      <w:pPr>
        <w:pStyle w:val="Heading1"/>
        <w:numPr>
          <w:ilvl w:val="0"/>
          <w:numId w:val="5"/>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3"/>
        </w:rPr>
      </w:pPr>
    </w:p>
    <w:p>
      <w:pPr>
        <w:pStyle w:val="BodyText"/>
        <w:spacing w:line="252" w:lineRule="exact" w:before="92"/>
        <w:ind w:left="840"/>
      </w:pPr>
      <w:r>
        <w:rPr>
          <w:spacing w:val="-2"/>
          <w:u w:val="single"/>
        </w:rPr>
        <w:t>Diplôme</w:t>
      </w:r>
    </w:p>
    <w:p>
      <w:pPr>
        <w:pStyle w:val="ListParagraph"/>
        <w:numPr>
          <w:ilvl w:val="1"/>
          <w:numId w:val="5"/>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5"/>
        </w:numPr>
        <w:tabs>
          <w:tab w:pos="966" w:val="left" w:leader="none"/>
        </w:tabs>
        <w:spacing w:line="240" w:lineRule="auto" w:before="1"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spacing w:after="0" w:line="240" w:lineRule="auto"/>
        <w:jc w:val="left"/>
        <w:rPr>
          <w:sz w:val="22"/>
        </w:rPr>
        <w:sectPr>
          <w:pgSz w:w="11910" w:h="16840"/>
          <w:pgMar w:header="0" w:footer="690" w:top="1040" w:bottom="880" w:left="720" w:right="740"/>
        </w:sectPr>
      </w:pPr>
    </w:p>
    <w:p>
      <w:pPr>
        <w:pStyle w:val="BodyText"/>
        <w:spacing w:before="68"/>
        <w:ind w:left="840" w:right="166"/>
        <w:jc w:val="both"/>
      </w:pPr>
      <w:r>
        <w:rPr/>
        <w:t>dans le(s) domaine(s): « politique de sécurité » dont au moins 5 ans dans le domaine de la politique de sécurité, avec une expérience opérationnelle dans les forces de l’ordre, et idéalement dans la gestion des </w:t>
      </w:r>
      <w:r>
        <w:rPr>
          <w:spacing w:val="-2"/>
        </w:rPr>
        <w:t>frontières.</w:t>
      </w:r>
    </w:p>
    <w:p>
      <w:pPr>
        <w:pStyle w:val="BodyText"/>
        <w:spacing w:before="1"/>
      </w:pPr>
    </w:p>
    <w:p>
      <w:pPr>
        <w:pStyle w:val="BodyText"/>
        <w:ind w:left="840"/>
        <w:jc w:val="both"/>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2"/>
        <w:ind w:left="840" w:right="171"/>
        <w:jc w:val="both"/>
      </w:pPr>
      <w:r>
        <w:rPr/>
        <w:t>Il est essentiel de disposer d’une solide expérience en matière de sécurité. Une expérience en matière de gestion des frontières, de réforme du secteur de la sécurité et de coopération internationale est souhaitable. Une bonne connaissance des politiques de développement, des programmes et des travaux de programmation de l’UE constituerait un atout.</w:t>
      </w:r>
    </w:p>
    <w:p>
      <w:pPr>
        <w:pStyle w:val="BodyText"/>
        <w:spacing w:before="11"/>
        <w:rPr>
          <w:sz w:val="21"/>
        </w:rPr>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1"/>
        <w:ind w:left="840"/>
      </w:pPr>
      <w:r>
        <w:rPr/>
        <w:t>Anglais</w:t>
      </w:r>
      <w:r>
        <w:rPr>
          <w:spacing w:val="-5"/>
        </w:rPr>
        <w:t> </w:t>
      </w:r>
      <w:r>
        <w:rPr/>
        <w:t>requis,</w:t>
      </w:r>
      <w:r>
        <w:rPr>
          <w:spacing w:val="-5"/>
        </w:rPr>
        <w:t> </w:t>
      </w:r>
      <w:r>
        <w:rPr/>
        <w:t>le</w:t>
      </w:r>
      <w:r>
        <w:rPr>
          <w:spacing w:val="-4"/>
        </w:rPr>
        <w:t> </w:t>
      </w:r>
      <w:r>
        <w:rPr/>
        <w:t>français</w:t>
      </w:r>
      <w:r>
        <w:rPr>
          <w:spacing w:val="-5"/>
        </w:rPr>
        <w:t> </w:t>
      </w:r>
      <w:r>
        <w:rPr/>
        <w:t>et/ou</w:t>
      </w:r>
      <w:r>
        <w:rPr>
          <w:spacing w:val="-6"/>
        </w:rPr>
        <w:t> </w:t>
      </w:r>
      <w:r>
        <w:rPr/>
        <w:t>l’allemand</w:t>
      </w:r>
      <w:r>
        <w:rPr>
          <w:spacing w:val="-4"/>
        </w:rPr>
        <w:t> </w:t>
      </w:r>
      <w:r>
        <w:rPr/>
        <w:t>sont</w:t>
      </w:r>
      <w:r>
        <w:rPr>
          <w:spacing w:val="-3"/>
        </w:rPr>
        <w:t> </w:t>
      </w:r>
      <w:r>
        <w:rPr>
          <w:spacing w:val="-2"/>
        </w:rPr>
        <w:t>souhaitables.</w:t>
      </w:r>
    </w:p>
    <w:p>
      <w:pPr>
        <w:pStyle w:val="BodyText"/>
        <w:spacing w:before="5"/>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4"/>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line="242" w:lineRule="auto"/>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line="249" w:lineRule="exact"/>
        <w:ind w:left="559"/>
      </w:pPr>
      <w:r>
        <w:rPr/>
        <w:t>Toute</w:t>
      </w:r>
      <w:r>
        <w:rPr>
          <w:spacing w:val="-6"/>
        </w:rPr>
        <w:t> </w:t>
      </w:r>
      <w:r>
        <w:rPr/>
        <w:t>déclaration</w:t>
      </w:r>
      <w:r>
        <w:rPr>
          <w:spacing w:val="-6"/>
        </w:rPr>
        <w:t> </w:t>
      </w:r>
      <w:r>
        <w:rPr/>
        <w:t>incomplète</w:t>
      </w:r>
      <w:r>
        <w:rPr>
          <w:spacing w:val="-3"/>
        </w:rPr>
        <w:t> </w:t>
      </w:r>
      <w:r>
        <w:rPr/>
        <w:t>ou</w:t>
      </w:r>
      <w:r>
        <w:rPr>
          <w:spacing w:val="-6"/>
        </w:rPr>
        <w:t> </w:t>
      </w:r>
      <w:r>
        <w:rPr/>
        <w:t>fausse</w:t>
      </w:r>
      <w:r>
        <w:rPr>
          <w:spacing w:val="-3"/>
        </w:rPr>
        <w:t> </w:t>
      </w:r>
      <w:r>
        <w:rPr/>
        <w:t>pourra</w:t>
      </w:r>
      <w:r>
        <w:rPr>
          <w:spacing w:val="-3"/>
        </w:rPr>
        <w:t> </w:t>
      </w:r>
      <w:r>
        <w:rPr/>
        <w:t>entraîner</w:t>
      </w:r>
      <w:r>
        <w:rPr>
          <w:spacing w:val="-4"/>
        </w:rPr>
        <w:t> </w:t>
      </w:r>
      <w:r>
        <w:rPr/>
        <w:t>le</w:t>
      </w:r>
      <w:r>
        <w:rPr>
          <w:spacing w:val="-5"/>
        </w:rPr>
        <w:t> </w:t>
      </w:r>
      <w:r>
        <w:rPr/>
        <w:t>refus de</w:t>
      </w:r>
      <w:r>
        <w:rPr>
          <w:spacing w:val="-3"/>
        </w:rPr>
        <w:t> </w:t>
      </w:r>
      <w:r>
        <w:rPr/>
        <w:t>la</w:t>
      </w:r>
      <w:r>
        <w:rPr>
          <w:spacing w:val="-3"/>
        </w:rPr>
        <w:t> </w:t>
      </w:r>
      <w:r>
        <w:rPr>
          <w:spacing w:val="-2"/>
        </w:rPr>
        <w:t>candidature.</w:t>
      </w:r>
    </w:p>
    <w:p>
      <w:pPr>
        <w:pStyle w:val="BodyText"/>
        <w:spacing w:before="9"/>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79"/>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spacing w:before="1"/>
        <w:ind w:left="559" w:right="279"/>
        <w:jc w:val="both"/>
      </w:pPr>
      <w:r>
        <w:rPr/>
        <w:t>Les données des END seront conservées pendant 7 ans à compter de la fin du détachement (2 ans pour les END dont la candidature n'a pas été retenue).</w:t>
      </w:r>
    </w:p>
    <w:p>
      <w:pPr>
        <w:spacing w:after="0"/>
        <w:jc w:val="both"/>
        <w:sectPr>
          <w:pgSz w:w="11910" w:h="16840"/>
          <w:pgMar w:header="0" w:footer="690" w:top="1040" w:bottom="880" w:left="720" w:right="740"/>
        </w:sectPr>
      </w:pPr>
    </w:p>
    <w:p>
      <w:pPr>
        <w:pStyle w:val="BodyText"/>
        <w:spacing w:before="68"/>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6"/>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7"/>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7"/>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rPr>
          <w:sz w:val="14"/>
        </w:rPr>
      </w:pPr>
    </w:p>
    <w:p>
      <w:pPr>
        <w:pStyle w:val="Heading1"/>
        <w:numPr>
          <w:ilvl w:val="0"/>
          <w:numId w:val="7"/>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7"/>
        </w:numPr>
        <w:tabs>
          <w:tab w:pos="841" w:val="left" w:leader="none"/>
        </w:tabs>
        <w:spacing w:line="240" w:lineRule="auto" w:before="0"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spacing w:before="1"/>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486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3">
    <w:multiLevelType w:val="hybridMultilevel"/>
    <w:lvl w:ilvl="0">
      <w:start w:val="1"/>
      <w:numFmt w:val="lowerLetter"/>
      <w:lvlText w:val="%1)"/>
      <w:lvlJc w:val="left"/>
      <w:pPr>
        <w:ind w:left="1279" w:hanging="360"/>
        <w:jc w:val="left"/>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96" w:hanging="360"/>
      </w:pPr>
      <w:rPr>
        <w:rFonts w:hint="default"/>
        <w:lang w:val="fr-FR" w:eastAsia="en-US" w:bidi="ar-SA"/>
      </w:rPr>
    </w:lvl>
    <w:lvl w:ilvl="2">
      <w:start w:val="0"/>
      <w:numFmt w:val="bullet"/>
      <w:lvlText w:val="•"/>
      <w:lvlJc w:val="left"/>
      <w:pPr>
        <w:ind w:left="3113" w:hanging="360"/>
      </w:pPr>
      <w:rPr>
        <w:rFonts w:hint="default"/>
        <w:lang w:val="fr-FR" w:eastAsia="en-US" w:bidi="ar-SA"/>
      </w:rPr>
    </w:lvl>
    <w:lvl w:ilvl="3">
      <w:start w:val="0"/>
      <w:numFmt w:val="bullet"/>
      <w:lvlText w:val="•"/>
      <w:lvlJc w:val="left"/>
      <w:pPr>
        <w:ind w:left="4029" w:hanging="360"/>
      </w:pPr>
      <w:rPr>
        <w:rFonts w:hint="default"/>
        <w:lang w:val="fr-FR" w:eastAsia="en-US" w:bidi="ar-SA"/>
      </w:rPr>
    </w:lvl>
    <w:lvl w:ilvl="4">
      <w:start w:val="0"/>
      <w:numFmt w:val="bullet"/>
      <w:lvlText w:val="•"/>
      <w:lvlJc w:val="left"/>
      <w:pPr>
        <w:ind w:left="4946" w:hanging="360"/>
      </w:pPr>
      <w:rPr>
        <w:rFonts w:hint="default"/>
        <w:lang w:val="fr-FR" w:eastAsia="en-US" w:bidi="ar-SA"/>
      </w:rPr>
    </w:lvl>
    <w:lvl w:ilvl="5">
      <w:start w:val="0"/>
      <w:numFmt w:val="bullet"/>
      <w:lvlText w:val="•"/>
      <w:lvlJc w:val="left"/>
      <w:pPr>
        <w:ind w:left="5863" w:hanging="360"/>
      </w:pPr>
      <w:rPr>
        <w:rFonts w:hint="default"/>
        <w:lang w:val="fr-FR" w:eastAsia="en-US" w:bidi="ar-SA"/>
      </w:rPr>
    </w:lvl>
    <w:lvl w:ilvl="6">
      <w:start w:val="0"/>
      <w:numFmt w:val="bullet"/>
      <w:lvlText w:val="•"/>
      <w:lvlJc w:val="left"/>
      <w:pPr>
        <w:ind w:left="6779" w:hanging="360"/>
      </w:pPr>
      <w:rPr>
        <w:rFonts w:hint="default"/>
        <w:lang w:val="fr-FR" w:eastAsia="en-US" w:bidi="ar-SA"/>
      </w:rPr>
    </w:lvl>
    <w:lvl w:ilvl="7">
      <w:start w:val="0"/>
      <w:numFmt w:val="bullet"/>
      <w:lvlText w:val="•"/>
      <w:lvlJc w:val="left"/>
      <w:pPr>
        <w:ind w:left="7696" w:hanging="360"/>
      </w:pPr>
      <w:rPr>
        <w:rFonts w:hint="default"/>
        <w:lang w:val="fr-FR" w:eastAsia="en-US" w:bidi="ar-SA"/>
      </w:rPr>
    </w:lvl>
    <w:lvl w:ilvl="8">
      <w:start w:val="0"/>
      <w:numFmt w:val="bullet"/>
      <w:lvlText w:val="•"/>
      <w:lvlJc w:val="left"/>
      <w:pPr>
        <w:ind w:left="8613" w:hanging="360"/>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718" w:hanging="418"/>
      </w:pPr>
      <w:rPr>
        <w:rFonts w:hint="default"/>
        <w:lang w:val="fr-FR" w:eastAsia="en-US" w:bidi="ar-SA"/>
      </w:rPr>
    </w:lvl>
    <w:lvl w:ilvl="2">
      <w:start w:val="0"/>
      <w:numFmt w:val="bullet"/>
      <w:lvlText w:val="•"/>
      <w:lvlJc w:val="left"/>
      <w:pPr>
        <w:ind w:left="916" w:hanging="418"/>
      </w:pPr>
      <w:rPr>
        <w:rFonts w:hint="default"/>
        <w:lang w:val="fr-FR" w:eastAsia="en-US" w:bidi="ar-SA"/>
      </w:rPr>
    </w:lvl>
    <w:lvl w:ilvl="3">
      <w:start w:val="0"/>
      <w:numFmt w:val="bullet"/>
      <w:lvlText w:val="•"/>
      <w:lvlJc w:val="left"/>
      <w:pPr>
        <w:ind w:left="1114" w:hanging="418"/>
      </w:pPr>
      <w:rPr>
        <w:rFonts w:hint="default"/>
        <w:lang w:val="fr-FR" w:eastAsia="en-US" w:bidi="ar-SA"/>
      </w:rPr>
    </w:lvl>
    <w:lvl w:ilvl="4">
      <w:start w:val="0"/>
      <w:numFmt w:val="bullet"/>
      <w:lvlText w:val="•"/>
      <w:lvlJc w:val="left"/>
      <w:pPr>
        <w:ind w:left="1313" w:hanging="418"/>
      </w:pPr>
      <w:rPr>
        <w:rFonts w:hint="default"/>
        <w:lang w:val="fr-FR" w:eastAsia="en-US" w:bidi="ar-SA"/>
      </w:rPr>
    </w:lvl>
    <w:lvl w:ilvl="5">
      <w:start w:val="0"/>
      <w:numFmt w:val="bullet"/>
      <w:lvlText w:val="•"/>
      <w:lvlJc w:val="left"/>
      <w:pPr>
        <w:ind w:left="1511" w:hanging="418"/>
      </w:pPr>
      <w:rPr>
        <w:rFonts w:hint="default"/>
        <w:lang w:val="fr-FR" w:eastAsia="en-US" w:bidi="ar-SA"/>
      </w:rPr>
    </w:lvl>
    <w:lvl w:ilvl="6">
      <w:start w:val="0"/>
      <w:numFmt w:val="bullet"/>
      <w:lvlText w:val="•"/>
      <w:lvlJc w:val="left"/>
      <w:pPr>
        <w:ind w:left="1709" w:hanging="418"/>
      </w:pPr>
      <w:rPr>
        <w:rFonts w:hint="default"/>
        <w:lang w:val="fr-FR" w:eastAsia="en-US" w:bidi="ar-SA"/>
      </w:rPr>
    </w:lvl>
    <w:lvl w:ilvl="7">
      <w:start w:val="0"/>
      <w:numFmt w:val="bullet"/>
      <w:lvlText w:val="•"/>
      <w:lvlJc w:val="left"/>
      <w:pPr>
        <w:ind w:left="1908" w:hanging="418"/>
      </w:pPr>
      <w:rPr>
        <w:rFonts w:hint="default"/>
        <w:lang w:val="fr-FR" w:eastAsia="en-US" w:bidi="ar-SA"/>
      </w:rPr>
    </w:lvl>
    <w:lvl w:ilvl="8">
      <w:start w:val="0"/>
      <w:numFmt w:val="bullet"/>
      <w:lvlText w:val="•"/>
      <w:lvlJc w:val="left"/>
      <w:pPr>
        <w:ind w:left="2106" w:hanging="41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279" w:hanging="360"/>
      </w:pPr>
      <w:rPr>
        <w:rFonts w:hint="default" w:ascii="Verdana" w:hAnsi="Verdana" w:eastAsia="Verdana" w:cs="Verdana"/>
        <w:b w:val="0"/>
        <w:bCs w:val="0"/>
        <w:i w:val="0"/>
        <w:iCs w:val="0"/>
        <w:w w:val="100"/>
        <w:sz w:val="22"/>
        <w:szCs w:val="22"/>
        <w:lang w:val="fr-FR" w:eastAsia="en-US" w:bidi="ar-SA"/>
      </w:rPr>
    </w:lvl>
    <w:lvl w:ilvl="2">
      <w:start w:val="0"/>
      <w:numFmt w:val="bullet"/>
      <w:lvlText w:val="•"/>
      <w:lvlJc w:val="left"/>
      <w:pPr>
        <w:ind w:left="2298" w:hanging="360"/>
      </w:pPr>
      <w:rPr>
        <w:rFonts w:hint="default"/>
        <w:lang w:val="fr-FR" w:eastAsia="en-US" w:bidi="ar-SA"/>
      </w:rPr>
    </w:lvl>
    <w:lvl w:ilvl="3">
      <w:start w:val="0"/>
      <w:numFmt w:val="bullet"/>
      <w:lvlText w:val="•"/>
      <w:lvlJc w:val="left"/>
      <w:pPr>
        <w:ind w:left="3316" w:hanging="360"/>
      </w:pPr>
      <w:rPr>
        <w:rFonts w:hint="default"/>
        <w:lang w:val="fr-FR" w:eastAsia="en-US" w:bidi="ar-SA"/>
      </w:rPr>
    </w:lvl>
    <w:lvl w:ilvl="4">
      <w:start w:val="0"/>
      <w:numFmt w:val="bullet"/>
      <w:lvlText w:val="•"/>
      <w:lvlJc w:val="left"/>
      <w:pPr>
        <w:ind w:left="4335" w:hanging="360"/>
      </w:pPr>
      <w:rPr>
        <w:rFonts w:hint="default"/>
        <w:lang w:val="fr-FR" w:eastAsia="en-US" w:bidi="ar-SA"/>
      </w:rPr>
    </w:lvl>
    <w:lvl w:ilvl="5">
      <w:start w:val="0"/>
      <w:numFmt w:val="bullet"/>
      <w:lvlText w:val="•"/>
      <w:lvlJc w:val="left"/>
      <w:pPr>
        <w:ind w:left="5353" w:hanging="360"/>
      </w:pPr>
      <w:rPr>
        <w:rFonts w:hint="default"/>
        <w:lang w:val="fr-FR" w:eastAsia="en-US" w:bidi="ar-SA"/>
      </w:rPr>
    </w:lvl>
    <w:lvl w:ilvl="6">
      <w:start w:val="0"/>
      <w:numFmt w:val="bullet"/>
      <w:lvlText w:val="•"/>
      <w:lvlJc w:val="left"/>
      <w:pPr>
        <w:ind w:left="6372" w:hanging="360"/>
      </w:pPr>
      <w:rPr>
        <w:rFonts w:hint="default"/>
        <w:lang w:val="fr-FR" w:eastAsia="en-US" w:bidi="ar-SA"/>
      </w:rPr>
    </w:lvl>
    <w:lvl w:ilvl="7">
      <w:start w:val="0"/>
      <w:numFmt w:val="bullet"/>
      <w:lvlText w:val="•"/>
      <w:lvlJc w:val="left"/>
      <w:pPr>
        <w:ind w:left="7390" w:hanging="360"/>
      </w:pPr>
      <w:rPr>
        <w:rFonts w:hint="default"/>
        <w:lang w:val="fr-FR" w:eastAsia="en-US" w:bidi="ar-SA"/>
      </w:rPr>
    </w:lvl>
    <w:lvl w:ilvl="8">
      <w:start w:val="0"/>
      <w:numFmt w:val="bullet"/>
      <w:lvlText w:val="•"/>
      <w:lvlJc w:val="left"/>
      <w:pPr>
        <w:ind w:left="8409" w:hanging="360"/>
      </w:pPr>
      <w:rPr>
        <w:rFonts w:hint="default"/>
        <w:lang w:val="fr-FR" w:eastAsia="en-US" w:bidi="ar-SA"/>
      </w:rPr>
    </w:lvl>
  </w:abstractNum>
  <w:num w:numId="7">
    <w:abstractNumId w:val="6"/>
  </w: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360"/>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Luyckx@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2023-02-16T16:50:54Z</dcterms:created>
  <dcterms:modified xsi:type="dcterms:W3CDTF">2023-02-16T16:50:54Z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