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27"/>
      </w:pPr>
      <w:r>
        <w:rPr/>
        <w:drawing>
          <wp:inline distT="0" distB="0" distL="0" distR="0">
            <wp:extent cx="1374496" cy="683037"/>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374496" cy="683037"/>
                    </a:xfrm>
                    <a:prstGeom prst="rect">
                      <a:avLst/>
                    </a:prstGeom>
                  </pic:spPr>
                </pic:pic>
              </a:graphicData>
            </a:graphic>
          </wp:inline>
        </w:drawing>
      </w:r>
      <w:r>
        <w:rPr/>
      </w:r>
    </w:p>
    <w:p>
      <w:pPr>
        <w:pStyle w:val="BodyText"/>
        <w:spacing w:before="5"/>
        <w:rPr>
          <w:sz w:val="15"/>
        </w:rPr>
      </w:pPr>
    </w:p>
    <w:p>
      <w:pPr>
        <w:pStyle w:val="Title"/>
        <w:spacing w:before="90"/>
      </w:pPr>
      <w:r>
        <w:rPr/>
        <w:t>AVIS</w:t>
      </w:r>
      <w:r>
        <w:rPr>
          <w:spacing w:val="-3"/>
        </w:rPr>
        <w:t> </w:t>
      </w:r>
      <w:r>
        <w:rPr/>
        <w:t>DE</w:t>
      </w:r>
      <w:r>
        <w:rPr>
          <w:spacing w:val="-2"/>
        </w:rPr>
        <w:t> VACANCE</w:t>
      </w:r>
    </w:p>
    <w:p>
      <w:pPr>
        <w:pStyle w:val="BodyText"/>
        <w:spacing w:before="3"/>
        <w:rPr>
          <w:b/>
          <w:sz w:val="25"/>
        </w:rPr>
      </w:pPr>
    </w:p>
    <w:p>
      <w:pPr>
        <w:pStyle w:val="Title"/>
        <w:ind w:right="1123"/>
      </w:pPr>
      <w:r>
        <w:rPr/>
        <w:t>EXPERT</w:t>
      </w:r>
      <w:r>
        <w:rPr>
          <w:spacing w:val="-4"/>
        </w:rPr>
        <w:t> </w:t>
      </w:r>
      <w:r>
        <w:rPr/>
        <w:t>NATIONAL</w:t>
      </w:r>
      <w:r>
        <w:rPr>
          <w:spacing w:val="-4"/>
        </w:rPr>
        <w:t> </w:t>
      </w:r>
      <w:r>
        <w:rPr/>
        <w:t>DETACHE</w:t>
      </w:r>
      <w:r>
        <w:rPr>
          <w:spacing w:val="1"/>
        </w:rPr>
        <w:t> </w:t>
      </w:r>
      <w:r>
        <w:rPr/>
        <w:t>A</w:t>
      </w:r>
      <w:r>
        <w:rPr>
          <w:spacing w:val="-2"/>
        </w:rPr>
        <w:t> </w:t>
      </w:r>
      <w:r>
        <w:rPr/>
        <w:t>LA</w:t>
      </w:r>
      <w:r>
        <w:rPr>
          <w:spacing w:val="-3"/>
        </w:rPr>
        <w:t> </w:t>
      </w:r>
      <w:r>
        <w:rPr/>
        <w:t>COMMISSION</w:t>
      </w:r>
      <w:r>
        <w:rPr>
          <w:spacing w:val="-2"/>
        </w:rPr>
        <w:t> EUROPEENNE</w:t>
      </w:r>
    </w:p>
    <w:p>
      <w:pPr>
        <w:pStyle w:val="BodyText"/>
        <w:rPr>
          <w:b/>
        </w:rPr>
      </w:pPr>
    </w:p>
    <w:p>
      <w:pPr>
        <w:pStyle w:val="BodyText"/>
        <w:spacing w:before="4"/>
        <w:rPr>
          <w:b/>
          <w:sz w:val="29"/>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2684"/>
        <w:gridCol w:w="6234"/>
      </w:tblGrid>
      <w:tr>
        <w:trPr>
          <w:trHeight w:val="565" w:hRule="atLeast"/>
        </w:trPr>
        <w:tc>
          <w:tcPr>
            <w:tcW w:w="3075" w:type="dxa"/>
            <w:gridSpan w:val="2"/>
          </w:tcPr>
          <w:p>
            <w:pPr>
              <w:pStyle w:val="TableParagraph"/>
              <w:spacing w:before="6"/>
              <w:ind w:left="107"/>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64" w:lineRule="exact"/>
              <w:ind w:left="107"/>
              <w:rPr>
                <w:sz w:val="24"/>
              </w:rPr>
            </w:pPr>
            <w:r>
              <w:rPr>
                <w:spacing w:val="-2"/>
                <w:sz w:val="24"/>
              </w:rPr>
              <w:t>(DG-DIR-UNITE)</w:t>
            </w:r>
          </w:p>
        </w:tc>
        <w:tc>
          <w:tcPr>
            <w:tcW w:w="6234" w:type="dxa"/>
          </w:tcPr>
          <w:p>
            <w:pPr>
              <w:pStyle w:val="TableParagraph"/>
              <w:spacing w:line="284" w:lineRule="exact"/>
              <w:ind w:left="105" w:right="739"/>
              <w:rPr>
                <w:b/>
                <w:sz w:val="24"/>
              </w:rPr>
            </w:pPr>
            <w:r>
              <w:rPr>
                <w:b/>
                <w:sz w:val="24"/>
              </w:rPr>
              <w:t>SJ.N</w:t>
            </w:r>
            <w:r>
              <w:rPr>
                <w:b/>
                <w:spacing w:val="80"/>
                <w:sz w:val="24"/>
              </w:rPr>
              <w:t> </w:t>
            </w:r>
            <w:r>
              <w:rPr>
                <w:b/>
                <w:sz w:val="24"/>
              </w:rPr>
              <w:t>-</w:t>
            </w:r>
            <w:r>
              <w:rPr>
                <w:b/>
                <w:spacing w:val="80"/>
                <w:sz w:val="24"/>
              </w:rPr>
              <w:t> </w:t>
            </w:r>
            <w:r>
              <w:rPr>
                <w:b/>
                <w:sz w:val="24"/>
              </w:rPr>
              <w:t>Eurozone</w:t>
            </w:r>
            <w:r>
              <w:rPr>
                <w:b/>
                <w:spacing w:val="80"/>
                <w:sz w:val="24"/>
              </w:rPr>
              <w:t> </w:t>
            </w:r>
            <w:r>
              <w:rPr>
                <w:b/>
                <w:sz w:val="24"/>
              </w:rPr>
              <w:t>et</w:t>
            </w:r>
            <w:r>
              <w:rPr>
                <w:b/>
                <w:spacing w:val="80"/>
                <w:sz w:val="24"/>
              </w:rPr>
              <w:t> </w:t>
            </w:r>
            <w:r>
              <w:rPr>
                <w:b/>
                <w:sz w:val="24"/>
              </w:rPr>
              <w:t>Affaires</w:t>
            </w:r>
            <w:r>
              <w:rPr>
                <w:b/>
                <w:spacing w:val="80"/>
                <w:sz w:val="24"/>
              </w:rPr>
              <w:t> </w:t>
            </w:r>
            <w:r>
              <w:rPr>
                <w:b/>
                <w:sz w:val="24"/>
              </w:rPr>
              <w:t>économiques (Equipe Eurozone)</w:t>
            </w:r>
          </w:p>
        </w:tc>
      </w:tr>
      <w:tr>
        <w:trPr>
          <w:trHeight w:val="1533" w:hRule="atLeast"/>
        </w:trPr>
        <w:tc>
          <w:tcPr>
            <w:tcW w:w="391" w:type="dxa"/>
            <w:vMerge w:val="restart"/>
          </w:tcPr>
          <w:p>
            <w:pPr>
              <w:pStyle w:val="TableParagraph"/>
              <w:rPr>
                <w:sz w:val="20"/>
              </w:rPr>
            </w:pPr>
          </w:p>
        </w:tc>
        <w:tc>
          <w:tcPr>
            <w:tcW w:w="2684" w:type="dxa"/>
            <w:tcBorders>
              <w:bottom w:val="nil"/>
            </w:tcBorders>
          </w:tcPr>
          <w:p>
            <w:pPr>
              <w:pStyle w:val="TableParagraph"/>
              <w:spacing w:line="244" w:lineRule="auto" w:before="3"/>
              <w:ind w:left="107" w:right="883"/>
              <w:rPr>
                <w:b/>
                <w:sz w:val="20"/>
              </w:rPr>
            </w:pPr>
            <w:r>
              <w:rPr>
                <w:b/>
                <w:sz w:val="20"/>
              </w:rPr>
              <w:t>Direction</w:t>
            </w:r>
            <w:r>
              <w:rPr>
                <w:b/>
                <w:spacing w:val="-13"/>
                <w:sz w:val="20"/>
              </w:rPr>
              <w:t> </w:t>
            </w:r>
            <w:r>
              <w:rPr>
                <w:b/>
                <w:sz w:val="20"/>
              </w:rPr>
              <w:t>générale</w:t>
            </w:r>
            <w:r>
              <w:rPr>
                <w:b/>
                <w:spacing w:val="-12"/>
                <w:sz w:val="20"/>
              </w:rPr>
              <w:t> </w:t>
            </w:r>
            <w:r>
              <w:rPr>
                <w:b/>
                <w:sz w:val="20"/>
              </w:rPr>
              <w:t>: </w:t>
            </w:r>
            <w:r>
              <w:rPr>
                <w:b/>
                <w:spacing w:val="-2"/>
                <w:sz w:val="20"/>
              </w:rPr>
              <w:t>Equipe:</w:t>
            </w:r>
          </w:p>
        </w:tc>
        <w:tc>
          <w:tcPr>
            <w:tcW w:w="6234" w:type="dxa"/>
            <w:vMerge w:val="restart"/>
          </w:tcPr>
          <w:p>
            <w:pPr>
              <w:pStyle w:val="TableParagraph"/>
              <w:spacing w:before="3"/>
              <w:ind w:left="105"/>
              <w:jc w:val="both"/>
              <w:rPr>
                <w:b/>
                <w:sz w:val="20"/>
              </w:rPr>
            </w:pPr>
            <w:r>
              <w:rPr>
                <w:b/>
                <w:sz w:val="20"/>
              </w:rPr>
              <w:t>Service</w:t>
            </w:r>
            <w:r>
              <w:rPr>
                <w:b/>
                <w:spacing w:val="-12"/>
                <w:sz w:val="20"/>
              </w:rPr>
              <w:t> </w:t>
            </w:r>
            <w:r>
              <w:rPr>
                <w:b/>
                <w:spacing w:val="-2"/>
                <w:sz w:val="20"/>
              </w:rPr>
              <w:t>juridique</w:t>
            </w:r>
          </w:p>
          <w:p>
            <w:pPr>
              <w:pStyle w:val="TableParagraph"/>
              <w:spacing w:line="244" w:lineRule="auto"/>
              <w:ind w:left="105" w:right="93"/>
              <w:jc w:val="both"/>
              <w:rPr>
                <w:sz w:val="20"/>
              </w:rPr>
            </w:pPr>
            <w:r>
              <w:rPr>
                <w:sz w:val="20"/>
              </w:rPr>
              <w:t>L'équipe fournit des conseils juridiques à la Commission et à ses services, et représente la Commission dans les procédures juridictionnelles (en particulier</w:t>
            </w:r>
            <w:r>
              <w:rPr>
                <w:spacing w:val="-8"/>
                <w:sz w:val="20"/>
              </w:rPr>
              <w:t> </w:t>
            </w:r>
            <w:r>
              <w:rPr>
                <w:sz w:val="20"/>
              </w:rPr>
              <w:t>devant</w:t>
            </w:r>
            <w:r>
              <w:rPr>
                <w:spacing w:val="-9"/>
                <w:sz w:val="20"/>
              </w:rPr>
              <w:t> </w:t>
            </w:r>
            <w:r>
              <w:rPr>
                <w:sz w:val="20"/>
              </w:rPr>
              <w:t>les</w:t>
            </w:r>
            <w:r>
              <w:rPr>
                <w:spacing w:val="-9"/>
                <w:sz w:val="20"/>
              </w:rPr>
              <w:t> </w:t>
            </w:r>
            <w:r>
              <w:rPr>
                <w:sz w:val="20"/>
              </w:rPr>
              <w:t>juridictions</w:t>
            </w:r>
            <w:r>
              <w:rPr>
                <w:spacing w:val="-9"/>
                <w:sz w:val="20"/>
              </w:rPr>
              <w:t> </w:t>
            </w:r>
            <w:r>
              <w:rPr>
                <w:sz w:val="20"/>
              </w:rPr>
              <w:t>de</w:t>
            </w:r>
            <w:r>
              <w:rPr>
                <w:spacing w:val="-8"/>
                <w:sz w:val="20"/>
              </w:rPr>
              <w:t> </w:t>
            </w:r>
            <w:r>
              <w:rPr>
                <w:sz w:val="20"/>
              </w:rPr>
              <w:t>l’Union)</w:t>
            </w:r>
            <w:r>
              <w:rPr>
                <w:spacing w:val="-6"/>
                <w:sz w:val="20"/>
              </w:rPr>
              <w:t> </w:t>
            </w:r>
            <w:r>
              <w:rPr>
                <w:sz w:val="20"/>
              </w:rPr>
              <w:t>dans</w:t>
            </w:r>
            <w:r>
              <w:rPr>
                <w:spacing w:val="-9"/>
                <w:sz w:val="20"/>
              </w:rPr>
              <w:t> </w:t>
            </w:r>
            <w:r>
              <w:rPr>
                <w:sz w:val="20"/>
              </w:rPr>
              <w:t>les</w:t>
            </w:r>
            <w:r>
              <w:rPr>
                <w:spacing w:val="-9"/>
                <w:sz w:val="20"/>
              </w:rPr>
              <w:t> </w:t>
            </w:r>
            <w:r>
              <w:rPr>
                <w:sz w:val="20"/>
              </w:rPr>
              <w:t>matières</w:t>
            </w:r>
            <w:r>
              <w:rPr>
                <w:spacing w:val="-9"/>
                <w:sz w:val="20"/>
              </w:rPr>
              <w:t> </w:t>
            </w:r>
            <w:r>
              <w:rPr>
                <w:sz w:val="20"/>
              </w:rPr>
              <w:t>suivantes</w:t>
            </w:r>
            <w:r>
              <w:rPr>
                <w:spacing w:val="-9"/>
                <w:sz w:val="20"/>
              </w:rPr>
              <w:t> </w:t>
            </w:r>
            <w:r>
              <w:rPr>
                <w:sz w:val="20"/>
              </w:rPr>
              <w:t>en particulier: l’Union économique et monétaire, l’Euro, les mécanismes d'assistance financière, les instruments de recouvrement de la</w:t>
            </w:r>
            <w:r>
              <w:rPr>
                <w:spacing w:val="-1"/>
                <w:sz w:val="20"/>
              </w:rPr>
              <w:t> </w:t>
            </w:r>
            <w:r>
              <w:rPr>
                <w:sz w:val="20"/>
              </w:rPr>
              <w:t>pandémie</w:t>
            </w:r>
            <w:r>
              <w:rPr>
                <w:spacing w:val="-1"/>
                <w:sz w:val="20"/>
              </w:rPr>
              <w:t> </w:t>
            </w:r>
            <w:r>
              <w:rPr>
                <w:sz w:val="20"/>
              </w:rPr>
              <w:t>de Covid-19,</w:t>
            </w:r>
            <w:r>
              <w:rPr>
                <w:spacing w:val="-2"/>
                <w:sz w:val="20"/>
              </w:rPr>
              <w:t> </w:t>
            </w:r>
            <w:r>
              <w:rPr>
                <w:sz w:val="20"/>
              </w:rPr>
              <w:t>les</w:t>
            </w:r>
            <w:r>
              <w:rPr>
                <w:spacing w:val="-2"/>
                <w:sz w:val="20"/>
              </w:rPr>
              <w:t> </w:t>
            </w:r>
            <w:r>
              <w:rPr>
                <w:sz w:val="20"/>
              </w:rPr>
              <w:t>instruments</w:t>
            </w:r>
            <w:r>
              <w:rPr>
                <w:spacing w:val="-3"/>
                <w:sz w:val="20"/>
              </w:rPr>
              <w:t> </w:t>
            </w:r>
            <w:r>
              <w:rPr>
                <w:sz w:val="20"/>
              </w:rPr>
              <w:t>financiers</w:t>
            </w:r>
            <w:r>
              <w:rPr>
                <w:spacing w:val="-3"/>
                <w:sz w:val="20"/>
              </w:rPr>
              <w:t> </w:t>
            </w:r>
            <w:r>
              <w:rPr>
                <w:sz w:val="20"/>
              </w:rPr>
              <w:t>et</w:t>
            </w:r>
            <w:r>
              <w:rPr>
                <w:spacing w:val="-2"/>
                <w:sz w:val="20"/>
              </w:rPr>
              <w:t> </w:t>
            </w:r>
            <w:r>
              <w:rPr>
                <w:sz w:val="20"/>
              </w:rPr>
              <w:t>de</w:t>
            </w:r>
            <w:r>
              <w:rPr>
                <w:spacing w:val="-2"/>
                <w:sz w:val="20"/>
              </w:rPr>
              <w:t> </w:t>
            </w:r>
            <w:r>
              <w:rPr>
                <w:sz w:val="20"/>
              </w:rPr>
              <w:t>garanties</w:t>
            </w:r>
            <w:r>
              <w:rPr>
                <w:spacing w:val="-3"/>
                <w:sz w:val="20"/>
              </w:rPr>
              <w:t> </w:t>
            </w:r>
            <w:r>
              <w:rPr>
                <w:sz w:val="20"/>
              </w:rPr>
              <w:t>budgétaires</w:t>
            </w:r>
            <w:r>
              <w:rPr>
                <w:spacing w:val="-2"/>
                <w:sz w:val="20"/>
              </w:rPr>
              <w:t> </w:t>
            </w:r>
            <w:r>
              <w:rPr>
                <w:sz w:val="20"/>
              </w:rPr>
              <w:t>de</w:t>
            </w:r>
            <w:r>
              <w:rPr>
                <w:spacing w:val="-2"/>
                <w:sz w:val="20"/>
              </w:rPr>
              <w:t> </w:t>
            </w:r>
            <w:r>
              <w:rPr>
                <w:sz w:val="20"/>
              </w:rPr>
              <w:t>l’UE, la BEI,</w:t>
            </w:r>
            <w:r>
              <w:rPr>
                <w:spacing w:val="-6"/>
                <w:sz w:val="20"/>
              </w:rPr>
              <w:t> </w:t>
            </w:r>
            <w:r>
              <w:rPr>
                <w:sz w:val="20"/>
              </w:rPr>
              <w:t>le</w:t>
            </w:r>
            <w:r>
              <w:rPr>
                <w:spacing w:val="-7"/>
                <w:sz w:val="20"/>
              </w:rPr>
              <w:t> </w:t>
            </w:r>
            <w:r>
              <w:rPr>
                <w:sz w:val="20"/>
              </w:rPr>
              <w:t>cadre</w:t>
            </w:r>
            <w:r>
              <w:rPr>
                <w:spacing w:val="-6"/>
                <w:sz w:val="20"/>
              </w:rPr>
              <w:t> </w:t>
            </w:r>
            <w:r>
              <w:rPr>
                <w:sz w:val="20"/>
              </w:rPr>
              <w:t>financier</w:t>
            </w:r>
            <w:r>
              <w:rPr>
                <w:spacing w:val="-8"/>
                <w:sz w:val="20"/>
              </w:rPr>
              <w:t> </w:t>
            </w:r>
            <w:r>
              <w:rPr>
                <w:sz w:val="20"/>
              </w:rPr>
              <w:t>pluriannuel,</w:t>
            </w:r>
            <w:r>
              <w:rPr>
                <w:spacing w:val="-8"/>
                <w:sz w:val="20"/>
              </w:rPr>
              <w:t> </w:t>
            </w:r>
            <w:r>
              <w:rPr>
                <w:sz w:val="20"/>
              </w:rPr>
              <w:t>les</w:t>
            </w:r>
            <w:r>
              <w:rPr>
                <w:spacing w:val="-10"/>
                <w:sz w:val="20"/>
              </w:rPr>
              <w:t> </w:t>
            </w:r>
            <w:r>
              <w:rPr>
                <w:sz w:val="20"/>
              </w:rPr>
              <w:t>principes</w:t>
            </w:r>
            <w:r>
              <w:rPr>
                <w:spacing w:val="-10"/>
                <w:sz w:val="20"/>
              </w:rPr>
              <w:t> </w:t>
            </w:r>
            <w:r>
              <w:rPr>
                <w:sz w:val="20"/>
              </w:rPr>
              <w:t>budgétaires,</w:t>
            </w:r>
            <w:r>
              <w:rPr>
                <w:spacing w:val="-8"/>
                <w:sz w:val="20"/>
              </w:rPr>
              <w:t> </w:t>
            </w:r>
            <w:r>
              <w:rPr>
                <w:sz w:val="20"/>
              </w:rPr>
              <w:t>les</w:t>
            </w:r>
            <w:r>
              <w:rPr>
                <w:spacing w:val="-10"/>
                <w:sz w:val="20"/>
              </w:rPr>
              <w:t> </w:t>
            </w:r>
            <w:r>
              <w:rPr>
                <w:sz w:val="20"/>
              </w:rPr>
              <w:t>ressources propres, la protection des intérêts financiers de l’UE (y compris le Règlement « Conditionnalité »), le Parquet européen et l’OLAF.</w:t>
            </w:r>
          </w:p>
          <w:p>
            <w:pPr>
              <w:pStyle w:val="TableParagraph"/>
              <w:spacing w:before="5"/>
              <w:rPr>
                <w:b/>
                <w:sz w:val="21"/>
              </w:rPr>
            </w:pPr>
          </w:p>
          <w:p>
            <w:pPr>
              <w:pStyle w:val="TableParagraph"/>
              <w:ind w:left="105"/>
              <w:rPr>
                <w:b/>
                <w:sz w:val="20"/>
              </w:rPr>
            </w:pPr>
            <w:r>
              <w:rPr>
                <w:b/>
                <w:spacing w:val="-2"/>
                <w:sz w:val="20"/>
              </w:rPr>
              <w:t>Jean-Paul</w:t>
            </w:r>
            <w:r>
              <w:rPr>
                <w:b/>
                <w:spacing w:val="-3"/>
                <w:sz w:val="20"/>
              </w:rPr>
              <w:t> </w:t>
            </w:r>
            <w:r>
              <w:rPr>
                <w:b/>
                <w:spacing w:val="-2"/>
                <w:sz w:val="20"/>
              </w:rPr>
              <w:t>KEPPENNE</w:t>
            </w:r>
          </w:p>
          <w:p>
            <w:pPr>
              <w:pStyle w:val="TableParagraph"/>
              <w:rPr>
                <w:b/>
                <w:sz w:val="22"/>
              </w:rPr>
            </w:pPr>
          </w:p>
          <w:p>
            <w:pPr>
              <w:pStyle w:val="TableParagraph"/>
              <w:spacing w:before="11"/>
              <w:rPr>
                <w:b/>
                <w:sz w:val="18"/>
              </w:rPr>
            </w:pPr>
          </w:p>
          <w:p>
            <w:pPr>
              <w:pStyle w:val="TableParagraph"/>
              <w:ind w:left="105"/>
              <w:rPr>
                <w:sz w:val="20"/>
              </w:rPr>
            </w:pPr>
            <w:hyperlink r:id="rId8">
              <w:r>
                <w:rPr>
                  <w:color w:val="0000FF"/>
                  <w:spacing w:val="-2"/>
                  <w:sz w:val="20"/>
                  <w:u w:val="single" w:color="0000FF"/>
                </w:rPr>
                <w:t>Jean-Paul.KEPPENNE@ec.europa.eu</w:t>
              </w:r>
            </w:hyperlink>
          </w:p>
          <w:p>
            <w:pPr>
              <w:pStyle w:val="TableParagraph"/>
              <w:spacing w:line="229" w:lineRule="exact" w:before="10"/>
              <w:ind w:left="105"/>
              <w:jc w:val="both"/>
              <w:rPr>
                <w:b/>
                <w:sz w:val="20"/>
              </w:rPr>
            </w:pPr>
            <w:r>
              <w:rPr>
                <w:b/>
                <w:sz w:val="20"/>
              </w:rPr>
              <w:t>+32(0)2</w:t>
            </w:r>
            <w:r>
              <w:rPr>
                <w:b/>
                <w:spacing w:val="-10"/>
                <w:sz w:val="20"/>
              </w:rPr>
              <w:t> </w:t>
            </w:r>
            <w:r>
              <w:rPr>
                <w:b/>
                <w:sz w:val="20"/>
              </w:rPr>
              <w:t>29</w:t>
            </w:r>
            <w:r>
              <w:rPr>
                <w:b/>
                <w:spacing w:val="-9"/>
                <w:sz w:val="20"/>
              </w:rPr>
              <w:t> </w:t>
            </w:r>
            <w:r>
              <w:rPr>
                <w:b/>
                <w:spacing w:val="-2"/>
                <w:sz w:val="20"/>
              </w:rPr>
              <w:t>98377</w:t>
            </w:r>
          </w:p>
        </w:tc>
      </w:tr>
      <w:tr>
        <w:trPr>
          <w:trHeight w:val="1999" w:hRule="atLeast"/>
        </w:trPr>
        <w:tc>
          <w:tcPr>
            <w:tcW w:w="391" w:type="dxa"/>
            <w:vMerge/>
            <w:tcBorders>
              <w:top w:val="nil"/>
            </w:tcBorders>
          </w:tcPr>
          <w:p>
            <w:pPr>
              <w:rPr>
                <w:sz w:val="2"/>
                <w:szCs w:val="2"/>
              </w:rPr>
            </w:pPr>
          </w:p>
        </w:tc>
        <w:tc>
          <w:tcPr>
            <w:tcW w:w="2684" w:type="dxa"/>
            <w:tcBorders>
              <w:top w:val="nil"/>
              <w:bottom w:val="nil"/>
            </w:tcBorders>
          </w:tcPr>
          <w:p>
            <w:pPr>
              <w:pStyle w:val="TableParagraph"/>
              <w:rPr>
                <w:b/>
                <w:sz w:val="22"/>
              </w:rPr>
            </w:pPr>
          </w:p>
          <w:p>
            <w:pPr>
              <w:pStyle w:val="TableParagraph"/>
              <w:rPr>
                <w:b/>
                <w:sz w:val="22"/>
              </w:rPr>
            </w:pPr>
          </w:p>
          <w:p>
            <w:pPr>
              <w:pStyle w:val="TableParagraph"/>
              <w:rPr>
                <w:b/>
                <w:sz w:val="22"/>
              </w:rPr>
            </w:pPr>
          </w:p>
          <w:p>
            <w:pPr>
              <w:pStyle w:val="TableParagraph"/>
              <w:spacing w:before="10"/>
              <w:rPr>
                <w:b/>
                <w:sz w:val="25"/>
              </w:rPr>
            </w:pPr>
          </w:p>
          <w:p>
            <w:pPr>
              <w:pStyle w:val="TableParagraph"/>
              <w:ind w:left="107"/>
              <w:rPr>
                <w:b/>
                <w:sz w:val="20"/>
              </w:rPr>
            </w:pPr>
            <w:r>
              <w:rPr>
                <w:b/>
                <w:spacing w:val="-2"/>
                <w:sz w:val="20"/>
              </w:rPr>
              <w:t>Conseiller</w:t>
            </w:r>
            <w:r>
              <w:rPr>
                <w:b/>
                <w:spacing w:val="-4"/>
                <w:sz w:val="20"/>
              </w:rPr>
              <w:t> </w:t>
            </w:r>
            <w:r>
              <w:rPr>
                <w:b/>
                <w:spacing w:val="-2"/>
                <w:sz w:val="20"/>
              </w:rPr>
              <w:t>juridique</w:t>
            </w:r>
            <w:r>
              <w:rPr>
                <w:b/>
                <w:spacing w:val="-3"/>
                <w:sz w:val="20"/>
              </w:rPr>
              <w:t> </w:t>
            </w:r>
            <w:r>
              <w:rPr>
                <w:b/>
                <w:spacing w:val="-2"/>
                <w:sz w:val="20"/>
              </w:rPr>
              <w:t>principal:</w:t>
            </w:r>
          </w:p>
          <w:p>
            <w:pPr>
              <w:pStyle w:val="TableParagraph"/>
              <w:rPr>
                <w:b/>
                <w:sz w:val="22"/>
              </w:rPr>
            </w:pPr>
          </w:p>
          <w:p>
            <w:pPr>
              <w:pStyle w:val="TableParagraph"/>
              <w:spacing w:before="4"/>
              <w:rPr>
                <w:b/>
                <w:sz w:val="19"/>
              </w:rPr>
            </w:pPr>
          </w:p>
          <w:p>
            <w:pPr>
              <w:pStyle w:val="TableParagraph"/>
              <w:spacing w:line="217" w:lineRule="exact"/>
              <w:ind w:left="107"/>
              <w:rPr>
                <w:b/>
                <w:sz w:val="20"/>
              </w:rPr>
            </w:pPr>
            <w:r>
              <w:rPr>
                <w:b/>
                <w:spacing w:val="-2"/>
                <w:sz w:val="20"/>
              </w:rPr>
              <w:t>Adresse</w:t>
            </w:r>
            <w:r>
              <w:rPr>
                <w:b/>
                <w:spacing w:val="-4"/>
                <w:sz w:val="20"/>
              </w:rPr>
              <w:t> </w:t>
            </w:r>
            <w:r>
              <w:rPr>
                <w:b/>
                <w:spacing w:val="-2"/>
                <w:sz w:val="20"/>
              </w:rPr>
              <w:t>e-mail</w:t>
            </w:r>
            <w:r>
              <w:rPr>
                <w:b/>
                <w:spacing w:val="-5"/>
                <w:sz w:val="20"/>
              </w:rPr>
              <w:t> </w:t>
            </w:r>
            <w:r>
              <w:rPr>
                <w:b/>
                <w:spacing w:val="-10"/>
                <w:sz w:val="20"/>
              </w:rPr>
              <w:t>:</w:t>
            </w:r>
          </w:p>
        </w:tc>
        <w:tc>
          <w:tcPr>
            <w:tcW w:w="6234" w:type="dxa"/>
            <w:vMerge/>
            <w:tcBorders>
              <w:top w:val="nil"/>
            </w:tcBorders>
          </w:tcPr>
          <w:p>
            <w:pPr>
              <w:rPr>
                <w:sz w:val="2"/>
                <w:szCs w:val="2"/>
              </w:rPr>
            </w:pPr>
          </w:p>
        </w:tc>
      </w:tr>
      <w:tr>
        <w:trPr>
          <w:trHeight w:val="227" w:hRule="atLeast"/>
        </w:trPr>
        <w:tc>
          <w:tcPr>
            <w:tcW w:w="391" w:type="dxa"/>
            <w:vMerge/>
            <w:tcBorders>
              <w:top w:val="nil"/>
            </w:tcBorders>
          </w:tcPr>
          <w:p>
            <w:pPr>
              <w:rPr>
                <w:sz w:val="2"/>
                <w:szCs w:val="2"/>
              </w:rPr>
            </w:pPr>
          </w:p>
        </w:tc>
        <w:tc>
          <w:tcPr>
            <w:tcW w:w="2684" w:type="dxa"/>
            <w:tcBorders>
              <w:top w:val="nil"/>
            </w:tcBorders>
          </w:tcPr>
          <w:p>
            <w:pPr>
              <w:pStyle w:val="TableParagraph"/>
              <w:spacing w:line="208" w:lineRule="exact"/>
              <w:ind w:left="107"/>
              <w:rPr>
                <w:b/>
                <w:sz w:val="20"/>
              </w:rPr>
            </w:pPr>
            <w:r>
              <w:rPr>
                <w:b/>
                <w:spacing w:val="-2"/>
                <w:sz w:val="20"/>
              </w:rPr>
              <w:t>Téléphone</w:t>
            </w:r>
            <w:r>
              <w:rPr>
                <w:b/>
                <w:spacing w:val="-7"/>
                <w:sz w:val="20"/>
              </w:rPr>
              <w:t> </w:t>
            </w:r>
            <w:r>
              <w:rPr>
                <w:b/>
                <w:spacing w:val="-10"/>
                <w:sz w:val="20"/>
              </w:rPr>
              <w:t>:</w:t>
            </w:r>
          </w:p>
        </w:tc>
        <w:tc>
          <w:tcPr>
            <w:tcW w:w="6234" w:type="dxa"/>
            <w:vMerge/>
            <w:tcBorders>
              <w:top w:val="nil"/>
            </w:tcBorders>
          </w:tcPr>
          <w:p>
            <w:pPr>
              <w:rPr>
                <w:sz w:val="2"/>
                <w:szCs w:val="2"/>
              </w:rPr>
            </w:pPr>
          </w:p>
        </w:tc>
      </w:tr>
      <w:tr>
        <w:trPr>
          <w:trHeight w:val="234" w:hRule="atLeast"/>
        </w:trPr>
        <w:tc>
          <w:tcPr>
            <w:tcW w:w="9309" w:type="dxa"/>
            <w:gridSpan w:val="3"/>
          </w:tcPr>
          <w:p>
            <w:pPr>
              <w:pStyle w:val="TableParagraph"/>
              <w:rPr>
                <w:sz w:val="16"/>
              </w:rPr>
            </w:pPr>
          </w:p>
        </w:tc>
      </w:tr>
      <w:tr>
        <w:trPr>
          <w:trHeight w:val="237" w:hRule="atLeast"/>
        </w:trPr>
        <w:tc>
          <w:tcPr>
            <w:tcW w:w="391" w:type="dxa"/>
            <w:vMerge w:val="restart"/>
          </w:tcPr>
          <w:p>
            <w:pPr>
              <w:pStyle w:val="TableParagraph"/>
              <w:rPr>
                <w:sz w:val="20"/>
              </w:rPr>
            </w:pPr>
          </w:p>
        </w:tc>
        <w:tc>
          <w:tcPr>
            <w:tcW w:w="2684" w:type="dxa"/>
            <w:tcBorders>
              <w:bottom w:val="nil"/>
            </w:tcBorders>
          </w:tcPr>
          <w:p>
            <w:pPr>
              <w:pStyle w:val="TableParagraph"/>
              <w:spacing w:line="212" w:lineRule="exact" w:before="5"/>
              <w:ind w:left="107"/>
              <w:rPr>
                <w:b/>
                <w:sz w:val="20"/>
              </w:rPr>
            </w:pPr>
            <w:r>
              <w:rPr>
                <w:b/>
                <w:spacing w:val="-2"/>
                <w:sz w:val="20"/>
              </w:rPr>
              <w:t>Nombre</w:t>
            </w:r>
            <w:r>
              <w:rPr>
                <w:b/>
                <w:spacing w:val="-9"/>
                <w:sz w:val="20"/>
              </w:rPr>
              <w:t> </w:t>
            </w:r>
            <w:r>
              <w:rPr>
                <w:b/>
                <w:spacing w:val="-2"/>
                <w:sz w:val="20"/>
              </w:rPr>
              <w:t>de</w:t>
            </w:r>
            <w:r>
              <w:rPr>
                <w:b/>
                <w:spacing w:val="-8"/>
                <w:sz w:val="20"/>
              </w:rPr>
              <w:t> </w:t>
            </w:r>
            <w:r>
              <w:rPr>
                <w:b/>
                <w:spacing w:val="-2"/>
                <w:sz w:val="20"/>
              </w:rPr>
              <w:t>postes</w:t>
            </w:r>
            <w:r>
              <w:rPr>
                <w:b/>
                <w:spacing w:val="-9"/>
                <w:sz w:val="20"/>
              </w:rPr>
              <w:t> </w:t>
            </w:r>
            <w:r>
              <w:rPr>
                <w:b/>
                <w:spacing w:val="-2"/>
                <w:sz w:val="20"/>
              </w:rPr>
              <w:t>disponibles:</w:t>
            </w:r>
          </w:p>
        </w:tc>
        <w:tc>
          <w:tcPr>
            <w:tcW w:w="6234" w:type="dxa"/>
            <w:tcBorders>
              <w:bottom w:val="nil"/>
            </w:tcBorders>
          </w:tcPr>
          <w:p>
            <w:pPr>
              <w:pStyle w:val="TableParagraph"/>
              <w:spacing w:line="212" w:lineRule="exact" w:before="5"/>
              <w:ind w:left="138"/>
              <w:rPr>
                <w:b/>
                <w:sz w:val="20"/>
              </w:rPr>
            </w:pPr>
            <w:r>
              <w:rPr>
                <w:b/>
                <w:w w:val="99"/>
                <w:sz w:val="20"/>
              </w:rPr>
              <w:t>1</w:t>
            </w:r>
          </w:p>
        </w:tc>
      </w:tr>
      <w:tr>
        <w:trPr>
          <w:trHeight w:val="693" w:hRule="atLeast"/>
        </w:trPr>
        <w:tc>
          <w:tcPr>
            <w:tcW w:w="391" w:type="dxa"/>
            <w:vMerge/>
            <w:tcBorders>
              <w:top w:val="nil"/>
            </w:tcBorders>
          </w:tcPr>
          <w:p>
            <w:pPr>
              <w:rPr>
                <w:sz w:val="2"/>
                <w:szCs w:val="2"/>
              </w:rPr>
            </w:pPr>
          </w:p>
        </w:tc>
        <w:tc>
          <w:tcPr>
            <w:tcW w:w="2684" w:type="dxa"/>
            <w:tcBorders>
              <w:top w:val="nil"/>
            </w:tcBorders>
          </w:tcPr>
          <w:p>
            <w:pPr>
              <w:pStyle w:val="TableParagraph"/>
              <w:spacing w:line="223" w:lineRule="exact"/>
              <w:ind w:left="107"/>
              <w:rPr>
                <w:b/>
                <w:sz w:val="20"/>
              </w:rPr>
            </w:pPr>
            <w:r>
              <w:rPr>
                <w:b/>
                <w:spacing w:val="-2"/>
                <w:sz w:val="20"/>
              </w:rPr>
              <w:t>Catégorie</w:t>
            </w:r>
          </w:p>
          <w:p>
            <w:pPr>
              <w:pStyle w:val="TableParagraph"/>
              <w:spacing w:line="230" w:lineRule="atLeast"/>
              <w:ind w:left="107"/>
              <w:rPr>
                <w:b/>
                <w:sz w:val="20"/>
              </w:rPr>
            </w:pPr>
            <w:r>
              <w:rPr>
                <w:b/>
                <w:sz w:val="20"/>
              </w:rPr>
              <w:t>Prise</w:t>
            </w:r>
            <w:r>
              <w:rPr>
                <w:b/>
                <w:spacing w:val="-13"/>
                <w:sz w:val="20"/>
              </w:rPr>
              <w:t> </w:t>
            </w:r>
            <w:r>
              <w:rPr>
                <w:b/>
                <w:sz w:val="20"/>
              </w:rPr>
              <w:t>de</w:t>
            </w:r>
            <w:r>
              <w:rPr>
                <w:b/>
                <w:spacing w:val="-12"/>
                <w:sz w:val="20"/>
              </w:rPr>
              <w:t> </w:t>
            </w:r>
            <w:r>
              <w:rPr>
                <w:b/>
                <w:sz w:val="20"/>
              </w:rPr>
              <w:t>fonction</w:t>
            </w:r>
            <w:r>
              <w:rPr>
                <w:b/>
                <w:spacing w:val="-13"/>
                <w:sz w:val="20"/>
              </w:rPr>
              <w:t> </w:t>
            </w:r>
            <w:r>
              <w:rPr>
                <w:b/>
                <w:sz w:val="20"/>
              </w:rPr>
              <w:t>souhaitée</w:t>
            </w:r>
            <w:r>
              <w:rPr>
                <w:b/>
                <w:spacing w:val="-12"/>
                <w:sz w:val="20"/>
              </w:rPr>
              <w:t> </w:t>
            </w:r>
            <w:r>
              <w:rPr>
                <w:b/>
                <w:sz w:val="20"/>
              </w:rPr>
              <w:t>: Durée initiale souhaitée</w:t>
            </w:r>
          </w:p>
        </w:tc>
        <w:tc>
          <w:tcPr>
            <w:tcW w:w="6234" w:type="dxa"/>
            <w:tcBorders>
              <w:top w:val="nil"/>
            </w:tcBorders>
          </w:tcPr>
          <w:p>
            <w:pPr>
              <w:pStyle w:val="TableParagraph"/>
              <w:spacing w:line="244" w:lineRule="auto"/>
              <w:ind w:left="105" w:right="3911" w:firstLine="33"/>
              <w:rPr>
                <w:b/>
                <w:sz w:val="20"/>
              </w:rPr>
            </w:pPr>
            <w:r>
              <w:rPr>
                <w:b/>
                <w:spacing w:val="-2"/>
                <w:sz w:val="20"/>
              </w:rPr>
              <w:t>Administrateur</w:t>
            </w:r>
            <w:r>
              <w:rPr>
                <w:b/>
                <w:spacing w:val="-11"/>
                <w:sz w:val="20"/>
              </w:rPr>
              <w:t> </w:t>
            </w:r>
            <w:r>
              <w:rPr>
                <w:b/>
                <w:spacing w:val="-2"/>
                <w:sz w:val="20"/>
              </w:rPr>
              <w:t>(AD) 2ème</w:t>
            </w:r>
            <w:r>
              <w:rPr>
                <w:b/>
                <w:spacing w:val="-3"/>
                <w:sz w:val="20"/>
              </w:rPr>
              <w:t> </w:t>
            </w:r>
            <w:r>
              <w:rPr>
                <w:b/>
                <w:spacing w:val="-2"/>
                <w:sz w:val="20"/>
              </w:rPr>
              <w:t>trimestre </w:t>
            </w:r>
            <w:r>
              <w:rPr>
                <w:b/>
                <w:spacing w:val="-4"/>
                <w:sz w:val="20"/>
              </w:rPr>
              <w:t>2023</w:t>
            </w:r>
            <w:r>
              <w:rPr>
                <w:b/>
                <w:spacing w:val="-4"/>
                <w:sz w:val="20"/>
                <w:vertAlign w:val="superscript"/>
              </w:rPr>
              <w:t>1</w:t>
            </w:r>
          </w:p>
          <w:p>
            <w:pPr>
              <w:pStyle w:val="TableParagraph"/>
              <w:spacing w:line="210" w:lineRule="exact"/>
              <w:ind w:left="105"/>
              <w:rPr>
                <w:b/>
                <w:sz w:val="20"/>
              </w:rPr>
            </w:pPr>
            <w:r>
              <w:rPr>
                <w:b/>
                <w:sz w:val="20"/>
              </w:rPr>
              <w:t>2</w:t>
            </w:r>
            <w:r>
              <w:rPr>
                <w:b/>
                <w:spacing w:val="-2"/>
                <w:sz w:val="20"/>
              </w:rPr>
              <w:t> an(s</w:t>
            </w:r>
            <w:r>
              <w:rPr>
                <w:b/>
                <w:spacing w:val="-2"/>
                <w:sz w:val="20"/>
                <w:vertAlign w:val="superscript"/>
              </w:rPr>
              <w:t>)</w:t>
            </w:r>
            <w:r>
              <w:rPr>
                <w:b/>
                <w:spacing w:val="-2"/>
                <w:sz w:val="20"/>
                <w:vertAlign w:val="superscript"/>
              </w:rPr>
              <w:t>1</w:t>
            </w:r>
          </w:p>
        </w:tc>
      </w:tr>
      <w:tr>
        <w:trPr>
          <w:trHeight w:val="470" w:hRule="atLeast"/>
        </w:trPr>
        <w:tc>
          <w:tcPr>
            <w:tcW w:w="391" w:type="dxa"/>
          </w:tcPr>
          <w:p>
            <w:pPr>
              <w:pStyle w:val="TableParagraph"/>
              <w:rPr>
                <w:sz w:val="20"/>
              </w:rPr>
            </w:pPr>
          </w:p>
        </w:tc>
        <w:tc>
          <w:tcPr>
            <w:tcW w:w="2684" w:type="dxa"/>
          </w:tcPr>
          <w:p>
            <w:pPr>
              <w:pStyle w:val="TableParagraph"/>
              <w:spacing w:before="5"/>
              <w:ind w:left="107"/>
              <w:rPr>
                <w:b/>
                <w:sz w:val="20"/>
              </w:rPr>
            </w:pPr>
            <w:r>
              <w:rPr>
                <w:b/>
                <w:spacing w:val="-2"/>
                <w:sz w:val="20"/>
              </w:rPr>
              <w:t>Lieu</w:t>
            </w:r>
            <w:r>
              <w:rPr>
                <w:b/>
                <w:spacing w:val="-1"/>
                <w:sz w:val="20"/>
              </w:rPr>
              <w:t> </w:t>
            </w:r>
            <w:r>
              <w:rPr>
                <w:b/>
                <w:spacing w:val="-2"/>
                <w:sz w:val="20"/>
              </w:rPr>
              <w:t>d’affectation</w:t>
            </w:r>
            <w:r>
              <w:rPr>
                <w:b/>
                <w:spacing w:val="1"/>
                <w:sz w:val="20"/>
              </w:rPr>
              <w:t> </w:t>
            </w:r>
            <w:r>
              <w:rPr>
                <w:b/>
                <w:spacing w:val="-10"/>
                <w:sz w:val="20"/>
              </w:rPr>
              <w:t>:</w:t>
            </w:r>
          </w:p>
        </w:tc>
        <w:tc>
          <w:tcPr>
            <w:tcW w:w="6234" w:type="dxa"/>
          </w:tcPr>
          <w:p>
            <w:pPr>
              <w:pStyle w:val="TableParagraph"/>
              <w:spacing w:before="5"/>
              <w:ind w:left="105"/>
              <w:rPr>
                <w:b/>
                <w:sz w:val="20"/>
              </w:rPr>
            </w:pPr>
            <w:r>
              <w:rPr>
                <w:b/>
                <w:spacing w:val="-2"/>
                <w:sz w:val="20"/>
              </w:rPr>
              <w:t>Bruxelles</w:t>
            </w:r>
          </w:p>
        </w:tc>
      </w:tr>
      <w:tr>
        <w:trPr>
          <w:trHeight w:val="438" w:hRule="atLeast"/>
        </w:trPr>
        <w:tc>
          <w:tcPr>
            <w:tcW w:w="3075" w:type="dxa"/>
            <w:gridSpan w:val="2"/>
            <w:vMerge w:val="restart"/>
          </w:tcPr>
          <w:p>
            <w:pPr>
              <w:pStyle w:val="TableParagraph"/>
              <w:spacing w:before="125"/>
              <w:ind w:left="498"/>
              <w:rPr>
                <w:b/>
                <w:sz w:val="20"/>
              </w:rPr>
            </w:pPr>
            <w:r>
              <w:rPr>
                <w:b/>
                <w:spacing w:val="-2"/>
                <w:sz w:val="20"/>
              </w:rPr>
              <w:t>Particularités</w:t>
            </w:r>
            <w:r>
              <w:rPr>
                <w:b/>
                <w:spacing w:val="10"/>
                <w:sz w:val="20"/>
              </w:rPr>
              <w:t> </w:t>
            </w:r>
            <w:r>
              <w:rPr>
                <w:b/>
                <w:spacing w:val="-10"/>
                <w:sz w:val="20"/>
              </w:rPr>
              <w:t>:</w:t>
            </w:r>
          </w:p>
        </w:tc>
        <w:tc>
          <w:tcPr>
            <w:tcW w:w="6234" w:type="dxa"/>
          </w:tcPr>
          <w:p>
            <w:pPr>
              <w:pStyle w:val="TableParagraph"/>
              <w:spacing w:before="106"/>
              <w:ind w:left="105"/>
              <w:rPr>
                <w:b/>
                <w:sz w:val="20"/>
              </w:rPr>
            </w:pPr>
            <w:r>
              <w:rPr>
                <w:b/>
                <w:sz w:val="20"/>
              </w:rPr>
              <w:t>Avec</w:t>
            </w:r>
            <w:r>
              <w:rPr>
                <w:b/>
                <w:spacing w:val="-9"/>
                <w:sz w:val="20"/>
              </w:rPr>
              <w:t> </w:t>
            </w:r>
            <w:r>
              <w:rPr>
                <w:b/>
                <w:spacing w:val="-2"/>
                <w:sz w:val="20"/>
              </w:rPr>
              <w:t>indemnités</w:t>
            </w:r>
          </w:p>
        </w:tc>
      </w:tr>
      <w:tr>
        <w:trPr>
          <w:trHeight w:val="1924" w:hRule="atLeast"/>
        </w:trPr>
        <w:tc>
          <w:tcPr>
            <w:tcW w:w="3075" w:type="dxa"/>
            <w:gridSpan w:val="2"/>
            <w:vMerge/>
            <w:tcBorders>
              <w:top w:val="nil"/>
            </w:tcBorders>
          </w:tcPr>
          <w:p>
            <w:pPr>
              <w:rPr>
                <w:sz w:val="2"/>
                <w:szCs w:val="2"/>
              </w:rPr>
            </w:pPr>
          </w:p>
        </w:tc>
        <w:tc>
          <w:tcPr>
            <w:tcW w:w="6234" w:type="dxa"/>
          </w:tcPr>
          <w:p>
            <w:pPr>
              <w:pStyle w:val="TableParagraph"/>
              <w:spacing w:before="5"/>
              <w:ind w:left="105"/>
              <w:rPr>
                <w:b/>
                <w:sz w:val="20"/>
              </w:rPr>
            </w:pPr>
            <w:r>
              <w:rPr>
                <w:b/>
                <w:sz w:val="20"/>
              </w:rPr>
              <w:t>Cet</w:t>
            </w:r>
            <w:r>
              <w:rPr>
                <w:b/>
                <w:spacing w:val="-9"/>
                <w:sz w:val="20"/>
              </w:rPr>
              <w:t> </w:t>
            </w:r>
            <w:r>
              <w:rPr>
                <w:b/>
                <w:sz w:val="20"/>
              </w:rPr>
              <w:t>avis</w:t>
            </w:r>
            <w:r>
              <w:rPr>
                <w:b/>
                <w:spacing w:val="-11"/>
                <w:sz w:val="20"/>
              </w:rPr>
              <w:t> </w:t>
            </w:r>
            <w:r>
              <w:rPr>
                <w:b/>
                <w:sz w:val="20"/>
              </w:rPr>
              <w:t>est</w:t>
            </w:r>
            <w:r>
              <w:rPr>
                <w:b/>
                <w:spacing w:val="-9"/>
                <w:sz w:val="20"/>
              </w:rPr>
              <w:t> </w:t>
            </w:r>
            <w:r>
              <w:rPr>
                <w:b/>
                <w:sz w:val="20"/>
              </w:rPr>
              <w:t>également</w:t>
            </w:r>
            <w:r>
              <w:rPr>
                <w:b/>
                <w:spacing w:val="-9"/>
                <w:sz w:val="20"/>
              </w:rPr>
              <w:t> </w:t>
            </w:r>
            <w:r>
              <w:rPr>
                <w:b/>
                <w:spacing w:val="-2"/>
                <w:sz w:val="20"/>
              </w:rPr>
              <w:t>ouvert</w:t>
            </w:r>
          </w:p>
          <w:p>
            <w:pPr>
              <w:pStyle w:val="TableParagraph"/>
              <w:numPr>
                <w:ilvl w:val="0"/>
                <w:numId w:val="1"/>
              </w:numPr>
              <w:tabs>
                <w:tab w:pos="467" w:val="left" w:leader="none"/>
                <w:tab w:pos="468" w:val="left" w:leader="none"/>
              </w:tabs>
              <w:spacing w:line="240" w:lineRule="auto" w:before="5" w:after="0"/>
              <w:ind w:left="467" w:right="0" w:hanging="363"/>
              <w:jc w:val="left"/>
              <w:rPr>
                <w:b/>
                <w:sz w:val="20"/>
              </w:rPr>
            </w:pPr>
            <w:r>
              <w:rPr>
                <w:b/>
                <w:spacing w:val="-2"/>
                <w:sz w:val="20"/>
              </w:rPr>
              <w:t>aux</w:t>
            </w:r>
            <w:r>
              <w:rPr>
                <w:b/>
                <w:spacing w:val="-6"/>
                <w:sz w:val="20"/>
              </w:rPr>
              <w:t> </w:t>
            </w:r>
            <w:r>
              <w:rPr>
                <w:b/>
                <w:spacing w:val="-2"/>
                <w:sz w:val="20"/>
              </w:rPr>
              <w:t>pays</w:t>
            </w:r>
            <w:r>
              <w:rPr>
                <w:b/>
                <w:spacing w:val="-3"/>
                <w:sz w:val="20"/>
              </w:rPr>
              <w:t> </w:t>
            </w:r>
            <w:r>
              <w:rPr>
                <w:b/>
                <w:spacing w:val="-2"/>
                <w:sz w:val="20"/>
              </w:rPr>
              <w:t>AELE</w:t>
            </w:r>
            <w:r>
              <w:rPr>
                <w:b/>
                <w:spacing w:val="-3"/>
                <w:sz w:val="20"/>
              </w:rPr>
              <w:t> </w:t>
            </w:r>
            <w:r>
              <w:rPr>
                <w:b/>
                <w:spacing w:val="-2"/>
                <w:sz w:val="20"/>
              </w:rPr>
              <w:t>suivants</w:t>
            </w:r>
            <w:r>
              <w:rPr>
                <w:b/>
                <w:spacing w:val="-3"/>
                <w:sz w:val="20"/>
              </w:rPr>
              <w:t> </w:t>
            </w:r>
            <w:r>
              <w:rPr>
                <w:b/>
                <w:spacing w:val="-10"/>
                <w:sz w:val="20"/>
              </w:rPr>
              <w:t>:</w:t>
            </w:r>
          </w:p>
          <w:p>
            <w:pPr>
              <w:pStyle w:val="TableParagraph"/>
              <w:numPr>
                <w:ilvl w:val="1"/>
                <w:numId w:val="1"/>
              </w:numPr>
              <w:tabs>
                <w:tab w:pos="1515" w:val="left" w:leader="none"/>
              </w:tabs>
              <w:spacing w:line="240" w:lineRule="auto" w:before="5" w:after="0"/>
              <w:ind w:left="1514" w:right="0" w:hanging="227"/>
              <w:jc w:val="left"/>
              <w:rPr>
                <w:b/>
                <w:sz w:val="20"/>
              </w:rPr>
            </w:pPr>
            <w:r>
              <w:rPr>
                <w:b/>
                <w:sz w:val="20"/>
              </w:rPr>
              <w:t>Islande</w:t>
            </w:r>
            <w:r>
              <w:rPr>
                <w:b/>
                <w:spacing w:val="-10"/>
                <w:sz w:val="20"/>
              </w:rPr>
              <w:t> </w:t>
            </w:r>
            <w:r>
              <w:rPr>
                <w:rFonts w:ascii="Wingdings 2" w:hAnsi="Wingdings 2"/>
                <w:sz w:val="20"/>
              </w:rPr>
              <w:t></w:t>
            </w:r>
            <w:r>
              <w:rPr>
                <w:spacing w:val="-12"/>
                <w:sz w:val="20"/>
              </w:rPr>
              <w:t> </w:t>
            </w:r>
            <w:r>
              <w:rPr>
                <w:b/>
                <w:sz w:val="20"/>
              </w:rPr>
              <w:t>Liechtenstein</w:t>
            </w:r>
            <w:r>
              <w:rPr>
                <w:b/>
                <w:spacing w:val="-12"/>
                <w:sz w:val="20"/>
              </w:rPr>
              <w:t> </w:t>
            </w:r>
            <w:r>
              <w:rPr>
                <w:rFonts w:ascii="Wingdings 2" w:hAnsi="Wingdings 2"/>
                <w:sz w:val="20"/>
              </w:rPr>
              <w:t></w:t>
            </w:r>
            <w:r>
              <w:rPr>
                <w:spacing w:val="-11"/>
                <w:sz w:val="20"/>
              </w:rPr>
              <w:t> </w:t>
            </w:r>
            <w:r>
              <w:rPr>
                <w:b/>
                <w:sz w:val="20"/>
              </w:rPr>
              <w:t>Norvège</w:t>
            </w:r>
            <w:r>
              <w:rPr>
                <w:b/>
                <w:spacing w:val="-10"/>
                <w:sz w:val="20"/>
              </w:rPr>
              <w:t> </w:t>
            </w:r>
            <w:r>
              <w:rPr>
                <w:rFonts w:ascii="Wingdings 2" w:hAnsi="Wingdings 2"/>
                <w:sz w:val="20"/>
              </w:rPr>
              <w:t></w:t>
            </w:r>
            <w:r>
              <w:rPr>
                <w:spacing w:val="-12"/>
                <w:sz w:val="20"/>
              </w:rPr>
              <w:t> </w:t>
            </w:r>
            <w:r>
              <w:rPr>
                <w:b/>
                <w:spacing w:val="-2"/>
                <w:sz w:val="20"/>
              </w:rPr>
              <w:t>Suisse</w:t>
            </w:r>
          </w:p>
          <w:p>
            <w:pPr>
              <w:pStyle w:val="TableParagraph"/>
              <w:numPr>
                <w:ilvl w:val="1"/>
                <w:numId w:val="1"/>
              </w:numPr>
              <w:tabs>
                <w:tab w:pos="1515" w:val="left" w:leader="none"/>
              </w:tabs>
              <w:spacing w:line="244" w:lineRule="auto" w:before="5" w:after="0"/>
              <w:ind w:left="1718" w:right="1726" w:hanging="430"/>
              <w:jc w:val="left"/>
              <w:rPr>
                <w:b/>
                <w:sz w:val="20"/>
              </w:rPr>
            </w:pPr>
            <w:r>
              <w:rPr>
                <w:b/>
                <w:sz w:val="20"/>
              </w:rPr>
              <w:t>Accord AELE-EEE in-Kind </w:t>
            </w:r>
            <w:r>
              <w:rPr>
                <w:b/>
                <w:spacing w:val="-2"/>
                <w:sz w:val="20"/>
              </w:rPr>
              <w:t>(Islande,</w:t>
            </w:r>
            <w:r>
              <w:rPr>
                <w:b/>
                <w:spacing w:val="-5"/>
                <w:sz w:val="20"/>
              </w:rPr>
              <w:t> </w:t>
            </w:r>
            <w:r>
              <w:rPr>
                <w:b/>
                <w:spacing w:val="-2"/>
                <w:sz w:val="20"/>
              </w:rPr>
              <w:t>Liechtenstein,</w:t>
            </w:r>
            <w:r>
              <w:rPr>
                <w:b/>
                <w:spacing w:val="-5"/>
                <w:sz w:val="20"/>
              </w:rPr>
              <w:t> </w:t>
            </w:r>
            <w:r>
              <w:rPr>
                <w:b/>
                <w:spacing w:val="-2"/>
                <w:sz w:val="20"/>
              </w:rPr>
              <w:t>Norvège)</w:t>
            </w:r>
          </w:p>
          <w:p>
            <w:pPr>
              <w:pStyle w:val="TableParagraph"/>
              <w:numPr>
                <w:ilvl w:val="0"/>
                <w:numId w:val="1"/>
              </w:numPr>
              <w:tabs>
                <w:tab w:pos="467" w:val="left" w:leader="none"/>
                <w:tab w:pos="468" w:val="left" w:leader="none"/>
              </w:tabs>
              <w:spacing w:line="240" w:lineRule="auto" w:before="2" w:after="0"/>
              <w:ind w:left="467" w:right="0" w:hanging="363"/>
              <w:jc w:val="left"/>
              <w:rPr>
                <w:b/>
                <w:sz w:val="20"/>
              </w:rPr>
            </w:pPr>
            <w:r>
              <w:rPr>
                <w:b/>
                <w:sz w:val="20"/>
              </w:rPr>
              <w:t>aux</w:t>
            </w:r>
            <w:r>
              <w:rPr>
                <w:b/>
                <w:spacing w:val="-11"/>
                <w:sz w:val="20"/>
              </w:rPr>
              <w:t> </w:t>
            </w:r>
            <w:r>
              <w:rPr>
                <w:b/>
                <w:sz w:val="20"/>
              </w:rPr>
              <w:t>pays</w:t>
            </w:r>
            <w:r>
              <w:rPr>
                <w:b/>
                <w:spacing w:val="-8"/>
                <w:sz w:val="20"/>
              </w:rPr>
              <w:t> </w:t>
            </w:r>
            <w:r>
              <w:rPr>
                <w:b/>
                <w:sz w:val="20"/>
              </w:rPr>
              <w:t>tiers</w:t>
            </w:r>
            <w:r>
              <w:rPr>
                <w:b/>
                <w:spacing w:val="-8"/>
                <w:sz w:val="20"/>
              </w:rPr>
              <w:t> </w:t>
            </w:r>
            <w:r>
              <w:rPr>
                <w:b/>
                <w:spacing w:val="-2"/>
                <w:sz w:val="20"/>
              </w:rPr>
              <w:t>suivants:</w:t>
            </w:r>
          </w:p>
          <w:p>
            <w:pPr>
              <w:pStyle w:val="TableParagraph"/>
              <w:numPr>
                <w:ilvl w:val="0"/>
                <w:numId w:val="1"/>
              </w:numPr>
              <w:tabs>
                <w:tab w:pos="467" w:val="left" w:leader="none"/>
                <w:tab w:pos="468" w:val="left" w:leader="none"/>
              </w:tabs>
              <w:spacing w:line="240" w:lineRule="auto" w:before="5" w:after="0"/>
              <w:ind w:left="467" w:right="0" w:hanging="363"/>
              <w:jc w:val="left"/>
              <w:rPr>
                <w:b/>
                <w:sz w:val="20"/>
              </w:rPr>
            </w:pPr>
            <w:r>
              <w:rPr>
                <w:b/>
                <w:spacing w:val="-2"/>
                <w:sz w:val="20"/>
              </w:rPr>
              <w:t>aux</w:t>
            </w:r>
            <w:r>
              <w:rPr>
                <w:b/>
                <w:spacing w:val="-9"/>
                <w:sz w:val="20"/>
              </w:rPr>
              <w:t> </w:t>
            </w:r>
            <w:r>
              <w:rPr>
                <w:b/>
                <w:spacing w:val="-2"/>
                <w:sz w:val="20"/>
              </w:rPr>
              <w:t>organisations</w:t>
            </w:r>
            <w:r>
              <w:rPr>
                <w:b/>
                <w:spacing w:val="-6"/>
                <w:sz w:val="20"/>
              </w:rPr>
              <w:t> </w:t>
            </w:r>
            <w:r>
              <w:rPr>
                <w:b/>
                <w:spacing w:val="-2"/>
                <w:sz w:val="20"/>
              </w:rPr>
              <w:t>intergouvernementales</w:t>
            </w:r>
            <w:r>
              <w:rPr>
                <w:b/>
                <w:spacing w:val="-7"/>
                <w:sz w:val="20"/>
              </w:rPr>
              <w:t> </w:t>
            </w:r>
            <w:r>
              <w:rPr>
                <w:b/>
                <w:spacing w:val="-2"/>
                <w:sz w:val="20"/>
              </w:rPr>
              <w:t>suivantes:</w:t>
            </w:r>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28"/>
        </w:rPr>
      </w:pPr>
      <w:r>
        <w:rPr/>
        <w:pict>
          <v:rect style="position:absolute;margin-left:90.024002pt;margin-top:17.607792pt;width:144.020pt;height:.60004pt;mso-position-horizontal-relative:page;mso-position-vertical-relative:paragraph;z-index:-15728640;mso-wrap-distance-left:0;mso-wrap-distance-right:0" id="docshape3" filled="true" fillcolor="#000000" stroked="false">
            <v:fill type="solid"/>
            <w10:wrap type="topAndBottom"/>
          </v:rect>
        </w:pict>
      </w:r>
    </w:p>
    <w:p>
      <w:pPr>
        <w:pStyle w:val="BodyText"/>
        <w:spacing w:line="244" w:lineRule="auto" w:before="111"/>
        <w:ind w:left="220"/>
      </w:pPr>
      <w:r>
        <w:rPr>
          <w:vertAlign w:val="superscript"/>
        </w:rPr>
        <w:t>1</w:t>
      </w:r>
      <w:r>
        <w:rPr>
          <w:vertAlign w:val="baseline"/>
        </w:rPr>
        <w:t> Les précisions liées à la date de prise de fonction et à la durée du détachement sont données à titre indicatif</w:t>
      </w:r>
      <w:r>
        <w:rPr>
          <w:spacing w:val="40"/>
          <w:vertAlign w:val="baseline"/>
        </w:rPr>
        <w:t> </w:t>
      </w:r>
      <w:r>
        <w:rPr>
          <w:vertAlign w:val="baseline"/>
        </w:rPr>
        <w:t>uniquement (article 4 de la décision END).</w:t>
      </w:r>
    </w:p>
    <w:p>
      <w:pPr>
        <w:spacing w:after="0" w:line="244" w:lineRule="auto"/>
        <w:sectPr>
          <w:headerReference w:type="default" r:id="rId5"/>
          <w:footerReference w:type="default" r:id="rId6"/>
          <w:type w:val="continuous"/>
          <w:pgSz w:w="11910" w:h="16840"/>
          <w:pgMar w:header="711" w:footer="743" w:top="1420" w:bottom="940" w:left="1580" w:right="780"/>
          <w:pgNumType w:start="1"/>
        </w:sectPr>
      </w:pPr>
    </w:p>
    <w:p>
      <w:pPr>
        <w:pStyle w:val="BodyText"/>
        <w:spacing w:before="5"/>
        <w:rPr>
          <w:sz w:val="25"/>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5" w:hRule="atLeast"/>
        </w:trPr>
        <w:tc>
          <w:tcPr>
            <w:tcW w:w="394" w:type="dxa"/>
          </w:tcPr>
          <w:p>
            <w:pPr>
              <w:pStyle w:val="TableParagraph"/>
              <w:spacing w:line="210" w:lineRule="exact" w:before="5"/>
              <w:ind w:left="107"/>
              <w:rPr>
                <w:b/>
                <w:sz w:val="20"/>
              </w:rPr>
            </w:pPr>
            <w:r>
              <w:rPr>
                <w:b/>
                <w:w w:val="99"/>
                <w:sz w:val="20"/>
              </w:rPr>
              <w:t>1</w:t>
            </w:r>
          </w:p>
        </w:tc>
        <w:tc>
          <w:tcPr>
            <w:tcW w:w="8930" w:type="dxa"/>
          </w:tcPr>
          <w:p>
            <w:pPr>
              <w:pStyle w:val="TableParagraph"/>
              <w:spacing w:line="210" w:lineRule="exact" w:before="5"/>
              <w:ind w:left="107"/>
              <w:rPr>
                <w:b/>
                <w:sz w:val="20"/>
              </w:rPr>
            </w:pPr>
            <w:r>
              <w:rPr>
                <w:b/>
                <w:spacing w:val="-2"/>
                <w:sz w:val="20"/>
              </w:rPr>
              <w:t>Nature</w:t>
            </w:r>
            <w:r>
              <w:rPr>
                <w:b/>
                <w:spacing w:val="-3"/>
                <w:sz w:val="20"/>
              </w:rPr>
              <w:t> </w:t>
            </w:r>
            <w:r>
              <w:rPr>
                <w:b/>
                <w:spacing w:val="-2"/>
                <w:sz w:val="20"/>
              </w:rPr>
              <w:t>des</w:t>
            </w:r>
            <w:r>
              <w:rPr>
                <w:b/>
                <w:spacing w:val="-3"/>
                <w:sz w:val="20"/>
              </w:rPr>
              <w:t> </w:t>
            </w:r>
            <w:r>
              <w:rPr>
                <w:b/>
                <w:spacing w:val="-2"/>
                <w:sz w:val="20"/>
              </w:rPr>
              <w:t>fonctions</w:t>
            </w:r>
            <w:r>
              <w:rPr>
                <w:b/>
                <w:spacing w:val="-1"/>
                <w:sz w:val="20"/>
              </w:rPr>
              <w:t> </w:t>
            </w:r>
            <w:r>
              <w:rPr>
                <w:b/>
                <w:spacing w:val="-10"/>
                <w:sz w:val="20"/>
              </w:rPr>
              <w:t>:</w:t>
            </w:r>
          </w:p>
        </w:tc>
      </w:tr>
      <w:tr>
        <w:trPr>
          <w:trHeight w:val="2822" w:hRule="atLeast"/>
        </w:trPr>
        <w:tc>
          <w:tcPr>
            <w:tcW w:w="9324" w:type="dxa"/>
            <w:gridSpan w:val="2"/>
          </w:tcPr>
          <w:p>
            <w:pPr>
              <w:pStyle w:val="TableParagraph"/>
              <w:spacing w:before="5"/>
              <w:rPr>
                <w:sz w:val="20"/>
              </w:rPr>
            </w:pPr>
          </w:p>
          <w:p>
            <w:pPr>
              <w:pStyle w:val="TableParagraph"/>
              <w:spacing w:line="244" w:lineRule="auto"/>
              <w:ind w:left="501" w:right="113"/>
              <w:rPr>
                <w:sz w:val="20"/>
              </w:rPr>
            </w:pPr>
            <w:r>
              <w:rPr>
                <w:sz w:val="20"/>
              </w:rPr>
              <w:t>L'équipe</w:t>
            </w:r>
            <w:r>
              <w:rPr>
                <w:spacing w:val="-4"/>
                <w:sz w:val="20"/>
              </w:rPr>
              <w:t> </w:t>
            </w:r>
            <w:r>
              <w:rPr>
                <w:sz w:val="20"/>
              </w:rPr>
              <w:t>fournit</w:t>
            </w:r>
            <w:r>
              <w:rPr>
                <w:spacing w:val="-5"/>
                <w:sz w:val="20"/>
              </w:rPr>
              <w:t> </w:t>
            </w:r>
            <w:r>
              <w:rPr>
                <w:sz w:val="20"/>
              </w:rPr>
              <w:t>des</w:t>
            </w:r>
            <w:r>
              <w:rPr>
                <w:spacing w:val="-5"/>
                <w:sz w:val="20"/>
              </w:rPr>
              <w:t> </w:t>
            </w:r>
            <w:r>
              <w:rPr>
                <w:sz w:val="20"/>
              </w:rPr>
              <w:t>conseils</w:t>
            </w:r>
            <w:r>
              <w:rPr>
                <w:spacing w:val="-5"/>
                <w:sz w:val="20"/>
              </w:rPr>
              <w:t> </w:t>
            </w:r>
            <w:r>
              <w:rPr>
                <w:sz w:val="20"/>
              </w:rPr>
              <w:t>juridiques</w:t>
            </w:r>
            <w:r>
              <w:rPr>
                <w:spacing w:val="-5"/>
                <w:sz w:val="20"/>
              </w:rPr>
              <w:t> </w:t>
            </w:r>
            <w:r>
              <w:rPr>
                <w:sz w:val="20"/>
              </w:rPr>
              <w:t>à</w:t>
            </w:r>
            <w:r>
              <w:rPr>
                <w:spacing w:val="-4"/>
                <w:sz w:val="20"/>
              </w:rPr>
              <w:t> </w:t>
            </w:r>
            <w:r>
              <w:rPr>
                <w:sz w:val="20"/>
              </w:rPr>
              <w:t>la</w:t>
            </w:r>
            <w:r>
              <w:rPr>
                <w:spacing w:val="-4"/>
                <w:sz w:val="20"/>
              </w:rPr>
              <w:t> </w:t>
            </w:r>
            <w:r>
              <w:rPr>
                <w:sz w:val="20"/>
              </w:rPr>
              <w:t>Commission</w:t>
            </w:r>
            <w:r>
              <w:rPr>
                <w:spacing w:val="-5"/>
                <w:sz w:val="20"/>
              </w:rPr>
              <w:t> </w:t>
            </w:r>
            <w:r>
              <w:rPr>
                <w:sz w:val="20"/>
              </w:rPr>
              <w:t>et</w:t>
            </w:r>
            <w:r>
              <w:rPr>
                <w:spacing w:val="-4"/>
                <w:sz w:val="20"/>
              </w:rPr>
              <w:t> </w:t>
            </w:r>
            <w:r>
              <w:rPr>
                <w:sz w:val="20"/>
              </w:rPr>
              <w:t>à</w:t>
            </w:r>
            <w:r>
              <w:rPr>
                <w:spacing w:val="-4"/>
                <w:sz w:val="20"/>
              </w:rPr>
              <w:t> </w:t>
            </w:r>
            <w:r>
              <w:rPr>
                <w:sz w:val="20"/>
              </w:rPr>
              <w:t>ses</w:t>
            </w:r>
            <w:r>
              <w:rPr>
                <w:spacing w:val="-5"/>
                <w:sz w:val="20"/>
              </w:rPr>
              <w:t> </w:t>
            </w:r>
            <w:r>
              <w:rPr>
                <w:sz w:val="20"/>
              </w:rPr>
              <w:t>services,</w:t>
            </w:r>
            <w:r>
              <w:rPr>
                <w:spacing w:val="-4"/>
                <w:sz w:val="20"/>
              </w:rPr>
              <w:t> </w:t>
            </w:r>
            <w:r>
              <w:rPr>
                <w:sz w:val="20"/>
              </w:rPr>
              <w:t>et</w:t>
            </w:r>
            <w:r>
              <w:rPr>
                <w:spacing w:val="-4"/>
                <w:sz w:val="20"/>
              </w:rPr>
              <w:t> </w:t>
            </w:r>
            <w:r>
              <w:rPr>
                <w:sz w:val="20"/>
              </w:rPr>
              <w:t>représente</w:t>
            </w:r>
            <w:r>
              <w:rPr>
                <w:spacing w:val="-4"/>
                <w:sz w:val="20"/>
              </w:rPr>
              <w:t> </w:t>
            </w:r>
            <w:r>
              <w:rPr>
                <w:sz w:val="20"/>
              </w:rPr>
              <w:t>la</w:t>
            </w:r>
            <w:r>
              <w:rPr>
                <w:spacing w:val="-4"/>
                <w:sz w:val="20"/>
              </w:rPr>
              <w:t> </w:t>
            </w:r>
            <w:r>
              <w:rPr>
                <w:sz w:val="20"/>
              </w:rPr>
              <w:t>Commission</w:t>
            </w:r>
            <w:r>
              <w:rPr>
                <w:spacing w:val="-5"/>
                <w:sz w:val="20"/>
              </w:rPr>
              <w:t> </w:t>
            </w:r>
            <w:r>
              <w:rPr>
                <w:sz w:val="20"/>
              </w:rPr>
              <w:t>dans les</w:t>
            </w:r>
            <w:r>
              <w:rPr>
                <w:spacing w:val="-8"/>
                <w:sz w:val="20"/>
              </w:rPr>
              <w:t> </w:t>
            </w:r>
            <w:r>
              <w:rPr>
                <w:sz w:val="20"/>
              </w:rPr>
              <w:t>procédures</w:t>
            </w:r>
            <w:r>
              <w:rPr>
                <w:spacing w:val="-8"/>
                <w:sz w:val="20"/>
              </w:rPr>
              <w:t> </w:t>
            </w:r>
            <w:r>
              <w:rPr>
                <w:sz w:val="20"/>
              </w:rPr>
              <w:t>juridictionnelles</w:t>
            </w:r>
            <w:r>
              <w:rPr>
                <w:spacing w:val="-8"/>
                <w:sz w:val="20"/>
              </w:rPr>
              <w:t> </w:t>
            </w:r>
            <w:r>
              <w:rPr>
                <w:sz w:val="20"/>
              </w:rPr>
              <w:t>(en</w:t>
            </w:r>
            <w:r>
              <w:rPr>
                <w:spacing w:val="-8"/>
                <w:sz w:val="20"/>
              </w:rPr>
              <w:t> </w:t>
            </w:r>
            <w:r>
              <w:rPr>
                <w:sz w:val="20"/>
              </w:rPr>
              <w:t>particulier</w:t>
            </w:r>
            <w:r>
              <w:rPr>
                <w:spacing w:val="-7"/>
                <w:sz w:val="20"/>
              </w:rPr>
              <w:t> </w:t>
            </w:r>
            <w:r>
              <w:rPr>
                <w:sz w:val="20"/>
              </w:rPr>
              <w:t>devant</w:t>
            </w:r>
            <w:r>
              <w:rPr>
                <w:spacing w:val="-8"/>
                <w:sz w:val="20"/>
              </w:rPr>
              <w:t> </w:t>
            </w:r>
            <w:r>
              <w:rPr>
                <w:sz w:val="20"/>
              </w:rPr>
              <w:t>les</w:t>
            </w:r>
            <w:r>
              <w:rPr>
                <w:spacing w:val="-8"/>
                <w:sz w:val="20"/>
              </w:rPr>
              <w:t> </w:t>
            </w:r>
            <w:r>
              <w:rPr>
                <w:sz w:val="20"/>
              </w:rPr>
              <w:t>juridictions</w:t>
            </w:r>
            <w:r>
              <w:rPr>
                <w:spacing w:val="-8"/>
                <w:sz w:val="20"/>
              </w:rPr>
              <w:t> </w:t>
            </w:r>
            <w:r>
              <w:rPr>
                <w:sz w:val="20"/>
              </w:rPr>
              <w:t>de</w:t>
            </w:r>
            <w:r>
              <w:rPr>
                <w:spacing w:val="-7"/>
                <w:sz w:val="20"/>
              </w:rPr>
              <w:t> </w:t>
            </w:r>
            <w:r>
              <w:rPr>
                <w:sz w:val="20"/>
              </w:rPr>
              <w:t>l’Union)</w:t>
            </w:r>
            <w:r>
              <w:rPr>
                <w:spacing w:val="-7"/>
                <w:sz w:val="20"/>
              </w:rPr>
              <w:t> </w:t>
            </w:r>
            <w:r>
              <w:rPr>
                <w:sz w:val="20"/>
              </w:rPr>
              <w:t>dans</w:t>
            </w:r>
            <w:r>
              <w:rPr>
                <w:spacing w:val="-8"/>
                <w:sz w:val="20"/>
              </w:rPr>
              <w:t> </w:t>
            </w:r>
            <w:r>
              <w:rPr>
                <w:sz w:val="20"/>
              </w:rPr>
              <w:t>les</w:t>
            </w:r>
            <w:r>
              <w:rPr>
                <w:spacing w:val="-8"/>
                <w:sz w:val="20"/>
              </w:rPr>
              <w:t> </w:t>
            </w:r>
            <w:r>
              <w:rPr>
                <w:sz w:val="20"/>
              </w:rPr>
              <w:t>matières</w:t>
            </w:r>
            <w:r>
              <w:rPr>
                <w:spacing w:val="-8"/>
                <w:sz w:val="20"/>
              </w:rPr>
              <w:t> </w:t>
            </w:r>
            <w:r>
              <w:rPr>
                <w:sz w:val="20"/>
              </w:rPr>
              <w:t>suivantes en particulier: l’Union économique et monétaire, l’Euro, les mécanismes d'assistance financière, les instruments de recouvrement de la pandémie de Covid-19, les instruments financiers et de garanties budgétaires</w:t>
            </w:r>
            <w:r>
              <w:rPr>
                <w:spacing w:val="-6"/>
                <w:sz w:val="20"/>
              </w:rPr>
              <w:t> </w:t>
            </w:r>
            <w:r>
              <w:rPr>
                <w:sz w:val="20"/>
              </w:rPr>
              <w:t>de</w:t>
            </w:r>
            <w:r>
              <w:rPr>
                <w:spacing w:val="-5"/>
                <w:sz w:val="20"/>
              </w:rPr>
              <w:t> </w:t>
            </w:r>
            <w:r>
              <w:rPr>
                <w:sz w:val="20"/>
              </w:rPr>
              <w:t>l’UE,</w:t>
            </w:r>
            <w:r>
              <w:rPr>
                <w:spacing w:val="-3"/>
                <w:sz w:val="20"/>
              </w:rPr>
              <w:t> </w:t>
            </w:r>
            <w:r>
              <w:rPr>
                <w:sz w:val="20"/>
              </w:rPr>
              <w:t>la</w:t>
            </w:r>
            <w:r>
              <w:rPr>
                <w:spacing w:val="-5"/>
                <w:sz w:val="20"/>
              </w:rPr>
              <w:t> </w:t>
            </w:r>
            <w:r>
              <w:rPr>
                <w:sz w:val="20"/>
              </w:rPr>
              <w:t>BEI,</w:t>
            </w:r>
            <w:r>
              <w:rPr>
                <w:spacing w:val="-5"/>
                <w:sz w:val="20"/>
              </w:rPr>
              <w:t> </w:t>
            </w:r>
            <w:r>
              <w:rPr>
                <w:sz w:val="20"/>
              </w:rPr>
              <w:t>le</w:t>
            </w:r>
            <w:r>
              <w:rPr>
                <w:spacing w:val="-5"/>
                <w:sz w:val="20"/>
              </w:rPr>
              <w:t> </w:t>
            </w:r>
            <w:r>
              <w:rPr>
                <w:sz w:val="20"/>
              </w:rPr>
              <w:t>cadre</w:t>
            </w:r>
            <w:r>
              <w:rPr>
                <w:spacing w:val="-5"/>
                <w:sz w:val="20"/>
              </w:rPr>
              <w:t> </w:t>
            </w:r>
            <w:r>
              <w:rPr>
                <w:sz w:val="20"/>
              </w:rPr>
              <w:t>financier</w:t>
            </w:r>
            <w:r>
              <w:rPr>
                <w:spacing w:val="-4"/>
                <w:sz w:val="20"/>
              </w:rPr>
              <w:t> </w:t>
            </w:r>
            <w:r>
              <w:rPr>
                <w:sz w:val="20"/>
              </w:rPr>
              <w:t>pluriannuel,</w:t>
            </w:r>
            <w:r>
              <w:rPr>
                <w:spacing w:val="-5"/>
                <w:sz w:val="20"/>
              </w:rPr>
              <w:t> </w:t>
            </w:r>
            <w:r>
              <w:rPr>
                <w:sz w:val="20"/>
              </w:rPr>
              <w:t>les</w:t>
            </w:r>
            <w:r>
              <w:rPr>
                <w:spacing w:val="-6"/>
                <w:sz w:val="20"/>
              </w:rPr>
              <w:t> </w:t>
            </w:r>
            <w:r>
              <w:rPr>
                <w:sz w:val="20"/>
              </w:rPr>
              <w:t>principes</w:t>
            </w:r>
            <w:r>
              <w:rPr>
                <w:spacing w:val="-6"/>
                <w:sz w:val="20"/>
              </w:rPr>
              <w:t> </w:t>
            </w:r>
            <w:r>
              <w:rPr>
                <w:sz w:val="20"/>
              </w:rPr>
              <w:t>budgétaires,</w:t>
            </w:r>
            <w:r>
              <w:rPr>
                <w:spacing w:val="-5"/>
                <w:sz w:val="20"/>
              </w:rPr>
              <w:t> </w:t>
            </w:r>
            <w:r>
              <w:rPr>
                <w:sz w:val="20"/>
              </w:rPr>
              <w:t>les</w:t>
            </w:r>
            <w:r>
              <w:rPr>
                <w:spacing w:val="-6"/>
                <w:sz w:val="20"/>
              </w:rPr>
              <w:t> </w:t>
            </w:r>
            <w:r>
              <w:rPr>
                <w:sz w:val="20"/>
              </w:rPr>
              <w:t>ressources</w:t>
            </w:r>
            <w:r>
              <w:rPr>
                <w:spacing w:val="-6"/>
                <w:sz w:val="20"/>
              </w:rPr>
              <w:t> </w:t>
            </w:r>
            <w:r>
              <w:rPr>
                <w:sz w:val="20"/>
              </w:rPr>
              <w:t>propres, la protection des intérêts financiers de l’UE (y</w:t>
            </w:r>
            <w:r>
              <w:rPr>
                <w:spacing w:val="-2"/>
                <w:sz w:val="20"/>
              </w:rPr>
              <w:t> </w:t>
            </w:r>
            <w:r>
              <w:rPr>
                <w:sz w:val="20"/>
              </w:rPr>
              <w:t>compris le Règlement « Conditionnalité »), le Parquet européen et l’OLAF.</w:t>
            </w:r>
          </w:p>
          <w:p>
            <w:pPr>
              <w:pStyle w:val="TableParagraph"/>
              <w:spacing w:line="244" w:lineRule="auto" w:before="5"/>
              <w:ind w:left="501"/>
              <w:rPr>
                <w:sz w:val="20"/>
              </w:rPr>
            </w:pPr>
            <w:r>
              <w:rPr>
                <w:sz w:val="20"/>
              </w:rPr>
              <w:t>L’équipe</w:t>
            </w:r>
            <w:r>
              <w:rPr>
                <w:spacing w:val="22"/>
                <w:sz w:val="20"/>
              </w:rPr>
              <w:t> </w:t>
            </w:r>
            <w:r>
              <w:rPr>
                <w:sz w:val="20"/>
              </w:rPr>
              <w:t>interagit</w:t>
            </w:r>
            <w:r>
              <w:rPr>
                <w:spacing w:val="22"/>
                <w:sz w:val="20"/>
              </w:rPr>
              <w:t> </w:t>
            </w:r>
            <w:r>
              <w:rPr>
                <w:sz w:val="20"/>
              </w:rPr>
              <w:t>également,</w:t>
            </w:r>
            <w:r>
              <w:rPr>
                <w:spacing w:val="22"/>
                <w:sz w:val="20"/>
              </w:rPr>
              <w:t> </w:t>
            </w:r>
            <w:r>
              <w:rPr>
                <w:sz w:val="20"/>
              </w:rPr>
              <w:t>quand</w:t>
            </w:r>
            <w:r>
              <w:rPr>
                <w:spacing w:val="19"/>
                <w:sz w:val="20"/>
              </w:rPr>
              <w:t> </w:t>
            </w:r>
            <w:r>
              <w:rPr>
                <w:sz w:val="20"/>
              </w:rPr>
              <w:t>cela</w:t>
            </w:r>
            <w:r>
              <w:rPr>
                <w:spacing w:val="20"/>
                <w:sz w:val="20"/>
              </w:rPr>
              <w:t> </w:t>
            </w:r>
            <w:r>
              <w:rPr>
                <w:sz w:val="20"/>
              </w:rPr>
              <w:t>s’indique,</w:t>
            </w:r>
            <w:r>
              <w:rPr>
                <w:spacing w:val="20"/>
                <w:sz w:val="20"/>
              </w:rPr>
              <w:t> </w:t>
            </w:r>
            <w:r>
              <w:rPr>
                <w:sz w:val="20"/>
              </w:rPr>
              <w:t>avec</w:t>
            </w:r>
            <w:r>
              <w:rPr>
                <w:spacing w:val="20"/>
                <w:sz w:val="20"/>
              </w:rPr>
              <w:t> </w:t>
            </w:r>
            <w:r>
              <w:rPr>
                <w:sz w:val="20"/>
              </w:rPr>
              <w:t>les</w:t>
            </w:r>
            <w:r>
              <w:rPr>
                <w:spacing w:val="19"/>
                <w:sz w:val="20"/>
              </w:rPr>
              <w:t> </w:t>
            </w:r>
            <w:r>
              <w:rPr>
                <w:sz w:val="20"/>
              </w:rPr>
              <w:t>Services</w:t>
            </w:r>
            <w:r>
              <w:rPr>
                <w:spacing w:val="19"/>
                <w:sz w:val="20"/>
              </w:rPr>
              <w:t> </w:t>
            </w:r>
            <w:r>
              <w:rPr>
                <w:sz w:val="20"/>
              </w:rPr>
              <w:t>juridiques</w:t>
            </w:r>
            <w:r>
              <w:rPr>
                <w:spacing w:val="19"/>
                <w:sz w:val="20"/>
              </w:rPr>
              <w:t> </w:t>
            </w:r>
            <w:r>
              <w:rPr>
                <w:sz w:val="20"/>
              </w:rPr>
              <w:t>des</w:t>
            </w:r>
            <w:r>
              <w:rPr>
                <w:spacing w:val="19"/>
                <w:sz w:val="20"/>
              </w:rPr>
              <w:t> </w:t>
            </w:r>
            <w:r>
              <w:rPr>
                <w:sz w:val="20"/>
              </w:rPr>
              <w:t>autres</w:t>
            </w:r>
            <w:r>
              <w:rPr>
                <w:spacing w:val="19"/>
                <w:sz w:val="20"/>
              </w:rPr>
              <w:t> </w:t>
            </w:r>
            <w:r>
              <w:rPr>
                <w:sz w:val="20"/>
              </w:rPr>
              <w:t>institutions</w:t>
            </w:r>
            <w:r>
              <w:rPr>
                <w:spacing w:val="19"/>
                <w:sz w:val="20"/>
              </w:rPr>
              <w:t> </w:t>
            </w:r>
            <w:r>
              <w:rPr>
                <w:sz w:val="20"/>
              </w:rPr>
              <w:t>de l’UE et avec des juristes des Etats membres.</w:t>
            </w:r>
          </w:p>
          <w:p>
            <w:pPr>
              <w:pStyle w:val="TableParagraph"/>
              <w:spacing w:before="1"/>
              <w:ind w:left="501"/>
              <w:rPr>
                <w:sz w:val="20"/>
              </w:rPr>
            </w:pPr>
            <w:r>
              <w:rPr>
                <w:sz w:val="20"/>
              </w:rPr>
              <w:t>L’Expert</w:t>
            </w:r>
            <w:r>
              <w:rPr>
                <w:spacing w:val="-12"/>
                <w:sz w:val="20"/>
              </w:rPr>
              <w:t> </w:t>
            </w:r>
            <w:r>
              <w:rPr>
                <w:sz w:val="20"/>
              </w:rPr>
              <w:t>National</w:t>
            </w:r>
            <w:r>
              <w:rPr>
                <w:spacing w:val="-12"/>
                <w:sz w:val="20"/>
              </w:rPr>
              <w:t> </w:t>
            </w:r>
            <w:r>
              <w:rPr>
                <w:sz w:val="20"/>
              </w:rPr>
              <w:t>Détaché</w:t>
            </w:r>
            <w:r>
              <w:rPr>
                <w:spacing w:val="-11"/>
                <w:sz w:val="20"/>
              </w:rPr>
              <w:t> </w:t>
            </w:r>
            <w:r>
              <w:rPr>
                <w:sz w:val="20"/>
              </w:rPr>
              <w:t>(END)</w:t>
            </w:r>
            <w:r>
              <w:rPr>
                <w:spacing w:val="-11"/>
                <w:sz w:val="20"/>
              </w:rPr>
              <w:t> </w:t>
            </w:r>
            <w:r>
              <w:rPr>
                <w:sz w:val="20"/>
              </w:rPr>
              <w:t>devra</w:t>
            </w:r>
            <w:r>
              <w:rPr>
                <w:spacing w:val="-11"/>
                <w:sz w:val="20"/>
              </w:rPr>
              <w:t> </w:t>
            </w:r>
            <w:r>
              <w:rPr>
                <w:sz w:val="20"/>
              </w:rPr>
              <w:t>épauler</w:t>
            </w:r>
            <w:r>
              <w:rPr>
                <w:spacing w:val="-10"/>
                <w:sz w:val="20"/>
              </w:rPr>
              <w:t> </w:t>
            </w:r>
            <w:r>
              <w:rPr>
                <w:sz w:val="20"/>
              </w:rPr>
              <w:t>l’Equipe</w:t>
            </w:r>
            <w:r>
              <w:rPr>
                <w:spacing w:val="-12"/>
                <w:sz w:val="20"/>
              </w:rPr>
              <w:t> </w:t>
            </w:r>
            <w:r>
              <w:rPr>
                <w:sz w:val="20"/>
              </w:rPr>
              <w:t>Eurozone</w:t>
            </w:r>
            <w:r>
              <w:rPr>
                <w:spacing w:val="-11"/>
                <w:sz w:val="20"/>
              </w:rPr>
              <w:t> </w:t>
            </w:r>
            <w:r>
              <w:rPr>
                <w:sz w:val="20"/>
              </w:rPr>
              <w:t>dans</w:t>
            </w:r>
            <w:r>
              <w:rPr>
                <w:spacing w:val="-12"/>
                <w:sz w:val="20"/>
              </w:rPr>
              <w:t> </w:t>
            </w:r>
            <w:r>
              <w:rPr>
                <w:sz w:val="20"/>
              </w:rPr>
              <w:t>toutes</w:t>
            </w:r>
            <w:r>
              <w:rPr>
                <w:spacing w:val="-12"/>
                <w:sz w:val="20"/>
              </w:rPr>
              <w:t> </w:t>
            </w:r>
            <w:r>
              <w:rPr>
                <w:sz w:val="20"/>
              </w:rPr>
              <w:t>ces</w:t>
            </w:r>
            <w:r>
              <w:rPr>
                <w:spacing w:val="-11"/>
                <w:sz w:val="20"/>
              </w:rPr>
              <w:t> </w:t>
            </w:r>
            <w:r>
              <w:rPr>
                <w:spacing w:val="-2"/>
                <w:sz w:val="20"/>
              </w:rPr>
              <w:t>activités.</w:t>
            </w:r>
          </w:p>
        </w:tc>
      </w:tr>
    </w:tbl>
    <w:p>
      <w:pPr>
        <w:pStyle w:val="BodyText"/>
        <w:spacing w:before="7"/>
        <w:rPr>
          <w:sz w:val="24"/>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
        <w:gridCol w:w="8930"/>
      </w:tblGrid>
      <w:tr>
        <w:trPr>
          <w:trHeight w:val="235" w:hRule="atLeast"/>
        </w:trPr>
        <w:tc>
          <w:tcPr>
            <w:tcW w:w="394"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w w:val="99"/>
                <w:sz w:val="20"/>
              </w:rPr>
              <w:t>2</w:t>
            </w:r>
          </w:p>
        </w:tc>
        <w:tc>
          <w:tcPr>
            <w:tcW w:w="8930"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spacing w:val="-2"/>
                <w:sz w:val="20"/>
              </w:rPr>
              <w:t>Qualifications</w:t>
            </w:r>
            <w:r>
              <w:rPr>
                <w:b/>
                <w:spacing w:val="-4"/>
                <w:sz w:val="20"/>
              </w:rPr>
              <w:t> </w:t>
            </w:r>
            <w:r>
              <w:rPr>
                <w:b/>
                <w:spacing w:val="-2"/>
                <w:sz w:val="20"/>
              </w:rPr>
              <w:t>requises </w:t>
            </w:r>
            <w:r>
              <w:rPr>
                <w:b/>
                <w:spacing w:val="-10"/>
                <w:sz w:val="20"/>
              </w:rPr>
              <w:t>:</w:t>
            </w:r>
          </w:p>
        </w:tc>
      </w:tr>
      <w:tr>
        <w:trPr>
          <w:trHeight w:val="614" w:hRule="atLeast"/>
        </w:trPr>
        <w:tc>
          <w:tcPr>
            <w:tcW w:w="394" w:type="dxa"/>
            <w:tcBorders>
              <w:top w:val="single" w:sz="4" w:space="0" w:color="000000"/>
              <w:left w:val="single" w:sz="4" w:space="0" w:color="000000"/>
            </w:tcBorders>
          </w:tcPr>
          <w:p>
            <w:pPr>
              <w:pStyle w:val="TableParagraph"/>
              <w:rPr>
                <w:sz w:val="18"/>
              </w:rPr>
            </w:pPr>
          </w:p>
        </w:tc>
        <w:tc>
          <w:tcPr>
            <w:tcW w:w="8930" w:type="dxa"/>
            <w:tcBorders>
              <w:top w:val="single" w:sz="4" w:space="0" w:color="000000"/>
              <w:right w:val="single" w:sz="4" w:space="0" w:color="000000"/>
            </w:tcBorders>
          </w:tcPr>
          <w:p>
            <w:pPr>
              <w:pStyle w:val="TableParagraph"/>
              <w:spacing w:before="5"/>
              <w:rPr>
                <w:sz w:val="20"/>
              </w:rPr>
            </w:pPr>
          </w:p>
          <w:p>
            <w:pPr>
              <w:pStyle w:val="TableParagraph"/>
              <w:ind w:left="112"/>
              <w:rPr>
                <w:sz w:val="20"/>
              </w:rPr>
            </w:pPr>
            <w:r>
              <w:rPr>
                <w:sz w:val="20"/>
              </w:rPr>
              <w:t>a)</w:t>
            </w:r>
            <w:r>
              <w:rPr>
                <w:spacing w:val="-4"/>
                <w:sz w:val="20"/>
              </w:rPr>
              <w:t> </w:t>
            </w:r>
            <w:r>
              <w:rPr>
                <w:sz w:val="20"/>
              </w:rPr>
              <w:t>Critères</w:t>
            </w:r>
            <w:r>
              <w:rPr>
                <w:spacing w:val="-5"/>
                <w:sz w:val="20"/>
              </w:rPr>
              <w:t> </w:t>
            </w:r>
            <w:r>
              <w:rPr>
                <w:spacing w:val="-2"/>
                <w:sz w:val="20"/>
              </w:rPr>
              <w:t>d'éligibilité</w:t>
            </w:r>
          </w:p>
        </w:tc>
      </w:tr>
      <w:tr>
        <w:trPr>
          <w:trHeight w:val="4282"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line="244" w:lineRule="auto" w:before="139"/>
              <w:ind w:left="160" w:right="258"/>
              <w:jc w:val="both"/>
              <w:rPr>
                <w:sz w:val="20"/>
              </w:rPr>
            </w:pPr>
            <w:r>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pPr>
              <w:pStyle w:val="TableParagraph"/>
              <w:spacing w:before="7"/>
              <w:rPr>
                <w:sz w:val="20"/>
              </w:rPr>
            </w:pPr>
          </w:p>
          <w:p>
            <w:pPr>
              <w:pStyle w:val="TableParagraph"/>
              <w:numPr>
                <w:ilvl w:val="0"/>
                <w:numId w:val="2"/>
              </w:numPr>
              <w:tabs>
                <w:tab w:pos="586" w:val="left" w:leader="none"/>
              </w:tabs>
              <w:spacing w:line="244" w:lineRule="auto" w:before="0" w:after="0"/>
              <w:ind w:left="585" w:right="257" w:hanging="473"/>
              <w:jc w:val="both"/>
              <w:rPr>
                <w:sz w:val="20"/>
              </w:rPr>
            </w:pPr>
            <w:r>
              <w:rPr>
                <w:sz w:val="20"/>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TableParagraph"/>
              <w:spacing w:before="7"/>
              <w:rPr>
                <w:sz w:val="20"/>
              </w:rPr>
            </w:pPr>
          </w:p>
          <w:p>
            <w:pPr>
              <w:pStyle w:val="TableParagraph"/>
              <w:numPr>
                <w:ilvl w:val="0"/>
                <w:numId w:val="2"/>
              </w:numPr>
              <w:tabs>
                <w:tab w:pos="586" w:val="left" w:leader="none"/>
              </w:tabs>
              <w:spacing w:line="244" w:lineRule="auto" w:before="1" w:after="0"/>
              <w:ind w:left="585" w:right="257" w:hanging="473"/>
              <w:jc w:val="both"/>
              <w:rPr>
                <w:sz w:val="20"/>
              </w:rPr>
            </w:pPr>
            <w:r>
              <w:rPr>
                <w:sz w:val="20"/>
              </w:rPr>
              <w:t>Ancienneté de service :</w:t>
            </w:r>
            <w:r>
              <w:rPr>
                <w:spacing w:val="-1"/>
                <w:sz w:val="20"/>
              </w:rPr>
              <w:t> </w:t>
            </w:r>
            <w:r>
              <w:rPr>
                <w:sz w:val="20"/>
              </w:rPr>
              <w:t>avoir une ancienneté d'au moins un an auprès de son employeur, c'est-à-dire être employé depuis au moins un an par un employeur éligible au sens de l'article 1 de la décision END, sur base contractuelle ou statutaire;</w:t>
            </w:r>
          </w:p>
          <w:p>
            <w:pPr>
              <w:pStyle w:val="TableParagraph"/>
              <w:spacing w:before="7"/>
              <w:rPr>
                <w:sz w:val="20"/>
              </w:rPr>
            </w:pPr>
          </w:p>
          <w:p>
            <w:pPr>
              <w:pStyle w:val="TableParagraph"/>
              <w:numPr>
                <w:ilvl w:val="0"/>
                <w:numId w:val="2"/>
              </w:numPr>
              <w:tabs>
                <w:tab w:pos="586" w:val="left" w:leader="none"/>
              </w:tabs>
              <w:spacing w:line="244" w:lineRule="auto" w:before="0" w:after="0"/>
              <w:ind w:left="585" w:right="256" w:hanging="473"/>
              <w:jc w:val="both"/>
              <w:rPr>
                <w:sz w:val="20"/>
              </w:rPr>
            </w:pPr>
            <w:r>
              <w:rPr>
                <w:sz w:val="20"/>
              </w:rPr>
              <w:t>Compétences linguistiques : avoir une connaissance approfondie d'une des langues de l'Union européenne et une connaissance satisfaisante d'une autre langue de l'Union européenne dans la mesure</w:t>
            </w:r>
            <w:r>
              <w:rPr>
                <w:spacing w:val="-1"/>
                <w:sz w:val="20"/>
              </w:rPr>
              <w:t> </w:t>
            </w:r>
            <w:r>
              <w:rPr>
                <w:sz w:val="20"/>
              </w:rPr>
              <w:t>nécessaire</w:t>
            </w:r>
            <w:r>
              <w:rPr>
                <w:spacing w:val="-1"/>
                <w:sz w:val="20"/>
              </w:rPr>
              <w:t> </w:t>
            </w:r>
            <w:r>
              <w:rPr>
                <w:sz w:val="20"/>
              </w:rPr>
              <w:t>aux</w:t>
            </w:r>
            <w:r>
              <w:rPr>
                <w:spacing w:val="-2"/>
                <w:sz w:val="20"/>
              </w:rPr>
              <w:t> </w:t>
            </w:r>
            <w:r>
              <w:rPr>
                <w:sz w:val="20"/>
              </w:rPr>
              <w:t>fonctions</w:t>
            </w:r>
            <w:r>
              <w:rPr>
                <w:spacing w:val="-2"/>
                <w:sz w:val="20"/>
              </w:rPr>
              <w:t> </w:t>
            </w:r>
            <w:r>
              <w:rPr>
                <w:sz w:val="20"/>
              </w:rPr>
              <w:t>qu'e</w:t>
            </w:r>
            <w:r>
              <w:rPr>
                <w:spacing w:val="-1"/>
                <w:sz w:val="20"/>
              </w:rPr>
              <w:t> </w:t>
            </w:r>
            <w:r>
              <w:rPr>
                <w:sz w:val="20"/>
              </w:rPr>
              <w:t>l’END</w:t>
            </w:r>
            <w:r>
              <w:rPr>
                <w:spacing w:val="-2"/>
                <w:sz w:val="20"/>
              </w:rPr>
              <w:t> </w:t>
            </w:r>
            <w:r>
              <w:rPr>
                <w:sz w:val="20"/>
              </w:rPr>
              <w:t>est</w:t>
            </w:r>
            <w:r>
              <w:rPr>
                <w:spacing w:val="-1"/>
                <w:sz w:val="20"/>
              </w:rPr>
              <w:t> </w:t>
            </w:r>
            <w:r>
              <w:rPr>
                <w:sz w:val="20"/>
              </w:rPr>
              <w:t>appelé à</w:t>
            </w:r>
            <w:r>
              <w:rPr>
                <w:spacing w:val="-1"/>
                <w:sz w:val="20"/>
              </w:rPr>
              <w:t> </w:t>
            </w:r>
            <w:r>
              <w:rPr>
                <w:sz w:val="20"/>
              </w:rPr>
              <w:t>exercer.</w:t>
            </w:r>
            <w:r>
              <w:rPr>
                <w:spacing w:val="-1"/>
                <w:sz w:val="20"/>
              </w:rPr>
              <w:t> </w:t>
            </w:r>
            <w:r>
              <w:rPr>
                <w:sz w:val="20"/>
              </w:rPr>
              <w:t>L'END</w:t>
            </w:r>
            <w:r>
              <w:rPr>
                <w:spacing w:val="-3"/>
                <w:sz w:val="20"/>
              </w:rPr>
              <w:t> </w:t>
            </w:r>
            <w:r>
              <w:rPr>
                <w:sz w:val="20"/>
              </w:rPr>
              <w:t>ressortissant</w:t>
            </w:r>
            <w:r>
              <w:rPr>
                <w:spacing w:val="-4"/>
                <w:sz w:val="20"/>
              </w:rPr>
              <w:t> </w:t>
            </w:r>
            <w:r>
              <w:rPr>
                <w:sz w:val="20"/>
              </w:rPr>
              <w:t>d'un</w:t>
            </w:r>
            <w:r>
              <w:rPr>
                <w:spacing w:val="-5"/>
                <w:sz w:val="20"/>
              </w:rPr>
              <w:t> </w:t>
            </w:r>
            <w:r>
              <w:rPr>
                <w:sz w:val="20"/>
              </w:rPr>
              <w:t>pays</w:t>
            </w:r>
            <w:r>
              <w:rPr>
                <w:spacing w:val="-4"/>
                <w:sz w:val="20"/>
              </w:rPr>
              <w:t> </w:t>
            </w:r>
            <w:r>
              <w:rPr>
                <w:sz w:val="20"/>
              </w:rPr>
              <w:t>tiers doit</w:t>
            </w:r>
            <w:r>
              <w:rPr>
                <w:spacing w:val="-6"/>
                <w:sz w:val="20"/>
              </w:rPr>
              <w:t> </w:t>
            </w:r>
            <w:r>
              <w:rPr>
                <w:sz w:val="20"/>
              </w:rPr>
              <w:t>justifier</w:t>
            </w:r>
            <w:r>
              <w:rPr>
                <w:spacing w:val="-5"/>
                <w:sz w:val="20"/>
              </w:rPr>
              <w:t> </w:t>
            </w:r>
            <w:r>
              <w:rPr>
                <w:sz w:val="20"/>
              </w:rPr>
              <w:t>posséder</w:t>
            </w:r>
            <w:r>
              <w:rPr>
                <w:spacing w:val="-4"/>
                <w:sz w:val="20"/>
              </w:rPr>
              <w:t> </w:t>
            </w:r>
            <w:r>
              <w:rPr>
                <w:sz w:val="20"/>
              </w:rPr>
              <w:t>une</w:t>
            </w:r>
            <w:r>
              <w:rPr>
                <w:spacing w:val="-5"/>
                <w:sz w:val="20"/>
              </w:rPr>
              <w:t> </w:t>
            </w:r>
            <w:r>
              <w:rPr>
                <w:sz w:val="20"/>
              </w:rPr>
              <w:t>connaissance</w:t>
            </w:r>
            <w:r>
              <w:rPr>
                <w:spacing w:val="-5"/>
                <w:sz w:val="20"/>
              </w:rPr>
              <w:t> </w:t>
            </w:r>
            <w:r>
              <w:rPr>
                <w:sz w:val="20"/>
              </w:rPr>
              <w:t>approfondie</w:t>
            </w:r>
            <w:r>
              <w:rPr>
                <w:spacing w:val="-8"/>
                <w:sz w:val="20"/>
              </w:rPr>
              <w:t> </w:t>
            </w:r>
            <w:r>
              <w:rPr>
                <w:sz w:val="20"/>
              </w:rPr>
              <w:t>d'une</w:t>
            </w:r>
            <w:r>
              <w:rPr>
                <w:spacing w:val="-7"/>
                <w:sz w:val="20"/>
              </w:rPr>
              <w:t> </w:t>
            </w:r>
            <w:r>
              <w:rPr>
                <w:sz w:val="20"/>
              </w:rPr>
              <w:t>langue</w:t>
            </w:r>
            <w:r>
              <w:rPr>
                <w:spacing w:val="-7"/>
                <w:sz w:val="20"/>
              </w:rPr>
              <w:t> </w:t>
            </w:r>
            <w:r>
              <w:rPr>
                <w:sz w:val="20"/>
              </w:rPr>
              <w:t>de</w:t>
            </w:r>
            <w:r>
              <w:rPr>
                <w:spacing w:val="-7"/>
                <w:sz w:val="20"/>
              </w:rPr>
              <w:t> </w:t>
            </w:r>
            <w:r>
              <w:rPr>
                <w:sz w:val="20"/>
              </w:rPr>
              <w:t>l'Union</w:t>
            </w:r>
            <w:r>
              <w:rPr>
                <w:spacing w:val="-8"/>
                <w:sz w:val="20"/>
              </w:rPr>
              <w:t> </w:t>
            </w:r>
            <w:r>
              <w:rPr>
                <w:sz w:val="20"/>
              </w:rPr>
              <w:t>européenne</w:t>
            </w:r>
            <w:r>
              <w:rPr>
                <w:spacing w:val="-7"/>
                <w:sz w:val="20"/>
              </w:rPr>
              <w:t> </w:t>
            </w:r>
            <w:r>
              <w:rPr>
                <w:sz w:val="20"/>
              </w:rPr>
              <w:t>nécessaire</w:t>
            </w:r>
            <w:r>
              <w:rPr>
                <w:spacing w:val="-7"/>
                <w:sz w:val="20"/>
              </w:rPr>
              <w:t> </w:t>
            </w:r>
            <w:r>
              <w:rPr>
                <w:sz w:val="20"/>
              </w:rPr>
              <w:t>à l’accomplissement des tâches qui lui sont confiées.</w:t>
            </w:r>
          </w:p>
        </w:tc>
      </w:tr>
      <w:tr>
        <w:trPr>
          <w:trHeight w:val="494"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before="139"/>
              <w:ind w:left="112"/>
              <w:rPr>
                <w:sz w:val="20"/>
              </w:rPr>
            </w:pPr>
            <w:r>
              <w:rPr>
                <w:sz w:val="20"/>
              </w:rPr>
              <w:t>b)</w:t>
            </w:r>
            <w:r>
              <w:rPr>
                <w:spacing w:val="68"/>
                <w:w w:val="150"/>
                <w:sz w:val="20"/>
              </w:rPr>
              <w:t> </w:t>
            </w:r>
            <w:r>
              <w:rPr>
                <w:sz w:val="20"/>
              </w:rPr>
              <w:t>Critères</w:t>
            </w:r>
            <w:r>
              <w:rPr>
                <w:spacing w:val="-4"/>
                <w:sz w:val="20"/>
              </w:rPr>
              <w:t> </w:t>
            </w:r>
            <w:r>
              <w:rPr>
                <w:sz w:val="20"/>
              </w:rPr>
              <w:t>de</w:t>
            </w:r>
            <w:r>
              <w:rPr>
                <w:spacing w:val="-2"/>
                <w:sz w:val="20"/>
              </w:rPr>
              <w:t> sélection</w:t>
            </w:r>
          </w:p>
        </w:tc>
      </w:tr>
      <w:tr>
        <w:trPr>
          <w:trHeight w:val="1670"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before="115"/>
              <w:ind w:left="112"/>
              <w:jc w:val="both"/>
              <w:rPr>
                <w:sz w:val="20"/>
              </w:rPr>
            </w:pPr>
            <w:r>
              <w:rPr>
                <w:spacing w:val="-2"/>
                <w:sz w:val="20"/>
              </w:rPr>
              <w:t>Diplôme</w:t>
            </w:r>
            <w:r>
              <w:rPr>
                <w:sz w:val="20"/>
              </w:rPr>
              <w:t> </w:t>
            </w:r>
            <w:r>
              <w:rPr>
                <w:spacing w:val="-10"/>
                <w:sz w:val="20"/>
              </w:rPr>
              <w:t>:</w:t>
            </w:r>
          </w:p>
          <w:p>
            <w:pPr>
              <w:pStyle w:val="TableParagraph"/>
              <w:spacing w:before="6"/>
              <w:ind w:left="429"/>
              <w:rPr>
                <w:sz w:val="20"/>
              </w:rPr>
            </w:pPr>
            <w:r>
              <w:rPr>
                <w:sz w:val="20"/>
              </w:rPr>
              <w:t>-</w:t>
            </w:r>
            <w:r>
              <w:rPr>
                <w:spacing w:val="-13"/>
                <w:sz w:val="20"/>
              </w:rPr>
              <w:t> </w:t>
            </w:r>
            <w:r>
              <w:rPr>
                <w:sz w:val="20"/>
              </w:rPr>
              <w:t>diplôme</w:t>
            </w:r>
            <w:r>
              <w:rPr>
                <w:spacing w:val="-8"/>
                <w:sz w:val="20"/>
              </w:rPr>
              <w:t> </w:t>
            </w:r>
            <w:r>
              <w:rPr>
                <w:sz w:val="20"/>
              </w:rPr>
              <w:t>universitaire</w:t>
            </w:r>
            <w:r>
              <w:rPr>
                <w:spacing w:val="-8"/>
                <w:sz w:val="20"/>
              </w:rPr>
              <w:t> </w:t>
            </w:r>
            <w:r>
              <w:rPr>
                <w:sz w:val="20"/>
              </w:rPr>
              <w:t>en</w:t>
            </w:r>
            <w:r>
              <w:rPr>
                <w:spacing w:val="-9"/>
                <w:sz w:val="20"/>
              </w:rPr>
              <w:t> </w:t>
            </w:r>
            <w:r>
              <w:rPr>
                <w:sz w:val="20"/>
              </w:rPr>
              <w:t>droit</w:t>
            </w:r>
            <w:r>
              <w:rPr>
                <w:spacing w:val="-10"/>
                <w:sz w:val="20"/>
              </w:rPr>
              <w:t> </w:t>
            </w:r>
            <w:r>
              <w:rPr>
                <w:sz w:val="20"/>
              </w:rPr>
              <w:t>(minimum</w:t>
            </w:r>
            <w:r>
              <w:rPr>
                <w:spacing w:val="-8"/>
                <w:sz w:val="20"/>
              </w:rPr>
              <w:t> </w:t>
            </w:r>
            <w:r>
              <w:rPr>
                <w:spacing w:val="-2"/>
                <w:sz w:val="20"/>
              </w:rPr>
              <w:t>maîtrise).</w:t>
            </w:r>
          </w:p>
          <w:p>
            <w:pPr>
              <w:pStyle w:val="TableParagraph"/>
              <w:spacing w:before="10"/>
              <w:rPr>
                <w:sz w:val="20"/>
              </w:rPr>
            </w:pPr>
          </w:p>
          <w:p>
            <w:pPr>
              <w:pStyle w:val="TableParagraph"/>
              <w:spacing w:line="244" w:lineRule="auto"/>
              <w:ind w:left="112" w:right="1415"/>
              <w:jc w:val="both"/>
              <w:rPr>
                <w:sz w:val="20"/>
              </w:rPr>
            </w:pPr>
            <w:r>
              <w:rPr>
                <w:sz w:val="20"/>
              </w:rPr>
              <w:t>Exigences: l’END doit avoir une bonne connaissance du rôle et du fonctionnement de la Commission,</w:t>
            </w:r>
            <w:r>
              <w:rPr>
                <w:spacing w:val="-5"/>
                <w:sz w:val="20"/>
              </w:rPr>
              <w:t> </w:t>
            </w:r>
            <w:r>
              <w:rPr>
                <w:sz w:val="20"/>
              </w:rPr>
              <w:t>de</w:t>
            </w:r>
            <w:r>
              <w:rPr>
                <w:spacing w:val="-5"/>
                <w:sz w:val="20"/>
              </w:rPr>
              <w:t> </w:t>
            </w:r>
            <w:r>
              <w:rPr>
                <w:sz w:val="20"/>
              </w:rPr>
              <w:t>même</w:t>
            </w:r>
            <w:r>
              <w:rPr>
                <w:spacing w:val="-5"/>
                <w:sz w:val="20"/>
              </w:rPr>
              <w:t> </w:t>
            </w:r>
            <w:r>
              <w:rPr>
                <w:sz w:val="20"/>
              </w:rPr>
              <w:t>que</w:t>
            </w:r>
            <w:r>
              <w:rPr>
                <w:spacing w:val="-5"/>
                <w:sz w:val="20"/>
              </w:rPr>
              <w:t> </w:t>
            </w:r>
            <w:r>
              <w:rPr>
                <w:sz w:val="20"/>
              </w:rPr>
              <w:t>des</w:t>
            </w:r>
            <w:r>
              <w:rPr>
                <w:spacing w:val="-5"/>
                <w:sz w:val="20"/>
              </w:rPr>
              <w:t> </w:t>
            </w:r>
            <w:r>
              <w:rPr>
                <w:sz w:val="20"/>
              </w:rPr>
              <w:t>procédures</w:t>
            </w:r>
            <w:r>
              <w:rPr>
                <w:spacing w:val="-5"/>
                <w:sz w:val="20"/>
              </w:rPr>
              <w:t> </w:t>
            </w:r>
            <w:r>
              <w:rPr>
                <w:sz w:val="20"/>
              </w:rPr>
              <w:t>décisionnelles</w:t>
            </w:r>
            <w:r>
              <w:rPr>
                <w:spacing w:val="-5"/>
                <w:sz w:val="20"/>
              </w:rPr>
              <w:t> </w:t>
            </w:r>
            <w:r>
              <w:rPr>
                <w:sz w:val="20"/>
              </w:rPr>
              <w:t>prévues</w:t>
            </w:r>
            <w:r>
              <w:rPr>
                <w:spacing w:val="-5"/>
                <w:sz w:val="20"/>
              </w:rPr>
              <w:t> </w:t>
            </w:r>
            <w:r>
              <w:rPr>
                <w:sz w:val="20"/>
              </w:rPr>
              <w:t>par</w:t>
            </w:r>
            <w:r>
              <w:rPr>
                <w:spacing w:val="-5"/>
                <w:sz w:val="20"/>
              </w:rPr>
              <w:t> </w:t>
            </w:r>
            <w:r>
              <w:rPr>
                <w:sz w:val="20"/>
              </w:rPr>
              <w:t>les</w:t>
            </w:r>
            <w:r>
              <w:rPr>
                <w:spacing w:val="-8"/>
                <w:sz w:val="20"/>
              </w:rPr>
              <w:t> </w:t>
            </w:r>
            <w:r>
              <w:rPr>
                <w:sz w:val="20"/>
              </w:rPr>
              <w:t>Traités.</w:t>
            </w:r>
            <w:r>
              <w:rPr>
                <w:spacing w:val="-7"/>
                <w:sz w:val="20"/>
              </w:rPr>
              <w:t> </w:t>
            </w:r>
            <w:r>
              <w:rPr>
                <w:sz w:val="20"/>
              </w:rPr>
              <w:t>Il/Elle</w:t>
            </w:r>
            <w:r>
              <w:rPr>
                <w:spacing w:val="-7"/>
                <w:sz w:val="20"/>
              </w:rPr>
              <w:t> </w:t>
            </w:r>
            <w:r>
              <w:rPr>
                <w:sz w:val="20"/>
              </w:rPr>
              <w:t>doit avoir de bonnes capacités rédactionnelles et de communication.</w:t>
            </w:r>
          </w:p>
        </w:tc>
      </w:tr>
      <w:tr>
        <w:trPr>
          <w:trHeight w:val="753" w:hRule="atLeast"/>
        </w:trPr>
        <w:tc>
          <w:tcPr>
            <w:tcW w:w="394" w:type="dxa"/>
            <w:tcBorders>
              <w:left w:val="single" w:sz="4" w:space="0" w:color="000000"/>
            </w:tcBorders>
          </w:tcPr>
          <w:p>
            <w:pPr>
              <w:pStyle w:val="TableParagraph"/>
              <w:rPr>
                <w:sz w:val="18"/>
              </w:rPr>
            </w:pPr>
          </w:p>
        </w:tc>
        <w:tc>
          <w:tcPr>
            <w:tcW w:w="8930" w:type="dxa"/>
            <w:tcBorders>
              <w:right w:val="single" w:sz="4" w:space="0" w:color="000000"/>
            </w:tcBorders>
          </w:tcPr>
          <w:p>
            <w:pPr>
              <w:pStyle w:val="TableParagraph"/>
              <w:spacing w:before="140"/>
              <w:ind w:left="112"/>
              <w:rPr>
                <w:sz w:val="20"/>
              </w:rPr>
            </w:pPr>
            <w:r>
              <w:rPr>
                <w:spacing w:val="-2"/>
                <w:sz w:val="20"/>
              </w:rPr>
              <w:t>Expérience</w:t>
            </w:r>
            <w:r>
              <w:rPr>
                <w:spacing w:val="6"/>
                <w:sz w:val="20"/>
              </w:rPr>
              <w:t> </w:t>
            </w:r>
            <w:r>
              <w:rPr>
                <w:spacing w:val="-2"/>
                <w:sz w:val="20"/>
              </w:rPr>
              <w:t>professionnelle</w:t>
            </w:r>
            <w:r>
              <w:rPr>
                <w:spacing w:val="7"/>
                <w:sz w:val="20"/>
              </w:rPr>
              <w:t> </w:t>
            </w:r>
            <w:r>
              <w:rPr>
                <w:spacing w:val="-10"/>
                <w:sz w:val="20"/>
              </w:rPr>
              <w:t>:</w:t>
            </w:r>
          </w:p>
          <w:p>
            <w:pPr>
              <w:pStyle w:val="TableParagraph"/>
              <w:spacing w:before="5"/>
              <w:ind w:left="112"/>
              <w:rPr>
                <w:sz w:val="20"/>
              </w:rPr>
            </w:pPr>
            <w:r>
              <w:rPr>
                <w:sz w:val="20"/>
              </w:rPr>
              <w:t>Avoir</w:t>
            </w:r>
            <w:r>
              <w:rPr>
                <w:spacing w:val="-11"/>
                <w:sz w:val="20"/>
              </w:rPr>
              <w:t> </w:t>
            </w:r>
            <w:r>
              <w:rPr>
                <w:sz w:val="20"/>
              </w:rPr>
              <w:t>une</w:t>
            </w:r>
            <w:r>
              <w:rPr>
                <w:spacing w:val="-10"/>
                <w:sz w:val="20"/>
              </w:rPr>
              <w:t> </w:t>
            </w:r>
            <w:r>
              <w:rPr>
                <w:sz w:val="20"/>
              </w:rPr>
              <w:t>expérience</w:t>
            </w:r>
            <w:r>
              <w:rPr>
                <w:spacing w:val="-10"/>
                <w:sz w:val="20"/>
              </w:rPr>
              <w:t> </w:t>
            </w:r>
            <w:r>
              <w:rPr>
                <w:sz w:val="20"/>
              </w:rPr>
              <w:t>professionnelle</w:t>
            </w:r>
            <w:r>
              <w:rPr>
                <w:spacing w:val="-10"/>
                <w:sz w:val="20"/>
              </w:rPr>
              <w:t> </w:t>
            </w:r>
            <w:r>
              <w:rPr>
                <w:sz w:val="20"/>
              </w:rPr>
              <w:t>relative</w:t>
            </w:r>
            <w:r>
              <w:rPr>
                <w:spacing w:val="-10"/>
                <w:sz w:val="20"/>
              </w:rPr>
              <w:t> </w:t>
            </w:r>
            <w:r>
              <w:rPr>
                <w:sz w:val="20"/>
              </w:rPr>
              <w:t>aux</w:t>
            </w:r>
            <w:r>
              <w:rPr>
                <w:spacing w:val="-11"/>
                <w:sz w:val="20"/>
              </w:rPr>
              <w:t> </w:t>
            </w:r>
            <w:r>
              <w:rPr>
                <w:sz w:val="20"/>
              </w:rPr>
              <w:t>domaines</w:t>
            </w:r>
            <w:r>
              <w:rPr>
                <w:spacing w:val="-11"/>
                <w:sz w:val="20"/>
              </w:rPr>
              <w:t> </w:t>
            </w:r>
            <w:r>
              <w:rPr>
                <w:sz w:val="20"/>
              </w:rPr>
              <w:t>traités</w:t>
            </w:r>
            <w:r>
              <w:rPr>
                <w:spacing w:val="-10"/>
                <w:sz w:val="20"/>
              </w:rPr>
              <w:t> </w:t>
            </w:r>
            <w:r>
              <w:rPr>
                <w:sz w:val="20"/>
              </w:rPr>
              <w:t>par</w:t>
            </w:r>
            <w:r>
              <w:rPr>
                <w:spacing w:val="-10"/>
                <w:sz w:val="20"/>
              </w:rPr>
              <w:t> </w:t>
            </w:r>
            <w:r>
              <w:rPr>
                <w:sz w:val="20"/>
              </w:rPr>
              <w:t>l'Equipe</w:t>
            </w:r>
            <w:r>
              <w:rPr>
                <w:spacing w:val="-10"/>
                <w:sz w:val="20"/>
              </w:rPr>
              <w:t> </w:t>
            </w:r>
            <w:r>
              <w:rPr>
                <w:sz w:val="20"/>
              </w:rPr>
              <w:t>EEI</w:t>
            </w:r>
            <w:r>
              <w:rPr>
                <w:spacing w:val="-12"/>
                <w:sz w:val="20"/>
              </w:rPr>
              <w:t> </w:t>
            </w:r>
            <w:r>
              <w:rPr>
                <w:sz w:val="20"/>
              </w:rPr>
              <w:t>est</w:t>
            </w:r>
            <w:r>
              <w:rPr>
                <w:spacing w:val="-11"/>
                <w:sz w:val="20"/>
              </w:rPr>
              <w:t> </w:t>
            </w:r>
            <w:r>
              <w:rPr>
                <w:spacing w:val="-2"/>
                <w:sz w:val="20"/>
              </w:rPr>
              <w:t>important.</w:t>
            </w:r>
          </w:p>
        </w:tc>
      </w:tr>
      <w:tr>
        <w:trPr>
          <w:trHeight w:val="1180" w:hRule="atLeast"/>
        </w:trPr>
        <w:tc>
          <w:tcPr>
            <w:tcW w:w="394" w:type="dxa"/>
            <w:tcBorders>
              <w:left w:val="single" w:sz="4" w:space="0" w:color="000000"/>
              <w:bottom w:val="single" w:sz="4" w:space="0" w:color="000000"/>
            </w:tcBorders>
          </w:tcPr>
          <w:p>
            <w:pPr>
              <w:pStyle w:val="TableParagraph"/>
              <w:rPr>
                <w:sz w:val="18"/>
              </w:rPr>
            </w:pPr>
          </w:p>
        </w:tc>
        <w:tc>
          <w:tcPr>
            <w:tcW w:w="8930" w:type="dxa"/>
            <w:tcBorders>
              <w:bottom w:val="single" w:sz="4" w:space="0" w:color="000000"/>
              <w:right w:val="single" w:sz="4" w:space="0" w:color="000000"/>
            </w:tcBorders>
          </w:tcPr>
          <w:p>
            <w:pPr>
              <w:pStyle w:val="TableParagraph"/>
              <w:spacing w:before="139"/>
              <w:ind w:left="112"/>
              <w:rPr>
                <w:sz w:val="20"/>
              </w:rPr>
            </w:pPr>
            <w:r>
              <w:rPr>
                <w:spacing w:val="-2"/>
                <w:sz w:val="20"/>
              </w:rPr>
              <w:t>Langue(s)</w:t>
            </w:r>
            <w:r>
              <w:rPr>
                <w:spacing w:val="3"/>
                <w:sz w:val="20"/>
              </w:rPr>
              <w:t> </w:t>
            </w:r>
            <w:r>
              <w:rPr>
                <w:spacing w:val="-2"/>
                <w:sz w:val="20"/>
              </w:rPr>
              <w:t>nécessaire(s)</w:t>
            </w:r>
            <w:r>
              <w:rPr>
                <w:spacing w:val="4"/>
                <w:sz w:val="20"/>
              </w:rPr>
              <w:t> </w:t>
            </w:r>
            <w:r>
              <w:rPr>
                <w:spacing w:val="-2"/>
                <w:sz w:val="20"/>
              </w:rPr>
              <w:t>pour</w:t>
            </w:r>
            <w:r>
              <w:rPr>
                <w:spacing w:val="3"/>
                <w:sz w:val="20"/>
              </w:rPr>
              <w:t> </w:t>
            </w:r>
            <w:r>
              <w:rPr>
                <w:spacing w:val="-2"/>
                <w:sz w:val="20"/>
              </w:rPr>
              <w:t>l'accomplissement</w:t>
            </w:r>
            <w:r>
              <w:rPr>
                <w:spacing w:val="3"/>
                <w:sz w:val="20"/>
              </w:rPr>
              <w:t> </w:t>
            </w:r>
            <w:r>
              <w:rPr>
                <w:spacing w:val="-2"/>
                <w:sz w:val="20"/>
              </w:rPr>
              <w:t>des</w:t>
            </w:r>
            <w:r>
              <w:rPr>
                <w:spacing w:val="3"/>
                <w:sz w:val="20"/>
              </w:rPr>
              <w:t> </w:t>
            </w:r>
            <w:r>
              <w:rPr>
                <w:spacing w:val="-2"/>
                <w:sz w:val="20"/>
              </w:rPr>
              <w:t>tâches</w:t>
            </w:r>
            <w:r>
              <w:rPr>
                <w:spacing w:val="4"/>
                <w:sz w:val="20"/>
              </w:rPr>
              <w:t> </w:t>
            </w:r>
            <w:r>
              <w:rPr>
                <w:spacing w:val="-10"/>
                <w:sz w:val="20"/>
              </w:rPr>
              <w:t>:</w:t>
            </w:r>
          </w:p>
          <w:p>
            <w:pPr>
              <w:pStyle w:val="TableParagraph"/>
              <w:spacing w:line="244" w:lineRule="auto" w:before="106"/>
              <w:ind w:left="112"/>
              <w:rPr>
                <w:sz w:val="20"/>
              </w:rPr>
            </w:pPr>
            <w:r>
              <w:rPr>
                <w:sz w:val="20"/>
              </w:rPr>
              <w:t>Une</w:t>
            </w:r>
            <w:r>
              <w:rPr>
                <w:spacing w:val="20"/>
                <w:sz w:val="20"/>
              </w:rPr>
              <w:t> </w:t>
            </w:r>
            <w:r>
              <w:rPr>
                <w:sz w:val="20"/>
              </w:rPr>
              <w:t>excellente</w:t>
            </w:r>
            <w:r>
              <w:rPr>
                <w:spacing w:val="20"/>
                <w:sz w:val="20"/>
              </w:rPr>
              <w:t> </w:t>
            </w:r>
            <w:r>
              <w:rPr>
                <w:sz w:val="20"/>
              </w:rPr>
              <w:t>connaissance</w:t>
            </w:r>
            <w:r>
              <w:rPr>
                <w:spacing w:val="20"/>
                <w:sz w:val="20"/>
              </w:rPr>
              <w:t> </w:t>
            </w:r>
            <w:r>
              <w:rPr>
                <w:sz w:val="20"/>
              </w:rPr>
              <w:t>de</w:t>
            </w:r>
            <w:r>
              <w:rPr>
                <w:spacing w:val="20"/>
                <w:sz w:val="20"/>
              </w:rPr>
              <w:t> </w:t>
            </w:r>
            <w:r>
              <w:rPr>
                <w:sz w:val="20"/>
              </w:rPr>
              <w:t>l'anglais</w:t>
            </w:r>
            <w:r>
              <w:rPr>
                <w:spacing w:val="19"/>
                <w:sz w:val="20"/>
              </w:rPr>
              <w:t> </w:t>
            </w:r>
            <w:r>
              <w:rPr>
                <w:sz w:val="20"/>
              </w:rPr>
              <w:t>est</w:t>
            </w:r>
            <w:r>
              <w:rPr>
                <w:spacing w:val="19"/>
                <w:sz w:val="20"/>
              </w:rPr>
              <w:t> </w:t>
            </w:r>
            <w:r>
              <w:rPr>
                <w:sz w:val="20"/>
              </w:rPr>
              <w:t>indispensable.</w:t>
            </w:r>
            <w:r>
              <w:rPr>
                <w:spacing w:val="20"/>
                <w:sz w:val="20"/>
              </w:rPr>
              <w:t> </w:t>
            </w:r>
            <w:r>
              <w:rPr>
                <w:sz w:val="20"/>
              </w:rPr>
              <w:t>Une</w:t>
            </w:r>
            <w:r>
              <w:rPr>
                <w:spacing w:val="20"/>
                <w:sz w:val="20"/>
              </w:rPr>
              <w:t> </w:t>
            </w:r>
            <w:r>
              <w:rPr>
                <w:sz w:val="20"/>
              </w:rPr>
              <w:t>bonne connaissance</w:t>
            </w:r>
            <w:r>
              <w:rPr>
                <w:spacing w:val="18"/>
                <w:sz w:val="20"/>
              </w:rPr>
              <w:t> </w:t>
            </w:r>
            <w:r>
              <w:rPr>
                <w:sz w:val="20"/>
              </w:rPr>
              <w:t>du français ou d’une autre langue de l’UE est souhaitable.</w:t>
            </w:r>
          </w:p>
        </w:tc>
      </w:tr>
    </w:tbl>
    <w:p>
      <w:pPr>
        <w:spacing w:after="0" w:line="244" w:lineRule="auto"/>
        <w:rPr>
          <w:sz w:val="20"/>
        </w:rPr>
        <w:sectPr>
          <w:pgSz w:w="11910" w:h="16840"/>
          <w:pgMar w:header="711" w:footer="743" w:top="1420" w:bottom="940" w:left="1580" w:right="780"/>
        </w:sectPr>
      </w:pPr>
    </w:p>
    <w:p>
      <w:pPr>
        <w:pStyle w:val="BodyText"/>
        <w:spacing w:before="5"/>
        <w:rPr>
          <w:sz w:val="25"/>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5" w:hRule="atLeast"/>
        </w:trPr>
        <w:tc>
          <w:tcPr>
            <w:tcW w:w="394" w:type="dxa"/>
          </w:tcPr>
          <w:p>
            <w:pPr>
              <w:pStyle w:val="TableParagraph"/>
              <w:spacing w:line="210" w:lineRule="exact" w:before="5"/>
              <w:ind w:left="107"/>
              <w:rPr>
                <w:b/>
                <w:sz w:val="20"/>
              </w:rPr>
            </w:pPr>
            <w:r>
              <w:rPr>
                <w:b/>
                <w:w w:val="99"/>
                <w:sz w:val="20"/>
              </w:rPr>
              <w:t>3</w:t>
            </w:r>
          </w:p>
        </w:tc>
        <w:tc>
          <w:tcPr>
            <w:tcW w:w="8930" w:type="dxa"/>
          </w:tcPr>
          <w:p>
            <w:pPr>
              <w:pStyle w:val="TableParagraph"/>
              <w:spacing w:line="210" w:lineRule="exact" w:before="5"/>
              <w:ind w:left="107"/>
              <w:rPr>
                <w:b/>
                <w:sz w:val="20"/>
              </w:rPr>
            </w:pPr>
            <w:r>
              <w:rPr>
                <w:b/>
                <w:spacing w:val="-2"/>
                <w:sz w:val="20"/>
              </w:rPr>
              <w:t>Soumission</w:t>
            </w:r>
            <w:r>
              <w:rPr>
                <w:b/>
                <w:spacing w:val="-9"/>
                <w:sz w:val="20"/>
              </w:rPr>
              <w:t> </w:t>
            </w:r>
            <w:r>
              <w:rPr>
                <w:b/>
                <w:spacing w:val="-2"/>
                <w:sz w:val="20"/>
              </w:rPr>
              <w:t>des</w:t>
            </w:r>
            <w:r>
              <w:rPr>
                <w:b/>
                <w:spacing w:val="-7"/>
                <w:sz w:val="20"/>
              </w:rPr>
              <w:t> </w:t>
            </w:r>
            <w:r>
              <w:rPr>
                <w:b/>
                <w:spacing w:val="-2"/>
                <w:sz w:val="20"/>
              </w:rPr>
              <w:t>candidatures</w:t>
            </w:r>
            <w:r>
              <w:rPr>
                <w:b/>
                <w:spacing w:val="-6"/>
                <w:sz w:val="20"/>
              </w:rPr>
              <w:t> </w:t>
            </w:r>
            <w:r>
              <w:rPr>
                <w:b/>
                <w:spacing w:val="-2"/>
                <w:sz w:val="20"/>
              </w:rPr>
              <w:t>et</w:t>
            </w:r>
            <w:r>
              <w:rPr>
                <w:b/>
                <w:spacing w:val="-5"/>
                <w:sz w:val="20"/>
              </w:rPr>
              <w:t> </w:t>
            </w:r>
            <w:r>
              <w:rPr>
                <w:b/>
                <w:spacing w:val="-2"/>
                <w:sz w:val="20"/>
              </w:rPr>
              <w:t>procédure</w:t>
            </w:r>
            <w:r>
              <w:rPr>
                <w:b/>
                <w:spacing w:val="-6"/>
                <w:sz w:val="20"/>
              </w:rPr>
              <w:t> </w:t>
            </w:r>
            <w:r>
              <w:rPr>
                <w:b/>
                <w:spacing w:val="-2"/>
                <w:sz w:val="20"/>
              </w:rPr>
              <w:t>de</w:t>
            </w:r>
            <w:r>
              <w:rPr>
                <w:b/>
                <w:spacing w:val="-6"/>
                <w:sz w:val="20"/>
              </w:rPr>
              <w:t> </w:t>
            </w:r>
            <w:r>
              <w:rPr>
                <w:b/>
                <w:spacing w:val="-2"/>
                <w:sz w:val="20"/>
              </w:rPr>
              <w:t>sélection</w:t>
            </w:r>
          </w:p>
        </w:tc>
      </w:tr>
      <w:tr>
        <w:trPr>
          <w:trHeight w:val="2133" w:hRule="atLeast"/>
        </w:trPr>
        <w:tc>
          <w:tcPr>
            <w:tcW w:w="9324" w:type="dxa"/>
            <w:gridSpan w:val="2"/>
            <w:tcBorders>
              <w:bottom w:val="nil"/>
            </w:tcBorders>
          </w:tcPr>
          <w:p>
            <w:pPr>
              <w:pStyle w:val="TableParagraph"/>
              <w:spacing w:before="10"/>
              <w:rPr>
                <w:sz w:val="20"/>
              </w:rPr>
            </w:pPr>
          </w:p>
          <w:p>
            <w:pPr>
              <w:pStyle w:val="TableParagraph"/>
              <w:spacing w:line="247" w:lineRule="auto"/>
              <w:ind w:left="501" w:right="271"/>
              <w:jc w:val="both"/>
              <w:rPr>
                <w:sz w:val="20"/>
              </w:rPr>
            </w:pPr>
            <w:r>
              <w:rPr>
                <w:sz w:val="20"/>
              </w:rPr>
              <w:t>Les candidats doivent envoyer leur candidature sous format </w:t>
            </w:r>
            <w:r>
              <w:rPr>
                <w:b/>
                <w:sz w:val="20"/>
              </w:rPr>
              <w:t>CV Europass </w:t>
            </w:r>
            <w:r>
              <w:rPr>
                <w:sz w:val="20"/>
              </w:rPr>
              <w:t>(</w:t>
            </w:r>
            <w:hyperlink r:id="rId9">
              <w:r>
                <w:rPr>
                  <w:color w:val="0000FF"/>
                  <w:sz w:val="20"/>
                  <w:u w:val="single" w:color="0000FF"/>
                </w:rPr>
                <w:t>http://europass.cedefop.europa.eu/fr/documents/curriculum-vitae</w:t>
              </w:r>
            </w:hyperlink>
            <w:r>
              <w:rPr>
                <w:sz w:val="20"/>
              </w:rPr>
              <w:t>) en français, anglais ou allemand </w:t>
            </w:r>
            <w:r>
              <w:rPr>
                <w:b/>
                <w:sz w:val="20"/>
                <w:u w:val="single"/>
              </w:rPr>
              <w:t>uniquement</w:t>
            </w:r>
            <w:r>
              <w:rPr>
                <w:b/>
                <w:spacing w:val="-4"/>
                <w:sz w:val="20"/>
                <w:u w:val="single"/>
              </w:rPr>
              <w:t> </w:t>
            </w:r>
            <w:r>
              <w:rPr>
                <w:b/>
                <w:sz w:val="20"/>
                <w:u w:val="single"/>
              </w:rPr>
              <w:t>à</w:t>
            </w:r>
            <w:r>
              <w:rPr>
                <w:b/>
                <w:spacing w:val="-5"/>
                <w:sz w:val="20"/>
                <w:u w:val="single"/>
              </w:rPr>
              <w:t> </w:t>
            </w:r>
            <w:r>
              <w:rPr>
                <w:b/>
                <w:sz w:val="20"/>
                <w:u w:val="single"/>
              </w:rPr>
              <w:t>la</w:t>
            </w:r>
            <w:r>
              <w:rPr>
                <w:b/>
                <w:spacing w:val="-5"/>
                <w:sz w:val="20"/>
                <w:u w:val="single"/>
              </w:rPr>
              <w:t> </w:t>
            </w:r>
            <w:r>
              <w:rPr>
                <w:b/>
                <w:sz w:val="20"/>
                <w:u w:val="single"/>
              </w:rPr>
              <w:t>Représentation</w:t>
            </w:r>
            <w:r>
              <w:rPr>
                <w:b/>
                <w:spacing w:val="-7"/>
                <w:sz w:val="20"/>
                <w:u w:val="single"/>
              </w:rPr>
              <w:t> </w:t>
            </w:r>
            <w:r>
              <w:rPr>
                <w:b/>
                <w:sz w:val="20"/>
                <w:u w:val="single"/>
              </w:rPr>
              <w:t>Permanente</w:t>
            </w:r>
            <w:r>
              <w:rPr>
                <w:b/>
                <w:spacing w:val="-6"/>
                <w:sz w:val="20"/>
                <w:u w:val="single"/>
              </w:rPr>
              <w:t> </w:t>
            </w:r>
            <w:r>
              <w:rPr>
                <w:b/>
                <w:sz w:val="20"/>
                <w:u w:val="single"/>
              </w:rPr>
              <w:t>/</w:t>
            </w:r>
            <w:r>
              <w:rPr>
                <w:b/>
                <w:spacing w:val="-6"/>
                <w:sz w:val="20"/>
                <w:u w:val="single"/>
              </w:rPr>
              <w:t> </w:t>
            </w:r>
            <w:r>
              <w:rPr>
                <w:b/>
                <w:sz w:val="20"/>
                <w:u w:val="single"/>
              </w:rPr>
              <w:t>Mission</w:t>
            </w:r>
            <w:r>
              <w:rPr>
                <w:b/>
                <w:spacing w:val="-8"/>
                <w:sz w:val="20"/>
                <w:u w:val="single"/>
              </w:rPr>
              <w:t> </w:t>
            </w:r>
            <w:r>
              <w:rPr>
                <w:b/>
                <w:sz w:val="20"/>
                <w:u w:val="single"/>
              </w:rPr>
              <w:t>diplomatique</w:t>
            </w:r>
            <w:r>
              <w:rPr>
                <w:b/>
                <w:spacing w:val="-6"/>
                <w:sz w:val="20"/>
                <w:u w:val="single"/>
              </w:rPr>
              <w:t> </w:t>
            </w:r>
            <w:r>
              <w:rPr>
                <w:b/>
                <w:sz w:val="20"/>
                <w:u w:val="single"/>
              </w:rPr>
              <w:t>de</w:t>
            </w:r>
            <w:r>
              <w:rPr>
                <w:b/>
                <w:spacing w:val="-6"/>
                <w:sz w:val="20"/>
                <w:u w:val="single"/>
              </w:rPr>
              <w:t> </w:t>
            </w:r>
            <w:r>
              <w:rPr>
                <w:b/>
                <w:sz w:val="20"/>
                <w:u w:val="single"/>
              </w:rPr>
              <w:t>leur</w:t>
            </w:r>
            <w:r>
              <w:rPr>
                <w:b/>
                <w:spacing w:val="-6"/>
                <w:sz w:val="20"/>
                <w:u w:val="single"/>
              </w:rPr>
              <w:t> </w:t>
            </w:r>
            <w:r>
              <w:rPr>
                <w:b/>
                <w:sz w:val="20"/>
                <w:u w:val="single"/>
              </w:rPr>
              <w:t>pays</w:t>
            </w:r>
            <w:r>
              <w:rPr>
                <w:b/>
                <w:spacing w:val="-7"/>
                <w:sz w:val="20"/>
                <w:u w:val="single"/>
              </w:rPr>
              <w:t> </w:t>
            </w:r>
            <w:r>
              <w:rPr>
                <w:b/>
                <w:sz w:val="20"/>
                <w:u w:val="single"/>
              </w:rPr>
              <w:t>auprès</w:t>
            </w:r>
            <w:r>
              <w:rPr>
                <w:b/>
                <w:spacing w:val="-7"/>
                <w:sz w:val="20"/>
                <w:u w:val="single"/>
              </w:rPr>
              <w:t> </w:t>
            </w:r>
            <w:r>
              <w:rPr>
                <w:b/>
                <w:sz w:val="20"/>
                <w:u w:val="single"/>
              </w:rPr>
              <w:t>de l'UE</w:t>
            </w:r>
            <w:r>
              <w:rPr>
                <w:sz w:val="20"/>
              </w:rPr>
              <w:t>,</w:t>
            </w:r>
            <w:r>
              <w:rPr>
                <w:spacing w:val="-5"/>
                <w:sz w:val="20"/>
              </w:rPr>
              <w:t> </w:t>
            </w:r>
            <w:r>
              <w:rPr>
                <w:sz w:val="20"/>
              </w:rPr>
              <w:t>qui transmettra les candidatures aux services de la Commission compétents dans les délais fixés par ces derniers.</w:t>
            </w:r>
            <w:r>
              <w:rPr>
                <w:spacing w:val="-4"/>
                <w:sz w:val="20"/>
              </w:rPr>
              <w:t> </w:t>
            </w:r>
            <w:r>
              <w:rPr>
                <w:b/>
                <w:sz w:val="20"/>
              </w:rPr>
              <w:t>Le</w:t>
            </w:r>
            <w:r>
              <w:rPr>
                <w:b/>
                <w:spacing w:val="-4"/>
                <w:sz w:val="20"/>
              </w:rPr>
              <w:t> </w:t>
            </w:r>
            <w:r>
              <w:rPr>
                <w:b/>
                <w:sz w:val="20"/>
              </w:rPr>
              <w:t>non</w:t>
            </w:r>
            <w:r>
              <w:rPr>
                <w:b/>
                <w:spacing w:val="-7"/>
                <w:sz w:val="20"/>
              </w:rPr>
              <w:t> </w:t>
            </w:r>
            <w:r>
              <w:rPr>
                <w:b/>
                <w:sz w:val="20"/>
              </w:rPr>
              <w:t>respect</w:t>
            </w:r>
            <w:r>
              <w:rPr>
                <w:b/>
                <w:spacing w:val="-6"/>
                <w:sz w:val="20"/>
              </w:rPr>
              <w:t> </w:t>
            </w:r>
            <w:r>
              <w:rPr>
                <w:b/>
                <w:sz w:val="20"/>
              </w:rPr>
              <w:t>de</w:t>
            </w:r>
            <w:r>
              <w:rPr>
                <w:b/>
                <w:spacing w:val="-6"/>
                <w:sz w:val="20"/>
              </w:rPr>
              <w:t> </w:t>
            </w:r>
            <w:r>
              <w:rPr>
                <w:b/>
                <w:sz w:val="20"/>
              </w:rPr>
              <w:t>cette</w:t>
            </w:r>
            <w:r>
              <w:rPr>
                <w:b/>
                <w:spacing w:val="-6"/>
                <w:sz w:val="20"/>
              </w:rPr>
              <w:t> </w:t>
            </w:r>
            <w:r>
              <w:rPr>
                <w:b/>
                <w:sz w:val="20"/>
              </w:rPr>
              <w:t>procédure</w:t>
            </w:r>
            <w:r>
              <w:rPr>
                <w:b/>
                <w:spacing w:val="-6"/>
                <w:sz w:val="20"/>
              </w:rPr>
              <w:t> </w:t>
            </w:r>
            <w:r>
              <w:rPr>
                <w:b/>
                <w:sz w:val="20"/>
              </w:rPr>
              <w:t>ou</w:t>
            </w:r>
            <w:r>
              <w:rPr>
                <w:b/>
                <w:spacing w:val="-9"/>
                <w:sz w:val="20"/>
              </w:rPr>
              <w:t> </w:t>
            </w:r>
            <w:r>
              <w:rPr>
                <w:b/>
                <w:sz w:val="20"/>
              </w:rPr>
              <w:t>des</w:t>
            </w:r>
            <w:r>
              <w:rPr>
                <w:b/>
                <w:spacing w:val="-6"/>
                <w:sz w:val="20"/>
              </w:rPr>
              <w:t> </w:t>
            </w:r>
            <w:r>
              <w:rPr>
                <w:b/>
                <w:sz w:val="20"/>
              </w:rPr>
              <w:t>délais</w:t>
            </w:r>
            <w:r>
              <w:rPr>
                <w:b/>
                <w:spacing w:val="-3"/>
                <w:sz w:val="20"/>
              </w:rPr>
              <w:t> </w:t>
            </w:r>
            <w:r>
              <w:rPr>
                <w:b/>
                <w:sz w:val="20"/>
              </w:rPr>
              <w:t>invalidera</w:t>
            </w:r>
            <w:r>
              <w:rPr>
                <w:b/>
                <w:spacing w:val="-7"/>
                <w:sz w:val="20"/>
              </w:rPr>
              <w:t> </w:t>
            </w:r>
            <w:r>
              <w:rPr>
                <w:b/>
                <w:sz w:val="20"/>
              </w:rPr>
              <w:t>automatiquement</w:t>
            </w:r>
            <w:r>
              <w:rPr>
                <w:b/>
                <w:spacing w:val="-4"/>
                <w:sz w:val="20"/>
              </w:rPr>
              <w:t> </w:t>
            </w:r>
            <w:r>
              <w:rPr>
                <w:b/>
                <w:sz w:val="20"/>
              </w:rPr>
              <w:t>la</w:t>
            </w:r>
            <w:r>
              <w:rPr>
                <w:b/>
                <w:spacing w:val="-7"/>
                <w:sz w:val="20"/>
              </w:rPr>
              <w:t> </w:t>
            </w:r>
            <w:r>
              <w:rPr>
                <w:b/>
                <w:sz w:val="20"/>
              </w:rPr>
              <w:t>candidature. </w:t>
            </w:r>
            <w:r>
              <w:rPr>
                <w:sz w:val="20"/>
              </w:rPr>
              <w:t>Les candidats sont priés de ne pas joindre à leur candidature d'autres documents (tels que copie de carte d'identité,</w:t>
            </w:r>
            <w:r>
              <w:rPr>
                <w:spacing w:val="9"/>
                <w:sz w:val="20"/>
              </w:rPr>
              <w:t> </w:t>
            </w:r>
            <w:r>
              <w:rPr>
                <w:sz w:val="20"/>
              </w:rPr>
              <w:t>copie</w:t>
            </w:r>
            <w:r>
              <w:rPr>
                <w:spacing w:val="9"/>
                <w:sz w:val="20"/>
              </w:rPr>
              <w:t> </w:t>
            </w:r>
            <w:r>
              <w:rPr>
                <w:sz w:val="20"/>
              </w:rPr>
              <w:t>des</w:t>
            </w:r>
            <w:r>
              <w:rPr>
                <w:spacing w:val="9"/>
                <w:sz w:val="20"/>
              </w:rPr>
              <w:t> </w:t>
            </w:r>
            <w:r>
              <w:rPr>
                <w:sz w:val="20"/>
              </w:rPr>
              <w:t>diplômes</w:t>
            </w:r>
            <w:r>
              <w:rPr>
                <w:spacing w:val="9"/>
                <w:sz w:val="20"/>
              </w:rPr>
              <w:t> </w:t>
            </w:r>
            <w:r>
              <w:rPr>
                <w:sz w:val="20"/>
              </w:rPr>
              <w:t>et</w:t>
            </w:r>
            <w:r>
              <w:rPr>
                <w:spacing w:val="10"/>
                <w:sz w:val="20"/>
              </w:rPr>
              <w:t> </w:t>
            </w:r>
            <w:r>
              <w:rPr>
                <w:sz w:val="20"/>
              </w:rPr>
              <w:t>attestations</w:t>
            </w:r>
            <w:r>
              <w:rPr>
                <w:spacing w:val="9"/>
                <w:sz w:val="20"/>
              </w:rPr>
              <w:t> </w:t>
            </w:r>
            <w:r>
              <w:rPr>
                <w:sz w:val="20"/>
              </w:rPr>
              <w:t>d'expérience</w:t>
            </w:r>
            <w:r>
              <w:rPr>
                <w:spacing w:val="9"/>
                <w:sz w:val="20"/>
              </w:rPr>
              <w:t> </w:t>
            </w:r>
            <w:r>
              <w:rPr>
                <w:sz w:val="20"/>
              </w:rPr>
              <w:t>professionnelle,…).</w:t>
            </w:r>
            <w:r>
              <w:rPr>
                <w:spacing w:val="10"/>
                <w:sz w:val="20"/>
              </w:rPr>
              <w:t> </w:t>
            </w:r>
            <w:r>
              <w:rPr>
                <w:sz w:val="20"/>
              </w:rPr>
              <w:t>Ces</w:t>
            </w:r>
            <w:r>
              <w:rPr>
                <w:spacing w:val="9"/>
                <w:sz w:val="20"/>
              </w:rPr>
              <w:t> </w:t>
            </w:r>
            <w:r>
              <w:rPr>
                <w:sz w:val="20"/>
              </w:rPr>
              <w:t>documents</w:t>
            </w:r>
            <w:r>
              <w:rPr>
                <w:spacing w:val="7"/>
                <w:sz w:val="20"/>
              </w:rPr>
              <w:t> </w:t>
            </w:r>
            <w:r>
              <w:rPr>
                <w:sz w:val="20"/>
              </w:rPr>
              <w:t>leur</w:t>
            </w:r>
            <w:r>
              <w:rPr>
                <w:spacing w:val="7"/>
                <w:sz w:val="20"/>
              </w:rPr>
              <w:t> </w:t>
            </w:r>
            <w:r>
              <w:rPr>
                <w:spacing w:val="-2"/>
                <w:sz w:val="20"/>
              </w:rPr>
              <w:t>seront</w:t>
            </w:r>
          </w:p>
          <w:p>
            <w:pPr>
              <w:pStyle w:val="TableParagraph"/>
              <w:spacing w:line="215" w:lineRule="exact"/>
              <w:ind w:left="501"/>
              <w:jc w:val="both"/>
              <w:rPr>
                <w:sz w:val="20"/>
              </w:rPr>
            </w:pPr>
            <w:r>
              <w:rPr>
                <w:sz w:val="20"/>
              </w:rPr>
              <w:t>demandés,</w:t>
            </w:r>
            <w:r>
              <w:rPr>
                <w:spacing w:val="-7"/>
                <w:sz w:val="20"/>
              </w:rPr>
              <w:t> </w:t>
            </w:r>
            <w:r>
              <w:rPr>
                <w:sz w:val="20"/>
              </w:rPr>
              <w:t>le</w:t>
            </w:r>
            <w:r>
              <w:rPr>
                <w:spacing w:val="-6"/>
                <w:sz w:val="20"/>
              </w:rPr>
              <w:t> </w:t>
            </w:r>
            <w:r>
              <w:rPr>
                <w:sz w:val="20"/>
              </w:rPr>
              <w:t>cas</w:t>
            </w:r>
            <w:r>
              <w:rPr>
                <w:spacing w:val="-7"/>
                <w:sz w:val="20"/>
              </w:rPr>
              <w:t> </w:t>
            </w:r>
            <w:r>
              <w:rPr>
                <w:sz w:val="20"/>
              </w:rPr>
              <w:t>échéant,</w:t>
            </w:r>
            <w:r>
              <w:rPr>
                <w:spacing w:val="-6"/>
                <w:sz w:val="20"/>
              </w:rPr>
              <w:t> </w:t>
            </w:r>
            <w:r>
              <w:rPr>
                <w:sz w:val="20"/>
              </w:rPr>
              <w:t>à</w:t>
            </w:r>
            <w:r>
              <w:rPr>
                <w:spacing w:val="-6"/>
                <w:sz w:val="20"/>
              </w:rPr>
              <w:t> </w:t>
            </w:r>
            <w:r>
              <w:rPr>
                <w:sz w:val="20"/>
              </w:rPr>
              <w:t>un</w:t>
            </w:r>
            <w:r>
              <w:rPr>
                <w:spacing w:val="-7"/>
                <w:sz w:val="20"/>
              </w:rPr>
              <w:t> </w:t>
            </w:r>
            <w:r>
              <w:rPr>
                <w:sz w:val="20"/>
              </w:rPr>
              <w:t>stade</w:t>
            </w:r>
            <w:r>
              <w:rPr>
                <w:spacing w:val="-6"/>
                <w:sz w:val="20"/>
              </w:rPr>
              <w:t> </w:t>
            </w:r>
            <w:r>
              <w:rPr>
                <w:sz w:val="20"/>
              </w:rPr>
              <w:t>ultérieur</w:t>
            </w:r>
            <w:r>
              <w:rPr>
                <w:spacing w:val="-6"/>
                <w:sz w:val="20"/>
              </w:rPr>
              <w:t> </w:t>
            </w:r>
            <w:r>
              <w:rPr>
                <w:sz w:val="20"/>
              </w:rPr>
              <w:t>de</w:t>
            </w:r>
            <w:r>
              <w:rPr>
                <w:spacing w:val="-6"/>
                <w:sz w:val="20"/>
              </w:rPr>
              <w:t> </w:t>
            </w:r>
            <w:r>
              <w:rPr>
                <w:sz w:val="20"/>
              </w:rPr>
              <w:t>la</w:t>
            </w:r>
            <w:r>
              <w:rPr>
                <w:spacing w:val="-6"/>
                <w:sz w:val="20"/>
              </w:rPr>
              <w:t> </w:t>
            </w:r>
            <w:r>
              <w:rPr>
                <w:sz w:val="20"/>
              </w:rPr>
              <w:t>procédure</w:t>
            </w:r>
            <w:r>
              <w:rPr>
                <w:spacing w:val="-6"/>
                <w:sz w:val="20"/>
              </w:rPr>
              <w:t> </w:t>
            </w:r>
            <w:r>
              <w:rPr>
                <w:sz w:val="20"/>
              </w:rPr>
              <w:t>de</w:t>
            </w:r>
            <w:r>
              <w:rPr>
                <w:spacing w:val="-7"/>
                <w:sz w:val="20"/>
              </w:rPr>
              <w:t> </w:t>
            </w:r>
            <w:r>
              <w:rPr>
                <w:spacing w:val="-2"/>
                <w:sz w:val="20"/>
              </w:rPr>
              <w:t>sélection.</w:t>
            </w:r>
          </w:p>
        </w:tc>
      </w:tr>
      <w:tr>
        <w:trPr>
          <w:trHeight w:val="467" w:hRule="atLeast"/>
        </w:trPr>
        <w:tc>
          <w:tcPr>
            <w:tcW w:w="394" w:type="dxa"/>
            <w:tcBorders>
              <w:top w:val="nil"/>
              <w:right w:val="nil"/>
            </w:tcBorders>
          </w:tcPr>
          <w:p>
            <w:pPr>
              <w:pStyle w:val="TableParagraph"/>
              <w:rPr>
                <w:sz w:val="18"/>
              </w:rPr>
            </w:pPr>
          </w:p>
        </w:tc>
        <w:tc>
          <w:tcPr>
            <w:tcW w:w="8930" w:type="dxa"/>
            <w:tcBorders>
              <w:top w:val="nil"/>
              <w:left w:val="nil"/>
            </w:tcBorders>
          </w:tcPr>
          <w:p>
            <w:pPr>
              <w:pStyle w:val="TableParagraph"/>
              <w:spacing w:line="228" w:lineRule="exact"/>
              <w:ind w:left="112"/>
              <w:rPr>
                <w:sz w:val="20"/>
              </w:rPr>
            </w:pPr>
            <w:r>
              <w:rPr>
                <w:sz w:val="20"/>
              </w:rPr>
              <w:t>Les</w:t>
            </w:r>
            <w:r>
              <w:rPr>
                <w:spacing w:val="-11"/>
                <w:sz w:val="20"/>
              </w:rPr>
              <w:t> </w:t>
            </w:r>
            <w:r>
              <w:rPr>
                <w:sz w:val="20"/>
              </w:rPr>
              <w:t>candidats</w:t>
            </w:r>
            <w:r>
              <w:rPr>
                <w:spacing w:val="-10"/>
                <w:sz w:val="20"/>
              </w:rPr>
              <w:t> </w:t>
            </w:r>
            <w:r>
              <w:rPr>
                <w:sz w:val="20"/>
              </w:rPr>
              <w:t>seront</w:t>
            </w:r>
            <w:r>
              <w:rPr>
                <w:spacing w:val="-10"/>
                <w:sz w:val="20"/>
              </w:rPr>
              <w:t> </w:t>
            </w:r>
            <w:r>
              <w:rPr>
                <w:sz w:val="20"/>
              </w:rPr>
              <w:t>informés</w:t>
            </w:r>
            <w:r>
              <w:rPr>
                <w:spacing w:val="-10"/>
                <w:sz w:val="20"/>
              </w:rPr>
              <w:t> </w:t>
            </w:r>
            <w:r>
              <w:rPr>
                <w:sz w:val="20"/>
              </w:rPr>
              <w:t>du</w:t>
            </w:r>
            <w:r>
              <w:rPr>
                <w:spacing w:val="-10"/>
                <w:sz w:val="20"/>
              </w:rPr>
              <w:t> </w:t>
            </w:r>
            <w:r>
              <w:rPr>
                <w:sz w:val="20"/>
              </w:rPr>
              <w:t>suivi</w:t>
            </w:r>
            <w:r>
              <w:rPr>
                <w:spacing w:val="-11"/>
                <w:sz w:val="20"/>
              </w:rPr>
              <w:t> </w:t>
            </w:r>
            <w:r>
              <w:rPr>
                <w:sz w:val="20"/>
              </w:rPr>
              <w:t>de</w:t>
            </w:r>
            <w:r>
              <w:rPr>
                <w:spacing w:val="-9"/>
                <w:sz w:val="20"/>
              </w:rPr>
              <w:t> </w:t>
            </w:r>
            <w:r>
              <w:rPr>
                <w:sz w:val="20"/>
              </w:rPr>
              <w:t>leur</w:t>
            </w:r>
            <w:r>
              <w:rPr>
                <w:spacing w:val="-9"/>
                <w:sz w:val="20"/>
              </w:rPr>
              <w:t> </w:t>
            </w:r>
            <w:r>
              <w:rPr>
                <w:sz w:val="20"/>
              </w:rPr>
              <w:t>candidature</w:t>
            </w:r>
            <w:r>
              <w:rPr>
                <w:spacing w:val="-10"/>
                <w:sz w:val="20"/>
              </w:rPr>
              <w:t> </w:t>
            </w:r>
            <w:r>
              <w:rPr>
                <w:sz w:val="20"/>
              </w:rPr>
              <w:t>par</w:t>
            </w:r>
            <w:r>
              <w:rPr>
                <w:spacing w:val="-8"/>
                <w:sz w:val="20"/>
              </w:rPr>
              <w:t> </w:t>
            </w:r>
            <w:r>
              <w:rPr>
                <w:sz w:val="20"/>
              </w:rPr>
              <w:t>l'unité</w:t>
            </w:r>
            <w:r>
              <w:rPr>
                <w:spacing w:val="-10"/>
                <w:sz w:val="20"/>
              </w:rPr>
              <w:t> </w:t>
            </w:r>
            <w:r>
              <w:rPr>
                <w:spacing w:val="-2"/>
                <w:sz w:val="20"/>
              </w:rPr>
              <w:t>concernée.</w:t>
            </w:r>
          </w:p>
        </w:tc>
      </w:tr>
    </w:tbl>
    <w:p>
      <w:pPr>
        <w:pStyle w:val="BodyText"/>
        <w:spacing w:before="8"/>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4"/>
        <w:gridCol w:w="8930"/>
      </w:tblGrid>
      <w:tr>
        <w:trPr>
          <w:trHeight w:val="234" w:hRule="atLeast"/>
        </w:trPr>
        <w:tc>
          <w:tcPr>
            <w:tcW w:w="394" w:type="dxa"/>
          </w:tcPr>
          <w:p>
            <w:pPr>
              <w:pStyle w:val="TableParagraph"/>
              <w:spacing w:line="210" w:lineRule="exact" w:before="5"/>
              <w:ind w:left="107"/>
              <w:rPr>
                <w:b/>
                <w:sz w:val="20"/>
              </w:rPr>
            </w:pPr>
            <w:r>
              <w:rPr>
                <w:b/>
                <w:w w:val="99"/>
                <w:sz w:val="20"/>
              </w:rPr>
              <w:t>4</w:t>
            </w:r>
          </w:p>
        </w:tc>
        <w:tc>
          <w:tcPr>
            <w:tcW w:w="8930" w:type="dxa"/>
          </w:tcPr>
          <w:p>
            <w:pPr>
              <w:pStyle w:val="TableParagraph"/>
              <w:spacing w:line="210" w:lineRule="exact" w:before="5"/>
              <w:ind w:left="107"/>
              <w:rPr>
                <w:b/>
                <w:sz w:val="20"/>
              </w:rPr>
            </w:pPr>
            <w:r>
              <w:rPr>
                <w:b/>
                <w:spacing w:val="-2"/>
                <w:sz w:val="20"/>
              </w:rPr>
              <w:t>Conditions</w:t>
            </w:r>
            <w:r>
              <w:rPr>
                <w:b/>
                <w:spacing w:val="-11"/>
                <w:sz w:val="20"/>
              </w:rPr>
              <w:t> </w:t>
            </w:r>
            <w:r>
              <w:rPr>
                <w:b/>
                <w:spacing w:val="-2"/>
                <w:sz w:val="20"/>
              </w:rPr>
              <w:t>du</w:t>
            </w:r>
            <w:r>
              <w:rPr>
                <w:b/>
                <w:spacing w:val="-10"/>
                <w:sz w:val="20"/>
              </w:rPr>
              <w:t> </w:t>
            </w:r>
            <w:r>
              <w:rPr>
                <w:b/>
                <w:spacing w:val="-2"/>
                <w:sz w:val="20"/>
              </w:rPr>
              <w:t>détachement</w:t>
            </w:r>
          </w:p>
        </w:tc>
      </w:tr>
      <w:tr>
        <w:trPr>
          <w:trHeight w:val="3067" w:hRule="atLeast"/>
        </w:trPr>
        <w:tc>
          <w:tcPr>
            <w:tcW w:w="9324" w:type="dxa"/>
            <w:gridSpan w:val="2"/>
          </w:tcPr>
          <w:p>
            <w:pPr>
              <w:pStyle w:val="TableParagraph"/>
              <w:spacing w:before="10"/>
              <w:rPr>
                <w:sz w:val="20"/>
              </w:rPr>
            </w:pPr>
          </w:p>
          <w:p>
            <w:pPr>
              <w:pStyle w:val="TableParagraph"/>
              <w:spacing w:line="244" w:lineRule="auto" w:before="1"/>
              <w:ind w:left="501" w:right="273"/>
              <w:jc w:val="both"/>
              <w:rPr>
                <w:sz w:val="20"/>
              </w:rPr>
            </w:pPr>
            <w:r>
              <w:rPr>
                <w:sz w:val="20"/>
              </w:rPr>
              <w:t>Les détachements sont régis par la </w:t>
            </w:r>
            <w:r>
              <w:rPr>
                <w:b/>
                <w:sz w:val="20"/>
              </w:rPr>
              <w:t>décision de la Commission C(2008)6866 du 12/11/2008 </w:t>
            </w:r>
            <w:r>
              <w:rPr>
                <w:sz w:val="20"/>
              </w:rPr>
              <w:t>relative au régime applicable aux experts nationaux détachés et aux experts nationaux en formation professionnelle auprès des services de la Commission (décision END). Le texte de cette décision est disponible sur </w:t>
            </w:r>
            <w:hyperlink r:id="rId10">
              <w:r>
                <w:rPr>
                  <w:color w:val="0000FF"/>
                  <w:spacing w:val="-2"/>
                  <w:sz w:val="20"/>
                  <w:u w:val="single" w:color="0000FF"/>
                </w:rPr>
                <w:t>http://ec.europa.eu/civil_service/job/sne/index_fr.htm</w:t>
              </w:r>
              <w:r>
                <w:rPr>
                  <w:spacing w:val="-2"/>
                  <w:sz w:val="20"/>
                </w:rPr>
                <w:t>.</w:t>
              </w:r>
            </w:hyperlink>
          </w:p>
          <w:p>
            <w:pPr>
              <w:pStyle w:val="TableParagraph"/>
              <w:spacing w:line="244" w:lineRule="auto" w:before="2"/>
              <w:ind w:left="501" w:right="281"/>
              <w:jc w:val="both"/>
              <w:rPr>
                <w:sz w:val="20"/>
              </w:rPr>
            </w:pPr>
            <w:r>
              <w:rPr>
                <w:sz w:val="20"/>
              </w:rPr>
              <w:t>L'END restera employé et rémunéré par son employeur durant toute la durée du détachement. Il restera également couvert par la sécurité sociale nationale durant son détachement.</w:t>
            </w:r>
          </w:p>
          <w:p>
            <w:pPr>
              <w:pStyle w:val="TableParagraph"/>
              <w:spacing w:line="244" w:lineRule="auto" w:before="1"/>
              <w:ind w:left="501" w:right="279"/>
              <w:jc w:val="both"/>
              <w:rPr>
                <w:sz w:val="20"/>
              </w:rPr>
            </w:pPr>
            <w:r>
              <w:rPr>
                <w:sz w:val="20"/>
              </w:rPr>
              <w:t>Sauf pour les END sans frais, des indemnités de séjour peuvent être versées à l'END qui en remplit les conditions conformément à l'article 17 de la décision END.</w:t>
            </w:r>
          </w:p>
          <w:p>
            <w:pPr>
              <w:pStyle w:val="TableParagraph"/>
              <w:spacing w:line="244" w:lineRule="auto" w:before="2"/>
              <w:ind w:left="501" w:right="274"/>
              <w:jc w:val="both"/>
              <w:rPr>
                <w:sz w:val="20"/>
              </w:rPr>
            </w:pPr>
            <w:r>
              <w:rPr>
                <w:sz w:val="20"/>
              </w:rPr>
              <w:t>Durant le détachement, l'END sera soumis aux obligations de confidentialité, de loyauté et d'absence de conflit d'intérêt prévues par les articles 6 et 7 de la décision END.</w:t>
            </w:r>
          </w:p>
          <w:p>
            <w:pPr>
              <w:pStyle w:val="TableParagraph"/>
              <w:spacing w:before="1"/>
              <w:ind w:left="501"/>
              <w:jc w:val="both"/>
              <w:rPr>
                <w:sz w:val="20"/>
              </w:rPr>
            </w:pPr>
            <w:r>
              <w:rPr>
                <w:sz w:val="20"/>
              </w:rPr>
              <w:t>Toute</w:t>
            </w:r>
            <w:r>
              <w:rPr>
                <w:spacing w:val="-8"/>
                <w:sz w:val="20"/>
              </w:rPr>
              <w:t> </w:t>
            </w:r>
            <w:r>
              <w:rPr>
                <w:sz w:val="20"/>
              </w:rPr>
              <w:t>déclaration</w:t>
            </w:r>
            <w:r>
              <w:rPr>
                <w:spacing w:val="-8"/>
                <w:sz w:val="20"/>
              </w:rPr>
              <w:t> </w:t>
            </w:r>
            <w:r>
              <w:rPr>
                <w:sz w:val="20"/>
              </w:rPr>
              <w:t>incomplète</w:t>
            </w:r>
            <w:r>
              <w:rPr>
                <w:spacing w:val="-7"/>
                <w:sz w:val="20"/>
              </w:rPr>
              <w:t> </w:t>
            </w:r>
            <w:r>
              <w:rPr>
                <w:sz w:val="20"/>
              </w:rPr>
              <w:t>ou</w:t>
            </w:r>
            <w:r>
              <w:rPr>
                <w:spacing w:val="-8"/>
                <w:sz w:val="20"/>
              </w:rPr>
              <w:t> </w:t>
            </w:r>
            <w:r>
              <w:rPr>
                <w:sz w:val="20"/>
              </w:rPr>
              <w:t>fausse</w:t>
            </w:r>
            <w:r>
              <w:rPr>
                <w:spacing w:val="-7"/>
                <w:sz w:val="20"/>
              </w:rPr>
              <w:t> </w:t>
            </w:r>
            <w:r>
              <w:rPr>
                <w:sz w:val="20"/>
              </w:rPr>
              <w:t>pourra</w:t>
            </w:r>
            <w:r>
              <w:rPr>
                <w:spacing w:val="-8"/>
                <w:sz w:val="20"/>
              </w:rPr>
              <w:t> </w:t>
            </w:r>
            <w:r>
              <w:rPr>
                <w:sz w:val="20"/>
              </w:rPr>
              <w:t>entraîner</w:t>
            </w:r>
            <w:r>
              <w:rPr>
                <w:spacing w:val="-6"/>
                <w:sz w:val="20"/>
              </w:rPr>
              <w:t> </w:t>
            </w:r>
            <w:r>
              <w:rPr>
                <w:sz w:val="20"/>
              </w:rPr>
              <w:t>le</w:t>
            </w:r>
            <w:r>
              <w:rPr>
                <w:spacing w:val="-7"/>
                <w:sz w:val="20"/>
              </w:rPr>
              <w:t> </w:t>
            </w:r>
            <w:r>
              <w:rPr>
                <w:sz w:val="20"/>
              </w:rPr>
              <w:t>refus</w:t>
            </w:r>
            <w:r>
              <w:rPr>
                <w:spacing w:val="-9"/>
                <w:sz w:val="20"/>
              </w:rPr>
              <w:t> </w:t>
            </w:r>
            <w:r>
              <w:rPr>
                <w:sz w:val="20"/>
              </w:rPr>
              <w:t>de</w:t>
            </w:r>
            <w:r>
              <w:rPr>
                <w:spacing w:val="-7"/>
                <w:sz w:val="20"/>
              </w:rPr>
              <w:t> </w:t>
            </w:r>
            <w:r>
              <w:rPr>
                <w:sz w:val="20"/>
              </w:rPr>
              <w:t>la</w:t>
            </w:r>
            <w:r>
              <w:rPr>
                <w:spacing w:val="-7"/>
                <w:sz w:val="20"/>
              </w:rPr>
              <w:t> </w:t>
            </w:r>
            <w:r>
              <w:rPr>
                <w:spacing w:val="-2"/>
                <w:sz w:val="20"/>
              </w:rPr>
              <w:t>candidature.</w:t>
            </w:r>
          </w:p>
        </w:tc>
      </w:tr>
    </w:tbl>
    <w:p>
      <w:pPr>
        <w:pStyle w:val="BodyText"/>
        <w:spacing w:before="8"/>
        <w:rPr>
          <w:sz w:val="2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2"/>
      </w:tblGrid>
      <w:tr>
        <w:trPr>
          <w:trHeight w:val="234" w:hRule="atLeast"/>
        </w:trPr>
        <w:tc>
          <w:tcPr>
            <w:tcW w:w="391" w:type="dxa"/>
          </w:tcPr>
          <w:p>
            <w:pPr>
              <w:pStyle w:val="TableParagraph"/>
              <w:spacing w:line="210" w:lineRule="exact" w:before="5"/>
              <w:ind w:left="107"/>
              <w:rPr>
                <w:b/>
                <w:sz w:val="20"/>
              </w:rPr>
            </w:pPr>
            <w:r>
              <w:rPr>
                <w:b/>
                <w:w w:val="99"/>
                <w:sz w:val="20"/>
              </w:rPr>
              <w:t>5</w:t>
            </w:r>
          </w:p>
        </w:tc>
        <w:tc>
          <w:tcPr>
            <w:tcW w:w="8932" w:type="dxa"/>
          </w:tcPr>
          <w:p>
            <w:pPr>
              <w:pStyle w:val="TableParagraph"/>
              <w:spacing w:line="210" w:lineRule="exact" w:before="5"/>
              <w:ind w:left="107"/>
              <w:rPr>
                <w:b/>
                <w:sz w:val="20"/>
              </w:rPr>
            </w:pPr>
            <w:r>
              <w:rPr>
                <w:b/>
                <w:spacing w:val="-2"/>
                <w:sz w:val="20"/>
              </w:rPr>
              <w:t>Traitement des</w:t>
            </w:r>
            <w:r>
              <w:rPr>
                <w:b/>
                <w:spacing w:val="-3"/>
                <w:sz w:val="20"/>
              </w:rPr>
              <w:t> </w:t>
            </w:r>
            <w:r>
              <w:rPr>
                <w:b/>
                <w:spacing w:val="-2"/>
                <w:sz w:val="20"/>
              </w:rPr>
              <w:t>données</w:t>
            </w:r>
            <w:r>
              <w:rPr>
                <w:b/>
                <w:spacing w:val="-3"/>
                <w:sz w:val="20"/>
              </w:rPr>
              <w:t> </w:t>
            </w:r>
            <w:r>
              <w:rPr>
                <w:b/>
                <w:spacing w:val="-2"/>
                <w:sz w:val="20"/>
              </w:rPr>
              <w:t>à caractère personnel</w:t>
            </w:r>
            <w:r>
              <w:rPr>
                <w:b/>
                <w:spacing w:val="1"/>
                <w:sz w:val="20"/>
              </w:rPr>
              <w:t> </w:t>
            </w:r>
            <w:r>
              <w:rPr>
                <w:b/>
                <w:spacing w:val="-10"/>
                <w:sz w:val="20"/>
              </w:rPr>
              <w:t>:</w:t>
            </w:r>
          </w:p>
        </w:tc>
      </w:tr>
      <w:tr>
        <w:trPr>
          <w:trHeight w:val="4001" w:hRule="atLeast"/>
        </w:trPr>
        <w:tc>
          <w:tcPr>
            <w:tcW w:w="9323" w:type="dxa"/>
            <w:gridSpan w:val="2"/>
            <w:tcBorders>
              <w:bottom w:val="nil"/>
            </w:tcBorders>
          </w:tcPr>
          <w:p>
            <w:pPr>
              <w:pStyle w:val="TableParagraph"/>
              <w:spacing w:before="5"/>
              <w:rPr>
                <w:sz w:val="20"/>
              </w:rPr>
            </w:pPr>
          </w:p>
          <w:p>
            <w:pPr>
              <w:pStyle w:val="TableParagraph"/>
              <w:spacing w:line="244" w:lineRule="auto" w:before="1"/>
              <w:ind w:left="498" w:right="271"/>
              <w:jc w:val="both"/>
              <w:rPr>
                <w:sz w:val="20"/>
              </w:rPr>
            </w:pPr>
            <w:r>
              <w:rPr>
                <w:sz w:val="20"/>
              </w:rPr>
              <w:t>Toute mise en œuvre de la procédure de sélection, de détachement</w:t>
            </w:r>
            <w:r>
              <w:rPr>
                <w:spacing w:val="-1"/>
                <w:sz w:val="20"/>
              </w:rPr>
              <w:t> </w:t>
            </w:r>
            <w:r>
              <w:rPr>
                <w:sz w:val="20"/>
              </w:rPr>
              <w:t>et de fin</w:t>
            </w:r>
            <w:r>
              <w:rPr>
                <w:spacing w:val="-1"/>
                <w:sz w:val="20"/>
              </w:rPr>
              <w:t> </w:t>
            </w:r>
            <w:r>
              <w:rPr>
                <w:sz w:val="20"/>
              </w:rPr>
              <w:t>de détachement</w:t>
            </w:r>
            <w:r>
              <w:rPr>
                <w:spacing w:val="-1"/>
                <w:sz w:val="20"/>
              </w:rPr>
              <w:t> </w:t>
            </w:r>
            <w:r>
              <w:rPr>
                <w:sz w:val="20"/>
              </w:rPr>
              <w:t>des</w:t>
            </w:r>
            <w:r>
              <w:rPr>
                <w:spacing w:val="-1"/>
                <w:sz w:val="20"/>
              </w:rPr>
              <w:t> </w:t>
            </w:r>
            <w:r>
              <w:rPr>
                <w:sz w:val="20"/>
              </w:rPr>
              <w:t>END</w:t>
            </w:r>
            <w:r>
              <w:rPr>
                <w:spacing w:val="-2"/>
                <w:sz w:val="20"/>
              </w:rPr>
              <w:t> </w:t>
            </w:r>
            <w:r>
              <w:rPr>
                <w:sz w:val="20"/>
              </w:rPr>
              <w:t>aura pour effet le traitement, par les services compétents de la DG HR, du PMO, de la DG BUDG et de la DG concernée</w:t>
            </w:r>
            <w:r>
              <w:rPr>
                <w:spacing w:val="-2"/>
                <w:sz w:val="20"/>
              </w:rPr>
              <w:t> </w:t>
            </w:r>
            <w:r>
              <w:rPr>
                <w:sz w:val="20"/>
              </w:rPr>
              <w:t>par</w:t>
            </w:r>
            <w:r>
              <w:rPr>
                <w:spacing w:val="-1"/>
                <w:sz w:val="20"/>
              </w:rPr>
              <w:t> </w:t>
            </w:r>
            <w:r>
              <w:rPr>
                <w:sz w:val="20"/>
              </w:rPr>
              <w:t>le</w:t>
            </w:r>
            <w:r>
              <w:rPr>
                <w:spacing w:val="-2"/>
                <w:sz w:val="20"/>
              </w:rPr>
              <w:t> </w:t>
            </w:r>
            <w:r>
              <w:rPr>
                <w:sz w:val="20"/>
              </w:rPr>
              <w:t>présent</w:t>
            </w:r>
            <w:r>
              <w:rPr>
                <w:spacing w:val="-2"/>
                <w:sz w:val="20"/>
              </w:rPr>
              <w:t> </w:t>
            </w:r>
            <w:r>
              <w:rPr>
                <w:sz w:val="20"/>
              </w:rPr>
              <w:t>avis, de</w:t>
            </w:r>
            <w:r>
              <w:rPr>
                <w:spacing w:val="-2"/>
                <w:sz w:val="20"/>
              </w:rPr>
              <w:t> </w:t>
            </w:r>
            <w:r>
              <w:rPr>
                <w:sz w:val="20"/>
              </w:rPr>
              <w:t>données</w:t>
            </w:r>
            <w:r>
              <w:rPr>
                <w:spacing w:val="-2"/>
                <w:sz w:val="20"/>
              </w:rPr>
              <w:t> </w:t>
            </w:r>
            <w:r>
              <w:rPr>
                <w:sz w:val="20"/>
              </w:rPr>
              <w:t>à</w:t>
            </w:r>
            <w:r>
              <w:rPr>
                <w:spacing w:val="-2"/>
                <w:sz w:val="20"/>
              </w:rPr>
              <w:t> </w:t>
            </w:r>
            <w:r>
              <w:rPr>
                <w:sz w:val="20"/>
              </w:rPr>
              <w:t>caractère</w:t>
            </w:r>
            <w:r>
              <w:rPr>
                <w:spacing w:val="-2"/>
                <w:sz w:val="20"/>
              </w:rPr>
              <w:t> </w:t>
            </w:r>
            <w:r>
              <w:rPr>
                <w:sz w:val="20"/>
              </w:rPr>
              <w:t>personnel</w:t>
            </w:r>
            <w:r>
              <w:rPr>
                <w:spacing w:val="-2"/>
                <w:sz w:val="20"/>
              </w:rPr>
              <w:t> </w:t>
            </w:r>
            <w:r>
              <w:rPr>
                <w:sz w:val="20"/>
              </w:rPr>
              <w:t>relatives</w:t>
            </w:r>
            <w:r>
              <w:rPr>
                <w:spacing w:val="-2"/>
                <w:sz w:val="20"/>
              </w:rPr>
              <w:t> </w:t>
            </w:r>
            <w:r>
              <w:rPr>
                <w:sz w:val="20"/>
              </w:rPr>
              <w:t>à</w:t>
            </w:r>
            <w:r>
              <w:rPr>
                <w:spacing w:val="-2"/>
                <w:sz w:val="20"/>
              </w:rPr>
              <w:t> </w:t>
            </w:r>
            <w:r>
              <w:rPr>
                <w:sz w:val="20"/>
              </w:rPr>
              <w:t>l'END,</w:t>
            </w:r>
            <w:r>
              <w:rPr>
                <w:spacing w:val="-2"/>
                <w:sz w:val="20"/>
              </w:rPr>
              <w:t> </w:t>
            </w:r>
            <w:r>
              <w:rPr>
                <w:sz w:val="20"/>
              </w:rPr>
              <w:t>sous</w:t>
            </w:r>
            <w:r>
              <w:rPr>
                <w:spacing w:val="-2"/>
                <w:sz w:val="20"/>
              </w:rPr>
              <w:t> </w:t>
            </w:r>
            <w:r>
              <w:rPr>
                <w:sz w:val="20"/>
              </w:rPr>
              <w:t>la</w:t>
            </w:r>
            <w:r>
              <w:rPr>
                <w:spacing w:val="-2"/>
                <w:sz w:val="20"/>
              </w:rPr>
              <w:t> </w:t>
            </w:r>
            <w:r>
              <w:rPr>
                <w:sz w:val="20"/>
              </w:rPr>
              <w:t>responsabilité</w:t>
            </w:r>
            <w:r>
              <w:rPr>
                <w:spacing w:val="-2"/>
                <w:sz w:val="20"/>
              </w:rPr>
              <w:t> </w:t>
            </w:r>
            <w:r>
              <w:rPr>
                <w:sz w:val="20"/>
              </w:rPr>
              <w:t>du chef de l'unité HR.B4. Ce traitement est basé sur la décision de la Commission relative aux END et est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pPr>
              <w:pStyle w:val="TableParagraph"/>
              <w:spacing w:line="244" w:lineRule="auto" w:before="4"/>
              <w:ind w:left="498" w:right="270"/>
              <w:jc w:val="both"/>
              <w:rPr>
                <w:sz w:val="20"/>
              </w:rPr>
            </w:pPr>
            <w:r>
              <w:rPr>
                <w:sz w:val="20"/>
              </w:rPr>
              <w:t>Les</w:t>
            </w:r>
            <w:r>
              <w:rPr>
                <w:spacing w:val="-4"/>
                <w:sz w:val="20"/>
              </w:rPr>
              <w:t> </w:t>
            </w:r>
            <w:r>
              <w:rPr>
                <w:sz w:val="20"/>
              </w:rPr>
              <w:t>données</w:t>
            </w:r>
            <w:r>
              <w:rPr>
                <w:spacing w:val="-4"/>
                <w:sz w:val="20"/>
              </w:rPr>
              <w:t> </w:t>
            </w:r>
            <w:r>
              <w:rPr>
                <w:sz w:val="20"/>
              </w:rPr>
              <w:t>des</w:t>
            </w:r>
            <w:r>
              <w:rPr>
                <w:spacing w:val="-4"/>
                <w:sz w:val="20"/>
              </w:rPr>
              <w:t> </w:t>
            </w:r>
            <w:r>
              <w:rPr>
                <w:sz w:val="20"/>
              </w:rPr>
              <w:t>END</w:t>
            </w:r>
            <w:r>
              <w:rPr>
                <w:spacing w:val="-5"/>
                <w:sz w:val="20"/>
              </w:rPr>
              <w:t> </w:t>
            </w:r>
            <w:r>
              <w:rPr>
                <w:sz w:val="20"/>
              </w:rPr>
              <w:t>seront</w:t>
            </w:r>
            <w:r>
              <w:rPr>
                <w:spacing w:val="-4"/>
                <w:sz w:val="20"/>
              </w:rPr>
              <w:t> </w:t>
            </w:r>
            <w:r>
              <w:rPr>
                <w:sz w:val="20"/>
              </w:rPr>
              <w:t>conservées</w:t>
            </w:r>
            <w:r>
              <w:rPr>
                <w:spacing w:val="-4"/>
                <w:sz w:val="20"/>
              </w:rPr>
              <w:t> </w:t>
            </w:r>
            <w:r>
              <w:rPr>
                <w:sz w:val="20"/>
              </w:rPr>
              <w:t>pendant</w:t>
            </w:r>
            <w:r>
              <w:rPr>
                <w:spacing w:val="-4"/>
                <w:sz w:val="20"/>
              </w:rPr>
              <w:t> </w:t>
            </w:r>
            <w:r>
              <w:rPr>
                <w:sz w:val="20"/>
              </w:rPr>
              <w:t>10</w:t>
            </w:r>
            <w:r>
              <w:rPr>
                <w:spacing w:val="-5"/>
                <w:sz w:val="20"/>
              </w:rPr>
              <w:t> </w:t>
            </w:r>
            <w:r>
              <w:rPr>
                <w:sz w:val="20"/>
              </w:rPr>
              <w:t>ans</w:t>
            </w:r>
            <w:r>
              <w:rPr>
                <w:spacing w:val="-4"/>
                <w:sz w:val="20"/>
              </w:rPr>
              <w:t> </w:t>
            </w:r>
            <w:r>
              <w:rPr>
                <w:sz w:val="20"/>
              </w:rPr>
              <w:t>à</w:t>
            </w:r>
            <w:r>
              <w:rPr>
                <w:spacing w:val="-3"/>
                <w:sz w:val="20"/>
              </w:rPr>
              <w:t> </w:t>
            </w:r>
            <w:r>
              <w:rPr>
                <w:sz w:val="20"/>
              </w:rPr>
              <w:t>compter</w:t>
            </w:r>
            <w:r>
              <w:rPr>
                <w:spacing w:val="-3"/>
                <w:sz w:val="20"/>
              </w:rPr>
              <w:t> </w:t>
            </w:r>
            <w:r>
              <w:rPr>
                <w:sz w:val="20"/>
              </w:rPr>
              <w:t>de la</w:t>
            </w:r>
            <w:r>
              <w:rPr>
                <w:spacing w:val="-4"/>
                <w:sz w:val="20"/>
              </w:rPr>
              <w:t> </w:t>
            </w:r>
            <w:r>
              <w:rPr>
                <w:sz w:val="20"/>
              </w:rPr>
              <w:t>fin</w:t>
            </w:r>
            <w:r>
              <w:rPr>
                <w:spacing w:val="-5"/>
                <w:sz w:val="20"/>
              </w:rPr>
              <w:t> </w:t>
            </w:r>
            <w:r>
              <w:rPr>
                <w:sz w:val="20"/>
              </w:rPr>
              <w:t>du</w:t>
            </w:r>
            <w:r>
              <w:rPr>
                <w:spacing w:val="-5"/>
                <w:sz w:val="20"/>
              </w:rPr>
              <w:t> </w:t>
            </w:r>
            <w:r>
              <w:rPr>
                <w:sz w:val="20"/>
              </w:rPr>
              <w:t>détachement</w:t>
            </w:r>
            <w:r>
              <w:rPr>
                <w:spacing w:val="-6"/>
                <w:sz w:val="20"/>
              </w:rPr>
              <w:t> </w:t>
            </w:r>
            <w:r>
              <w:rPr>
                <w:sz w:val="20"/>
              </w:rPr>
              <w:t>(2</w:t>
            </w:r>
            <w:r>
              <w:rPr>
                <w:spacing w:val="-6"/>
                <w:sz w:val="20"/>
              </w:rPr>
              <w:t> </w:t>
            </w:r>
            <w:r>
              <w:rPr>
                <w:sz w:val="20"/>
              </w:rPr>
              <w:t>ans</w:t>
            </w:r>
            <w:r>
              <w:rPr>
                <w:spacing w:val="-6"/>
                <w:sz w:val="20"/>
              </w:rPr>
              <w:t> </w:t>
            </w:r>
            <w:r>
              <w:rPr>
                <w:sz w:val="20"/>
              </w:rPr>
              <w:t>pour</w:t>
            </w:r>
            <w:r>
              <w:rPr>
                <w:spacing w:val="-3"/>
                <w:sz w:val="20"/>
              </w:rPr>
              <w:t> </w:t>
            </w:r>
            <w:r>
              <w:rPr>
                <w:sz w:val="20"/>
              </w:rPr>
              <w:t>les END dont la candidature n'a pas été retenue ou a été retirée).</w:t>
            </w:r>
          </w:p>
          <w:p>
            <w:pPr>
              <w:pStyle w:val="TableParagraph"/>
              <w:spacing w:line="244" w:lineRule="auto" w:before="1"/>
              <w:ind w:left="498" w:right="272"/>
              <w:jc w:val="both"/>
              <w:rPr>
                <w:sz w:val="20"/>
              </w:rPr>
            </w:pPr>
            <w:r>
              <w:rPr>
                <w:sz w:val="20"/>
              </w:rPr>
              <w:t>Le droit d’accès des personnes aux données les concernant, ainsi que de rectification de ces données, peut être exercé auprès du Responsable du traitement, conformément à l’article</w:t>
            </w:r>
            <w:r>
              <w:rPr>
                <w:spacing w:val="-1"/>
                <w:sz w:val="20"/>
              </w:rPr>
              <w:t> </w:t>
            </w:r>
            <w:r>
              <w:rPr>
                <w:sz w:val="20"/>
              </w:rPr>
              <w:t>13 du règlement relatif au traitement des données à caractère personnel. A tout moment, les candidats ont la possibilité de saisir le Contrôleur européen de la protection en envoyant un courriel à </w:t>
            </w:r>
            <w:hyperlink r:id="rId11">
              <w:r>
                <w:rPr>
                  <w:color w:val="0000FF"/>
                  <w:sz w:val="20"/>
                  <w:u w:val="single" w:color="0000FF"/>
                </w:rPr>
                <w:t>edps@edps.europa.eu</w:t>
              </w:r>
              <w:r>
                <w:rPr>
                  <w:sz w:val="20"/>
                </w:rPr>
                <w:t>.</w:t>
              </w:r>
            </w:hyperlink>
          </w:p>
          <w:p>
            <w:pPr>
              <w:pStyle w:val="TableParagraph"/>
              <w:spacing w:line="244" w:lineRule="auto" w:before="3"/>
              <w:ind w:left="498" w:right="277"/>
              <w:jc w:val="both"/>
              <w:rPr>
                <w:sz w:val="20"/>
              </w:rPr>
            </w:pPr>
            <w:r>
              <w:rPr>
                <w:sz w:val="20"/>
              </w:rPr>
              <w:t>A</w:t>
            </w:r>
            <w:r>
              <w:rPr>
                <w:spacing w:val="-6"/>
                <w:sz w:val="20"/>
              </w:rPr>
              <w:t> </w:t>
            </w:r>
            <w:r>
              <w:rPr>
                <w:sz w:val="20"/>
              </w:rPr>
              <w:t>l'attention</w:t>
            </w:r>
            <w:r>
              <w:rPr>
                <w:spacing w:val="-3"/>
                <w:sz w:val="20"/>
              </w:rPr>
              <w:t> </w:t>
            </w:r>
            <w:r>
              <w:rPr>
                <w:sz w:val="20"/>
              </w:rPr>
              <w:t>des</w:t>
            </w:r>
            <w:r>
              <w:rPr>
                <w:spacing w:val="-2"/>
                <w:sz w:val="20"/>
              </w:rPr>
              <w:t> </w:t>
            </w:r>
            <w:r>
              <w:rPr>
                <w:sz w:val="20"/>
              </w:rPr>
              <w:t>candidats</w:t>
            </w:r>
            <w:r>
              <w:rPr>
                <w:spacing w:val="-2"/>
                <w:sz w:val="20"/>
              </w:rPr>
              <w:t> </w:t>
            </w:r>
            <w:r>
              <w:rPr>
                <w:sz w:val="20"/>
              </w:rPr>
              <w:t>des</w:t>
            </w:r>
            <w:r>
              <w:rPr>
                <w:spacing w:val="-2"/>
                <w:sz w:val="20"/>
              </w:rPr>
              <w:t> </w:t>
            </w:r>
            <w:r>
              <w:rPr>
                <w:sz w:val="20"/>
              </w:rPr>
              <w:t>pays</w:t>
            </w:r>
            <w:r>
              <w:rPr>
                <w:spacing w:val="-2"/>
                <w:sz w:val="20"/>
              </w:rPr>
              <w:t> </w:t>
            </w:r>
            <w:r>
              <w:rPr>
                <w:sz w:val="20"/>
              </w:rPr>
              <w:t>tiers</w:t>
            </w:r>
            <w:r>
              <w:rPr>
                <w:spacing w:val="-2"/>
                <w:sz w:val="20"/>
              </w:rPr>
              <w:t> </w:t>
            </w:r>
            <w:r>
              <w:rPr>
                <w:sz w:val="20"/>
              </w:rPr>
              <w:t>:</w:t>
            </w:r>
            <w:r>
              <w:rPr>
                <w:spacing w:val="-6"/>
                <w:sz w:val="20"/>
              </w:rPr>
              <w:t> </w:t>
            </w:r>
            <w:r>
              <w:rPr>
                <w:sz w:val="20"/>
              </w:rPr>
              <w:t>vos</w:t>
            </w:r>
            <w:r>
              <w:rPr>
                <w:spacing w:val="-2"/>
                <w:sz w:val="20"/>
              </w:rPr>
              <w:t> </w:t>
            </w:r>
            <w:r>
              <w:rPr>
                <w:sz w:val="20"/>
              </w:rPr>
              <w:t>données</w:t>
            </w:r>
            <w:r>
              <w:rPr>
                <w:spacing w:val="-2"/>
                <w:sz w:val="20"/>
              </w:rPr>
              <w:t> </w:t>
            </w:r>
            <w:r>
              <w:rPr>
                <w:sz w:val="20"/>
              </w:rPr>
              <w:t>à</w:t>
            </w:r>
            <w:r>
              <w:rPr>
                <w:spacing w:val="-2"/>
                <w:sz w:val="20"/>
              </w:rPr>
              <w:t> </w:t>
            </w:r>
            <w:r>
              <w:rPr>
                <w:sz w:val="20"/>
              </w:rPr>
              <w:t>caractère</w:t>
            </w:r>
            <w:r>
              <w:rPr>
                <w:spacing w:val="-2"/>
                <w:sz w:val="20"/>
              </w:rPr>
              <w:t> </w:t>
            </w:r>
            <w:r>
              <w:rPr>
                <w:sz w:val="20"/>
              </w:rPr>
              <w:t>personnel</w:t>
            </w:r>
            <w:r>
              <w:rPr>
                <w:spacing w:val="-2"/>
                <w:sz w:val="20"/>
              </w:rPr>
              <w:t> </w:t>
            </w:r>
            <w:r>
              <w:rPr>
                <w:sz w:val="20"/>
              </w:rPr>
              <w:t>peuvent</w:t>
            </w:r>
            <w:r>
              <w:rPr>
                <w:spacing w:val="-2"/>
                <w:sz w:val="20"/>
              </w:rPr>
              <w:t> </w:t>
            </w:r>
            <w:r>
              <w:rPr>
                <w:sz w:val="20"/>
              </w:rPr>
              <w:t>être</w:t>
            </w:r>
            <w:r>
              <w:rPr>
                <w:spacing w:val="-2"/>
                <w:sz w:val="20"/>
              </w:rPr>
              <w:t> </w:t>
            </w:r>
            <w:r>
              <w:rPr>
                <w:sz w:val="20"/>
              </w:rPr>
              <w:t>utilisées</w:t>
            </w:r>
            <w:r>
              <w:rPr>
                <w:spacing w:val="-2"/>
                <w:sz w:val="20"/>
              </w:rPr>
              <w:t> </w:t>
            </w:r>
            <w:r>
              <w:rPr>
                <w:sz w:val="20"/>
              </w:rPr>
              <w:t>aux</w:t>
            </w:r>
            <w:r>
              <w:rPr>
                <w:spacing w:val="-5"/>
                <w:sz w:val="20"/>
              </w:rPr>
              <w:t> </w:t>
            </w:r>
            <w:r>
              <w:rPr>
                <w:sz w:val="20"/>
              </w:rPr>
              <w:t>fins des vérifications nécessaires. Plus d'informations à l'adresse :</w:t>
            </w:r>
          </w:p>
          <w:p>
            <w:pPr>
              <w:pStyle w:val="TableParagraph"/>
              <w:spacing w:line="217" w:lineRule="exact" w:before="1"/>
              <w:ind w:left="498"/>
              <w:rPr>
                <w:sz w:val="20"/>
              </w:rPr>
            </w:pPr>
            <w:r>
              <w:rPr>
                <w:color w:val="0000FF"/>
                <w:spacing w:val="-2"/>
                <w:sz w:val="20"/>
                <w:u w:val="single" w:color="0000FF"/>
              </w:rPr>
              <w:t>https://ec.europa.eu/info/departments/human-resources-and-security_fr</w:t>
            </w:r>
            <w:r>
              <w:rPr>
                <w:spacing w:val="-2"/>
                <w:sz w:val="20"/>
              </w:rPr>
              <w:t>.</w:t>
            </w:r>
          </w:p>
        </w:tc>
      </w:tr>
      <w:tr>
        <w:trPr>
          <w:trHeight w:val="782" w:hRule="atLeast"/>
        </w:trPr>
        <w:tc>
          <w:tcPr>
            <w:tcW w:w="9323" w:type="dxa"/>
            <w:gridSpan w:val="2"/>
            <w:tcBorders>
              <w:top w:val="nil"/>
            </w:tcBorders>
          </w:tcPr>
          <w:p>
            <w:pPr>
              <w:pStyle w:val="TableParagraph"/>
              <w:spacing w:line="244" w:lineRule="auto"/>
              <w:ind w:left="498"/>
              <w:rPr>
                <w:sz w:val="20"/>
              </w:rPr>
            </w:pPr>
            <w:r>
              <w:rPr>
                <w:sz w:val="20"/>
              </w:rPr>
              <w:t>Les informations sur le traitement des données personnelles au sein du JRC</w:t>
            </w:r>
            <w:r>
              <w:rPr>
                <w:spacing w:val="-2"/>
                <w:sz w:val="20"/>
              </w:rPr>
              <w:t> </w:t>
            </w:r>
            <w:r>
              <w:rPr>
                <w:sz w:val="20"/>
              </w:rPr>
              <w:t>sont disponibles à l'adresse: </w:t>
            </w:r>
            <w:hyperlink r:id="rId12">
              <w:r>
                <w:rPr>
                  <w:color w:val="0000FF"/>
                  <w:spacing w:val="-2"/>
                  <w:sz w:val="20"/>
                  <w:u w:val="single" w:color="0000FF"/>
                </w:rPr>
                <w:t>http://ec.europa.eu/dgs/jrc/index.cfm?id=6270</w:t>
              </w:r>
              <w:r>
                <w:rPr>
                  <w:spacing w:val="-2"/>
                  <w:sz w:val="20"/>
                </w:rPr>
                <w:t>.</w:t>
              </w:r>
            </w:hyperlink>
          </w:p>
        </w:tc>
      </w:tr>
    </w:tbl>
    <w:sectPr>
      <w:pgSz w:w="11910" w:h="16840"/>
      <w:pgMar w:header="711" w:footer="743" w:top="1420" w:bottom="94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85.100006pt;margin-top:793.764465pt;width:68.5pt;height:13.05pt;mso-position-horizontal-relative:page;mso-position-vertical-relative:page;z-index:-15868928" type="#_x0000_t202" id="docshape2" filled="false" stroked="false">
          <v:textbox inset="0,0,0,0">
            <w:txbxContent>
              <w:p>
                <w:pPr>
                  <w:pStyle w:val="BodyText"/>
                  <w:spacing w:before="10"/>
                  <w:ind w:left="20"/>
                </w:pPr>
                <w:r>
                  <w:rPr>
                    <w:spacing w:val="-2"/>
                  </w:rPr>
                  <w:t>Version</w:t>
                </w:r>
                <w:r>
                  <w:rPr>
                    <w:spacing w:val="-4"/>
                  </w:rPr>
                  <w:t> </w:t>
                </w:r>
                <w:r>
                  <w:rPr>
                    <w:spacing w:val="-2"/>
                  </w:rPr>
                  <w:t>2021-</w:t>
                </w:r>
                <w:r>
                  <w:rPr>
                    <w:spacing w:val="-5"/>
                  </w:rPr>
                  <w:t>02</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0.940002pt;margin-top:35.635433pt;width:79.350pt;height:10.95pt;mso-position-horizontal-relative:page;mso-position-vertical-relative:page;z-index:-15869440" type="#_x0000_t202" id="docshape1" filled="false" stroked="false">
          <v:textbox inset="0,0,0,0">
            <w:txbxContent>
              <w:p>
                <w:pPr>
                  <w:spacing w:before="14"/>
                  <w:ind w:left="20" w:right="0" w:firstLine="0"/>
                  <w:jc w:val="left"/>
                  <w:rPr>
                    <w:b/>
                    <w:sz w:val="16"/>
                  </w:rPr>
                </w:pPr>
                <w:r>
                  <w:rPr>
                    <w:b/>
                    <w:color w:val="A6A6A6"/>
                    <w:sz w:val="16"/>
                  </w:rPr>
                  <w:t>Formulaire</w:t>
                </w:r>
                <w:r>
                  <w:rPr>
                    <w:b/>
                    <w:color w:val="A6A6A6"/>
                    <w:spacing w:val="-5"/>
                    <w:sz w:val="16"/>
                  </w:rPr>
                  <w:t> </w:t>
                </w:r>
                <w:r>
                  <w:rPr>
                    <w:b/>
                    <w:color w:val="A6A6A6"/>
                    <w:sz w:val="16"/>
                  </w:rPr>
                  <w:t>DG.1</w:t>
                </w:r>
                <w:r>
                  <w:rPr>
                    <w:b/>
                    <w:color w:val="A6A6A6"/>
                    <w:spacing w:val="-2"/>
                    <w:sz w:val="16"/>
                  </w:rPr>
                  <w:t> </w:t>
                </w:r>
                <w:r>
                  <w:rPr>
                    <w:b/>
                    <w:color w:val="A6A6A6"/>
                    <w:spacing w:val="-4"/>
                    <w:sz w:val="16"/>
                  </w:rPr>
                  <w:t>(FR)</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585" w:hanging="473"/>
      </w:pPr>
      <w:rPr>
        <w:rFonts w:hint="default" w:ascii="Times New Roman" w:hAnsi="Times New Roman" w:eastAsia="Times New Roman" w:cs="Times New Roman"/>
        <w:b w:val="0"/>
        <w:bCs w:val="0"/>
        <w:i w:val="0"/>
        <w:iCs w:val="0"/>
        <w:w w:val="99"/>
        <w:sz w:val="20"/>
        <w:szCs w:val="20"/>
        <w:lang w:val="fr-FR" w:eastAsia="en-US" w:bidi="ar-SA"/>
      </w:rPr>
    </w:lvl>
    <w:lvl w:ilvl="1">
      <w:start w:val="0"/>
      <w:numFmt w:val="bullet"/>
      <w:lvlText w:val="•"/>
      <w:lvlJc w:val="left"/>
      <w:pPr>
        <w:ind w:left="1414" w:hanging="473"/>
      </w:pPr>
      <w:rPr>
        <w:rFonts w:hint="default"/>
        <w:lang w:val="fr-FR" w:eastAsia="en-US" w:bidi="ar-SA"/>
      </w:rPr>
    </w:lvl>
    <w:lvl w:ilvl="2">
      <w:start w:val="0"/>
      <w:numFmt w:val="bullet"/>
      <w:lvlText w:val="•"/>
      <w:lvlJc w:val="left"/>
      <w:pPr>
        <w:ind w:left="2249" w:hanging="473"/>
      </w:pPr>
      <w:rPr>
        <w:rFonts w:hint="default"/>
        <w:lang w:val="fr-FR" w:eastAsia="en-US" w:bidi="ar-SA"/>
      </w:rPr>
    </w:lvl>
    <w:lvl w:ilvl="3">
      <w:start w:val="0"/>
      <w:numFmt w:val="bullet"/>
      <w:lvlText w:val="•"/>
      <w:lvlJc w:val="left"/>
      <w:pPr>
        <w:ind w:left="3083" w:hanging="473"/>
      </w:pPr>
      <w:rPr>
        <w:rFonts w:hint="default"/>
        <w:lang w:val="fr-FR" w:eastAsia="en-US" w:bidi="ar-SA"/>
      </w:rPr>
    </w:lvl>
    <w:lvl w:ilvl="4">
      <w:start w:val="0"/>
      <w:numFmt w:val="bullet"/>
      <w:lvlText w:val="•"/>
      <w:lvlJc w:val="left"/>
      <w:pPr>
        <w:ind w:left="3918" w:hanging="473"/>
      </w:pPr>
      <w:rPr>
        <w:rFonts w:hint="default"/>
        <w:lang w:val="fr-FR" w:eastAsia="en-US" w:bidi="ar-SA"/>
      </w:rPr>
    </w:lvl>
    <w:lvl w:ilvl="5">
      <w:start w:val="0"/>
      <w:numFmt w:val="bullet"/>
      <w:lvlText w:val="•"/>
      <w:lvlJc w:val="left"/>
      <w:pPr>
        <w:ind w:left="4752" w:hanging="473"/>
      </w:pPr>
      <w:rPr>
        <w:rFonts w:hint="default"/>
        <w:lang w:val="fr-FR" w:eastAsia="en-US" w:bidi="ar-SA"/>
      </w:rPr>
    </w:lvl>
    <w:lvl w:ilvl="6">
      <w:start w:val="0"/>
      <w:numFmt w:val="bullet"/>
      <w:lvlText w:val="•"/>
      <w:lvlJc w:val="left"/>
      <w:pPr>
        <w:ind w:left="5587" w:hanging="473"/>
      </w:pPr>
      <w:rPr>
        <w:rFonts w:hint="default"/>
        <w:lang w:val="fr-FR" w:eastAsia="en-US" w:bidi="ar-SA"/>
      </w:rPr>
    </w:lvl>
    <w:lvl w:ilvl="7">
      <w:start w:val="0"/>
      <w:numFmt w:val="bullet"/>
      <w:lvlText w:val="•"/>
      <w:lvlJc w:val="left"/>
      <w:pPr>
        <w:ind w:left="6421" w:hanging="473"/>
      </w:pPr>
      <w:rPr>
        <w:rFonts w:hint="default"/>
        <w:lang w:val="fr-FR" w:eastAsia="en-US" w:bidi="ar-SA"/>
      </w:rPr>
    </w:lvl>
    <w:lvl w:ilvl="8">
      <w:start w:val="0"/>
      <w:numFmt w:val="bullet"/>
      <w:lvlText w:val="•"/>
      <w:lvlJc w:val="left"/>
      <w:pPr>
        <w:ind w:left="7256" w:hanging="473"/>
      </w:pPr>
      <w:rPr>
        <w:rFonts w:hint="default"/>
        <w:lang w:val="fr-FR" w:eastAsia="en-US" w:bidi="ar-SA"/>
      </w:rPr>
    </w:lvl>
  </w:abstractNum>
  <w:abstractNum w:abstractNumId="0">
    <w:multiLevelType w:val="hybridMultilevel"/>
    <w:lvl w:ilvl="0">
      <w:start w:val="0"/>
      <w:numFmt w:val="bullet"/>
      <w:lvlText w:val=""/>
      <w:lvlJc w:val="left"/>
      <w:pPr>
        <w:ind w:left="467" w:hanging="363"/>
      </w:pPr>
      <w:rPr>
        <w:rFonts w:hint="default" w:ascii="Wingdings 2" w:hAnsi="Wingdings 2" w:eastAsia="Wingdings 2" w:cs="Wingdings 2"/>
        <w:b w:val="0"/>
        <w:bCs w:val="0"/>
        <w:i w:val="0"/>
        <w:iCs w:val="0"/>
        <w:w w:val="100"/>
        <w:sz w:val="18"/>
        <w:szCs w:val="18"/>
        <w:lang w:val="fr-FR" w:eastAsia="en-US" w:bidi="ar-SA"/>
      </w:rPr>
    </w:lvl>
    <w:lvl w:ilvl="1">
      <w:start w:val="0"/>
      <w:numFmt w:val="bullet"/>
      <w:lvlText w:val=""/>
      <w:lvlJc w:val="left"/>
      <w:pPr>
        <w:ind w:left="1718" w:hanging="226"/>
      </w:pPr>
      <w:rPr>
        <w:rFonts w:hint="default" w:ascii="Wingdings 2" w:hAnsi="Wingdings 2" w:eastAsia="Wingdings 2" w:cs="Wingdings 2"/>
        <w:b w:val="0"/>
        <w:bCs w:val="0"/>
        <w:i w:val="0"/>
        <w:iCs w:val="0"/>
        <w:w w:val="99"/>
        <w:sz w:val="20"/>
        <w:szCs w:val="20"/>
        <w:lang w:val="fr-FR" w:eastAsia="en-US" w:bidi="ar-SA"/>
      </w:rPr>
    </w:lvl>
    <w:lvl w:ilvl="2">
      <w:start w:val="0"/>
      <w:numFmt w:val="bullet"/>
      <w:lvlText w:val="•"/>
      <w:lvlJc w:val="left"/>
      <w:pPr>
        <w:ind w:left="2220" w:hanging="226"/>
      </w:pPr>
      <w:rPr>
        <w:rFonts w:hint="default"/>
        <w:lang w:val="fr-FR" w:eastAsia="en-US" w:bidi="ar-SA"/>
      </w:rPr>
    </w:lvl>
    <w:lvl w:ilvl="3">
      <w:start w:val="0"/>
      <w:numFmt w:val="bullet"/>
      <w:lvlText w:val="•"/>
      <w:lvlJc w:val="left"/>
      <w:pPr>
        <w:ind w:left="2720" w:hanging="226"/>
      </w:pPr>
      <w:rPr>
        <w:rFonts w:hint="default"/>
        <w:lang w:val="fr-FR" w:eastAsia="en-US" w:bidi="ar-SA"/>
      </w:rPr>
    </w:lvl>
    <w:lvl w:ilvl="4">
      <w:start w:val="0"/>
      <w:numFmt w:val="bullet"/>
      <w:lvlText w:val="•"/>
      <w:lvlJc w:val="left"/>
      <w:pPr>
        <w:ind w:left="3221" w:hanging="226"/>
      </w:pPr>
      <w:rPr>
        <w:rFonts w:hint="default"/>
        <w:lang w:val="fr-FR" w:eastAsia="en-US" w:bidi="ar-SA"/>
      </w:rPr>
    </w:lvl>
    <w:lvl w:ilvl="5">
      <w:start w:val="0"/>
      <w:numFmt w:val="bullet"/>
      <w:lvlText w:val="•"/>
      <w:lvlJc w:val="left"/>
      <w:pPr>
        <w:ind w:left="3721" w:hanging="226"/>
      </w:pPr>
      <w:rPr>
        <w:rFonts w:hint="default"/>
        <w:lang w:val="fr-FR" w:eastAsia="en-US" w:bidi="ar-SA"/>
      </w:rPr>
    </w:lvl>
    <w:lvl w:ilvl="6">
      <w:start w:val="0"/>
      <w:numFmt w:val="bullet"/>
      <w:lvlText w:val="•"/>
      <w:lvlJc w:val="left"/>
      <w:pPr>
        <w:ind w:left="4222" w:hanging="226"/>
      </w:pPr>
      <w:rPr>
        <w:rFonts w:hint="default"/>
        <w:lang w:val="fr-FR" w:eastAsia="en-US" w:bidi="ar-SA"/>
      </w:rPr>
    </w:lvl>
    <w:lvl w:ilvl="7">
      <w:start w:val="0"/>
      <w:numFmt w:val="bullet"/>
      <w:lvlText w:val="•"/>
      <w:lvlJc w:val="left"/>
      <w:pPr>
        <w:ind w:left="4722" w:hanging="226"/>
      </w:pPr>
      <w:rPr>
        <w:rFonts w:hint="default"/>
        <w:lang w:val="fr-FR" w:eastAsia="en-US" w:bidi="ar-SA"/>
      </w:rPr>
    </w:lvl>
    <w:lvl w:ilvl="8">
      <w:start w:val="0"/>
      <w:numFmt w:val="bullet"/>
      <w:lvlText w:val="•"/>
      <w:lvlJc w:val="left"/>
      <w:pPr>
        <w:ind w:left="5223" w:hanging="226"/>
      </w:pPr>
      <w:rPr>
        <w:rFonts w:hint="default"/>
        <w:lang w:val="fr-FR"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fr-FR" w:eastAsia="en-US" w:bidi="ar-SA"/>
    </w:rPr>
  </w:style>
  <w:style w:styleId="Title" w:type="paragraph">
    <w:name w:val="Title"/>
    <w:basedOn w:val="Normal"/>
    <w:uiPriority w:val="1"/>
    <w:qFormat/>
    <w:pPr>
      <w:ind w:left="805" w:right="1121"/>
      <w:jc w:val="center"/>
    </w:pPr>
    <w:rPr>
      <w:rFonts w:ascii="Times New Roman" w:hAnsi="Times New Roman" w:eastAsia="Times New Roman" w:cs="Times New Roman"/>
      <w:b/>
      <w:bCs/>
      <w:sz w:val="24"/>
      <w:szCs w:val="24"/>
      <w:lang w:val="fr-FR" w:eastAsia="en-US" w:bidi="ar-SA"/>
    </w:rPr>
  </w:style>
  <w:style w:styleId="ListParagraph" w:type="paragraph">
    <w:name w:val="List Paragraph"/>
    <w:basedOn w:val="Normal"/>
    <w:uiPriority w:val="1"/>
    <w:qFormat/>
    <w:pPr/>
    <w:rPr>
      <w:lang w:val="fr-FR" w:eastAsia="en-US" w:bidi="ar-SA"/>
    </w:rPr>
  </w:style>
  <w:style w:styleId="TableParagraph" w:type="paragraph">
    <w:name w:val="Table Paragraph"/>
    <w:basedOn w:val="Normal"/>
    <w:uiPriority w:val="1"/>
    <w:qFormat/>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Jean-Paul.KEPPENNE@ec.europa.eu" TargetMode="External"/><Relationship Id="rId9" Type="http://schemas.openxmlformats.org/officeDocument/2006/relationships/hyperlink" Target="http://europass.cedefop.europa.eu/fr/documents/curriculum-vitae" TargetMode="External"/><Relationship Id="rId10" Type="http://schemas.openxmlformats.org/officeDocument/2006/relationships/hyperlink" Target="http://ec.europa.eu/civil_service/job/sne/index_fr.htm" TargetMode="External"/><Relationship Id="rId11" Type="http://schemas.openxmlformats.org/officeDocument/2006/relationships/hyperlink" Target="mailto:edps@edps.europa.eu" TargetMode="External"/><Relationship Id="rId12" Type="http://schemas.openxmlformats.org/officeDocument/2006/relationships/hyperlink" Target="http://ec.europa.eu/dgs/jrc/index.cfm?id=6270"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2023-02-16T16:53:37Z</dcterms:created>
  <dcterms:modified xsi:type="dcterms:W3CDTF">2023-02-16T16:53:37Z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