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z w:val="22"/>
              </w:rPr>
              <w:t>CLIMA</w:t>
            </w:r>
            <w:r>
              <w:rPr>
                <w:rFonts w:ascii="Calibri"/>
                <w:spacing w:val="-1"/>
                <w:sz w:val="22"/>
              </w:rPr>
              <w:t> </w:t>
            </w:r>
            <w:r>
              <w:rPr>
                <w:rFonts w:ascii="Calibri"/>
                <w:spacing w:val="-5"/>
                <w:sz w:val="22"/>
              </w:rPr>
              <w:t>A2</w:t>
            </w:r>
          </w:p>
        </w:tc>
      </w:tr>
      <w:tr>
        <w:trPr>
          <w:trHeight w:val="215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880"/>
              <w:rPr>
                <w:rFonts w:ascii="Calibri"/>
                <w:sz w:val="22"/>
              </w:rPr>
            </w:pPr>
            <w:r>
              <w:rPr>
                <w:rFonts w:ascii="Calibri"/>
                <w:sz w:val="22"/>
              </w:rPr>
              <w:t>Vicky Pollard </w:t>
            </w:r>
            <w:hyperlink r:id="rId7">
              <w:r>
                <w:rPr>
                  <w:rFonts w:ascii="Calibri"/>
                  <w:spacing w:val="-2"/>
                  <w:sz w:val="22"/>
                </w:rPr>
                <w:t>Vicky.pollard@ec.europa.eu</w:t>
              </w:r>
            </w:hyperlink>
          </w:p>
          <w:p>
            <w:pPr>
              <w:pStyle w:val="TableParagraph"/>
              <w:rPr>
                <w:rFonts w:ascii="Calibri"/>
                <w:sz w:val="22"/>
              </w:rPr>
            </w:pPr>
            <w:r>
              <w:rPr>
                <w:rFonts w:ascii="Calibri"/>
                <w:sz w:val="22"/>
              </w:rPr>
              <w:t>+32.2.29.</w:t>
            </w:r>
            <w:r>
              <w:rPr>
                <w:rFonts w:ascii="Calibri"/>
                <w:spacing w:val="-8"/>
                <w:sz w:val="22"/>
              </w:rPr>
              <w:t> </w:t>
            </w:r>
            <w:r>
              <w:rPr>
                <w:rFonts w:ascii="Calibri"/>
                <w:spacing w:val="-2"/>
                <w:sz w:val="22"/>
              </w:rPr>
              <w:t>99758</w:t>
            </w:r>
          </w:p>
          <w:p>
            <w:pPr>
              <w:pStyle w:val="TableParagraph"/>
              <w:rPr>
                <w:rFonts w:ascii="Calibri"/>
                <w:sz w:val="22"/>
              </w:rPr>
            </w:pPr>
            <w:r>
              <w:rPr>
                <w:rFonts w:ascii="Calibri"/>
                <w:w w:val="100"/>
                <w:sz w:val="22"/>
              </w:rPr>
              <w:t>1</w:t>
            </w:r>
          </w:p>
          <w:p>
            <w:pPr>
              <w:pStyle w:val="TableParagraph"/>
              <w:ind w:left="0"/>
              <w:rPr>
                <w:b/>
                <w:sz w:val="24"/>
              </w:rPr>
            </w:pPr>
          </w:p>
          <w:p>
            <w:pPr>
              <w:pStyle w:val="TableParagraph"/>
              <w:rPr>
                <w:b/>
                <w:sz w:val="22"/>
              </w:rPr>
            </w:pPr>
            <w:r>
              <w:rPr>
                <w:rFonts w:ascii="Calibri" w:hAnsi="Calibri"/>
                <w:sz w:val="22"/>
              </w:rPr>
              <w:t>4ème </w:t>
            </w:r>
            <w:r>
              <w:rPr>
                <w:b/>
                <w:sz w:val="22"/>
              </w:rPr>
              <w:t>trimestre</w:t>
            </w:r>
            <w:r>
              <w:rPr>
                <w:b/>
                <w:spacing w:val="-5"/>
                <w:sz w:val="22"/>
              </w:rPr>
              <w:t> </w:t>
            </w:r>
            <w:r>
              <w:rPr>
                <w:b/>
                <w:sz w:val="22"/>
              </w:rPr>
              <w:t>2</w:t>
            </w:r>
            <w:r>
              <w:rPr>
                <w:rFonts w:ascii="Calibri" w:hAnsi="Calibri"/>
                <w:sz w:val="22"/>
              </w:rPr>
              <w:t>023</w:t>
            </w:r>
            <w:r>
              <w:rPr>
                <w:rFonts w:ascii="Calibri" w:hAnsi="Calibri"/>
                <w:spacing w:val="1"/>
                <w:sz w:val="22"/>
              </w:rPr>
              <w:t> </w:t>
            </w:r>
            <w:r>
              <w:rPr>
                <w:b/>
                <w:spacing w:val="-10"/>
                <w:sz w:val="22"/>
                <w:vertAlign w:val="superscript"/>
              </w:rPr>
              <w:t>1</w:t>
            </w:r>
          </w:p>
          <w:p>
            <w:pPr>
              <w:pStyle w:val="TableParagraph"/>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spacing w:line="249" w:lineRule="exact" w:before="1"/>
              <w:rPr>
                <w:b/>
                <w:sz w:val="22"/>
              </w:rPr>
            </w:pPr>
            <w:r>
              <w:rPr>
                <w:rFonts w:ascii="Calibri" w:hAnsi="Calibri"/>
                <w:sz w:val="22"/>
              </w:rPr>
              <w:t>x</w:t>
            </w:r>
            <w:r>
              <w:rPr>
                <w:rFonts w:ascii="Calibri" w:hAnsi="Calibri"/>
                <w:spacing w:val="-2"/>
                <w:sz w:val="22"/>
              </w:rPr>
              <w:t> </w:t>
            </w:r>
            <w:r>
              <w:rPr>
                <w:b/>
                <w:sz w:val="22"/>
              </w:rPr>
              <w:t>Bruxelles</w:t>
            </w:r>
            <w:r>
              <w:rPr>
                <w:b/>
                <w:spacing w:val="51"/>
                <w:sz w:val="22"/>
              </w:rPr>
              <w:t> </w:t>
            </w:r>
            <w:r>
              <w:rPr>
                <w:rFonts w:ascii="Wingdings 2" w:hAnsi="Wingdings 2"/>
                <w:sz w:val="22"/>
              </w:rPr>
              <w:t></w:t>
            </w:r>
            <w:r>
              <w:rPr>
                <w:spacing w:val="-2"/>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50" w:val="left" w:leader="none"/>
                <w:tab w:pos="3322" w:val="left" w:leader="none"/>
              </w:tabs>
              <w:spacing w:line="240" w:lineRule="auto" w:before="136"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Calibri" w:hAnsi="Calibri"/>
                <w:spacing w:val="-10"/>
                <w:sz w:val="22"/>
              </w:rPr>
              <w:t>x</w:t>
            </w:r>
            <w:r>
              <w:rPr>
                <w:rFonts w:ascii="Calibri" w:hAnsi="Calibri"/>
                <w:sz w:val="22"/>
              </w:rPr>
              <w:tab/>
            </w:r>
            <w:r>
              <w:rPr>
                <w:b/>
                <w:sz w:val="22"/>
              </w:rPr>
              <w:t>Sans</w:t>
            </w:r>
            <w:r>
              <w:rPr>
                <w:b/>
                <w:spacing w:val="-5"/>
                <w:sz w:val="22"/>
              </w:rPr>
              <w:t> </w:t>
            </w:r>
            <w:r>
              <w:rPr>
                <w:b/>
                <w:spacing w:val="-2"/>
                <w:sz w:val="22"/>
              </w:rPr>
              <w:t>frais</w:t>
            </w:r>
          </w:p>
        </w:tc>
      </w:tr>
      <w:tr>
        <w:trPr>
          <w:trHeight w:val="2111" w:hRule="atLeast"/>
        </w:trPr>
        <w:tc>
          <w:tcPr>
            <w:tcW w:w="9956" w:type="dxa"/>
            <w:gridSpan w:val="2"/>
          </w:tcPr>
          <w:p>
            <w:pPr>
              <w:pStyle w:val="TableParagraph"/>
              <w:spacing w:before="16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1"/>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1"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tabs>
                <w:tab w:pos="516" w:val="left" w:leader="none"/>
              </w:tabs>
              <w:ind w:left="215"/>
              <w:rPr>
                <w:rFonts w:ascii="Calibri"/>
                <w:sz w:val="22"/>
              </w:rPr>
            </w:pPr>
            <w:r>
              <w:rPr>
                <w:rFonts w:ascii="Calibri"/>
                <w:spacing w:val="-10"/>
                <w:sz w:val="22"/>
              </w:rPr>
              <w:t>x</w:t>
            </w:r>
            <w:r>
              <w:rPr>
                <w:rFonts w:ascii="Calibri"/>
                <w:sz w:val="22"/>
              </w:rPr>
              <w:tab/>
            </w:r>
            <w:r>
              <w:rPr>
                <w:b/>
                <w:sz w:val="22"/>
              </w:rPr>
              <w:t>aux</w:t>
            </w:r>
            <w:r>
              <w:rPr>
                <w:b/>
                <w:spacing w:val="-11"/>
                <w:sz w:val="22"/>
              </w:rPr>
              <w:t> </w:t>
            </w:r>
            <w:r>
              <w:rPr>
                <w:b/>
                <w:sz w:val="22"/>
              </w:rPr>
              <w:t>organisations</w:t>
            </w:r>
            <w:r>
              <w:rPr>
                <w:b/>
                <w:spacing w:val="-7"/>
                <w:sz w:val="22"/>
              </w:rPr>
              <w:t> </w:t>
            </w:r>
            <w:r>
              <w:rPr>
                <w:b/>
                <w:sz w:val="22"/>
              </w:rPr>
              <w:t>intergouvernementales</w:t>
            </w:r>
            <w:r>
              <w:rPr>
                <w:b/>
                <w:spacing w:val="-5"/>
                <w:sz w:val="22"/>
              </w:rPr>
              <w:t> </w:t>
            </w:r>
            <w:r>
              <w:rPr>
                <w:b/>
                <w:sz w:val="22"/>
              </w:rPr>
              <w:t>suivantes:</w:t>
            </w:r>
            <w:r>
              <w:rPr>
                <w:b/>
                <w:spacing w:val="-2"/>
                <w:sz w:val="22"/>
              </w:rPr>
              <w:t> </w:t>
            </w:r>
            <w:r>
              <w:rPr>
                <w:rFonts w:ascii="Calibri"/>
                <w:sz w:val="22"/>
              </w:rPr>
              <w:t>IEA,</w:t>
            </w:r>
            <w:r>
              <w:rPr>
                <w:rFonts w:ascii="Calibri"/>
                <w:spacing w:val="-5"/>
                <w:sz w:val="22"/>
              </w:rPr>
              <w:t> </w:t>
            </w:r>
            <w:r>
              <w:rPr>
                <w:rFonts w:ascii="Calibri"/>
                <w:sz w:val="22"/>
              </w:rPr>
              <w:t>OECD,</w:t>
            </w:r>
            <w:r>
              <w:rPr>
                <w:rFonts w:ascii="Calibri"/>
                <w:spacing w:val="-4"/>
                <w:sz w:val="22"/>
              </w:rPr>
              <w:t> </w:t>
            </w:r>
            <w:r>
              <w:rPr>
                <w:rFonts w:ascii="Calibri"/>
                <w:sz w:val="22"/>
              </w:rPr>
              <w:t>Worldbank,</w:t>
            </w:r>
            <w:r>
              <w:rPr>
                <w:rFonts w:ascii="Calibri"/>
                <w:spacing w:val="-4"/>
                <w:sz w:val="22"/>
              </w:rPr>
              <w:t> </w:t>
            </w:r>
            <w:r>
              <w:rPr>
                <w:rFonts w:ascii="Calibri"/>
                <w:sz w:val="22"/>
              </w:rPr>
              <w:t>IRENA,</w:t>
            </w:r>
            <w:r>
              <w:rPr>
                <w:rFonts w:ascii="Calibri"/>
                <w:spacing w:val="-5"/>
                <w:sz w:val="22"/>
              </w:rPr>
              <w:t> </w:t>
            </w:r>
            <w:r>
              <w:rPr>
                <w:rFonts w:ascii="Calibri"/>
                <w:sz w:val="22"/>
              </w:rPr>
              <w:t>IAEA,</w:t>
            </w:r>
            <w:r>
              <w:rPr>
                <w:rFonts w:ascii="Calibri"/>
                <w:spacing w:val="-8"/>
                <w:sz w:val="22"/>
              </w:rPr>
              <w:t> </w:t>
            </w:r>
            <w:r>
              <w:rPr>
                <w:rFonts w:ascii="Calibri"/>
                <w:sz w:val="22"/>
              </w:rPr>
              <w:t>IIASA,</w:t>
            </w:r>
            <w:r>
              <w:rPr>
                <w:rFonts w:ascii="Calibri"/>
                <w:spacing w:val="-4"/>
                <w:sz w:val="22"/>
              </w:rPr>
              <w:t> </w:t>
            </w:r>
            <w:r>
              <w:rPr>
                <w:rFonts w:ascii="Calibri"/>
                <w:spacing w:val="-5"/>
                <w:sz w:val="22"/>
              </w:rPr>
              <w:t>FAO</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6" w:lineRule="auto" w:before="56"/>
        <w:ind w:left="132" w:right="264"/>
        <w:jc w:val="both"/>
        <w:rPr>
          <w:rFonts w:ascii="Calibri" w:hAnsi="Calibri"/>
        </w:rPr>
      </w:pPr>
      <w:r>
        <w:rPr>
          <w:rFonts w:ascii="Calibri" w:hAnsi="Calibri"/>
        </w:rPr>
        <w:t>L'unité</w:t>
      </w:r>
      <w:r>
        <w:rPr>
          <w:rFonts w:ascii="Calibri" w:hAnsi="Calibri"/>
          <w:spacing w:val="-1"/>
        </w:rPr>
        <w:t> </w:t>
      </w:r>
      <w:r>
        <w:rPr>
          <w:rFonts w:ascii="Calibri" w:hAnsi="Calibri"/>
        </w:rPr>
        <w:t>A2</w:t>
      </w:r>
      <w:r>
        <w:rPr>
          <w:rFonts w:ascii="Calibri" w:hAnsi="Calibri"/>
          <w:spacing w:val="-3"/>
        </w:rPr>
        <w:t> </w:t>
      </w:r>
      <w:r>
        <w:rPr>
          <w:rFonts w:ascii="Calibri" w:hAnsi="Calibri"/>
        </w:rPr>
        <w:t>-</w:t>
      </w:r>
      <w:r>
        <w:rPr>
          <w:rFonts w:ascii="Calibri" w:hAnsi="Calibri"/>
          <w:spacing w:val="-2"/>
        </w:rPr>
        <w:t> </w:t>
      </w:r>
      <w:r>
        <w:rPr>
          <w:rFonts w:ascii="Calibri" w:hAnsi="Calibri"/>
        </w:rPr>
        <w:t>Prospective,</w:t>
      </w:r>
      <w:r>
        <w:rPr>
          <w:rFonts w:ascii="Calibri" w:hAnsi="Calibri"/>
          <w:spacing w:val="-1"/>
        </w:rPr>
        <w:t> </w:t>
      </w:r>
      <w:r>
        <w:rPr>
          <w:rFonts w:ascii="Calibri" w:hAnsi="Calibri"/>
        </w:rPr>
        <w:t>analyse</w:t>
      </w:r>
      <w:r>
        <w:rPr>
          <w:rFonts w:ascii="Calibri" w:hAnsi="Calibri"/>
          <w:spacing w:val="-4"/>
        </w:rPr>
        <w:t> </w:t>
      </w:r>
      <w:r>
        <w:rPr>
          <w:rFonts w:ascii="Calibri" w:hAnsi="Calibri"/>
        </w:rPr>
        <w:t>économique</w:t>
      </w:r>
      <w:r>
        <w:rPr>
          <w:rFonts w:ascii="Calibri" w:hAnsi="Calibri"/>
          <w:spacing w:val="-4"/>
        </w:rPr>
        <w:t> </w:t>
      </w:r>
      <w:r>
        <w:rPr>
          <w:rFonts w:ascii="Calibri" w:hAnsi="Calibri"/>
        </w:rPr>
        <w:t>et</w:t>
      </w:r>
      <w:r>
        <w:rPr>
          <w:rFonts w:ascii="Calibri" w:hAnsi="Calibri"/>
          <w:spacing w:val="-4"/>
        </w:rPr>
        <w:t> </w:t>
      </w:r>
      <w:r>
        <w:rPr>
          <w:rFonts w:ascii="Calibri" w:hAnsi="Calibri"/>
        </w:rPr>
        <w:t>modélisation -</w:t>
      </w:r>
      <w:r>
        <w:rPr>
          <w:rFonts w:ascii="Calibri" w:hAnsi="Calibri"/>
          <w:spacing w:val="-5"/>
        </w:rPr>
        <w:t> </w:t>
      </w:r>
      <w:r>
        <w:rPr>
          <w:rFonts w:ascii="Calibri" w:hAnsi="Calibri"/>
        </w:rPr>
        <w:t>est</w:t>
      </w:r>
      <w:r>
        <w:rPr>
          <w:rFonts w:ascii="Calibri" w:hAnsi="Calibri"/>
          <w:spacing w:val="-4"/>
        </w:rPr>
        <w:t> </w:t>
      </w:r>
      <w:r>
        <w:rPr>
          <w:rFonts w:ascii="Calibri" w:hAnsi="Calibri"/>
        </w:rPr>
        <w:t>responsable</w:t>
      </w:r>
      <w:r>
        <w:rPr>
          <w:rFonts w:ascii="Calibri" w:hAnsi="Calibri"/>
          <w:spacing w:val="-2"/>
        </w:rPr>
        <w:t> </w:t>
      </w:r>
      <w:r>
        <w:rPr>
          <w:rFonts w:ascii="Calibri" w:hAnsi="Calibri"/>
        </w:rPr>
        <w:t>de</w:t>
      </w:r>
      <w:r>
        <w:rPr>
          <w:rFonts w:ascii="Calibri" w:hAnsi="Calibri"/>
          <w:spacing w:val="-1"/>
        </w:rPr>
        <w:t> </w:t>
      </w:r>
      <w:r>
        <w:rPr>
          <w:rFonts w:ascii="Calibri" w:hAnsi="Calibri"/>
        </w:rPr>
        <w:t>l'analyse</w:t>
      </w:r>
      <w:r>
        <w:rPr>
          <w:rFonts w:ascii="Calibri" w:hAnsi="Calibri"/>
          <w:spacing w:val="-4"/>
        </w:rPr>
        <w:t> </w:t>
      </w:r>
      <w:r>
        <w:rPr>
          <w:rFonts w:ascii="Calibri" w:hAnsi="Calibri"/>
        </w:rPr>
        <w:t>économique</w:t>
      </w:r>
      <w:r>
        <w:rPr>
          <w:rFonts w:ascii="Calibri" w:hAnsi="Calibri"/>
          <w:spacing w:val="-4"/>
        </w:rPr>
        <w:t> </w:t>
      </w:r>
      <w:r>
        <w:rPr>
          <w:rFonts w:ascii="Calibri" w:hAnsi="Calibri"/>
        </w:rPr>
        <w:t>et</w:t>
      </w:r>
      <w:r>
        <w:rPr>
          <w:rFonts w:ascii="Calibri" w:hAnsi="Calibri"/>
          <w:spacing w:val="-4"/>
        </w:rPr>
        <w:t> </w:t>
      </w:r>
      <w:r>
        <w:rPr>
          <w:rFonts w:ascii="Calibri" w:hAnsi="Calibri"/>
        </w:rPr>
        <w:t>de</w:t>
      </w:r>
      <w:r>
        <w:rPr>
          <w:rFonts w:ascii="Calibri" w:hAnsi="Calibri"/>
          <w:spacing w:val="-1"/>
        </w:rPr>
        <w:t> </w:t>
      </w:r>
      <w:r>
        <w:rPr>
          <w:rFonts w:ascii="Calibri" w:hAnsi="Calibri"/>
        </w:rPr>
        <w:t>la prospective</w:t>
      </w:r>
      <w:r>
        <w:rPr>
          <w:rFonts w:ascii="Calibri" w:hAnsi="Calibri"/>
          <w:spacing w:val="-4"/>
        </w:rPr>
        <w:t> </w:t>
      </w:r>
      <w:r>
        <w:rPr>
          <w:rFonts w:ascii="Calibri" w:hAnsi="Calibri"/>
        </w:rPr>
        <w:t>en</w:t>
      </w:r>
      <w:r>
        <w:rPr>
          <w:rFonts w:ascii="Calibri" w:hAnsi="Calibri"/>
          <w:spacing w:val="-3"/>
        </w:rPr>
        <w:t> </w:t>
      </w:r>
      <w:r>
        <w:rPr>
          <w:rFonts w:ascii="Calibri" w:hAnsi="Calibri"/>
        </w:rPr>
        <w:t>ce qui</w:t>
      </w:r>
      <w:r>
        <w:rPr>
          <w:rFonts w:ascii="Calibri" w:hAnsi="Calibri"/>
          <w:spacing w:val="-2"/>
        </w:rPr>
        <w:t> </w:t>
      </w:r>
      <w:r>
        <w:rPr>
          <w:rFonts w:ascii="Calibri" w:hAnsi="Calibri"/>
        </w:rPr>
        <w:t>concerne</w:t>
      </w:r>
      <w:r>
        <w:rPr>
          <w:rFonts w:ascii="Calibri" w:hAnsi="Calibri"/>
          <w:spacing w:val="-2"/>
        </w:rPr>
        <w:t> </w:t>
      </w:r>
      <w:r>
        <w:rPr>
          <w:rFonts w:ascii="Calibri" w:hAnsi="Calibri"/>
        </w:rPr>
        <w:t>les</w:t>
      </w:r>
      <w:r>
        <w:rPr>
          <w:rFonts w:ascii="Calibri" w:hAnsi="Calibri"/>
          <w:spacing w:val="-4"/>
        </w:rPr>
        <w:t> </w:t>
      </w:r>
      <w:r>
        <w:rPr>
          <w:rFonts w:ascii="Calibri" w:hAnsi="Calibri"/>
        </w:rPr>
        <w:t>politiques</w:t>
      </w:r>
      <w:r>
        <w:rPr>
          <w:rFonts w:ascii="Calibri" w:hAnsi="Calibri"/>
          <w:spacing w:val="-2"/>
        </w:rPr>
        <w:t> </w:t>
      </w:r>
      <w:r>
        <w:rPr>
          <w:rFonts w:ascii="Calibri" w:hAnsi="Calibri"/>
        </w:rPr>
        <w:t>climatiques.</w:t>
      </w:r>
      <w:r>
        <w:rPr>
          <w:rFonts w:ascii="Calibri" w:hAnsi="Calibri"/>
          <w:spacing w:val="-3"/>
        </w:rPr>
        <w:t> </w:t>
      </w:r>
      <w:r>
        <w:rPr>
          <w:rFonts w:ascii="Calibri" w:hAnsi="Calibri"/>
        </w:rPr>
        <w:t>Elle</w:t>
      </w:r>
      <w:r>
        <w:rPr>
          <w:rFonts w:ascii="Calibri" w:hAnsi="Calibri"/>
          <w:spacing w:val="-1"/>
        </w:rPr>
        <w:t> </w:t>
      </w:r>
      <w:r>
        <w:rPr>
          <w:rFonts w:ascii="Calibri" w:hAnsi="Calibri"/>
        </w:rPr>
        <w:t>développe</w:t>
      </w:r>
      <w:r>
        <w:rPr>
          <w:rFonts w:ascii="Calibri" w:hAnsi="Calibri"/>
          <w:spacing w:val="-4"/>
        </w:rPr>
        <w:t> </w:t>
      </w:r>
      <w:r>
        <w:rPr>
          <w:rFonts w:ascii="Calibri" w:hAnsi="Calibri"/>
        </w:rPr>
        <w:t>et</w:t>
      </w:r>
      <w:r>
        <w:rPr>
          <w:rFonts w:ascii="Calibri" w:hAnsi="Calibri"/>
          <w:spacing w:val="-4"/>
        </w:rPr>
        <w:t> </w:t>
      </w:r>
      <w:r>
        <w:rPr>
          <w:rFonts w:ascii="Calibri" w:hAnsi="Calibri"/>
        </w:rPr>
        <w:t>contribue</w:t>
      </w:r>
      <w:r>
        <w:rPr>
          <w:rFonts w:ascii="Calibri" w:hAnsi="Calibri"/>
          <w:spacing w:val="-2"/>
        </w:rPr>
        <w:t> </w:t>
      </w:r>
      <w:r>
        <w:rPr>
          <w:rFonts w:ascii="Calibri" w:hAnsi="Calibri"/>
        </w:rPr>
        <w:t>à</w:t>
      </w:r>
      <w:r>
        <w:rPr>
          <w:rFonts w:ascii="Calibri" w:hAnsi="Calibri"/>
          <w:spacing w:val="-2"/>
        </w:rPr>
        <w:t> </w:t>
      </w:r>
      <w:r>
        <w:rPr>
          <w:rFonts w:ascii="Calibri" w:hAnsi="Calibri"/>
        </w:rPr>
        <w:t>des</w:t>
      </w:r>
      <w:r>
        <w:rPr>
          <w:rFonts w:ascii="Calibri" w:hAnsi="Calibri"/>
          <w:spacing w:val="-4"/>
        </w:rPr>
        <w:t> </w:t>
      </w:r>
      <w:r>
        <w:rPr>
          <w:rFonts w:ascii="Calibri" w:hAnsi="Calibri"/>
        </w:rPr>
        <w:t>options</w:t>
      </w:r>
      <w:r>
        <w:rPr>
          <w:rFonts w:ascii="Calibri" w:hAnsi="Calibri"/>
          <w:spacing w:val="-2"/>
        </w:rPr>
        <w:t> </w:t>
      </w:r>
      <w:r>
        <w:rPr>
          <w:rFonts w:ascii="Calibri" w:hAnsi="Calibri"/>
        </w:rPr>
        <w:t>stratégiques pour l'action climatique internationale et nationale de l'UE, sur la base d'analyses techniques approfondies.</w:t>
      </w:r>
    </w:p>
    <w:p>
      <w:pPr>
        <w:pStyle w:val="BodyText"/>
        <w:spacing w:before="6"/>
        <w:rPr>
          <w:rFonts w:ascii="Calibri"/>
          <w:sz w:val="16"/>
        </w:rPr>
      </w:pPr>
    </w:p>
    <w:p>
      <w:pPr>
        <w:pStyle w:val="BodyText"/>
        <w:spacing w:line="276" w:lineRule="auto"/>
        <w:ind w:left="132" w:right="166"/>
        <w:rPr>
          <w:rFonts w:ascii="Calibri" w:hAnsi="Calibri"/>
        </w:rPr>
      </w:pPr>
      <w:r>
        <w:rPr>
          <w:rFonts w:ascii="Calibri" w:hAnsi="Calibri"/>
        </w:rPr>
        <w:t>Nous travaillons avec diverses équipes de modélisation au sein et en dehors de la Commission. Celles-ci fournissent</w:t>
      </w:r>
      <w:r>
        <w:rPr>
          <w:rFonts w:ascii="Calibri" w:hAnsi="Calibri"/>
          <w:spacing w:val="-2"/>
        </w:rPr>
        <w:t> </w:t>
      </w:r>
      <w:r>
        <w:rPr>
          <w:rFonts w:ascii="Calibri" w:hAnsi="Calibri"/>
        </w:rPr>
        <w:t>une</w:t>
      </w:r>
      <w:r>
        <w:rPr>
          <w:rFonts w:ascii="Calibri" w:hAnsi="Calibri"/>
          <w:spacing w:val="-4"/>
        </w:rPr>
        <w:t> </w:t>
      </w:r>
      <w:r>
        <w:rPr>
          <w:rFonts w:ascii="Calibri" w:hAnsi="Calibri"/>
        </w:rPr>
        <w:t>expertise</w:t>
      </w:r>
      <w:r>
        <w:rPr>
          <w:rFonts w:ascii="Calibri" w:hAnsi="Calibri"/>
          <w:spacing w:val="-4"/>
        </w:rPr>
        <w:t> </w:t>
      </w:r>
      <w:r>
        <w:rPr>
          <w:rFonts w:ascii="Calibri" w:hAnsi="Calibri"/>
        </w:rPr>
        <w:t>dans</w:t>
      </w:r>
      <w:r>
        <w:rPr>
          <w:rFonts w:ascii="Calibri" w:hAnsi="Calibri"/>
          <w:spacing w:val="-2"/>
        </w:rPr>
        <w:t> </w:t>
      </w:r>
      <w:r>
        <w:rPr>
          <w:rFonts w:ascii="Calibri" w:hAnsi="Calibri"/>
        </w:rPr>
        <w:t>la</w:t>
      </w:r>
      <w:r>
        <w:rPr>
          <w:rFonts w:ascii="Calibri" w:hAnsi="Calibri"/>
          <w:spacing w:val="-2"/>
        </w:rPr>
        <w:t> </w:t>
      </w:r>
      <w:r>
        <w:rPr>
          <w:rFonts w:ascii="Calibri" w:hAnsi="Calibri"/>
        </w:rPr>
        <w:t>modélisation</w:t>
      </w:r>
      <w:r>
        <w:rPr>
          <w:rFonts w:ascii="Calibri" w:hAnsi="Calibri"/>
          <w:spacing w:val="-5"/>
        </w:rPr>
        <w:t> </w:t>
      </w:r>
      <w:r>
        <w:rPr>
          <w:rFonts w:ascii="Calibri" w:hAnsi="Calibri"/>
        </w:rPr>
        <w:t>macro-économique</w:t>
      </w:r>
      <w:r>
        <w:rPr>
          <w:rFonts w:ascii="Calibri" w:hAnsi="Calibri"/>
          <w:spacing w:val="-2"/>
        </w:rPr>
        <w:t> </w:t>
      </w:r>
      <w:r>
        <w:rPr>
          <w:rFonts w:ascii="Calibri" w:hAnsi="Calibri"/>
        </w:rPr>
        <w:t>et</w:t>
      </w:r>
      <w:r>
        <w:rPr>
          <w:rFonts w:ascii="Calibri" w:hAnsi="Calibri"/>
          <w:spacing w:val="-2"/>
        </w:rPr>
        <w:t> </w:t>
      </w:r>
      <w:r>
        <w:rPr>
          <w:rFonts w:ascii="Calibri" w:hAnsi="Calibri"/>
        </w:rPr>
        <w:t>sectorielle</w:t>
      </w:r>
      <w:r>
        <w:rPr>
          <w:rFonts w:ascii="Calibri" w:hAnsi="Calibri"/>
          <w:spacing w:val="-4"/>
        </w:rPr>
        <w:t> </w:t>
      </w:r>
      <w:r>
        <w:rPr>
          <w:rFonts w:ascii="Calibri" w:hAnsi="Calibri"/>
        </w:rPr>
        <w:t>des</w:t>
      </w:r>
      <w:r>
        <w:rPr>
          <w:rFonts w:ascii="Calibri" w:hAnsi="Calibri"/>
          <w:spacing w:val="-2"/>
        </w:rPr>
        <w:t> </w:t>
      </w:r>
      <w:r>
        <w:rPr>
          <w:rFonts w:ascii="Calibri" w:hAnsi="Calibri"/>
        </w:rPr>
        <w:t>politiques</w:t>
      </w:r>
      <w:r>
        <w:rPr>
          <w:rFonts w:ascii="Calibri" w:hAnsi="Calibri"/>
          <w:spacing w:val="-2"/>
        </w:rPr>
        <w:t> </w:t>
      </w:r>
      <w:r>
        <w:rPr>
          <w:rFonts w:ascii="Calibri" w:hAnsi="Calibri"/>
        </w:rPr>
        <w:t>d'atténuation</w:t>
      </w:r>
      <w:r>
        <w:rPr>
          <w:rFonts w:ascii="Calibri" w:hAnsi="Calibri"/>
          <w:spacing w:val="-3"/>
        </w:rPr>
        <w:t> </w:t>
      </w:r>
      <w:r>
        <w:rPr>
          <w:rFonts w:ascii="Calibri" w:hAnsi="Calibri"/>
        </w:rPr>
        <w:t>du changement climatique au niveau de l'UE et au niveau mondial, notamment dans les secteurs de l'énergie, des transports et de l'usage des sols.</w:t>
      </w:r>
    </w:p>
    <w:p>
      <w:pPr>
        <w:pStyle w:val="BodyText"/>
        <w:spacing w:before="5"/>
        <w:rPr>
          <w:rFonts w:ascii="Calibri"/>
          <w:sz w:val="16"/>
        </w:rPr>
      </w:pPr>
    </w:p>
    <w:p>
      <w:pPr>
        <w:pStyle w:val="BodyText"/>
        <w:spacing w:line="276" w:lineRule="auto"/>
        <w:ind w:left="132" w:right="166"/>
        <w:rPr>
          <w:rFonts w:ascii="Calibri" w:hAnsi="Calibri"/>
        </w:rPr>
      </w:pPr>
      <w:r>
        <w:rPr>
          <w:rFonts w:ascii="Calibri" w:hAnsi="Calibri"/>
        </w:rPr>
        <w:t>L'unité coordonne aussi</w:t>
      </w:r>
      <w:r>
        <w:rPr>
          <w:rFonts w:ascii="Calibri" w:hAnsi="Calibri"/>
          <w:spacing w:val="-3"/>
        </w:rPr>
        <w:t> </w:t>
      </w:r>
      <w:r>
        <w:rPr>
          <w:rFonts w:ascii="Calibri" w:hAnsi="Calibri"/>
        </w:rPr>
        <w:t>la</w:t>
      </w:r>
      <w:r>
        <w:rPr>
          <w:rFonts w:ascii="Calibri" w:hAnsi="Calibri"/>
          <w:spacing w:val="-4"/>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1"/>
        </w:rPr>
        <w:t> </w:t>
      </w:r>
      <w:r>
        <w:rPr>
          <w:rFonts w:ascii="Calibri" w:hAnsi="Calibri"/>
        </w:rPr>
        <w:t>des systèmes de surveillance,</w:t>
      </w:r>
      <w:r>
        <w:rPr>
          <w:rFonts w:ascii="Calibri" w:hAnsi="Calibri"/>
          <w:spacing w:val="-1"/>
        </w:rPr>
        <w:t> </w:t>
      </w:r>
      <w:r>
        <w:rPr>
          <w:rFonts w:ascii="Calibri" w:hAnsi="Calibri"/>
        </w:rPr>
        <w:t>vérification</w:t>
      </w:r>
      <w:r>
        <w:rPr>
          <w:rFonts w:ascii="Calibri" w:hAnsi="Calibri"/>
          <w:spacing w:val="-2"/>
        </w:rPr>
        <w:t> </w:t>
      </w:r>
      <w:r>
        <w:rPr>
          <w:rFonts w:ascii="Calibri" w:hAnsi="Calibri"/>
        </w:rPr>
        <w:t>et</w:t>
      </w:r>
      <w:r>
        <w:rPr>
          <w:rFonts w:ascii="Calibri" w:hAnsi="Calibri"/>
          <w:spacing w:val="-3"/>
        </w:rPr>
        <w:t> </w:t>
      </w:r>
      <w:r>
        <w:rPr>
          <w:rFonts w:ascii="Calibri" w:hAnsi="Calibri"/>
        </w:rPr>
        <w:t>déclaration des émissions de gaz à effet de serre dans l'UE et dans le monde, ainsi que les relations avec l'Agence européenne pour l'environnement</w:t>
      </w:r>
      <w:r>
        <w:rPr>
          <w:rFonts w:ascii="Calibri" w:hAnsi="Calibri"/>
          <w:spacing w:val="-2"/>
        </w:rPr>
        <w:t> </w:t>
      </w:r>
      <w:r>
        <w:rPr>
          <w:rFonts w:ascii="Calibri" w:hAnsi="Calibri"/>
        </w:rPr>
        <w:t>(AEE),</w:t>
      </w:r>
      <w:r>
        <w:rPr>
          <w:rFonts w:ascii="Calibri" w:hAnsi="Calibri"/>
          <w:spacing w:val="-2"/>
        </w:rPr>
        <w:t> </w:t>
      </w:r>
      <w:r>
        <w:rPr>
          <w:rFonts w:ascii="Calibri" w:hAnsi="Calibri"/>
        </w:rPr>
        <w:t>Eurostat</w:t>
      </w:r>
      <w:r>
        <w:rPr>
          <w:rFonts w:ascii="Calibri" w:hAnsi="Calibri"/>
          <w:spacing w:val="-4"/>
        </w:rPr>
        <w:t> </w:t>
      </w:r>
      <w:r>
        <w:rPr>
          <w:rFonts w:ascii="Calibri" w:hAnsi="Calibri"/>
        </w:rPr>
        <w:t>et</w:t>
      </w:r>
      <w:r>
        <w:rPr>
          <w:rFonts w:ascii="Calibri" w:hAnsi="Calibri"/>
          <w:spacing w:val="-4"/>
        </w:rPr>
        <w:t> </w:t>
      </w:r>
      <w:r>
        <w:rPr>
          <w:rFonts w:ascii="Calibri" w:hAnsi="Calibri"/>
        </w:rPr>
        <w:t>la Communauté</w:t>
      </w:r>
      <w:r>
        <w:rPr>
          <w:rFonts w:ascii="Calibri" w:hAnsi="Calibri"/>
          <w:spacing w:val="-1"/>
        </w:rPr>
        <w:t> </w:t>
      </w:r>
      <w:r>
        <w:rPr>
          <w:rFonts w:ascii="Calibri" w:hAnsi="Calibri"/>
        </w:rPr>
        <w:t>de</w:t>
      </w:r>
      <w:r>
        <w:rPr>
          <w:rFonts w:ascii="Calibri" w:hAnsi="Calibri"/>
          <w:spacing w:val="-4"/>
        </w:rPr>
        <w:t> </w:t>
      </w:r>
      <w:r>
        <w:rPr>
          <w:rFonts w:ascii="Calibri" w:hAnsi="Calibri"/>
        </w:rPr>
        <w:t>Connaissance</w:t>
      </w:r>
      <w:r>
        <w:rPr>
          <w:rFonts w:ascii="Calibri" w:hAnsi="Calibri"/>
          <w:spacing w:val="-1"/>
        </w:rPr>
        <w:t> </w:t>
      </w:r>
      <w:r>
        <w:rPr>
          <w:rFonts w:ascii="Calibri" w:hAnsi="Calibri"/>
        </w:rPr>
        <w:t>sur</w:t>
      </w:r>
      <w:r>
        <w:rPr>
          <w:rFonts w:ascii="Calibri" w:hAnsi="Calibri"/>
          <w:spacing w:val="-3"/>
        </w:rPr>
        <w:t> </w:t>
      </w:r>
      <w:r>
        <w:rPr>
          <w:rFonts w:ascii="Calibri" w:hAnsi="Calibri"/>
        </w:rPr>
        <w:t>l'Environnement</w:t>
      </w:r>
      <w:r>
        <w:rPr>
          <w:rFonts w:ascii="Calibri" w:hAnsi="Calibri"/>
          <w:spacing w:val="-2"/>
        </w:rPr>
        <w:t> </w:t>
      </w:r>
      <w:r>
        <w:rPr>
          <w:rFonts w:ascii="Calibri" w:hAnsi="Calibri"/>
        </w:rPr>
        <w:t>(EKC).</w:t>
      </w:r>
      <w:r>
        <w:rPr>
          <w:rFonts w:ascii="Calibri" w:hAnsi="Calibri"/>
          <w:spacing w:val="-3"/>
        </w:rPr>
        <w:t> </w:t>
      </w:r>
      <w:r>
        <w:rPr>
          <w:rFonts w:ascii="Calibri" w:hAnsi="Calibri"/>
        </w:rPr>
        <w:t>Enfin,</w:t>
      </w:r>
      <w:r>
        <w:rPr>
          <w:rFonts w:ascii="Calibri" w:hAnsi="Calibri"/>
          <w:spacing w:val="-2"/>
        </w:rPr>
        <w:t> </w:t>
      </w:r>
      <w:r>
        <w:rPr>
          <w:rFonts w:ascii="Calibri" w:hAnsi="Calibri"/>
        </w:rPr>
        <w:t>l'unité</w:t>
      </w:r>
      <w:r>
        <w:rPr>
          <w:rFonts w:ascii="Calibri" w:hAnsi="Calibri"/>
          <w:spacing w:val="-4"/>
        </w:rPr>
        <w:t> </w:t>
      </w:r>
      <w:r>
        <w:rPr>
          <w:rFonts w:ascii="Calibri" w:hAnsi="Calibri"/>
        </w:rPr>
        <w:t>est le</w:t>
      </w:r>
      <w:r>
        <w:rPr>
          <w:rFonts w:ascii="Calibri" w:hAnsi="Calibri"/>
          <w:spacing w:val="-1"/>
        </w:rPr>
        <w:t> </w:t>
      </w:r>
      <w:r>
        <w:rPr>
          <w:rFonts w:ascii="Calibri" w:hAnsi="Calibri"/>
        </w:rPr>
        <w:t>point de contact de la</w:t>
      </w:r>
      <w:r>
        <w:rPr>
          <w:rFonts w:ascii="Calibri" w:hAnsi="Calibri"/>
          <w:spacing w:val="-4"/>
        </w:rPr>
        <w:t> </w:t>
      </w:r>
      <w:r>
        <w:rPr>
          <w:rFonts w:ascii="Calibri" w:hAnsi="Calibri"/>
        </w:rPr>
        <w:t>DG</w:t>
      </w:r>
      <w:r>
        <w:rPr>
          <w:rFonts w:ascii="Calibri" w:hAnsi="Calibri"/>
          <w:spacing w:val="-1"/>
        </w:rPr>
        <w:t> </w:t>
      </w:r>
      <w:r>
        <w:rPr>
          <w:rFonts w:ascii="Calibri" w:hAnsi="Calibri"/>
        </w:rPr>
        <w:t>CLIMA</w:t>
      </w:r>
      <w:r>
        <w:rPr>
          <w:rFonts w:ascii="Calibri" w:hAnsi="Calibri"/>
          <w:spacing w:val="-1"/>
        </w:rPr>
        <w:t> </w:t>
      </w:r>
      <w:r>
        <w:rPr>
          <w:rFonts w:ascii="Calibri" w:hAnsi="Calibri"/>
        </w:rPr>
        <w:t>pour</w:t>
      </w:r>
      <w:r>
        <w:rPr>
          <w:rFonts w:ascii="Calibri" w:hAnsi="Calibri"/>
          <w:spacing w:val="-1"/>
        </w:rPr>
        <w:t> </w:t>
      </w:r>
      <w:r>
        <w:rPr>
          <w:rFonts w:ascii="Calibri" w:hAnsi="Calibri"/>
        </w:rPr>
        <w:t>les travaux</w:t>
      </w:r>
      <w:r>
        <w:rPr>
          <w:rFonts w:ascii="Calibri" w:hAnsi="Calibri"/>
          <w:spacing w:val="-3"/>
        </w:rPr>
        <w:t> </w:t>
      </w:r>
      <w:r>
        <w:rPr>
          <w:rFonts w:ascii="Calibri" w:hAnsi="Calibri"/>
        </w:rPr>
        <w:t>de prospective stratégique de la</w:t>
      </w:r>
      <w:r>
        <w:rPr>
          <w:rFonts w:ascii="Calibri" w:hAnsi="Calibri"/>
          <w:spacing w:val="-1"/>
        </w:rPr>
        <w:t> </w:t>
      </w:r>
      <w:r>
        <w:rPr>
          <w:rFonts w:ascii="Calibri" w:hAnsi="Calibri"/>
        </w:rPr>
        <w:t>Commission</w:t>
      </w:r>
      <w:r>
        <w:rPr>
          <w:rFonts w:ascii="Calibri" w:hAnsi="Calibri"/>
          <w:spacing w:val="-4"/>
        </w:rPr>
        <w:t> </w:t>
      </w:r>
      <w:r>
        <w:rPr>
          <w:rFonts w:ascii="Calibri" w:hAnsi="Calibri"/>
        </w:rPr>
        <w:t>et</w:t>
      </w:r>
      <w:r>
        <w:rPr>
          <w:rFonts w:ascii="Calibri" w:hAnsi="Calibri"/>
          <w:spacing w:val="-1"/>
        </w:rPr>
        <w:t> </w:t>
      </w:r>
      <w:r>
        <w:rPr>
          <w:rFonts w:ascii="Calibri" w:hAnsi="Calibri"/>
        </w:rPr>
        <w:t>pour</w:t>
      </w:r>
      <w:r>
        <w:rPr>
          <w:rFonts w:ascii="Calibri" w:hAnsi="Calibri"/>
          <w:spacing w:val="-1"/>
        </w:rPr>
        <w:t> </w:t>
      </w:r>
      <w:r>
        <w:rPr>
          <w:rFonts w:ascii="Calibri" w:hAnsi="Calibri"/>
        </w:rPr>
        <w:t>le</w:t>
      </w:r>
      <w:r>
        <w:rPr>
          <w:rFonts w:ascii="Calibri" w:hAnsi="Calibri"/>
          <w:spacing w:val="-3"/>
        </w:rPr>
        <w:t> </w:t>
      </w:r>
      <w:r>
        <w:rPr>
          <w:rFonts w:ascii="Calibri" w:hAnsi="Calibri"/>
        </w:rPr>
        <w:t>suivi des travaux scientifiques sur le changement climatique.</w:t>
      </w:r>
    </w:p>
    <w:p>
      <w:pPr>
        <w:pStyle w:val="BodyText"/>
        <w:spacing w:before="3"/>
        <w:rPr>
          <w:rFonts w:ascii="Calibri"/>
          <w:sz w:val="16"/>
        </w:rPr>
      </w:pPr>
    </w:p>
    <w:p>
      <w:pPr>
        <w:pStyle w:val="BodyText"/>
        <w:spacing w:line="276" w:lineRule="auto"/>
        <w:ind w:left="132" w:right="125"/>
        <w:rPr>
          <w:rFonts w:ascii="Calibri" w:hAnsi="Calibri"/>
        </w:rPr>
      </w:pPr>
      <w:r>
        <w:rPr>
          <w:rFonts w:ascii="Calibri" w:hAnsi="Calibri"/>
        </w:rPr>
        <w:t>Nous sommes une équipe très motivée de 18 collègues, incluant des économistes, des personnes ayant une formation en sciences naturelles, ainsi que des ingénieurs. Les questions climatiques sur lesquelles nous travaillons</w:t>
      </w:r>
      <w:r>
        <w:rPr>
          <w:rFonts w:ascii="Calibri" w:hAnsi="Calibri"/>
          <w:spacing w:val="-2"/>
        </w:rPr>
        <w:t> </w:t>
      </w:r>
      <w:r>
        <w:rPr>
          <w:rFonts w:ascii="Calibri" w:hAnsi="Calibri"/>
        </w:rPr>
        <w:t>sont</w:t>
      </w:r>
      <w:r>
        <w:rPr>
          <w:rFonts w:ascii="Calibri" w:hAnsi="Calibri"/>
          <w:spacing w:val="-4"/>
        </w:rPr>
        <w:t> </w:t>
      </w:r>
      <w:r>
        <w:rPr>
          <w:rFonts w:ascii="Calibri" w:hAnsi="Calibri"/>
        </w:rPr>
        <w:t>maintenant</w:t>
      </w:r>
      <w:r>
        <w:rPr>
          <w:rFonts w:ascii="Calibri" w:hAnsi="Calibri"/>
          <w:spacing w:val="-2"/>
        </w:rPr>
        <w:t> </w:t>
      </w:r>
      <w:r>
        <w:rPr>
          <w:rFonts w:ascii="Calibri" w:hAnsi="Calibri"/>
        </w:rPr>
        <w:t>de</w:t>
      </w:r>
      <w:r>
        <w:rPr>
          <w:rFonts w:ascii="Calibri" w:hAnsi="Calibri"/>
          <w:spacing w:val="-1"/>
        </w:rPr>
        <w:t> </w:t>
      </w:r>
      <w:r>
        <w:rPr>
          <w:rFonts w:ascii="Calibri" w:hAnsi="Calibri"/>
        </w:rPr>
        <w:t>première</w:t>
      </w:r>
      <w:r>
        <w:rPr>
          <w:rFonts w:ascii="Calibri" w:hAnsi="Calibri"/>
          <w:spacing w:val="-1"/>
        </w:rPr>
        <w:t> </w:t>
      </w:r>
      <w:r>
        <w:rPr>
          <w:rFonts w:ascii="Calibri" w:hAnsi="Calibri"/>
        </w:rPr>
        <w:t>importance</w:t>
      </w:r>
      <w:r>
        <w:rPr>
          <w:rFonts w:ascii="Calibri" w:hAnsi="Calibri"/>
          <w:spacing w:val="-7"/>
        </w:rPr>
        <w:t> </w:t>
      </w:r>
      <w:r>
        <w:rPr>
          <w:rFonts w:ascii="Calibri" w:hAnsi="Calibri"/>
        </w:rPr>
        <w:t>au</w:t>
      </w:r>
      <w:r>
        <w:rPr>
          <w:rFonts w:ascii="Calibri" w:hAnsi="Calibri"/>
          <w:spacing w:val="-3"/>
        </w:rPr>
        <w:t> </w:t>
      </w:r>
      <w:r>
        <w:rPr>
          <w:rFonts w:ascii="Calibri" w:hAnsi="Calibri"/>
        </w:rPr>
        <w:t>niveau</w:t>
      </w:r>
      <w:r>
        <w:rPr>
          <w:rFonts w:ascii="Calibri" w:hAnsi="Calibri"/>
          <w:spacing w:val="-3"/>
        </w:rPr>
        <w:t> </w:t>
      </w:r>
      <w:r>
        <w:rPr>
          <w:rFonts w:ascii="Calibri" w:hAnsi="Calibri"/>
        </w:rPr>
        <w:t>politique. L'équipe</w:t>
      </w:r>
      <w:r>
        <w:rPr>
          <w:rFonts w:ascii="Calibri" w:hAnsi="Calibri"/>
          <w:spacing w:val="-1"/>
        </w:rPr>
        <w:t> </w:t>
      </w:r>
      <w:r>
        <w:rPr>
          <w:rFonts w:ascii="Calibri" w:hAnsi="Calibri"/>
        </w:rPr>
        <w:t>est</w:t>
      </w:r>
      <w:r>
        <w:rPr>
          <w:rFonts w:ascii="Calibri" w:hAnsi="Calibri"/>
          <w:spacing w:val="-4"/>
        </w:rPr>
        <w:t> </w:t>
      </w:r>
      <w:r>
        <w:rPr>
          <w:rFonts w:ascii="Calibri" w:hAnsi="Calibri"/>
        </w:rPr>
        <w:t>étroitement</w:t>
      </w:r>
      <w:r>
        <w:rPr>
          <w:rFonts w:ascii="Calibri" w:hAnsi="Calibri"/>
          <w:spacing w:val="-2"/>
        </w:rPr>
        <w:t> </w:t>
      </w:r>
      <w:r>
        <w:rPr>
          <w:rFonts w:ascii="Calibri" w:hAnsi="Calibri"/>
        </w:rPr>
        <w:t>impliquée</w:t>
      </w:r>
      <w:r>
        <w:rPr>
          <w:rFonts w:ascii="Calibri" w:hAnsi="Calibri"/>
          <w:spacing w:val="-2"/>
        </w:rPr>
        <w:t> </w:t>
      </w:r>
      <w:r>
        <w:rPr>
          <w:rFonts w:ascii="Calibri" w:hAnsi="Calibri"/>
        </w:rPr>
        <w:t>dans le développement des politiques du Pacte Vert pour l'Europe et de la loi européenne sur le climat ainsi que dans</w:t>
      </w:r>
      <w:r>
        <w:rPr>
          <w:rFonts w:ascii="Calibri" w:hAnsi="Calibri"/>
          <w:spacing w:val="40"/>
        </w:rPr>
        <w:t> </w:t>
      </w:r>
      <w:r>
        <w:rPr>
          <w:rFonts w:ascii="Calibri" w:hAnsi="Calibri"/>
        </w:rPr>
        <w:t>le développement des politiques énergétiques.</w:t>
      </w:r>
    </w:p>
    <w:p>
      <w:pPr>
        <w:pStyle w:val="BodyText"/>
        <w:spacing w:before="7"/>
        <w:rPr>
          <w:rFonts w:ascii="Calibri"/>
          <w:sz w:val="13"/>
        </w:rPr>
      </w:pPr>
      <w:r>
        <w:rPr/>
        <w:pict>
          <v:rect style="position:absolute;margin-left:42.599998pt;margin-top:9.48516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right="262"/>
        <w:jc w:val="both"/>
        <w:rPr>
          <w:rFonts w:ascii="Calibri" w:hAnsi="Calibri"/>
        </w:rPr>
      </w:pPr>
      <w:r>
        <w:rPr>
          <w:rFonts w:ascii="Calibri" w:hAnsi="Calibri"/>
        </w:rPr>
        <w:t>L'unité a dirigé les travaux</w:t>
      </w:r>
      <w:r>
        <w:rPr>
          <w:rFonts w:ascii="Calibri" w:hAnsi="Calibri"/>
          <w:spacing w:val="-3"/>
        </w:rPr>
        <w:t> </w:t>
      </w:r>
      <w:r>
        <w:rPr>
          <w:rFonts w:ascii="Calibri" w:hAnsi="Calibri"/>
        </w:rPr>
        <w:t>visant à justifier</w:t>
      </w:r>
      <w:r>
        <w:rPr>
          <w:rFonts w:ascii="Calibri" w:hAnsi="Calibri"/>
          <w:spacing w:val="-1"/>
        </w:rPr>
        <w:t> </w:t>
      </w:r>
      <w:r>
        <w:rPr>
          <w:rFonts w:ascii="Calibri" w:hAnsi="Calibri"/>
        </w:rPr>
        <w:t>l'augmentation de</w:t>
      </w:r>
      <w:r>
        <w:rPr>
          <w:rFonts w:ascii="Calibri" w:hAnsi="Calibri"/>
          <w:spacing w:val="-2"/>
        </w:rPr>
        <w:t> </w:t>
      </w:r>
      <w:r>
        <w:rPr>
          <w:rFonts w:ascii="Calibri" w:hAnsi="Calibri"/>
        </w:rPr>
        <w:t>l'ambition climatique pour</w:t>
      </w:r>
      <w:r>
        <w:rPr>
          <w:rFonts w:ascii="Calibri" w:hAnsi="Calibri"/>
          <w:spacing w:val="-1"/>
        </w:rPr>
        <w:t> </w:t>
      </w:r>
      <w:r>
        <w:rPr>
          <w:rFonts w:ascii="Calibri" w:hAnsi="Calibri"/>
        </w:rPr>
        <w:t>2030.</w:t>
      </w:r>
      <w:r>
        <w:rPr>
          <w:rFonts w:ascii="Calibri" w:hAnsi="Calibri"/>
          <w:spacing w:val="-2"/>
        </w:rPr>
        <w:t> </w:t>
      </w:r>
      <w:r>
        <w:rPr>
          <w:rFonts w:ascii="Calibri" w:hAnsi="Calibri"/>
        </w:rPr>
        <w:t>Elle</w:t>
      </w:r>
      <w:r>
        <w:rPr>
          <w:rFonts w:ascii="Calibri" w:hAnsi="Calibri"/>
          <w:spacing w:val="-1"/>
        </w:rPr>
        <w:t> </w:t>
      </w:r>
      <w:r>
        <w:rPr>
          <w:rFonts w:ascii="Calibri" w:hAnsi="Calibri"/>
        </w:rPr>
        <w:t>va</w:t>
      </w:r>
      <w:r>
        <w:rPr>
          <w:rFonts w:ascii="Calibri" w:hAnsi="Calibri"/>
          <w:spacing w:val="-1"/>
        </w:rPr>
        <w:t> </w:t>
      </w:r>
      <w:r>
        <w:rPr>
          <w:rFonts w:ascii="Calibri" w:hAnsi="Calibri"/>
        </w:rPr>
        <w:t>mener les travaux</w:t>
      </w:r>
      <w:r>
        <w:rPr>
          <w:rFonts w:ascii="Calibri" w:hAnsi="Calibri"/>
          <w:spacing w:val="-3"/>
        </w:rPr>
        <w:t> </w:t>
      </w:r>
      <w:r>
        <w:rPr>
          <w:rFonts w:ascii="Calibri" w:hAnsi="Calibri"/>
        </w:rPr>
        <w:t>analytiques</w:t>
      </w:r>
      <w:r>
        <w:rPr>
          <w:rFonts w:ascii="Calibri" w:hAnsi="Calibri"/>
          <w:spacing w:val="-3"/>
        </w:rPr>
        <w:t> </w:t>
      </w:r>
      <w:r>
        <w:rPr>
          <w:rFonts w:ascii="Calibri" w:hAnsi="Calibri"/>
        </w:rPr>
        <w:t>pour</w:t>
      </w:r>
      <w:r>
        <w:rPr>
          <w:rFonts w:ascii="Calibri" w:hAnsi="Calibri"/>
          <w:spacing w:val="-1"/>
        </w:rPr>
        <w:t> </w:t>
      </w:r>
      <w:r>
        <w:rPr>
          <w:rFonts w:ascii="Calibri" w:hAnsi="Calibri"/>
        </w:rPr>
        <w:t>l'élaboration</w:t>
      </w:r>
      <w:r>
        <w:rPr>
          <w:rFonts w:ascii="Calibri" w:hAnsi="Calibri"/>
          <w:spacing w:val="-2"/>
        </w:rPr>
        <w:t> </w:t>
      </w:r>
      <w:r>
        <w:rPr>
          <w:rFonts w:ascii="Calibri" w:hAnsi="Calibri"/>
        </w:rPr>
        <w:t>des</w:t>
      </w:r>
      <w:r>
        <w:rPr>
          <w:rFonts w:ascii="Calibri" w:hAnsi="Calibri"/>
          <w:spacing w:val="-4"/>
        </w:rPr>
        <w:t> </w:t>
      </w:r>
      <w:r>
        <w:rPr>
          <w:rFonts w:ascii="Calibri" w:hAnsi="Calibri"/>
        </w:rPr>
        <w:t>objectifs</w:t>
      </w:r>
      <w:r>
        <w:rPr>
          <w:rFonts w:ascii="Calibri" w:hAnsi="Calibri"/>
          <w:spacing w:val="-4"/>
        </w:rPr>
        <w:t> </w:t>
      </w:r>
      <w:r>
        <w:rPr>
          <w:rFonts w:ascii="Calibri" w:hAnsi="Calibri"/>
        </w:rPr>
        <w:t>post-2030</w:t>
      </w:r>
      <w:r>
        <w:rPr>
          <w:rFonts w:ascii="Calibri" w:hAnsi="Calibri"/>
          <w:spacing w:val="-3"/>
        </w:rPr>
        <w:t> </w:t>
      </w:r>
      <w:r>
        <w:rPr>
          <w:rFonts w:ascii="Calibri" w:hAnsi="Calibri"/>
        </w:rPr>
        <w:t>et</w:t>
      </w:r>
      <w:r>
        <w:rPr>
          <w:rFonts w:ascii="Calibri" w:hAnsi="Calibri"/>
          <w:spacing w:val="-1"/>
        </w:rPr>
        <w:t> </w:t>
      </w:r>
      <w:r>
        <w:rPr>
          <w:rFonts w:ascii="Calibri" w:hAnsi="Calibri"/>
        </w:rPr>
        <w:t>du</w:t>
      </w:r>
      <w:r>
        <w:rPr>
          <w:rFonts w:ascii="Calibri" w:hAnsi="Calibri"/>
          <w:spacing w:val="-2"/>
        </w:rPr>
        <w:t> </w:t>
      </w:r>
      <w:r>
        <w:rPr>
          <w:rFonts w:ascii="Calibri" w:hAnsi="Calibri"/>
        </w:rPr>
        <w:t>budget</w:t>
      </w:r>
      <w:r>
        <w:rPr>
          <w:rFonts w:ascii="Calibri" w:hAnsi="Calibri"/>
          <w:spacing w:val="-3"/>
        </w:rPr>
        <w:t> </w:t>
      </w:r>
      <w:r>
        <w:rPr>
          <w:rFonts w:ascii="Calibri" w:hAnsi="Calibri"/>
        </w:rPr>
        <w:t>indicatif</w:t>
      </w:r>
      <w:r>
        <w:rPr>
          <w:rFonts w:ascii="Calibri" w:hAnsi="Calibri"/>
          <w:spacing w:val="-1"/>
        </w:rPr>
        <w:t> </w:t>
      </w:r>
      <w:r>
        <w:rPr>
          <w:rFonts w:ascii="Calibri" w:hAnsi="Calibri"/>
        </w:rPr>
        <w:t>des</w:t>
      </w:r>
      <w:r>
        <w:rPr>
          <w:rFonts w:ascii="Calibri" w:hAnsi="Calibri"/>
          <w:spacing w:val="-3"/>
        </w:rPr>
        <w:t> </w:t>
      </w:r>
      <w:r>
        <w:rPr>
          <w:rFonts w:ascii="Calibri" w:hAnsi="Calibri"/>
        </w:rPr>
        <w:t>émissions</w:t>
      </w:r>
      <w:r>
        <w:rPr>
          <w:rFonts w:ascii="Calibri" w:hAnsi="Calibri"/>
          <w:spacing w:val="-1"/>
        </w:rPr>
        <w:t> </w:t>
      </w:r>
      <w:r>
        <w:rPr>
          <w:rFonts w:ascii="Calibri" w:hAnsi="Calibri"/>
        </w:rPr>
        <w:t>de gaz</w:t>
      </w:r>
      <w:r>
        <w:rPr>
          <w:rFonts w:ascii="Calibri" w:hAnsi="Calibri"/>
          <w:spacing w:val="-2"/>
        </w:rPr>
        <w:t> </w:t>
      </w:r>
      <w:r>
        <w:rPr>
          <w:rFonts w:ascii="Calibri" w:hAnsi="Calibri"/>
        </w:rPr>
        <w:t>à</w:t>
      </w:r>
      <w:r>
        <w:rPr>
          <w:rFonts w:ascii="Calibri" w:hAnsi="Calibri"/>
          <w:spacing w:val="-3"/>
        </w:rPr>
        <w:t> </w:t>
      </w:r>
      <w:r>
        <w:rPr>
          <w:rFonts w:ascii="Calibri" w:hAnsi="Calibri"/>
        </w:rPr>
        <w:t>effet de serre</w:t>
      </w:r>
      <w:r>
        <w:rPr>
          <w:rFonts w:ascii="Calibri" w:hAnsi="Calibri"/>
          <w:spacing w:val="-2"/>
        </w:rPr>
        <w:t> </w:t>
      </w:r>
      <w:r>
        <w:rPr>
          <w:rFonts w:ascii="Calibri" w:hAnsi="Calibri"/>
        </w:rPr>
        <w:t>correspondant.</w:t>
      </w:r>
      <w:r>
        <w:rPr>
          <w:rFonts w:ascii="Calibri" w:hAnsi="Calibri"/>
          <w:spacing w:val="-1"/>
        </w:rPr>
        <w:t> </w:t>
      </w:r>
      <w:r>
        <w:rPr>
          <w:rFonts w:ascii="Calibri" w:hAnsi="Calibri"/>
        </w:rPr>
        <w:t>Elle soutient les autres unités</w:t>
      </w:r>
      <w:r>
        <w:rPr>
          <w:rFonts w:ascii="Calibri" w:hAnsi="Calibri"/>
          <w:spacing w:val="-3"/>
        </w:rPr>
        <w:t> </w:t>
      </w:r>
      <w:r>
        <w:rPr>
          <w:rFonts w:ascii="Calibri" w:hAnsi="Calibri"/>
        </w:rPr>
        <w:t>politiques dans</w:t>
      </w:r>
      <w:r>
        <w:rPr>
          <w:rFonts w:ascii="Calibri" w:hAnsi="Calibri"/>
          <w:spacing w:val="-3"/>
        </w:rPr>
        <w:t> </w:t>
      </w:r>
      <w:r>
        <w:rPr>
          <w:rFonts w:ascii="Calibri" w:hAnsi="Calibri"/>
        </w:rPr>
        <w:t>la révision</w:t>
      </w:r>
      <w:r>
        <w:rPr>
          <w:rFonts w:ascii="Calibri" w:hAnsi="Calibri"/>
          <w:spacing w:val="-3"/>
        </w:rPr>
        <w:t> </w:t>
      </w:r>
      <w:r>
        <w:rPr>
          <w:rFonts w:ascii="Calibri" w:hAnsi="Calibri"/>
        </w:rPr>
        <w:t>de leurs instruments législatifs.</w:t>
      </w:r>
    </w:p>
    <w:p>
      <w:pPr>
        <w:pStyle w:val="BodyText"/>
        <w:spacing w:before="7"/>
        <w:rPr>
          <w:rFonts w:ascii="Calibri"/>
          <w:sz w:val="16"/>
        </w:rPr>
      </w:pPr>
    </w:p>
    <w:p>
      <w:pPr>
        <w:pStyle w:val="BodyText"/>
        <w:spacing w:line="276" w:lineRule="auto"/>
        <w:ind w:left="132" w:right="166"/>
        <w:rPr>
          <w:rFonts w:ascii="Calibri" w:hAnsi="Calibri"/>
        </w:rPr>
      </w:pPr>
      <w:r>
        <w:rPr>
          <w:rFonts w:ascii="Calibri" w:hAnsi="Calibri"/>
        </w:rPr>
        <w:t>Enfin,</w:t>
      </w:r>
      <w:r>
        <w:rPr>
          <w:rFonts w:ascii="Calibri" w:hAnsi="Calibri"/>
          <w:spacing w:val="-2"/>
        </w:rPr>
        <w:t> </w:t>
      </w:r>
      <w:r>
        <w:rPr>
          <w:rFonts w:ascii="Calibri" w:hAnsi="Calibri"/>
        </w:rPr>
        <w:t>l'Unité</w:t>
      </w:r>
      <w:r>
        <w:rPr>
          <w:rFonts w:ascii="Calibri" w:hAnsi="Calibri"/>
          <w:spacing w:val="-1"/>
        </w:rPr>
        <w:t> </w:t>
      </w:r>
      <w:r>
        <w:rPr>
          <w:rFonts w:ascii="Calibri" w:hAnsi="Calibri"/>
        </w:rPr>
        <w:t>participe</w:t>
      </w:r>
      <w:r>
        <w:rPr>
          <w:rFonts w:ascii="Calibri" w:hAnsi="Calibri"/>
          <w:spacing w:val="-1"/>
        </w:rPr>
        <w:t> </w:t>
      </w:r>
      <w:r>
        <w:rPr>
          <w:rFonts w:ascii="Calibri" w:hAnsi="Calibri"/>
        </w:rPr>
        <w:t>activement</w:t>
      </w:r>
      <w:r>
        <w:rPr>
          <w:rFonts w:ascii="Calibri" w:hAnsi="Calibri"/>
          <w:spacing w:val="-4"/>
        </w:rPr>
        <w:t> </w:t>
      </w:r>
      <w:r>
        <w:rPr>
          <w:rFonts w:ascii="Calibri" w:hAnsi="Calibri"/>
        </w:rPr>
        <w:t>aux</w:t>
      </w:r>
      <w:r>
        <w:rPr>
          <w:rFonts w:ascii="Calibri" w:hAnsi="Calibri"/>
          <w:spacing w:val="-2"/>
        </w:rPr>
        <w:t> </w:t>
      </w:r>
      <w:r>
        <w:rPr>
          <w:rFonts w:ascii="Calibri" w:hAnsi="Calibri"/>
        </w:rPr>
        <w:t>négociations</w:t>
      </w:r>
      <w:r>
        <w:rPr>
          <w:rFonts w:ascii="Calibri" w:hAnsi="Calibri"/>
          <w:spacing w:val="-2"/>
        </w:rPr>
        <w:t> </w:t>
      </w:r>
      <w:r>
        <w:rPr>
          <w:rFonts w:ascii="Calibri" w:hAnsi="Calibri"/>
        </w:rPr>
        <w:t>internationales</w:t>
      </w:r>
      <w:r>
        <w:rPr>
          <w:rFonts w:ascii="Calibri" w:hAnsi="Calibri"/>
          <w:spacing w:val="-2"/>
        </w:rPr>
        <w:t> </w:t>
      </w:r>
      <w:r>
        <w:rPr>
          <w:rFonts w:ascii="Calibri" w:hAnsi="Calibri"/>
        </w:rPr>
        <w:t>sur</w:t>
      </w:r>
      <w:r>
        <w:rPr>
          <w:rFonts w:ascii="Calibri" w:hAnsi="Calibri"/>
          <w:spacing w:val="-5"/>
        </w:rPr>
        <w:t> </w:t>
      </w:r>
      <w:r>
        <w:rPr>
          <w:rFonts w:ascii="Calibri" w:hAnsi="Calibri"/>
        </w:rPr>
        <w:t>le</w:t>
      </w:r>
      <w:r>
        <w:rPr>
          <w:rFonts w:ascii="Calibri" w:hAnsi="Calibri"/>
          <w:spacing w:val="-1"/>
        </w:rPr>
        <w:t> </w:t>
      </w:r>
      <w:r>
        <w:rPr>
          <w:rFonts w:ascii="Calibri" w:hAnsi="Calibri"/>
        </w:rPr>
        <w:t>changement</w:t>
      </w:r>
      <w:r>
        <w:rPr>
          <w:rFonts w:ascii="Calibri" w:hAnsi="Calibri"/>
          <w:spacing w:val="-4"/>
        </w:rPr>
        <w:t> </w:t>
      </w:r>
      <w:r>
        <w:rPr>
          <w:rFonts w:ascii="Calibri" w:hAnsi="Calibri"/>
        </w:rPr>
        <w:t>climatique,</w:t>
      </w:r>
      <w:r>
        <w:rPr>
          <w:rFonts w:ascii="Calibri" w:hAnsi="Calibri"/>
          <w:spacing w:val="-1"/>
        </w:rPr>
        <w:t> </w:t>
      </w:r>
      <w:r>
        <w:rPr>
          <w:rFonts w:ascii="Calibri" w:hAnsi="Calibri"/>
        </w:rPr>
        <w:t>notamment</w:t>
      </w:r>
      <w:r>
        <w:rPr>
          <w:rFonts w:ascii="Calibri" w:hAnsi="Calibri"/>
          <w:spacing w:val="-2"/>
        </w:rPr>
        <w:t> </w:t>
      </w:r>
      <w:r>
        <w:rPr>
          <w:rFonts w:ascii="Calibri" w:hAnsi="Calibri"/>
        </w:rPr>
        <w:t>en évaluant les progrès mondiaux pour atteindre les objectifs climatiques de l'Accord de Paris et de la Convention- Cadre des Nations Unies sur les Changements Climatiques (CCNUCC). Elle soutient aussi le développement d'activité de modélisation de l'atténuation politiques dans des pays tiers. L'unité est aussi en contact avec des instituts internationaux</w:t>
      </w:r>
      <w:r>
        <w:rPr>
          <w:rFonts w:ascii="Calibri" w:hAnsi="Calibri"/>
          <w:spacing w:val="-1"/>
        </w:rPr>
        <w:t> </w:t>
      </w:r>
      <w:r>
        <w:rPr>
          <w:rFonts w:ascii="Calibri" w:hAnsi="Calibri"/>
        </w:rPr>
        <w:t>de</w:t>
      </w:r>
      <w:r>
        <w:rPr>
          <w:rFonts w:ascii="Calibri" w:hAnsi="Calibri"/>
          <w:spacing w:val="-1"/>
        </w:rPr>
        <w:t> </w:t>
      </w:r>
      <w:r>
        <w:rPr>
          <w:rFonts w:ascii="Calibri" w:hAnsi="Calibri"/>
        </w:rPr>
        <w:t>recherche</w:t>
      </w:r>
      <w:r>
        <w:rPr>
          <w:rFonts w:ascii="Calibri" w:hAnsi="Calibri"/>
          <w:spacing w:val="-1"/>
        </w:rPr>
        <w:t> </w:t>
      </w:r>
      <w:r>
        <w:rPr>
          <w:rFonts w:ascii="Calibri" w:hAnsi="Calibri"/>
        </w:rPr>
        <w:t>économique,</w:t>
      </w:r>
      <w:r>
        <w:rPr>
          <w:rFonts w:ascii="Calibri" w:hAnsi="Calibri"/>
          <w:spacing w:val="-1"/>
        </w:rPr>
        <w:t> </w:t>
      </w:r>
      <w:r>
        <w:rPr>
          <w:rFonts w:ascii="Calibri" w:hAnsi="Calibri"/>
        </w:rPr>
        <w:t>travaille avec des partenaires</w:t>
      </w:r>
      <w:r>
        <w:rPr>
          <w:rFonts w:ascii="Calibri" w:hAnsi="Calibri"/>
          <w:spacing w:val="-1"/>
        </w:rPr>
        <w:t> </w:t>
      </w:r>
      <w:r>
        <w:rPr>
          <w:rFonts w:ascii="Calibri" w:hAnsi="Calibri"/>
        </w:rPr>
        <w:t>dans des pays</w:t>
      </w:r>
      <w:r>
        <w:rPr>
          <w:rFonts w:ascii="Calibri" w:hAnsi="Calibri"/>
          <w:spacing w:val="-1"/>
        </w:rPr>
        <w:t> </w:t>
      </w:r>
      <w:r>
        <w:rPr>
          <w:rFonts w:ascii="Calibri" w:hAnsi="Calibri"/>
        </w:rPr>
        <w:t>tiers, notamment au</w:t>
      </w:r>
      <w:r>
        <w:rPr>
          <w:rFonts w:ascii="Calibri" w:hAnsi="Calibri"/>
          <w:spacing w:val="-2"/>
        </w:rPr>
        <w:t> </w:t>
      </w:r>
      <w:r>
        <w:rPr>
          <w:rFonts w:ascii="Calibri" w:hAnsi="Calibri"/>
        </w:rPr>
        <w:t>sein</w:t>
      </w:r>
      <w:r>
        <w:rPr>
          <w:rFonts w:ascii="Calibri" w:hAnsi="Calibri"/>
          <w:spacing w:val="-2"/>
        </w:rPr>
        <w:t> </w:t>
      </w:r>
      <w:r>
        <w:rPr>
          <w:rFonts w:ascii="Calibri" w:hAnsi="Calibri"/>
        </w:rPr>
        <w:t>du</w:t>
      </w:r>
      <w:r>
        <w:rPr>
          <w:rFonts w:ascii="Calibri" w:hAnsi="Calibri"/>
          <w:spacing w:val="-2"/>
        </w:rPr>
        <w:t> </w:t>
      </w:r>
      <w:r>
        <w:rPr>
          <w:rFonts w:ascii="Calibri" w:hAnsi="Calibri"/>
        </w:rPr>
        <w:t>G20,</w:t>
      </w:r>
      <w:r>
        <w:rPr>
          <w:rFonts w:ascii="Calibri" w:hAnsi="Calibri"/>
          <w:spacing w:val="-3"/>
        </w:rPr>
        <w:t> </w:t>
      </w:r>
      <w:r>
        <w:rPr>
          <w:rFonts w:ascii="Calibri" w:hAnsi="Calibri"/>
        </w:rPr>
        <w:t>et ,</w:t>
      </w:r>
      <w:r>
        <w:rPr>
          <w:rFonts w:ascii="Calibri" w:hAnsi="Calibri"/>
          <w:spacing w:val="-4"/>
        </w:rPr>
        <w:t> </w:t>
      </w:r>
      <w:r>
        <w:rPr>
          <w:rFonts w:ascii="Calibri" w:hAnsi="Calibri"/>
        </w:rPr>
        <w:t>en</w:t>
      </w:r>
      <w:r>
        <w:rPr>
          <w:rFonts w:ascii="Calibri" w:hAnsi="Calibri"/>
          <w:spacing w:val="-2"/>
        </w:rPr>
        <w:t> </w:t>
      </w:r>
      <w:r>
        <w:rPr>
          <w:rFonts w:ascii="Calibri" w:hAnsi="Calibri"/>
        </w:rPr>
        <w:t>coopération</w:t>
      </w:r>
      <w:r>
        <w:rPr>
          <w:rFonts w:ascii="Calibri" w:hAnsi="Calibri"/>
          <w:spacing w:val="-2"/>
        </w:rPr>
        <w:t> </w:t>
      </w:r>
      <w:r>
        <w:rPr>
          <w:rFonts w:ascii="Calibri" w:hAnsi="Calibri"/>
        </w:rPr>
        <w:t>avec</w:t>
      </w:r>
      <w:r>
        <w:rPr>
          <w:rFonts w:ascii="Calibri" w:hAnsi="Calibri"/>
          <w:spacing w:val="-1"/>
        </w:rPr>
        <w:t> </w:t>
      </w:r>
      <w:r>
        <w:rPr>
          <w:rFonts w:ascii="Calibri" w:hAnsi="Calibri"/>
        </w:rPr>
        <w:t>la</w:t>
      </w:r>
      <w:r>
        <w:rPr>
          <w:rFonts w:ascii="Calibri" w:hAnsi="Calibri"/>
          <w:spacing w:val="-4"/>
        </w:rPr>
        <w:t> </w:t>
      </w:r>
      <w:r>
        <w:rPr>
          <w:rFonts w:ascii="Calibri" w:hAnsi="Calibri"/>
        </w:rPr>
        <w:t>DG</w:t>
      </w:r>
      <w:r>
        <w:rPr>
          <w:rFonts w:ascii="Calibri" w:hAnsi="Calibri"/>
          <w:spacing w:val="-3"/>
        </w:rPr>
        <w:t> </w:t>
      </w:r>
      <w:r>
        <w:rPr>
          <w:rFonts w:ascii="Calibri" w:hAnsi="Calibri"/>
        </w:rPr>
        <w:t>RTD, suit</w:t>
      </w:r>
      <w:r>
        <w:rPr>
          <w:rFonts w:ascii="Calibri" w:hAnsi="Calibri"/>
          <w:spacing w:val="-1"/>
        </w:rPr>
        <w:t> </w:t>
      </w:r>
      <w:r>
        <w:rPr>
          <w:rFonts w:ascii="Calibri" w:hAnsi="Calibri"/>
        </w:rPr>
        <w:t>les</w:t>
      </w:r>
      <w:r>
        <w:rPr>
          <w:rFonts w:ascii="Calibri" w:hAnsi="Calibri"/>
          <w:spacing w:val="-1"/>
        </w:rPr>
        <w:t> </w:t>
      </w:r>
      <w:r>
        <w:rPr>
          <w:rFonts w:ascii="Calibri" w:hAnsi="Calibri"/>
        </w:rPr>
        <w:t>travaux</w:t>
      </w:r>
      <w:r>
        <w:rPr>
          <w:rFonts w:ascii="Calibri" w:hAnsi="Calibri"/>
          <w:spacing w:val="-3"/>
        </w:rPr>
        <w:t> </w:t>
      </w:r>
      <w:r>
        <w:rPr>
          <w:rFonts w:ascii="Calibri" w:hAnsi="Calibri"/>
        </w:rPr>
        <w:t>du</w:t>
      </w:r>
      <w:r>
        <w:rPr>
          <w:rFonts w:ascii="Calibri" w:hAnsi="Calibri"/>
          <w:spacing w:val="-2"/>
        </w:rPr>
        <w:t> </w:t>
      </w:r>
      <w:r>
        <w:rPr>
          <w:rFonts w:ascii="Calibri" w:hAnsi="Calibri"/>
        </w:rPr>
        <w:t>Groupe d'experts Intergouvernemental</w:t>
      </w:r>
      <w:r>
        <w:rPr>
          <w:rFonts w:ascii="Calibri" w:hAnsi="Calibri"/>
          <w:spacing w:val="-1"/>
        </w:rPr>
        <w:t> </w:t>
      </w:r>
      <w:r>
        <w:rPr>
          <w:rFonts w:ascii="Calibri" w:hAnsi="Calibri"/>
        </w:rPr>
        <w:t>sur l'Évolution du Climat (GIEC).</w:t>
      </w:r>
    </w:p>
    <w:p>
      <w:pPr>
        <w:pStyle w:val="BodyText"/>
        <w:spacing w:before="4"/>
        <w:rPr>
          <w:rFonts w:ascii="Calibri"/>
          <w:sz w:val="16"/>
        </w:rPr>
      </w:pPr>
    </w:p>
    <w:p>
      <w:pPr>
        <w:pStyle w:val="BodyText"/>
        <w:spacing w:line="276" w:lineRule="auto"/>
        <w:ind w:left="132" w:right="166"/>
        <w:rPr>
          <w:rFonts w:ascii="Calibri" w:hAnsi="Calibri"/>
        </w:rPr>
      </w:pPr>
      <w:r>
        <w:rPr>
          <w:rFonts w:ascii="Calibri" w:hAnsi="Calibri"/>
        </w:rPr>
        <w:t>Nous</w:t>
      </w:r>
      <w:r>
        <w:rPr>
          <w:rFonts w:ascii="Calibri" w:hAnsi="Calibri"/>
          <w:spacing w:val="-2"/>
        </w:rPr>
        <w:t> </w:t>
      </w:r>
      <w:r>
        <w:rPr>
          <w:rFonts w:ascii="Calibri" w:hAnsi="Calibri"/>
        </w:rPr>
        <w:t>proposons</w:t>
      </w:r>
      <w:r>
        <w:rPr>
          <w:rFonts w:ascii="Calibri" w:hAnsi="Calibri"/>
          <w:spacing w:val="-2"/>
        </w:rPr>
        <w:t> </w:t>
      </w:r>
      <w:r>
        <w:rPr>
          <w:rFonts w:ascii="Calibri" w:hAnsi="Calibri"/>
        </w:rPr>
        <w:t>un</w:t>
      </w:r>
      <w:r>
        <w:rPr>
          <w:rFonts w:ascii="Calibri" w:hAnsi="Calibri"/>
          <w:spacing w:val="-3"/>
        </w:rPr>
        <w:t> </w:t>
      </w:r>
      <w:r>
        <w:rPr>
          <w:rFonts w:ascii="Calibri" w:hAnsi="Calibri"/>
        </w:rPr>
        <w:t>poste</w:t>
      </w:r>
      <w:r>
        <w:rPr>
          <w:rFonts w:ascii="Calibri" w:hAnsi="Calibri"/>
          <w:spacing w:val="-2"/>
        </w:rPr>
        <w:t> </w:t>
      </w:r>
      <w:r>
        <w:rPr>
          <w:rFonts w:ascii="Calibri" w:hAnsi="Calibri"/>
        </w:rPr>
        <w:t>pour</w:t>
      </w:r>
      <w:r>
        <w:rPr>
          <w:rFonts w:ascii="Calibri" w:hAnsi="Calibri"/>
          <w:spacing w:val="-2"/>
        </w:rPr>
        <w:t> </w:t>
      </w:r>
      <w:r>
        <w:rPr>
          <w:rFonts w:ascii="Calibri" w:hAnsi="Calibri"/>
        </w:rPr>
        <w:t>un</w:t>
      </w:r>
      <w:r>
        <w:rPr>
          <w:rFonts w:ascii="Calibri" w:hAnsi="Calibri"/>
          <w:spacing w:val="-4"/>
        </w:rPr>
        <w:t> </w:t>
      </w:r>
      <w:r>
        <w:rPr>
          <w:rFonts w:ascii="Calibri" w:hAnsi="Calibri"/>
        </w:rPr>
        <w:t>Expert</w:t>
      </w:r>
      <w:r>
        <w:rPr>
          <w:rFonts w:ascii="Calibri" w:hAnsi="Calibri"/>
          <w:spacing w:val="-1"/>
        </w:rPr>
        <w:t> </w:t>
      </w:r>
      <w:r>
        <w:rPr>
          <w:rFonts w:ascii="Calibri" w:hAnsi="Calibri"/>
        </w:rPr>
        <w:t>National</w:t>
      </w:r>
      <w:r>
        <w:rPr>
          <w:rFonts w:ascii="Calibri" w:hAnsi="Calibri"/>
          <w:spacing w:val="-5"/>
        </w:rPr>
        <w:t> </w:t>
      </w:r>
      <w:r>
        <w:rPr>
          <w:rFonts w:ascii="Calibri" w:hAnsi="Calibri"/>
        </w:rPr>
        <w:t>Détaché</w:t>
      </w:r>
      <w:r>
        <w:rPr>
          <w:rFonts w:ascii="Calibri" w:hAnsi="Calibri"/>
          <w:spacing w:val="-1"/>
        </w:rPr>
        <w:t> </w:t>
      </w:r>
      <w:r>
        <w:rPr>
          <w:rFonts w:ascii="Calibri" w:hAnsi="Calibri"/>
        </w:rPr>
        <w:t>très</w:t>
      </w:r>
      <w:r>
        <w:rPr>
          <w:rFonts w:ascii="Calibri" w:hAnsi="Calibri"/>
          <w:spacing w:val="-3"/>
        </w:rPr>
        <w:t> </w:t>
      </w:r>
      <w:r>
        <w:rPr>
          <w:rFonts w:ascii="Calibri" w:hAnsi="Calibri"/>
        </w:rPr>
        <w:t>motivé</w:t>
      </w:r>
      <w:r>
        <w:rPr>
          <w:rFonts w:ascii="Calibri" w:hAnsi="Calibri"/>
          <w:spacing w:val="-1"/>
        </w:rPr>
        <w:t> </w:t>
      </w:r>
      <w:r>
        <w:rPr>
          <w:rFonts w:ascii="Calibri" w:hAnsi="Calibri"/>
        </w:rPr>
        <w:t>au</w:t>
      </w:r>
      <w:r>
        <w:rPr>
          <w:rFonts w:ascii="Calibri" w:hAnsi="Calibri"/>
          <w:spacing w:val="-3"/>
        </w:rPr>
        <w:t> </w:t>
      </w:r>
      <w:r>
        <w:rPr>
          <w:rFonts w:ascii="Calibri" w:hAnsi="Calibri"/>
        </w:rPr>
        <w:t>sein</w:t>
      </w:r>
      <w:r>
        <w:rPr>
          <w:rFonts w:ascii="Calibri" w:hAnsi="Calibri"/>
          <w:spacing w:val="-3"/>
        </w:rPr>
        <w:t> </w:t>
      </w:r>
      <w:r>
        <w:rPr>
          <w:rFonts w:ascii="Calibri" w:hAnsi="Calibri"/>
        </w:rPr>
        <w:t>de</w:t>
      </w:r>
      <w:r>
        <w:rPr>
          <w:rFonts w:ascii="Calibri" w:hAnsi="Calibri"/>
          <w:spacing w:val="-5"/>
        </w:rPr>
        <w:t> </w:t>
      </w:r>
      <w:r>
        <w:rPr>
          <w:rFonts w:ascii="Calibri" w:hAnsi="Calibri"/>
        </w:rPr>
        <w:t>notre</w:t>
      </w:r>
      <w:r>
        <w:rPr>
          <w:rFonts w:ascii="Calibri" w:hAnsi="Calibri"/>
          <w:spacing w:val="-4"/>
        </w:rPr>
        <w:t> </w:t>
      </w:r>
      <w:r>
        <w:rPr>
          <w:rFonts w:ascii="Calibri" w:hAnsi="Calibri"/>
        </w:rPr>
        <w:t>équipe.</w:t>
      </w:r>
      <w:r>
        <w:rPr>
          <w:rFonts w:ascii="Calibri" w:hAnsi="Calibri"/>
          <w:spacing w:val="-4"/>
        </w:rPr>
        <w:t> </w:t>
      </w:r>
      <w:r>
        <w:rPr>
          <w:rFonts w:ascii="Calibri" w:hAnsi="Calibri"/>
        </w:rPr>
        <w:t>Le</w:t>
      </w:r>
      <w:r>
        <w:rPr>
          <w:rFonts w:ascii="Calibri" w:hAnsi="Calibri"/>
          <w:spacing w:val="-1"/>
        </w:rPr>
        <w:t> </w:t>
      </w:r>
      <w:r>
        <w:rPr>
          <w:rFonts w:ascii="Calibri" w:hAnsi="Calibri"/>
        </w:rPr>
        <w:t>poste</w:t>
      </w:r>
      <w:r>
        <w:rPr>
          <w:rFonts w:ascii="Calibri" w:hAnsi="Calibri"/>
          <w:spacing w:val="-4"/>
        </w:rPr>
        <w:t> </w:t>
      </w:r>
      <w:r>
        <w:rPr>
          <w:rFonts w:ascii="Calibri" w:hAnsi="Calibri"/>
        </w:rPr>
        <w:t>offrira une expérience stimulante dans l'un des principaux domaines politiques de la DG CLIMA.</w:t>
      </w:r>
    </w:p>
    <w:p>
      <w:pPr>
        <w:pStyle w:val="BodyText"/>
        <w:spacing w:before="196"/>
        <w:ind w:left="132"/>
      </w:pPr>
      <w:r>
        <w:rPr/>
        <w:t>En</w:t>
      </w:r>
      <w:r>
        <w:rPr>
          <w:spacing w:val="-2"/>
        </w:rPr>
        <w:t> </w:t>
      </w:r>
      <w:r>
        <w:rPr/>
        <w:t>fonction</w:t>
      </w:r>
      <w:r>
        <w:rPr>
          <w:spacing w:val="-2"/>
        </w:rPr>
        <w:t> </w:t>
      </w:r>
      <w:r>
        <w:rPr/>
        <w:t>de</w:t>
      </w:r>
      <w:r>
        <w:rPr>
          <w:spacing w:val="-4"/>
        </w:rPr>
        <w:t> </w:t>
      </w:r>
      <w:r>
        <w:rPr/>
        <w:t>l'expertise</w:t>
      </w:r>
      <w:r>
        <w:rPr>
          <w:spacing w:val="-2"/>
        </w:rPr>
        <w:t> </w:t>
      </w:r>
      <w:r>
        <w:rPr/>
        <w:t>et</w:t>
      </w:r>
      <w:r>
        <w:rPr>
          <w:spacing w:val="-1"/>
        </w:rPr>
        <w:t> </w:t>
      </w:r>
      <w:r>
        <w:rPr/>
        <w:t>de</w:t>
      </w:r>
      <w:r>
        <w:rPr>
          <w:spacing w:val="-4"/>
        </w:rPr>
        <w:t> </w:t>
      </w:r>
      <w:r>
        <w:rPr/>
        <w:t>l'intérêt</w:t>
      </w:r>
      <w:r>
        <w:rPr>
          <w:spacing w:val="-1"/>
        </w:rPr>
        <w:t> </w:t>
      </w:r>
      <w:r>
        <w:rPr/>
        <w:t>du</w:t>
      </w:r>
      <w:r>
        <w:rPr>
          <w:spacing w:val="-5"/>
        </w:rPr>
        <w:t> </w:t>
      </w:r>
      <w:r>
        <w:rPr/>
        <w:t>candidat,</w:t>
      </w:r>
      <w:r>
        <w:rPr>
          <w:spacing w:val="-5"/>
        </w:rPr>
        <w:t> </w:t>
      </w:r>
      <w:r>
        <w:rPr/>
        <w:t>les</w:t>
      </w:r>
      <w:r>
        <w:rPr>
          <w:spacing w:val="-2"/>
        </w:rPr>
        <w:t> </w:t>
      </w:r>
      <w:r>
        <w:rPr/>
        <w:t>tâches</w:t>
      </w:r>
      <w:r>
        <w:rPr>
          <w:spacing w:val="-4"/>
        </w:rPr>
        <w:t> </w:t>
      </w:r>
      <w:r>
        <w:rPr/>
        <w:t>principales</w:t>
      </w:r>
      <w:r>
        <w:rPr>
          <w:spacing w:val="-2"/>
        </w:rPr>
        <w:t> </w:t>
      </w:r>
      <w:r>
        <w:rPr/>
        <w:t>du</w:t>
      </w:r>
      <w:r>
        <w:rPr>
          <w:spacing w:val="-2"/>
        </w:rPr>
        <w:t> </w:t>
      </w:r>
      <w:r>
        <w:rPr/>
        <w:t>nouveau</w:t>
      </w:r>
      <w:r>
        <w:rPr>
          <w:spacing w:val="-2"/>
        </w:rPr>
        <w:t> </w:t>
      </w:r>
      <w:r>
        <w:rPr/>
        <w:t>collègue</w:t>
      </w:r>
      <w:r>
        <w:rPr>
          <w:spacing w:val="-2"/>
        </w:rPr>
        <w:t> </w:t>
      </w:r>
      <w:r>
        <w:rPr/>
        <w:t>seraient</w:t>
      </w:r>
      <w:r>
        <w:rPr>
          <w:spacing w:val="-1"/>
        </w:rPr>
        <w:t> </w:t>
      </w:r>
      <w:r>
        <w:rPr/>
        <w:t>dans</w:t>
      </w:r>
      <w:r>
        <w:rPr>
          <w:spacing w:val="-4"/>
        </w:rPr>
        <w:t> </w:t>
      </w:r>
      <w:r>
        <w:rPr/>
        <w:t>les domaines suivants:</w:t>
      </w:r>
    </w:p>
    <w:p>
      <w:pPr>
        <w:pStyle w:val="BodyText"/>
        <w:spacing w:before="11"/>
        <w:rPr>
          <w:sz w:val="21"/>
        </w:rPr>
      </w:pPr>
    </w:p>
    <w:p>
      <w:pPr>
        <w:pStyle w:val="ListParagraph"/>
        <w:numPr>
          <w:ilvl w:val="0"/>
          <w:numId w:val="4"/>
        </w:numPr>
        <w:tabs>
          <w:tab w:pos="264" w:val="left" w:leader="none"/>
        </w:tabs>
        <w:spacing w:line="240" w:lineRule="auto" w:before="0" w:after="0"/>
        <w:ind w:left="132" w:right="231" w:firstLine="0"/>
        <w:jc w:val="left"/>
        <w:rPr>
          <w:sz w:val="22"/>
        </w:rPr>
      </w:pPr>
      <w:r>
        <w:rPr>
          <w:sz w:val="22"/>
        </w:rPr>
        <w:t>contribuer</w:t>
      </w:r>
      <w:r>
        <w:rPr>
          <w:spacing w:val="-2"/>
          <w:sz w:val="22"/>
        </w:rPr>
        <w:t> </w:t>
      </w:r>
      <w:r>
        <w:rPr>
          <w:sz w:val="22"/>
        </w:rPr>
        <w:t>à</w:t>
      </w:r>
      <w:r>
        <w:rPr>
          <w:spacing w:val="-2"/>
          <w:sz w:val="22"/>
        </w:rPr>
        <w:t> </w:t>
      </w:r>
      <w:r>
        <w:rPr>
          <w:sz w:val="22"/>
        </w:rPr>
        <w:t>la</w:t>
      </w:r>
      <w:r>
        <w:rPr>
          <w:spacing w:val="-2"/>
          <w:sz w:val="22"/>
        </w:rPr>
        <w:t> </w:t>
      </w:r>
      <w:r>
        <w:rPr>
          <w:sz w:val="22"/>
        </w:rPr>
        <w:t>prospective</w:t>
      </w:r>
      <w:r>
        <w:rPr>
          <w:spacing w:val="-2"/>
          <w:sz w:val="22"/>
        </w:rPr>
        <w:t> </w:t>
      </w:r>
      <w:r>
        <w:rPr>
          <w:sz w:val="22"/>
        </w:rPr>
        <w:t>stratégique</w:t>
      </w:r>
      <w:r>
        <w:rPr>
          <w:spacing w:val="-2"/>
          <w:sz w:val="22"/>
        </w:rPr>
        <w:t> </w:t>
      </w:r>
      <w:r>
        <w:rPr>
          <w:sz w:val="22"/>
        </w:rPr>
        <w:t>pour</w:t>
      </w:r>
      <w:r>
        <w:rPr>
          <w:spacing w:val="-4"/>
          <w:sz w:val="22"/>
        </w:rPr>
        <w:t> </w:t>
      </w:r>
      <w:r>
        <w:rPr>
          <w:sz w:val="22"/>
        </w:rPr>
        <w:t>les</w:t>
      </w:r>
      <w:r>
        <w:rPr>
          <w:spacing w:val="-4"/>
          <w:sz w:val="22"/>
        </w:rPr>
        <w:t> </w:t>
      </w:r>
      <w:r>
        <w:rPr>
          <w:sz w:val="22"/>
        </w:rPr>
        <w:t>politiques</w:t>
      </w:r>
      <w:r>
        <w:rPr>
          <w:spacing w:val="-2"/>
          <w:sz w:val="22"/>
        </w:rPr>
        <w:t> </w:t>
      </w:r>
      <w:r>
        <w:rPr>
          <w:sz w:val="22"/>
        </w:rPr>
        <w:t>climatiques, notamment</w:t>
      </w:r>
      <w:r>
        <w:rPr>
          <w:spacing w:val="-1"/>
          <w:sz w:val="22"/>
        </w:rPr>
        <w:t> </w:t>
      </w:r>
      <w:r>
        <w:rPr>
          <w:sz w:val="22"/>
        </w:rPr>
        <w:t>en</w:t>
      </w:r>
      <w:r>
        <w:rPr>
          <w:spacing w:val="-4"/>
          <w:sz w:val="22"/>
        </w:rPr>
        <w:t> </w:t>
      </w:r>
      <w:r>
        <w:rPr>
          <w:sz w:val="22"/>
        </w:rPr>
        <w:t>ce</w:t>
      </w:r>
      <w:r>
        <w:rPr>
          <w:spacing w:val="-2"/>
          <w:sz w:val="22"/>
        </w:rPr>
        <w:t> </w:t>
      </w:r>
      <w:r>
        <w:rPr>
          <w:sz w:val="22"/>
        </w:rPr>
        <w:t>qui</w:t>
      </w:r>
      <w:r>
        <w:rPr>
          <w:spacing w:val="-1"/>
          <w:sz w:val="22"/>
        </w:rPr>
        <w:t> </w:t>
      </w:r>
      <w:r>
        <w:rPr>
          <w:sz w:val="22"/>
        </w:rPr>
        <w:t>concerne</w:t>
      </w:r>
      <w:r>
        <w:rPr>
          <w:spacing w:val="-3"/>
          <w:sz w:val="22"/>
        </w:rPr>
        <w:t> </w:t>
      </w:r>
      <w:r>
        <w:rPr>
          <w:sz w:val="22"/>
        </w:rPr>
        <w:t>les</w:t>
      </w:r>
      <w:r>
        <w:rPr>
          <w:spacing w:val="-4"/>
          <w:sz w:val="22"/>
        </w:rPr>
        <w:t> </w:t>
      </w:r>
      <w:r>
        <w:rPr>
          <w:sz w:val="22"/>
        </w:rPr>
        <w:t>impacts du changement climatique</w:t>
      </w:r>
    </w:p>
    <w:p>
      <w:pPr>
        <w:pStyle w:val="ListParagraph"/>
        <w:numPr>
          <w:ilvl w:val="0"/>
          <w:numId w:val="4"/>
        </w:numPr>
        <w:tabs>
          <w:tab w:pos="265" w:val="left" w:leader="none"/>
        </w:tabs>
        <w:spacing w:line="240" w:lineRule="auto" w:before="1" w:after="0"/>
        <w:ind w:left="132" w:right="755" w:firstLine="0"/>
        <w:jc w:val="left"/>
        <w:rPr>
          <w:sz w:val="22"/>
        </w:rPr>
      </w:pPr>
      <w:r>
        <w:rPr>
          <w:sz w:val="22"/>
        </w:rPr>
        <w:t>travailler</w:t>
      </w:r>
      <w:r>
        <w:rPr>
          <w:spacing w:val="-4"/>
          <w:sz w:val="22"/>
        </w:rPr>
        <w:t> </w:t>
      </w:r>
      <w:r>
        <w:rPr>
          <w:sz w:val="22"/>
        </w:rPr>
        <w:t>sur</w:t>
      </w:r>
      <w:r>
        <w:rPr>
          <w:spacing w:val="-2"/>
          <w:sz w:val="22"/>
        </w:rPr>
        <w:t> </w:t>
      </w:r>
      <w:r>
        <w:rPr>
          <w:sz w:val="22"/>
        </w:rPr>
        <w:t>la</w:t>
      </w:r>
      <w:r>
        <w:rPr>
          <w:spacing w:val="-4"/>
          <w:sz w:val="22"/>
        </w:rPr>
        <w:t> </w:t>
      </w:r>
      <w:r>
        <w:rPr>
          <w:sz w:val="22"/>
        </w:rPr>
        <w:t>surveillance</w:t>
      </w:r>
      <w:r>
        <w:rPr>
          <w:spacing w:val="-2"/>
          <w:sz w:val="22"/>
        </w:rPr>
        <w:t> </w:t>
      </w:r>
      <w:r>
        <w:rPr>
          <w:sz w:val="22"/>
        </w:rPr>
        <w:t>et</w:t>
      </w:r>
      <w:r>
        <w:rPr>
          <w:spacing w:val="-1"/>
          <w:sz w:val="22"/>
        </w:rPr>
        <w:t> </w:t>
      </w:r>
      <w:r>
        <w:rPr>
          <w:sz w:val="22"/>
        </w:rPr>
        <w:t>la</w:t>
      </w:r>
      <w:r>
        <w:rPr>
          <w:spacing w:val="-4"/>
          <w:sz w:val="22"/>
        </w:rPr>
        <w:t> </w:t>
      </w:r>
      <w:r>
        <w:rPr>
          <w:sz w:val="22"/>
        </w:rPr>
        <w:t>déclaration</w:t>
      </w:r>
      <w:r>
        <w:rPr>
          <w:spacing w:val="-2"/>
          <w:sz w:val="22"/>
        </w:rPr>
        <w:t> </w:t>
      </w:r>
      <w:r>
        <w:rPr>
          <w:sz w:val="22"/>
        </w:rPr>
        <w:t>des</w:t>
      </w:r>
      <w:r>
        <w:rPr>
          <w:spacing w:val="-4"/>
          <w:sz w:val="22"/>
        </w:rPr>
        <w:t> </w:t>
      </w:r>
      <w:r>
        <w:rPr>
          <w:sz w:val="22"/>
        </w:rPr>
        <w:t>émissions</w:t>
      </w:r>
      <w:r>
        <w:rPr>
          <w:spacing w:val="-2"/>
          <w:sz w:val="22"/>
        </w:rPr>
        <w:t> </w:t>
      </w:r>
      <w:r>
        <w:rPr>
          <w:sz w:val="22"/>
        </w:rPr>
        <w:t>des</w:t>
      </w:r>
      <w:r>
        <w:rPr>
          <w:spacing w:val="-2"/>
          <w:sz w:val="22"/>
        </w:rPr>
        <w:t> </w:t>
      </w:r>
      <w:r>
        <w:rPr>
          <w:sz w:val="22"/>
        </w:rPr>
        <w:t>gaz</w:t>
      </w:r>
      <w:r>
        <w:rPr>
          <w:spacing w:val="-4"/>
          <w:sz w:val="22"/>
        </w:rPr>
        <w:t> </w:t>
      </w:r>
      <w:r>
        <w:rPr>
          <w:sz w:val="22"/>
        </w:rPr>
        <w:t>à</w:t>
      </w:r>
      <w:r>
        <w:rPr>
          <w:spacing w:val="-2"/>
          <w:sz w:val="22"/>
        </w:rPr>
        <w:t> </w:t>
      </w:r>
      <w:r>
        <w:rPr>
          <w:sz w:val="22"/>
        </w:rPr>
        <w:t>effet</w:t>
      </w:r>
      <w:r>
        <w:rPr>
          <w:spacing w:val="-1"/>
          <w:sz w:val="22"/>
        </w:rPr>
        <w:t> </w:t>
      </w:r>
      <w:r>
        <w:rPr>
          <w:sz w:val="22"/>
        </w:rPr>
        <w:t>de</w:t>
      </w:r>
      <w:r>
        <w:rPr>
          <w:spacing w:val="-2"/>
          <w:sz w:val="22"/>
        </w:rPr>
        <w:t> </w:t>
      </w:r>
      <w:r>
        <w:rPr>
          <w:sz w:val="22"/>
        </w:rPr>
        <w:t>serre</w:t>
      </w:r>
      <w:r>
        <w:rPr>
          <w:spacing w:val="-2"/>
          <w:sz w:val="22"/>
        </w:rPr>
        <w:t> </w:t>
      </w:r>
      <w:r>
        <w:rPr>
          <w:sz w:val="22"/>
        </w:rPr>
        <w:t>de</w:t>
      </w:r>
      <w:r>
        <w:rPr>
          <w:spacing w:val="-2"/>
          <w:sz w:val="22"/>
        </w:rPr>
        <w:t> </w:t>
      </w:r>
      <w:r>
        <w:rPr>
          <w:sz w:val="22"/>
        </w:rPr>
        <w:t>l'UE</w:t>
      </w:r>
      <w:r>
        <w:rPr>
          <w:spacing w:val="-2"/>
          <w:sz w:val="22"/>
        </w:rPr>
        <w:t> </w:t>
      </w:r>
      <w:r>
        <w:rPr>
          <w:sz w:val="22"/>
        </w:rPr>
        <w:t>ainsi</w:t>
      </w:r>
      <w:r>
        <w:rPr>
          <w:spacing w:val="-1"/>
          <w:sz w:val="22"/>
        </w:rPr>
        <w:t> </w:t>
      </w:r>
      <w:r>
        <w:rPr>
          <w:sz w:val="22"/>
        </w:rPr>
        <w:t>que</w:t>
      </w:r>
      <w:r>
        <w:rPr>
          <w:spacing w:val="-2"/>
          <w:sz w:val="22"/>
        </w:rPr>
        <w:t> </w:t>
      </w:r>
      <w:r>
        <w:rPr>
          <w:sz w:val="22"/>
        </w:rPr>
        <w:t>sur</w:t>
      </w:r>
      <w:r>
        <w:rPr>
          <w:spacing w:val="-4"/>
          <w:sz w:val="22"/>
        </w:rPr>
        <w:t> </w:t>
      </w:r>
      <w:r>
        <w:rPr>
          <w:sz w:val="22"/>
        </w:rPr>
        <w:t>les questions de transparence associées</w:t>
      </w:r>
    </w:p>
    <w:p>
      <w:pPr>
        <w:pStyle w:val="ListParagraph"/>
        <w:numPr>
          <w:ilvl w:val="0"/>
          <w:numId w:val="4"/>
        </w:numPr>
        <w:tabs>
          <w:tab w:pos="265" w:val="left" w:leader="none"/>
        </w:tabs>
        <w:spacing w:line="240" w:lineRule="auto" w:before="0" w:after="0"/>
        <w:ind w:left="132" w:right="262" w:firstLine="0"/>
        <w:jc w:val="left"/>
        <w:rPr>
          <w:sz w:val="22"/>
        </w:rPr>
      </w:pPr>
      <w:r>
        <w:rPr>
          <w:sz w:val="22"/>
        </w:rPr>
        <w:t>travailler</w:t>
      </w:r>
      <w:r>
        <w:rPr>
          <w:spacing w:val="-4"/>
          <w:sz w:val="22"/>
        </w:rPr>
        <w:t> </w:t>
      </w:r>
      <w:r>
        <w:rPr>
          <w:sz w:val="22"/>
        </w:rPr>
        <w:t>avec</w:t>
      </w:r>
      <w:r>
        <w:rPr>
          <w:spacing w:val="-3"/>
          <w:sz w:val="22"/>
        </w:rPr>
        <w:t> </w:t>
      </w:r>
      <w:r>
        <w:rPr>
          <w:sz w:val="22"/>
        </w:rPr>
        <w:t>des</w:t>
      </w:r>
      <w:r>
        <w:rPr>
          <w:spacing w:val="-3"/>
          <w:sz w:val="22"/>
        </w:rPr>
        <w:t> </w:t>
      </w:r>
      <w:r>
        <w:rPr>
          <w:sz w:val="22"/>
        </w:rPr>
        <w:t>modélisateurs</w:t>
      </w:r>
      <w:r>
        <w:rPr>
          <w:spacing w:val="-4"/>
          <w:sz w:val="22"/>
        </w:rPr>
        <w:t> </w:t>
      </w:r>
      <w:r>
        <w:rPr>
          <w:sz w:val="22"/>
        </w:rPr>
        <w:t>et</w:t>
      </w:r>
      <w:r>
        <w:rPr>
          <w:spacing w:val="-4"/>
          <w:sz w:val="22"/>
        </w:rPr>
        <w:t> </w:t>
      </w:r>
      <w:r>
        <w:rPr>
          <w:sz w:val="22"/>
        </w:rPr>
        <w:t>des</w:t>
      </w:r>
      <w:r>
        <w:rPr>
          <w:spacing w:val="-3"/>
          <w:sz w:val="22"/>
        </w:rPr>
        <w:t> </w:t>
      </w:r>
      <w:r>
        <w:rPr>
          <w:sz w:val="22"/>
        </w:rPr>
        <w:t>modèles de</w:t>
      </w:r>
      <w:r>
        <w:rPr>
          <w:spacing w:val="-3"/>
          <w:sz w:val="22"/>
        </w:rPr>
        <w:t> </w:t>
      </w:r>
      <w:r>
        <w:rPr>
          <w:sz w:val="22"/>
        </w:rPr>
        <w:t>modélisation</w:t>
      </w:r>
      <w:r>
        <w:rPr>
          <w:spacing w:val="-3"/>
          <w:sz w:val="22"/>
        </w:rPr>
        <w:t> </w:t>
      </w:r>
      <w:r>
        <w:rPr>
          <w:sz w:val="22"/>
        </w:rPr>
        <w:t>et</w:t>
      </w:r>
      <w:r>
        <w:rPr>
          <w:spacing w:val="-2"/>
          <w:sz w:val="22"/>
        </w:rPr>
        <w:t> </w:t>
      </w:r>
      <w:r>
        <w:rPr>
          <w:sz w:val="22"/>
        </w:rPr>
        <w:t>des</w:t>
      </w:r>
      <w:r>
        <w:rPr>
          <w:spacing w:val="-3"/>
          <w:sz w:val="22"/>
        </w:rPr>
        <w:t> </w:t>
      </w:r>
      <w:r>
        <w:rPr>
          <w:sz w:val="22"/>
        </w:rPr>
        <w:t>scénarios</w:t>
      </w:r>
      <w:r>
        <w:rPr>
          <w:spacing w:val="-4"/>
          <w:sz w:val="22"/>
        </w:rPr>
        <w:t> </w:t>
      </w:r>
      <w:r>
        <w:rPr>
          <w:sz w:val="22"/>
        </w:rPr>
        <w:t>pour</w:t>
      </w:r>
      <w:r>
        <w:rPr>
          <w:spacing w:val="-4"/>
          <w:sz w:val="22"/>
        </w:rPr>
        <w:t> </w:t>
      </w:r>
      <w:r>
        <w:rPr>
          <w:sz w:val="22"/>
        </w:rPr>
        <w:t>l'évaluation</w:t>
      </w:r>
      <w:r>
        <w:rPr>
          <w:spacing w:val="-3"/>
          <w:sz w:val="22"/>
        </w:rPr>
        <w:t> </w:t>
      </w:r>
      <w:r>
        <w:rPr>
          <w:sz w:val="22"/>
        </w:rPr>
        <w:t>des</w:t>
      </w:r>
      <w:r>
        <w:rPr>
          <w:spacing w:val="-3"/>
          <w:sz w:val="22"/>
        </w:rPr>
        <w:t> </w:t>
      </w:r>
      <w:r>
        <w:rPr>
          <w:sz w:val="22"/>
        </w:rPr>
        <w:t>politiques d'atténuation du climat et de leurs impacts sociaux, économiques et environnementaux</w:t>
      </w:r>
    </w:p>
    <w:p>
      <w:pPr>
        <w:pStyle w:val="ListParagraph"/>
        <w:numPr>
          <w:ilvl w:val="0"/>
          <w:numId w:val="4"/>
        </w:numPr>
        <w:tabs>
          <w:tab w:pos="265" w:val="left" w:leader="none"/>
        </w:tabs>
        <w:spacing w:line="240" w:lineRule="auto" w:before="0" w:after="0"/>
        <w:ind w:left="132" w:right="111" w:firstLine="0"/>
        <w:jc w:val="left"/>
        <w:rPr>
          <w:sz w:val="22"/>
        </w:rPr>
      </w:pPr>
      <w:r>
        <w:rPr>
          <w:sz w:val="22"/>
        </w:rPr>
        <w:t>travailler</w:t>
      </w:r>
      <w:r>
        <w:rPr>
          <w:spacing w:val="-4"/>
          <w:sz w:val="22"/>
        </w:rPr>
        <w:t> </w:t>
      </w:r>
      <w:r>
        <w:rPr>
          <w:sz w:val="22"/>
        </w:rPr>
        <w:t>avec</w:t>
      </w:r>
      <w:r>
        <w:rPr>
          <w:spacing w:val="-2"/>
          <w:sz w:val="22"/>
        </w:rPr>
        <w:t> </w:t>
      </w:r>
      <w:r>
        <w:rPr>
          <w:sz w:val="22"/>
        </w:rPr>
        <w:t>des</w:t>
      </w:r>
      <w:r>
        <w:rPr>
          <w:spacing w:val="-2"/>
          <w:sz w:val="22"/>
        </w:rPr>
        <w:t> </w:t>
      </w:r>
      <w:r>
        <w:rPr>
          <w:sz w:val="22"/>
        </w:rPr>
        <w:t>modélisateurs</w:t>
      </w:r>
      <w:r>
        <w:rPr>
          <w:spacing w:val="-4"/>
          <w:sz w:val="22"/>
        </w:rPr>
        <w:t> </w:t>
      </w:r>
      <w:r>
        <w:rPr>
          <w:sz w:val="22"/>
        </w:rPr>
        <w:t>et</w:t>
      </w:r>
      <w:r>
        <w:rPr>
          <w:spacing w:val="-4"/>
          <w:sz w:val="22"/>
        </w:rPr>
        <w:t> </w:t>
      </w:r>
      <w:r>
        <w:rPr>
          <w:sz w:val="22"/>
        </w:rPr>
        <w:t>des</w:t>
      </w:r>
      <w:r>
        <w:rPr>
          <w:spacing w:val="-2"/>
          <w:sz w:val="22"/>
        </w:rPr>
        <w:t> </w:t>
      </w:r>
      <w:r>
        <w:rPr>
          <w:sz w:val="22"/>
        </w:rPr>
        <w:t>modèles couvrant</w:t>
      </w:r>
      <w:r>
        <w:rPr>
          <w:spacing w:val="-3"/>
          <w:sz w:val="22"/>
        </w:rPr>
        <w:t> </w:t>
      </w:r>
      <w:r>
        <w:rPr>
          <w:sz w:val="22"/>
        </w:rPr>
        <w:t>les</w:t>
      </w:r>
      <w:r>
        <w:rPr>
          <w:spacing w:val="-1"/>
          <w:sz w:val="22"/>
        </w:rPr>
        <w:t> </w:t>
      </w:r>
      <w:r>
        <w:rPr>
          <w:sz w:val="22"/>
        </w:rPr>
        <w:t>secteurs</w:t>
      </w:r>
      <w:r>
        <w:rPr>
          <w:spacing w:val="-2"/>
          <w:sz w:val="22"/>
        </w:rPr>
        <w:t> </w:t>
      </w:r>
      <w:r>
        <w:rPr>
          <w:sz w:val="22"/>
        </w:rPr>
        <w:t>de</w:t>
      </w:r>
      <w:r>
        <w:rPr>
          <w:spacing w:val="-4"/>
          <w:sz w:val="22"/>
        </w:rPr>
        <w:t> </w:t>
      </w:r>
      <w:r>
        <w:rPr>
          <w:sz w:val="22"/>
        </w:rPr>
        <w:t>l'énergie,</w:t>
      </w:r>
      <w:r>
        <w:rPr>
          <w:spacing w:val="-2"/>
          <w:sz w:val="22"/>
        </w:rPr>
        <w:t> </w:t>
      </w:r>
      <w:r>
        <w:rPr>
          <w:sz w:val="22"/>
        </w:rPr>
        <w:t>de</w:t>
      </w:r>
      <w:r>
        <w:rPr>
          <w:spacing w:val="-4"/>
          <w:sz w:val="22"/>
        </w:rPr>
        <w:t> </w:t>
      </w:r>
      <w:r>
        <w:rPr>
          <w:sz w:val="22"/>
        </w:rPr>
        <w:t>l'industrie,</w:t>
      </w:r>
      <w:r>
        <w:rPr>
          <w:spacing w:val="-4"/>
          <w:sz w:val="22"/>
        </w:rPr>
        <w:t> </w:t>
      </w:r>
      <w:r>
        <w:rPr>
          <w:sz w:val="22"/>
        </w:rPr>
        <w:t>des</w:t>
      </w:r>
      <w:r>
        <w:rPr>
          <w:spacing w:val="-4"/>
          <w:sz w:val="22"/>
        </w:rPr>
        <w:t> </w:t>
      </w:r>
      <w:r>
        <w:rPr>
          <w:sz w:val="22"/>
        </w:rPr>
        <w:t>transports,</w:t>
      </w:r>
      <w:r>
        <w:rPr>
          <w:spacing w:val="-4"/>
          <w:sz w:val="22"/>
        </w:rPr>
        <w:t> </w:t>
      </w:r>
      <w:r>
        <w:rPr>
          <w:sz w:val="22"/>
        </w:rPr>
        <w:t>de l'utilisation des sols ou de l'agriculture (modèles d'équilibre partiel ou modèles représentant les technologies de façon détaillée)</w:t>
      </w:r>
    </w:p>
    <w:p>
      <w:pPr>
        <w:pStyle w:val="ListParagraph"/>
        <w:numPr>
          <w:ilvl w:val="0"/>
          <w:numId w:val="4"/>
        </w:numPr>
        <w:tabs>
          <w:tab w:pos="265" w:val="left" w:leader="none"/>
        </w:tabs>
        <w:spacing w:line="240" w:lineRule="auto" w:before="0" w:after="0"/>
        <w:ind w:left="132" w:right="677" w:firstLine="0"/>
        <w:jc w:val="left"/>
        <w:rPr>
          <w:sz w:val="22"/>
        </w:rPr>
      </w:pPr>
      <w:r>
        <w:rPr>
          <w:sz w:val="22"/>
        </w:rPr>
        <w:t>travailler</w:t>
      </w:r>
      <w:r>
        <w:rPr>
          <w:spacing w:val="-4"/>
          <w:sz w:val="22"/>
        </w:rPr>
        <w:t> </w:t>
      </w:r>
      <w:r>
        <w:rPr>
          <w:sz w:val="22"/>
        </w:rPr>
        <w:t>avec</w:t>
      </w:r>
      <w:r>
        <w:rPr>
          <w:spacing w:val="-2"/>
          <w:sz w:val="22"/>
        </w:rPr>
        <w:t> </w:t>
      </w:r>
      <w:r>
        <w:rPr>
          <w:sz w:val="22"/>
        </w:rPr>
        <w:t>des</w:t>
      </w:r>
      <w:r>
        <w:rPr>
          <w:spacing w:val="-4"/>
          <w:sz w:val="22"/>
        </w:rPr>
        <w:t> </w:t>
      </w:r>
      <w:r>
        <w:rPr>
          <w:sz w:val="22"/>
        </w:rPr>
        <w:t>experts</w:t>
      </w:r>
      <w:r>
        <w:rPr>
          <w:spacing w:val="-4"/>
          <w:sz w:val="22"/>
        </w:rPr>
        <w:t> </w:t>
      </w:r>
      <w:r>
        <w:rPr>
          <w:sz w:val="22"/>
        </w:rPr>
        <w:t>du</w:t>
      </w:r>
      <w:r>
        <w:rPr>
          <w:spacing w:val="-1"/>
          <w:sz w:val="22"/>
        </w:rPr>
        <w:t> </w:t>
      </w:r>
      <w:r>
        <w:rPr>
          <w:sz w:val="22"/>
        </w:rPr>
        <w:t>Centre</w:t>
      </w:r>
      <w:r>
        <w:rPr>
          <w:spacing w:val="-2"/>
          <w:sz w:val="22"/>
        </w:rPr>
        <w:t> </w:t>
      </w:r>
      <w:r>
        <w:rPr>
          <w:sz w:val="22"/>
        </w:rPr>
        <w:t>Commun</w:t>
      </w:r>
      <w:r>
        <w:rPr>
          <w:spacing w:val="-2"/>
          <w:sz w:val="22"/>
        </w:rPr>
        <w:t> </w:t>
      </w:r>
      <w:r>
        <w:rPr>
          <w:sz w:val="22"/>
        </w:rPr>
        <w:t>de</w:t>
      </w:r>
      <w:r>
        <w:rPr>
          <w:spacing w:val="-2"/>
          <w:sz w:val="22"/>
        </w:rPr>
        <w:t> </w:t>
      </w:r>
      <w:r>
        <w:rPr>
          <w:sz w:val="22"/>
        </w:rPr>
        <w:t>Recherche</w:t>
      </w:r>
      <w:r>
        <w:rPr>
          <w:spacing w:val="-2"/>
          <w:sz w:val="22"/>
        </w:rPr>
        <w:t> </w:t>
      </w:r>
      <w:r>
        <w:rPr>
          <w:sz w:val="22"/>
        </w:rPr>
        <w:t>(CCR)</w:t>
      </w:r>
      <w:r>
        <w:rPr>
          <w:spacing w:val="-2"/>
          <w:sz w:val="22"/>
        </w:rPr>
        <w:t> </w:t>
      </w:r>
      <w:r>
        <w:rPr>
          <w:sz w:val="22"/>
        </w:rPr>
        <w:t>et</w:t>
      </w:r>
      <w:r>
        <w:rPr>
          <w:spacing w:val="-1"/>
          <w:sz w:val="22"/>
        </w:rPr>
        <w:t> </w:t>
      </w:r>
      <w:r>
        <w:rPr>
          <w:sz w:val="22"/>
        </w:rPr>
        <w:t>des</w:t>
      </w:r>
      <w:r>
        <w:rPr>
          <w:spacing w:val="-4"/>
          <w:sz w:val="22"/>
        </w:rPr>
        <w:t> </w:t>
      </w:r>
      <w:r>
        <w:rPr>
          <w:sz w:val="22"/>
        </w:rPr>
        <w:t>équipes</w:t>
      </w:r>
      <w:r>
        <w:rPr>
          <w:spacing w:val="-2"/>
          <w:sz w:val="22"/>
        </w:rPr>
        <w:t> </w:t>
      </w:r>
      <w:r>
        <w:rPr>
          <w:sz w:val="22"/>
        </w:rPr>
        <w:t>externes de</w:t>
      </w:r>
      <w:r>
        <w:rPr>
          <w:spacing w:val="-2"/>
          <w:sz w:val="22"/>
        </w:rPr>
        <w:t> </w:t>
      </w:r>
      <w:r>
        <w:rPr>
          <w:sz w:val="22"/>
        </w:rPr>
        <w:t>modélisation macro-économique de l'impact des politiques climatiques et des impacts du changement climatique</w:t>
      </w:r>
    </w:p>
    <w:p>
      <w:pPr>
        <w:pStyle w:val="ListParagraph"/>
        <w:numPr>
          <w:ilvl w:val="0"/>
          <w:numId w:val="4"/>
        </w:numPr>
        <w:tabs>
          <w:tab w:pos="265" w:val="left" w:leader="none"/>
        </w:tabs>
        <w:spacing w:line="240" w:lineRule="auto" w:before="0" w:after="0"/>
        <w:ind w:left="132" w:right="430" w:firstLine="0"/>
        <w:jc w:val="left"/>
        <w:rPr>
          <w:sz w:val="22"/>
        </w:rPr>
      </w:pPr>
      <w:r>
        <w:rPr>
          <w:sz w:val="22"/>
        </w:rPr>
        <w:t>Contribuer</w:t>
      </w:r>
      <w:r>
        <w:rPr>
          <w:spacing w:val="-2"/>
          <w:sz w:val="22"/>
        </w:rPr>
        <w:t> </w:t>
      </w:r>
      <w:r>
        <w:rPr>
          <w:sz w:val="22"/>
        </w:rPr>
        <w:t>au</w:t>
      </w:r>
      <w:r>
        <w:rPr>
          <w:spacing w:val="-4"/>
          <w:sz w:val="22"/>
        </w:rPr>
        <w:t> </w:t>
      </w:r>
      <w:r>
        <w:rPr>
          <w:sz w:val="22"/>
        </w:rPr>
        <w:t>suivi</w:t>
      </w:r>
      <w:r>
        <w:rPr>
          <w:spacing w:val="-4"/>
          <w:sz w:val="22"/>
        </w:rPr>
        <w:t> </w:t>
      </w:r>
      <w:r>
        <w:rPr>
          <w:sz w:val="22"/>
        </w:rPr>
        <w:t>et</w:t>
      </w:r>
      <w:r>
        <w:rPr>
          <w:spacing w:val="-1"/>
          <w:sz w:val="22"/>
        </w:rPr>
        <w:t> </w:t>
      </w:r>
      <w:r>
        <w:rPr>
          <w:sz w:val="22"/>
        </w:rPr>
        <w:t>à</w:t>
      </w:r>
      <w:r>
        <w:rPr>
          <w:spacing w:val="-4"/>
          <w:sz w:val="22"/>
        </w:rPr>
        <w:t> </w:t>
      </w:r>
      <w:r>
        <w:rPr>
          <w:sz w:val="22"/>
        </w:rPr>
        <w:t>l'établissement</w:t>
      </w:r>
      <w:r>
        <w:rPr>
          <w:spacing w:val="-1"/>
          <w:sz w:val="22"/>
        </w:rPr>
        <w:t> </w:t>
      </w:r>
      <w:r>
        <w:rPr>
          <w:sz w:val="22"/>
        </w:rPr>
        <w:t>de</w:t>
      </w:r>
      <w:r>
        <w:rPr>
          <w:spacing w:val="-4"/>
          <w:sz w:val="22"/>
        </w:rPr>
        <w:t> </w:t>
      </w:r>
      <w:r>
        <w:rPr>
          <w:sz w:val="22"/>
        </w:rPr>
        <w:t>rapports</w:t>
      </w:r>
      <w:r>
        <w:rPr>
          <w:spacing w:val="-2"/>
          <w:sz w:val="22"/>
        </w:rPr>
        <w:t> </w:t>
      </w:r>
      <w:r>
        <w:rPr>
          <w:sz w:val="22"/>
        </w:rPr>
        <w:t>sur</w:t>
      </w:r>
      <w:r>
        <w:rPr>
          <w:spacing w:val="-2"/>
          <w:sz w:val="22"/>
        </w:rPr>
        <w:t> </w:t>
      </w:r>
      <w:r>
        <w:rPr>
          <w:sz w:val="22"/>
        </w:rPr>
        <w:t>la</w:t>
      </w:r>
      <w:r>
        <w:rPr>
          <w:spacing w:val="-2"/>
          <w:sz w:val="22"/>
        </w:rPr>
        <w:t> </w:t>
      </w:r>
      <w:r>
        <w:rPr>
          <w:sz w:val="22"/>
        </w:rPr>
        <w:t>mise</w:t>
      </w:r>
      <w:r>
        <w:rPr>
          <w:spacing w:val="-4"/>
          <w:sz w:val="22"/>
        </w:rPr>
        <w:t> </w:t>
      </w:r>
      <w:r>
        <w:rPr>
          <w:sz w:val="22"/>
        </w:rPr>
        <w:t>en</w:t>
      </w:r>
      <w:r>
        <w:rPr>
          <w:spacing w:val="-2"/>
          <w:sz w:val="22"/>
        </w:rPr>
        <w:t> </w:t>
      </w:r>
      <w:r>
        <w:rPr>
          <w:sz w:val="22"/>
        </w:rPr>
        <w:t>œuvre</w:t>
      </w:r>
      <w:r>
        <w:rPr>
          <w:spacing w:val="-2"/>
          <w:sz w:val="22"/>
        </w:rPr>
        <w:t> </w:t>
      </w:r>
      <w:r>
        <w:rPr>
          <w:sz w:val="22"/>
        </w:rPr>
        <w:t>des Plans</w:t>
      </w:r>
      <w:r>
        <w:rPr>
          <w:spacing w:val="-2"/>
          <w:sz w:val="22"/>
        </w:rPr>
        <w:t> </w:t>
      </w:r>
      <w:r>
        <w:rPr>
          <w:sz w:val="22"/>
        </w:rPr>
        <w:t>Nationaux</w:t>
      </w:r>
      <w:r>
        <w:rPr>
          <w:spacing w:val="-2"/>
          <w:sz w:val="22"/>
        </w:rPr>
        <w:t> </w:t>
      </w:r>
      <w:r>
        <w:rPr>
          <w:sz w:val="22"/>
        </w:rPr>
        <w:t>intégrés</w:t>
      </w:r>
      <w:r>
        <w:rPr>
          <w:spacing w:val="-2"/>
          <w:sz w:val="22"/>
        </w:rPr>
        <w:t> </w:t>
      </w:r>
      <w:r>
        <w:rPr>
          <w:sz w:val="22"/>
        </w:rPr>
        <w:t>Energie- Climat (PNEC) et des politiques nationales d'une sélection d'États membres</w:t>
      </w:r>
    </w:p>
    <w:p>
      <w:pPr>
        <w:pStyle w:val="ListParagraph"/>
        <w:numPr>
          <w:ilvl w:val="0"/>
          <w:numId w:val="4"/>
        </w:numPr>
        <w:tabs>
          <w:tab w:pos="264" w:val="left" w:leader="none"/>
        </w:tabs>
        <w:spacing w:line="240" w:lineRule="auto" w:before="0" w:after="0"/>
        <w:ind w:left="132" w:right="114" w:firstLine="0"/>
        <w:jc w:val="left"/>
        <w:rPr>
          <w:sz w:val="22"/>
        </w:rPr>
      </w:pPr>
      <w:r>
        <w:rPr>
          <w:sz w:val="22"/>
        </w:rPr>
        <w:t>Pour une sélection d'États membres, contribuer au suivi de la mise en œuvre des réglementations relatives au partage</w:t>
      </w:r>
      <w:r>
        <w:rPr>
          <w:spacing w:val="-2"/>
          <w:sz w:val="22"/>
        </w:rPr>
        <w:t> </w:t>
      </w:r>
      <w:r>
        <w:rPr>
          <w:sz w:val="22"/>
        </w:rPr>
        <w:t>de</w:t>
      </w:r>
      <w:r>
        <w:rPr>
          <w:spacing w:val="-2"/>
          <w:sz w:val="22"/>
        </w:rPr>
        <w:t> </w:t>
      </w:r>
      <w:r>
        <w:rPr>
          <w:sz w:val="22"/>
        </w:rPr>
        <w:t>l'effort</w:t>
      </w:r>
      <w:r>
        <w:rPr>
          <w:spacing w:val="-4"/>
          <w:sz w:val="22"/>
        </w:rPr>
        <w:t> </w:t>
      </w:r>
      <w:r>
        <w:rPr>
          <w:sz w:val="22"/>
        </w:rPr>
        <w:t>(ESD),</w:t>
      </w:r>
      <w:r>
        <w:rPr>
          <w:spacing w:val="-5"/>
          <w:sz w:val="22"/>
        </w:rPr>
        <w:t> </w:t>
      </w:r>
      <w:r>
        <w:rPr>
          <w:sz w:val="22"/>
        </w:rPr>
        <w:t>à</w:t>
      </w:r>
      <w:r>
        <w:rPr>
          <w:spacing w:val="-4"/>
          <w:sz w:val="22"/>
        </w:rPr>
        <w:t> </w:t>
      </w:r>
      <w:r>
        <w:rPr>
          <w:sz w:val="22"/>
        </w:rPr>
        <w:t>l'utilisation</w:t>
      </w:r>
      <w:r>
        <w:rPr>
          <w:spacing w:val="-5"/>
          <w:sz w:val="22"/>
        </w:rPr>
        <w:t> </w:t>
      </w:r>
      <w:r>
        <w:rPr>
          <w:sz w:val="22"/>
        </w:rPr>
        <w:t>des</w:t>
      </w:r>
      <w:r>
        <w:rPr>
          <w:spacing w:val="-2"/>
          <w:sz w:val="22"/>
        </w:rPr>
        <w:t> </w:t>
      </w:r>
      <w:r>
        <w:rPr>
          <w:sz w:val="22"/>
        </w:rPr>
        <w:t>sols</w:t>
      </w:r>
      <w:r>
        <w:rPr>
          <w:spacing w:val="-2"/>
          <w:sz w:val="22"/>
        </w:rPr>
        <w:t> </w:t>
      </w:r>
      <w:r>
        <w:rPr>
          <w:sz w:val="22"/>
        </w:rPr>
        <w:t>(changement</w:t>
      </w:r>
      <w:r>
        <w:rPr>
          <w:spacing w:val="-1"/>
          <w:sz w:val="22"/>
        </w:rPr>
        <w:t> </w:t>
      </w:r>
      <w:r>
        <w:rPr>
          <w:sz w:val="22"/>
        </w:rPr>
        <w:t>d'affectation</w:t>
      </w:r>
      <w:r>
        <w:rPr>
          <w:spacing w:val="-2"/>
          <w:sz w:val="22"/>
        </w:rPr>
        <w:t> </w:t>
      </w:r>
      <w:r>
        <w:rPr>
          <w:sz w:val="22"/>
        </w:rPr>
        <w:t>des sols,</w:t>
      </w:r>
      <w:r>
        <w:rPr>
          <w:spacing w:val="-2"/>
          <w:sz w:val="22"/>
        </w:rPr>
        <w:t> </w:t>
      </w:r>
      <w:r>
        <w:rPr>
          <w:sz w:val="22"/>
        </w:rPr>
        <w:t>forêts),</w:t>
      </w:r>
      <w:r>
        <w:rPr>
          <w:spacing w:val="-2"/>
          <w:sz w:val="22"/>
        </w:rPr>
        <w:t> </w:t>
      </w:r>
      <w:r>
        <w:rPr>
          <w:sz w:val="22"/>
        </w:rPr>
        <w:t>au</w:t>
      </w:r>
      <w:r>
        <w:rPr>
          <w:spacing w:val="-1"/>
          <w:sz w:val="22"/>
        </w:rPr>
        <w:t> </w:t>
      </w:r>
      <w:r>
        <w:rPr>
          <w:sz w:val="22"/>
        </w:rPr>
        <w:t>système</w:t>
      </w:r>
      <w:r>
        <w:rPr>
          <w:spacing w:val="-2"/>
          <w:sz w:val="22"/>
        </w:rPr>
        <w:t> </w:t>
      </w:r>
      <w:r>
        <w:rPr>
          <w:sz w:val="22"/>
        </w:rPr>
        <w:t>d'échange</w:t>
      </w:r>
      <w:r>
        <w:rPr>
          <w:spacing w:val="-2"/>
          <w:sz w:val="22"/>
        </w:rPr>
        <w:t> </w:t>
      </w:r>
      <w:r>
        <w:rPr>
          <w:sz w:val="22"/>
        </w:rPr>
        <w:t>de quotas d'émissions de l'UE et à la gouvernance de l'union de l'énergie et de l'action pour le climat</w:t>
      </w:r>
    </w:p>
    <w:p>
      <w:pPr>
        <w:pStyle w:val="ListParagraph"/>
        <w:numPr>
          <w:ilvl w:val="0"/>
          <w:numId w:val="4"/>
        </w:numPr>
        <w:tabs>
          <w:tab w:pos="265" w:val="left" w:leader="none"/>
        </w:tabs>
        <w:spacing w:line="240" w:lineRule="auto" w:before="0" w:after="0"/>
        <w:ind w:left="132" w:right="691" w:firstLine="0"/>
        <w:jc w:val="left"/>
        <w:rPr>
          <w:sz w:val="22"/>
        </w:rPr>
      </w:pPr>
      <w:r>
        <w:rPr>
          <w:sz w:val="22"/>
        </w:rPr>
        <w:t>Coopérer</w:t>
      </w:r>
      <w:r>
        <w:rPr>
          <w:spacing w:val="-2"/>
          <w:sz w:val="22"/>
        </w:rPr>
        <w:t> </w:t>
      </w:r>
      <w:r>
        <w:rPr>
          <w:sz w:val="22"/>
        </w:rPr>
        <w:t>avec</w:t>
      </w:r>
      <w:r>
        <w:rPr>
          <w:spacing w:val="-5"/>
          <w:sz w:val="22"/>
        </w:rPr>
        <w:t> </w:t>
      </w:r>
      <w:r>
        <w:rPr>
          <w:sz w:val="22"/>
        </w:rPr>
        <w:t>l'Agence</w:t>
      </w:r>
      <w:r>
        <w:rPr>
          <w:spacing w:val="-3"/>
          <w:sz w:val="22"/>
        </w:rPr>
        <w:t> </w:t>
      </w:r>
      <w:r>
        <w:rPr>
          <w:sz w:val="22"/>
        </w:rPr>
        <w:t>européenne</w:t>
      </w:r>
      <w:r>
        <w:rPr>
          <w:spacing w:val="-3"/>
          <w:sz w:val="22"/>
        </w:rPr>
        <w:t> </w:t>
      </w:r>
      <w:r>
        <w:rPr>
          <w:sz w:val="22"/>
        </w:rPr>
        <w:t>pour</w:t>
      </w:r>
      <w:r>
        <w:rPr>
          <w:spacing w:val="-5"/>
          <w:sz w:val="22"/>
        </w:rPr>
        <w:t> </w:t>
      </w:r>
      <w:r>
        <w:rPr>
          <w:sz w:val="22"/>
        </w:rPr>
        <w:t>l'environnement pour</w:t>
      </w:r>
      <w:r>
        <w:rPr>
          <w:spacing w:val="-2"/>
          <w:sz w:val="22"/>
        </w:rPr>
        <w:t> </w:t>
      </w:r>
      <w:r>
        <w:rPr>
          <w:sz w:val="22"/>
        </w:rPr>
        <w:t>le</w:t>
      </w:r>
      <w:r>
        <w:rPr>
          <w:spacing w:val="-3"/>
          <w:sz w:val="22"/>
        </w:rPr>
        <w:t> </w:t>
      </w:r>
      <w:r>
        <w:rPr>
          <w:sz w:val="22"/>
        </w:rPr>
        <w:t>suivi</w:t>
      </w:r>
      <w:r>
        <w:rPr>
          <w:spacing w:val="-2"/>
          <w:sz w:val="22"/>
        </w:rPr>
        <w:t> </w:t>
      </w:r>
      <w:r>
        <w:rPr>
          <w:sz w:val="22"/>
        </w:rPr>
        <w:t>des</w:t>
      </w:r>
      <w:r>
        <w:rPr>
          <w:spacing w:val="-5"/>
          <w:sz w:val="22"/>
        </w:rPr>
        <w:t> </w:t>
      </w:r>
      <w:r>
        <w:rPr>
          <w:sz w:val="22"/>
        </w:rPr>
        <w:t>progrès</w:t>
      </w:r>
      <w:r>
        <w:rPr>
          <w:spacing w:val="-1"/>
          <w:sz w:val="22"/>
        </w:rPr>
        <w:t> </w:t>
      </w:r>
      <w:r>
        <w:rPr>
          <w:sz w:val="22"/>
        </w:rPr>
        <w:t>en</w:t>
      </w:r>
      <w:r>
        <w:rPr>
          <w:spacing w:val="-3"/>
          <w:sz w:val="22"/>
        </w:rPr>
        <w:t> </w:t>
      </w:r>
      <w:r>
        <w:rPr>
          <w:sz w:val="22"/>
        </w:rPr>
        <w:t>matière</w:t>
      </w:r>
      <w:r>
        <w:rPr>
          <w:spacing w:val="-3"/>
          <w:sz w:val="22"/>
        </w:rPr>
        <w:t> </w:t>
      </w:r>
      <w:r>
        <w:rPr>
          <w:sz w:val="22"/>
        </w:rPr>
        <w:t>de</w:t>
      </w:r>
      <w:r>
        <w:rPr>
          <w:spacing w:val="-5"/>
          <w:sz w:val="22"/>
        </w:rPr>
        <w:t> </w:t>
      </w:r>
      <w:r>
        <w:rPr>
          <w:sz w:val="22"/>
        </w:rPr>
        <w:t>politiques climatiques, travail avec ESTAT sur les données relatives aux émissions de gaz à effet de serre</w:t>
      </w:r>
    </w:p>
    <w:p>
      <w:pPr>
        <w:pStyle w:val="ListParagraph"/>
        <w:numPr>
          <w:ilvl w:val="0"/>
          <w:numId w:val="4"/>
        </w:numPr>
        <w:tabs>
          <w:tab w:pos="264" w:val="left" w:leader="none"/>
        </w:tabs>
        <w:spacing w:line="240" w:lineRule="auto" w:before="0" w:after="0"/>
        <w:ind w:left="132" w:right="247" w:firstLine="0"/>
        <w:jc w:val="left"/>
        <w:rPr>
          <w:sz w:val="22"/>
        </w:rPr>
      </w:pPr>
      <w:r>
        <w:rPr>
          <w:sz w:val="22"/>
        </w:rPr>
        <w:t>Suivre</w:t>
      </w:r>
      <w:r>
        <w:rPr>
          <w:spacing w:val="-3"/>
          <w:sz w:val="22"/>
        </w:rPr>
        <w:t> </w:t>
      </w:r>
      <w:r>
        <w:rPr>
          <w:sz w:val="22"/>
        </w:rPr>
        <w:t>l’élaboration</w:t>
      </w:r>
      <w:r>
        <w:rPr>
          <w:spacing w:val="-6"/>
          <w:sz w:val="22"/>
        </w:rPr>
        <w:t> </w:t>
      </w:r>
      <w:r>
        <w:rPr>
          <w:sz w:val="22"/>
        </w:rPr>
        <w:t>d’indicateurs</w:t>
      </w:r>
      <w:r>
        <w:rPr>
          <w:spacing w:val="-3"/>
          <w:sz w:val="22"/>
        </w:rPr>
        <w:t> </w:t>
      </w:r>
      <w:r>
        <w:rPr>
          <w:sz w:val="22"/>
        </w:rPr>
        <w:t>d’avancement</w:t>
      </w:r>
      <w:r>
        <w:rPr>
          <w:spacing w:val="-2"/>
          <w:sz w:val="22"/>
        </w:rPr>
        <w:t> </w:t>
      </w:r>
      <w:r>
        <w:rPr>
          <w:sz w:val="22"/>
        </w:rPr>
        <w:t>des</w:t>
      </w:r>
      <w:r>
        <w:rPr>
          <w:spacing w:val="-5"/>
          <w:sz w:val="22"/>
        </w:rPr>
        <w:t> </w:t>
      </w:r>
      <w:r>
        <w:rPr>
          <w:sz w:val="22"/>
        </w:rPr>
        <w:t>politiques</w:t>
      </w:r>
      <w:r>
        <w:rPr>
          <w:spacing w:val="-5"/>
          <w:sz w:val="22"/>
        </w:rPr>
        <w:t> </w:t>
      </w:r>
      <w:r>
        <w:rPr>
          <w:sz w:val="22"/>
        </w:rPr>
        <w:t>pertinentes</w:t>
      </w:r>
      <w:r>
        <w:rPr>
          <w:spacing w:val="-5"/>
          <w:sz w:val="22"/>
        </w:rPr>
        <w:t> </w:t>
      </w:r>
      <w:r>
        <w:rPr>
          <w:sz w:val="22"/>
        </w:rPr>
        <w:t>pour</w:t>
      </w:r>
      <w:r>
        <w:rPr>
          <w:spacing w:val="-5"/>
          <w:sz w:val="22"/>
        </w:rPr>
        <w:t> </w:t>
      </w:r>
      <w:r>
        <w:rPr>
          <w:sz w:val="22"/>
        </w:rPr>
        <w:t>l'action</w:t>
      </w:r>
      <w:r>
        <w:rPr>
          <w:spacing w:val="-3"/>
          <w:sz w:val="22"/>
        </w:rPr>
        <w:t> </w:t>
      </w:r>
      <w:r>
        <w:rPr>
          <w:sz w:val="22"/>
        </w:rPr>
        <w:t>climatique,</w:t>
      </w:r>
      <w:r>
        <w:rPr>
          <w:spacing w:val="-5"/>
          <w:sz w:val="22"/>
        </w:rPr>
        <w:t> </w:t>
      </w:r>
      <w:r>
        <w:rPr>
          <w:sz w:val="22"/>
        </w:rPr>
        <w:t>en</w:t>
      </w:r>
      <w:r>
        <w:rPr>
          <w:spacing w:val="-3"/>
          <w:sz w:val="22"/>
        </w:rPr>
        <w:t> </w:t>
      </w:r>
      <w:r>
        <w:rPr>
          <w:sz w:val="22"/>
        </w:rPr>
        <w:t>travaillant sur divers cadres de suivi avec d’autres Directions Générales.</w:t>
      </w:r>
    </w:p>
    <w:p>
      <w:pPr>
        <w:pStyle w:val="ListParagraph"/>
        <w:numPr>
          <w:ilvl w:val="0"/>
          <w:numId w:val="4"/>
        </w:numPr>
        <w:tabs>
          <w:tab w:pos="265" w:val="left" w:leader="none"/>
        </w:tabs>
        <w:spacing w:line="240" w:lineRule="auto" w:before="0" w:after="0"/>
        <w:ind w:left="132" w:right="167" w:firstLine="0"/>
        <w:jc w:val="left"/>
        <w:rPr>
          <w:sz w:val="22"/>
        </w:rPr>
      </w:pPr>
      <w:r>
        <w:rPr>
          <w:sz w:val="22"/>
        </w:rPr>
        <w:t>Sous</w:t>
      </w:r>
      <w:r>
        <w:rPr>
          <w:spacing w:val="-2"/>
          <w:sz w:val="22"/>
        </w:rPr>
        <w:t> </w:t>
      </w:r>
      <w:r>
        <w:rPr>
          <w:sz w:val="22"/>
        </w:rPr>
        <w:t>la</w:t>
      </w:r>
      <w:r>
        <w:rPr>
          <w:spacing w:val="-2"/>
          <w:sz w:val="22"/>
        </w:rPr>
        <w:t> </w:t>
      </w:r>
      <w:r>
        <w:rPr>
          <w:sz w:val="22"/>
        </w:rPr>
        <w:t>supervision</w:t>
      </w:r>
      <w:r>
        <w:rPr>
          <w:spacing w:val="-2"/>
          <w:sz w:val="22"/>
        </w:rPr>
        <w:t> </w:t>
      </w:r>
      <w:r>
        <w:rPr>
          <w:sz w:val="22"/>
        </w:rPr>
        <w:t>d'un</w:t>
      </w:r>
      <w:r>
        <w:rPr>
          <w:spacing w:val="-1"/>
          <w:sz w:val="22"/>
        </w:rPr>
        <w:t> </w:t>
      </w:r>
      <w:r>
        <w:rPr>
          <w:sz w:val="22"/>
        </w:rPr>
        <w:t>fonctionnaire</w:t>
      </w:r>
      <w:r>
        <w:rPr>
          <w:spacing w:val="-2"/>
          <w:sz w:val="22"/>
        </w:rPr>
        <w:t> </w:t>
      </w:r>
      <w:r>
        <w:rPr>
          <w:sz w:val="22"/>
        </w:rPr>
        <w:t>de</w:t>
      </w:r>
      <w:r>
        <w:rPr>
          <w:spacing w:val="-4"/>
          <w:sz w:val="22"/>
        </w:rPr>
        <w:t> </w:t>
      </w:r>
      <w:r>
        <w:rPr>
          <w:sz w:val="22"/>
        </w:rPr>
        <w:t>la</w:t>
      </w:r>
      <w:r>
        <w:rPr>
          <w:spacing w:val="-2"/>
          <w:sz w:val="22"/>
        </w:rPr>
        <w:t> </w:t>
      </w:r>
      <w:r>
        <w:rPr>
          <w:sz w:val="22"/>
        </w:rPr>
        <w:t>Commission,</w:t>
      </w:r>
      <w:r>
        <w:rPr>
          <w:spacing w:val="-5"/>
          <w:sz w:val="22"/>
        </w:rPr>
        <w:t> </w:t>
      </w:r>
      <w:r>
        <w:rPr>
          <w:sz w:val="22"/>
        </w:rPr>
        <w:t>organiser</w:t>
      </w:r>
      <w:r>
        <w:rPr>
          <w:spacing w:val="-4"/>
          <w:sz w:val="22"/>
        </w:rPr>
        <w:t> </w:t>
      </w:r>
      <w:r>
        <w:rPr>
          <w:sz w:val="22"/>
        </w:rPr>
        <w:t>et</w:t>
      </w:r>
      <w:r>
        <w:rPr>
          <w:spacing w:val="-1"/>
          <w:sz w:val="22"/>
        </w:rPr>
        <w:t> </w:t>
      </w:r>
      <w:r>
        <w:rPr>
          <w:sz w:val="22"/>
        </w:rPr>
        <w:t>participer</w:t>
      </w:r>
      <w:r>
        <w:rPr>
          <w:spacing w:val="-3"/>
          <w:sz w:val="22"/>
        </w:rPr>
        <w:t> </w:t>
      </w:r>
      <w:r>
        <w:rPr>
          <w:sz w:val="22"/>
        </w:rPr>
        <w:t>à</w:t>
      </w:r>
      <w:r>
        <w:rPr>
          <w:spacing w:val="-2"/>
          <w:sz w:val="22"/>
        </w:rPr>
        <w:t> </w:t>
      </w:r>
      <w:r>
        <w:rPr>
          <w:sz w:val="22"/>
        </w:rPr>
        <w:t>des</w:t>
      </w:r>
      <w:r>
        <w:rPr>
          <w:spacing w:val="-4"/>
          <w:sz w:val="22"/>
        </w:rPr>
        <w:t> </w:t>
      </w:r>
      <w:r>
        <w:rPr>
          <w:sz w:val="22"/>
        </w:rPr>
        <w:t>réunions</w:t>
      </w:r>
      <w:r>
        <w:rPr>
          <w:spacing w:val="-2"/>
          <w:sz w:val="22"/>
        </w:rPr>
        <w:t> </w:t>
      </w:r>
      <w:r>
        <w:rPr>
          <w:sz w:val="22"/>
        </w:rPr>
        <w:t>et</w:t>
      </w:r>
      <w:r>
        <w:rPr>
          <w:spacing w:val="-1"/>
          <w:sz w:val="22"/>
        </w:rPr>
        <w:t> </w:t>
      </w:r>
      <w:r>
        <w:rPr>
          <w:sz w:val="22"/>
        </w:rPr>
        <w:t>des</w:t>
      </w:r>
      <w:r>
        <w:rPr>
          <w:spacing w:val="-4"/>
          <w:sz w:val="22"/>
        </w:rPr>
        <w:t> </w:t>
      </w:r>
      <w:r>
        <w:rPr>
          <w:sz w:val="22"/>
        </w:rPr>
        <w:t>événements avec des États membres et des parties prenantes</w:t>
      </w:r>
    </w:p>
    <w:p>
      <w:pPr>
        <w:pStyle w:val="ListParagraph"/>
        <w:numPr>
          <w:ilvl w:val="0"/>
          <w:numId w:val="4"/>
        </w:numPr>
        <w:tabs>
          <w:tab w:pos="265" w:val="left" w:leader="none"/>
        </w:tabs>
        <w:spacing w:line="240" w:lineRule="auto" w:before="0" w:after="0"/>
        <w:ind w:left="132" w:right="665" w:firstLine="0"/>
        <w:jc w:val="left"/>
        <w:rPr>
          <w:sz w:val="22"/>
        </w:rPr>
      </w:pPr>
      <w:r>
        <w:rPr>
          <w:sz w:val="22"/>
        </w:rPr>
        <w:t>Sous</w:t>
      </w:r>
      <w:r>
        <w:rPr>
          <w:spacing w:val="-2"/>
          <w:sz w:val="22"/>
        </w:rPr>
        <w:t> </w:t>
      </w:r>
      <w:r>
        <w:rPr>
          <w:sz w:val="22"/>
        </w:rPr>
        <w:t>la</w:t>
      </w:r>
      <w:r>
        <w:rPr>
          <w:spacing w:val="-2"/>
          <w:sz w:val="22"/>
        </w:rPr>
        <w:t> </w:t>
      </w:r>
      <w:r>
        <w:rPr>
          <w:sz w:val="22"/>
        </w:rPr>
        <w:t>supervision</w:t>
      </w:r>
      <w:r>
        <w:rPr>
          <w:spacing w:val="-2"/>
          <w:sz w:val="22"/>
        </w:rPr>
        <w:t> </w:t>
      </w:r>
      <w:r>
        <w:rPr>
          <w:sz w:val="22"/>
        </w:rPr>
        <w:t>d'un</w:t>
      </w:r>
      <w:r>
        <w:rPr>
          <w:spacing w:val="-1"/>
          <w:sz w:val="22"/>
        </w:rPr>
        <w:t> </w:t>
      </w:r>
      <w:r>
        <w:rPr>
          <w:sz w:val="22"/>
        </w:rPr>
        <w:t>fonctionnaire</w:t>
      </w:r>
      <w:r>
        <w:rPr>
          <w:spacing w:val="-2"/>
          <w:sz w:val="22"/>
        </w:rPr>
        <w:t> </w:t>
      </w:r>
      <w:r>
        <w:rPr>
          <w:sz w:val="22"/>
        </w:rPr>
        <w:t>de</w:t>
      </w:r>
      <w:r>
        <w:rPr>
          <w:spacing w:val="-4"/>
          <w:sz w:val="22"/>
        </w:rPr>
        <w:t> </w:t>
      </w:r>
      <w:r>
        <w:rPr>
          <w:sz w:val="22"/>
        </w:rPr>
        <w:t>la</w:t>
      </w:r>
      <w:r>
        <w:rPr>
          <w:spacing w:val="-2"/>
          <w:sz w:val="22"/>
        </w:rPr>
        <w:t> </w:t>
      </w:r>
      <w:r>
        <w:rPr>
          <w:sz w:val="22"/>
        </w:rPr>
        <w:t>Commission,</w:t>
      </w:r>
      <w:r>
        <w:rPr>
          <w:spacing w:val="-3"/>
          <w:sz w:val="22"/>
        </w:rPr>
        <w:t> </w:t>
      </w:r>
      <w:r>
        <w:rPr>
          <w:sz w:val="22"/>
        </w:rPr>
        <w:t>aider</w:t>
      </w:r>
      <w:r>
        <w:rPr>
          <w:spacing w:val="-4"/>
          <w:sz w:val="22"/>
        </w:rPr>
        <w:t> </w:t>
      </w:r>
      <w:r>
        <w:rPr>
          <w:sz w:val="22"/>
        </w:rPr>
        <w:t>à</w:t>
      </w:r>
      <w:r>
        <w:rPr>
          <w:spacing w:val="-2"/>
          <w:sz w:val="22"/>
        </w:rPr>
        <w:t> </w:t>
      </w:r>
      <w:r>
        <w:rPr>
          <w:sz w:val="22"/>
        </w:rPr>
        <w:t>la</w:t>
      </w:r>
      <w:r>
        <w:rPr>
          <w:spacing w:val="-4"/>
          <w:sz w:val="22"/>
        </w:rPr>
        <w:t> </w:t>
      </w:r>
      <w:r>
        <w:rPr>
          <w:sz w:val="22"/>
        </w:rPr>
        <w:t>préparation</w:t>
      </w:r>
      <w:r>
        <w:rPr>
          <w:spacing w:val="-3"/>
          <w:sz w:val="22"/>
        </w:rPr>
        <w:t> </w:t>
      </w:r>
      <w:r>
        <w:rPr>
          <w:sz w:val="22"/>
        </w:rPr>
        <w:t>et</w:t>
      </w:r>
      <w:r>
        <w:rPr>
          <w:spacing w:val="-1"/>
          <w:sz w:val="22"/>
        </w:rPr>
        <w:t> </w:t>
      </w:r>
      <w:r>
        <w:rPr>
          <w:sz w:val="22"/>
        </w:rPr>
        <w:t>la</w:t>
      </w:r>
      <w:r>
        <w:rPr>
          <w:spacing w:val="-2"/>
          <w:sz w:val="22"/>
        </w:rPr>
        <w:t> </w:t>
      </w:r>
      <w:r>
        <w:rPr>
          <w:sz w:val="22"/>
        </w:rPr>
        <w:t>mise</w:t>
      </w:r>
      <w:r>
        <w:rPr>
          <w:spacing w:val="-2"/>
          <w:sz w:val="22"/>
        </w:rPr>
        <w:t> </w:t>
      </w:r>
      <w:r>
        <w:rPr>
          <w:sz w:val="22"/>
        </w:rPr>
        <w:t>en</w:t>
      </w:r>
      <w:r>
        <w:rPr>
          <w:spacing w:val="-2"/>
          <w:sz w:val="22"/>
        </w:rPr>
        <w:t> </w:t>
      </w:r>
      <w:r>
        <w:rPr>
          <w:sz w:val="22"/>
        </w:rPr>
        <w:t>œuvre</w:t>
      </w:r>
      <w:r>
        <w:rPr>
          <w:spacing w:val="-2"/>
          <w:sz w:val="22"/>
        </w:rPr>
        <w:t> </w:t>
      </w:r>
      <w:r>
        <w:rPr>
          <w:sz w:val="22"/>
        </w:rPr>
        <w:t>d'appels </w:t>
      </w:r>
      <w:r>
        <w:rPr>
          <w:spacing w:val="-2"/>
          <w:sz w:val="22"/>
        </w:rPr>
        <w:t>d'offres</w:t>
      </w:r>
    </w:p>
    <w:p>
      <w:pPr>
        <w:pStyle w:val="BodyText"/>
        <w:rPr>
          <w:sz w:val="24"/>
        </w:rPr>
      </w:pPr>
    </w:p>
    <w:p>
      <w:pPr>
        <w:pStyle w:val="BodyText"/>
        <w:spacing w:before="6"/>
        <w:rPr>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0"/>
        <w:rPr>
          <w:b/>
          <w:sz w:val="15"/>
        </w:rPr>
      </w:pPr>
    </w:p>
    <w:p>
      <w:pPr>
        <w:pStyle w:val="Heading1"/>
        <w:numPr>
          <w:ilvl w:val="1"/>
          <w:numId w:val="3"/>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1"/>
          <w:numId w:val="4"/>
        </w:numPr>
        <w:tabs>
          <w:tab w:pos="841" w:val="left" w:leader="none"/>
        </w:tabs>
        <w:spacing w:line="240" w:lineRule="auto" w:before="0" w:after="0"/>
        <w:ind w:left="84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spacing w:after="0" w:line="240" w:lineRule="auto"/>
        <w:jc w:val="both"/>
        <w:rPr>
          <w:sz w:val="22"/>
        </w:rPr>
        <w:sectPr>
          <w:pgSz w:w="11910" w:h="16840"/>
          <w:pgMar w:header="0" w:footer="690" w:top="1080" w:bottom="880" w:left="720" w:right="740"/>
        </w:sectPr>
      </w:pPr>
    </w:p>
    <w:p>
      <w:pPr>
        <w:pStyle w:val="ListParagraph"/>
        <w:numPr>
          <w:ilvl w:val="1"/>
          <w:numId w:val="4"/>
        </w:numPr>
        <w:tabs>
          <w:tab w:pos="841" w:val="left" w:leader="none"/>
        </w:tabs>
        <w:spacing w:line="240" w:lineRule="auto" w:before="62"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1"/>
          <w:numId w:val="4"/>
        </w:numPr>
        <w:tabs>
          <w:tab w:pos="841" w:val="left" w:leader="none"/>
        </w:tabs>
        <w:spacing w:line="240" w:lineRule="auto" w:before="1" w:after="0"/>
        <w:ind w:left="840" w:right="105"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1"/>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line="252" w:lineRule="exact" w:before="91"/>
        <w:ind w:left="840"/>
      </w:pPr>
      <w:r>
        <w:rPr>
          <w:spacing w:val="-2"/>
          <w:u w:val="single"/>
        </w:rPr>
        <w:t>Diplôme</w:t>
      </w:r>
    </w:p>
    <w:p>
      <w:pPr>
        <w:pStyle w:val="ListParagraph"/>
        <w:numPr>
          <w:ilvl w:val="2"/>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2"/>
          <w:numId w:val="3"/>
        </w:numPr>
        <w:tabs>
          <w:tab w:pos="966" w:val="left" w:leader="none"/>
        </w:tabs>
        <w:spacing w:line="484" w:lineRule="auto" w:before="1" w:after="0"/>
        <w:ind w:left="950" w:right="2655" w:hanging="111"/>
        <w:jc w:val="left"/>
        <w:rPr>
          <w:rFonts w:ascii="Calibri" w:hAnsi="Calibri"/>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w:t>
      </w:r>
      <w:r>
        <w:rPr>
          <w:rFonts w:ascii="Calibri" w:hAnsi="Calibri"/>
          <w:sz w:val="22"/>
        </w:rPr>
        <w:t>économie, ingénieurie ou domaine proche</w:t>
      </w:r>
    </w:p>
    <w:p>
      <w:pPr>
        <w:pStyle w:val="BodyText"/>
        <w:spacing w:before="7"/>
        <w:rPr>
          <w:rFonts w:ascii="Calibri"/>
          <w:sz w:val="18"/>
        </w:rPr>
      </w:pPr>
    </w:p>
    <w:p>
      <w:pPr>
        <w:pStyle w:val="BodyTex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7"/>
        <w:ind w:left="840" w:right="168" w:firstLine="50"/>
        <w:jc w:val="both"/>
        <w:rPr>
          <w:rFonts w:ascii="Calibri" w:hAnsi="Calibri"/>
        </w:rPr>
      </w:pPr>
      <w:r>
        <w:rPr>
          <w:rFonts w:ascii="Calibri" w:hAnsi="Calibri"/>
        </w:rPr>
        <w:t>De préférence au moins 3 ans dans un domaine lié aux questions climatiques, y compris la gestion de données ou la modélisation. Connaissance de la politique climatique de l'UE ainsi que des politiques sectorielles correspondantes pour un ou plusieurs secteurs</w:t>
      </w:r>
    </w:p>
    <w:p>
      <w:pPr>
        <w:pStyle w:val="BodyText"/>
        <w:rPr>
          <w:rFonts w:ascii="Calibri"/>
        </w:rPr>
      </w:pPr>
    </w:p>
    <w:p>
      <w:pPr>
        <w:pStyle w:val="BodyText"/>
        <w:rPr>
          <w:rFonts w:ascii="Calibri"/>
          <w:sz w:val="19"/>
        </w:rPr>
      </w:pPr>
    </w:p>
    <w:p>
      <w:pPr>
        <w:pStyle w:val="BodyText"/>
        <w:spacing w:before="1"/>
        <w:ind w:left="840"/>
        <w:jc w:val="both"/>
      </w:pPr>
      <w:r>
        <w:rPr>
          <w:u w:val="single"/>
        </w:rPr>
        <w:t>Langue(s)</w:t>
      </w:r>
      <w:r>
        <w:rPr>
          <w:spacing w:val="-8"/>
          <w:u w:val="single"/>
        </w:rPr>
        <w:t> </w:t>
      </w:r>
      <w:r>
        <w:rPr>
          <w:u w:val="single"/>
        </w:rPr>
        <w:t>nécessaire(s)</w:t>
      </w:r>
      <w:r>
        <w:rPr>
          <w:spacing w:val="-4"/>
          <w:u w:val="single"/>
        </w:rPr>
        <w:t> </w:t>
      </w:r>
      <w:r>
        <w:rPr>
          <w:u w:val="single"/>
        </w:rPr>
        <w:t>pour</w:t>
      </w:r>
      <w:r>
        <w:rPr>
          <w:spacing w:val="-6"/>
          <w:u w:val="single"/>
        </w:rPr>
        <w:t> </w:t>
      </w:r>
      <w:r>
        <w:rPr>
          <w:u w:val="single"/>
        </w:rPr>
        <w:t>l'accomplissement</w:t>
      </w:r>
      <w:r>
        <w:rPr>
          <w:spacing w:val="-4"/>
          <w:u w:val="single"/>
        </w:rPr>
        <w:t> </w:t>
      </w:r>
      <w:r>
        <w:rPr>
          <w:u w:val="single"/>
        </w:rPr>
        <w:t>des</w:t>
      </w:r>
      <w:r>
        <w:rPr>
          <w:spacing w:val="-7"/>
          <w:u w:val="single"/>
        </w:rPr>
        <w:t> </w:t>
      </w:r>
      <w:r>
        <w:rPr>
          <w:spacing w:val="-2"/>
          <w:u w:val="single"/>
        </w:rPr>
        <w:t>tâches</w:t>
      </w:r>
    </w:p>
    <w:p>
      <w:pPr>
        <w:pStyle w:val="BodyText"/>
        <w:spacing w:before="4"/>
        <w:rPr>
          <w:sz w:val="17"/>
        </w:rPr>
      </w:pPr>
    </w:p>
    <w:p>
      <w:pPr>
        <w:pStyle w:val="BodyText"/>
        <w:spacing w:before="57"/>
        <w:ind w:left="840"/>
        <w:rPr>
          <w:rFonts w:ascii="Calibri" w:hAnsi="Calibri"/>
        </w:rPr>
      </w:pPr>
      <w:r>
        <w:rPr>
          <w:rFonts w:ascii="Calibri" w:hAnsi="Calibri"/>
        </w:rPr>
        <w:t>Une très bonne maîtrise de l'anglais est indispensable car la principale langue de travail sur ce poste. La capacité de travailler dans d'autres langues officielles de l'UE serait un atout.</w:t>
      </w:r>
    </w:p>
    <w:p>
      <w:pPr>
        <w:pStyle w:val="BodyText"/>
        <w:rPr>
          <w:rFonts w:ascii="Calibri"/>
        </w:rPr>
      </w:pPr>
    </w:p>
    <w:p>
      <w:pPr>
        <w:pStyle w:val="BodyText"/>
        <w:spacing w:before="6"/>
        <w:rPr>
          <w:rFonts w:ascii="Calibri"/>
          <w:sz w:val="19"/>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5"/>
          <w:sz w:val="24"/>
          <w:u w:val="single"/>
        </w:rPr>
        <w:t> </w:t>
      </w:r>
      <w:r>
        <w:rPr>
          <w:b/>
          <w:spacing w:val="-2"/>
          <w:sz w:val="24"/>
          <w:u w:val="single"/>
        </w:rPr>
        <w:t>sélection</w:t>
      </w:r>
    </w:p>
    <w:p>
      <w:pPr>
        <w:pStyle w:val="BodyText"/>
        <w:spacing w:before="7"/>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4"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right="279"/>
        <w:jc w:val="both"/>
      </w:pPr>
      <w:r>
        <w:rPr/>
        <w:t>L'END restera employé et rémunéré par son employeur durant toute la durée du détachement. Il restera également couvert par la sécurité sociale nationale durant son détachement.</w:t>
      </w:r>
    </w:p>
    <w:p>
      <w:pPr>
        <w:pStyle w:val="BodyText"/>
        <w:spacing w:before="1"/>
        <w:ind w:left="559" w:right="289"/>
        <w:jc w:val="both"/>
      </w:pPr>
      <w:r>
        <w:rPr/>
        <w:t>Sauf pour les END sans frais, des indemnités de séjour peuvent être versées à l'END qui remplit les conditions, conformément à l'article 17 de la décision END.</w:t>
      </w:r>
    </w:p>
    <w:p>
      <w:pPr>
        <w:spacing w:after="0"/>
        <w:jc w:val="both"/>
        <w:sectPr>
          <w:pgSz w:w="11910" w:h="16840"/>
          <w:pgMar w:header="0" w:footer="690" w:top="1300" w:bottom="880" w:left="720" w:right="740"/>
        </w:sectPr>
      </w:pPr>
    </w:p>
    <w:p>
      <w:pPr>
        <w:pStyle w:val="BodyText"/>
        <w:spacing w:before="68"/>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1"/>
        <w:ind w:left="559" w:right="288"/>
        <w:jc w:val="both"/>
      </w:pPr>
      <w:r>
        <w:rPr/>
        <w:t>Les données des END seront conservées pendant 7 ans à compter de la fin du détachement (2 ans pour les END dont la candidature n'a pas été retenue).</w:t>
      </w:r>
    </w:p>
    <w:p>
      <w:pPr>
        <w:pStyle w:val="BodyText"/>
        <w:ind w:left="559" w:right="287"/>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1"/>
        <w:ind w:left="559" w:right="27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5"/>
        </w:numPr>
        <w:tabs>
          <w:tab w:pos="841" w:val="left" w:leader="none"/>
        </w:tabs>
        <w:spacing w:line="240" w:lineRule="auto"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559" w:right="285"/>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spacing w:before="1"/>
        <w:rPr>
          <w:sz w:val="14"/>
        </w:rPr>
      </w:pPr>
    </w:p>
    <w:p>
      <w:pPr>
        <w:pStyle w:val="Heading1"/>
        <w:numPr>
          <w:ilvl w:val="0"/>
          <w:numId w:val="5"/>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5"/>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7456"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132" w:hanging="132"/>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907" w:hanging="281"/>
      </w:pPr>
      <w:rPr>
        <w:rFonts w:hint="default"/>
        <w:lang w:val="fr-FR" w:eastAsia="en-US" w:bidi="ar-SA"/>
      </w:rPr>
    </w:lvl>
    <w:lvl w:ilvl="3">
      <w:start w:val="0"/>
      <w:numFmt w:val="bullet"/>
      <w:lvlText w:val="•"/>
      <w:lvlJc w:val="left"/>
      <w:pPr>
        <w:ind w:left="2974" w:hanging="281"/>
      </w:pPr>
      <w:rPr>
        <w:rFonts w:hint="default"/>
        <w:lang w:val="fr-FR" w:eastAsia="en-US" w:bidi="ar-SA"/>
      </w:rPr>
    </w:lvl>
    <w:lvl w:ilvl="4">
      <w:start w:val="0"/>
      <w:numFmt w:val="bullet"/>
      <w:lvlText w:val="•"/>
      <w:lvlJc w:val="left"/>
      <w:pPr>
        <w:ind w:left="4042" w:hanging="281"/>
      </w:pPr>
      <w:rPr>
        <w:rFonts w:hint="default"/>
        <w:lang w:val="fr-FR" w:eastAsia="en-US" w:bidi="ar-SA"/>
      </w:rPr>
    </w:lvl>
    <w:lvl w:ilvl="5">
      <w:start w:val="0"/>
      <w:numFmt w:val="bullet"/>
      <w:lvlText w:val="•"/>
      <w:lvlJc w:val="left"/>
      <w:pPr>
        <w:ind w:left="5109" w:hanging="281"/>
      </w:pPr>
      <w:rPr>
        <w:rFonts w:hint="default"/>
        <w:lang w:val="fr-FR" w:eastAsia="en-US" w:bidi="ar-SA"/>
      </w:rPr>
    </w:lvl>
    <w:lvl w:ilvl="6">
      <w:start w:val="0"/>
      <w:numFmt w:val="bullet"/>
      <w:lvlText w:val="•"/>
      <w:lvlJc w:val="left"/>
      <w:pPr>
        <w:ind w:left="6176" w:hanging="281"/>
      </w:pPr>
      <w:rPr>
        <w:rFonts w:hint="default"/>
        <w:lang w:val="fr-FR" w:eastAsia="en-US" w:bidi="ar-SA"/>
      </w:rPr>
    </w:lvl>
    <w:lvl w:ilvl="7">
      <w:start w:val="0"/>
      <w:numFmt w:val="bullet"/>
      <w:lvlText w:val="•"/>
      <w:lvlJc w:val="left"/>
      <w:pPr>
        <w:ind w:left="7244" w:hanging="281"/>
      </w:pPr>
      <w:rPr>
        <w:rFonts w:hint="default"/>
        <w:lang w:val="fr-FR" w:eastAsia="en-US" w:bidi="ar-SA"/>
      </w:rPr>
    </w:lvl>
    <w:lvl w:ilvl="8">
      <w:start w:val="0"/>
      <w:numFmt w:val="bullet"/>
      <w:lvlText w:val="•"/>
      <w:lvlJc w:val="left"/>
      <w:pPr>
        <w:ind w:left="8311" w:hanging="281"/>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145" w:hanging="125"/>
      </w:pPr>
      <w:rPr>
        <w:rFonts w:hint="default"/>
        <w:lang w:val="fr-FR" w:eastAsia="en-US" w:bidi="ar-SA"/>
      </w:rPr>
    </w:lvl>
    <w:lvl w:ilvl="4">
      <w:start w:val="0"/>
      <w:numFmt w:val="bullet"/>
      <w:lvlText w:val="•"/>
      <w:lvlJc w:val="left"/>
      <w:pPr>
        <w:ind w:left="3331" w:hanging="125"/>
      </w:pPr>
      <w:rPr>
        <w:rFonts w:hint="default"/>
        <w:lang w:val="fr-FR" w:eastAsia="en-US" w:bidi="ar-SA"/>
      </w:rPr>
    </w:lvl>
    <w:lvl w:ilvl="5">
      <w:start w:val="0"/>
      <w:numFmt w:val="bullet"/>
      <w:lvlText w:val="•"/>
      <w:lvlJc w:val="left"/>
      <w:pPr>
        <w:ind w:left="4517" w:hanging="125"/>
      </w:pPr>
      <w:rPr>
        <w:rFonts w:hint="default"/>
        <w:lang w:val="fr-FR" w:eastAsia="en-US" w:bidi="ar-SA"/>
      </w:rPr>
    </w:lvl>
    <w:lvl w:ilvl="6">
      <w:start w:val="0"/>
      <w:numFmt w:val="bullet"/>
      <w:lvlText w:val="•"/>
      <w:lvlJc w:val="left"/>
      <w:pPr>
        <w:ind w:left="5703" w:hanging="125"/>
      </w:pPr>
      <w:rPr>
        <w:rFonts w:hint="default"/>
        <w:lang w:val="fr-FR" w:eastAsia="en-US" w:bidi="ar-SA"/>
      </w:rPr>
    </w:lvl>
    <w:lvl w:ilvl="7">
      <w:start w:val="0"/>
      <w:numFmt w:val="bullet"/>
      <w:lvlText w:val="•"/>
      <w:lvlJc w:val="left"/>
      <w:pPr>
        <w:ind w:left="6889" w:hanging="125"/>
      </w:pPr>
      <w:rPr>
        <w:rFonts w:hint="default"/>
        <w:lang w:val="fr-FR" w:eastAsia="en-US" w:bidi="ar-SA"/>
      </w:rPr>
    </w:lvl>
    <w:lvl w:ilvl="8">
      <w:start w:val="0"/>
      <w:numFmt w:val="bullet"/>
      <w:lvlText w:val="•"/>
      <w:lvlJc w:val="left"/>
      <w:pPr>
        <w:ind w:left="8074" w:hanging="125"/>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2"/>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Vicky.pollard@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2023-02-16T16:41:07Z</dcterms:created>
  <dcterms:modified xsi:type="dcterms:W3CDTF">2023-02-16T16:41:07Z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