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664">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78" w:right="0" w:firstLine="0"/>
        <w:jc w:val="left"/>
        <w:rPr>
          <w:b/>
          <w:sz w:val="24"/>
        </w:rPr>
      </w:pPr>
      <w:r>
        <w:rPr/>
        <w:pict>
          <v:shape style="position:absolute;margin-left:271.850006pt;margin-top:41.743118pt;width:.6pt;height:12.6pt;mso-position-horizontal-relative:page;mso-position-vertical-relative:paragraph;z-index:-15826944" id="docshape2" coordorigin="5437,835" coordsize="12,252" path="m5449,835l5437,835,5437,840,5437,1082,5437,1087,5449,1087,5449,1082,5442,1082,5442,840,5449,840,5449,835xe" filled="true" fillcolor="#7e7e7e" stroked="false">
            <v:path arrowok="t"/>
            <v:fill type="solid"/>
            <w10:wrap type="none"/>
          </v:shape>
        </w:pict>
      </w:r>
      <w:r>
        <w:rPr/>
        <w:pict>
          <v:shape style="position:absolute;margin-left:525.820007pt;margin-top:139.814117pt;width:.6pt;height:12.5pt;mso-position-horizontal-relative:page;mso-position-vertical-relative:paragraph;z-index:-15826432" id="docshape3" coordorigin="10516,2796" coordsize="12,250" path="m10528,3041l10516,3041,10516,3046,10528,3046,10528,3041xm10528,2796l10516,2796,10516,2801,10524,2801,10524,3041,10528,3041,10528,2801,10528,2801,10528,2796xe" filled="true" fillcolor="#7e7e7e" stroked="false">
            <v:path arrowok="t"/>
            <v:fill type="solid"/>
            <w10:wrap type="none"/>
          </v:shape>
        </w:pict>
      </w:r>
      <w:r>
        <w:rPr>
          <w:b/>
          <w:spacing w:val="-2"/>
          <w:sz w:val="24"/>
        </w:rPr>
        <w:t>EXPERT</w:t>
      </w:r>
      <w:r>
        <w:rPr>
          <w:b/>
          <w:spacing w:val="-10"/>
          <w:sz w:val="24"/>
        </w:rPr>
        <w:t> </w:t>
      </w:r>
      <w:r>
        <w:rPr>
          <w:b/>
          <w:spacing w:val="-2"/>
          <w:sz w:val="24"/>
        </w:rPr>
        <w:t>NATIONAL</w:t>
      </w:r>
      <w:r>
        <w:rPr>
          <w:b/>
          <w:spacing w:val="-6"/>
          <w:sz w:val="24"/>
        </w:rPr>
        <w:t> </w:t>
      </w:r>
      <w:r>
        <w:rPr>
          <w:b/>
          <w:spacing w:val="-2"/>
          <w:sz w:val="24"/>
        </w:rPr>
        <w:t>DÉTACHÉ</w:t>
      </w:r>
      <w:r>
        <w:rPr>
          <w:b/>
          <w:spacing w:val="-9"/>
          <w:sz w:val="24"/>
        </w:rPr>
        <w:t> </w:t>
      </w:r>
      <w:r>
        <w:rPr>
          <w:b/>
          <w:spacing w:val="-2"/>
          <w:sz w:val="24"/>
        </w:rPr>
        <w:t>À</w:t>
      </w:r>
      <w:r>
        <w:rPr>
          <w:b/>
          <w:spacing w:val="-11"/>
          <w:sz w:val="24"/>
        </w:rPr>
        <w:t> </w:t>
      </w:r>
      <w:r>
        <w:rPr>
          <w:b/>
          <w:spacing w:val="-2"/>
          <w:sz w:val="24"/>
        </w:rPr>
        <w:t>LA</w:t>
      </w:r>
      <w:r>
        <w:rPr>
          <w:b/>
          <w:spacing w:val="-10"/>
          <w:sz w:val="24"/>
        </w:rPr>
        <w:t> </w:t>
      </w:r>
      <w:r>
        <w:rPr>
          <w:b/>
          <w:spacing w:val="-2"/>
          <w:sz w:val="24"/>
        </w:rPr>
        <w:t>COMMISSION</w:t>
      </w:r>
      <w:r>
        <w:rPr>
          <w:b/>
          <w:spacing w:val="-10"/>
          <w:sz w:val="24"/>
        </w:rPr>
        <w:t> </w:t>
      </w:r>
      <w:r>
        <w:rPr>
          <w:b/>
          <w:spacing w:val="-2"/>
          <w:sz w:val="24"/>
        </w:rPr>
        <w:t>EUROPÉENNE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103"/>
        <w:gridCol w:w="5494"/>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gridSpan w:val="2"/>
            <w:tcBorders>
              <w:bottom w:val="nil"/>
            </w:tcBorders>
          </w:tcPr>
          <w:p>
            <w:pPr>
              <w:pStyle w:val="TableParagraph"/>
              <w:spacing w:before="178"/>
              <w:rPr>
                <w:b/>
                <w:sz w:val="22"/>
              </w:rPr>
            </w:pPr>
            <w:r>
              <w:rPr>
                <w:b/>
                <w:spacing w:val="-2"/>
                <w:sz w:val="22"/>
              </w:rPr>
              <w:t>DGT.C.ES.1</w:t>
            </w:r>
          </w:p>
        </w:tc>
      </w:tr>
      <w:tr>
        <w:trPr>
          <w:trHeight w:val="244" w:hRule="atLeast"/>
        </w:trPr>
        <w:tc>
          <w:tcPr>
            <w:tcW w:w="4359" w:type="dxa"/>
            <w:vMerge w:val="restart"/>
          </w:tcPr>
          <w:p>
            <w:pPr>
              <w:pStyle w:val="TableParagraph"/>
              <w:ind w:right="2351"/>
              <w:rPr>
                <w:b/>
                <w:sz w:val="22"/>
              </w:rPr>
            </w:pPr>
            <w:r>
              <w:rPr>
                <w:b/>
                <w:sz w:val="22"/>
              </w:rPr>
              <w:t>Chef</w:t>
            </w:r>
            <w:r>
              <w:rPr>
                <w:b/>
                <w:spacing w:val="-14"/>
                <w:sz w:val="22"/>
              </w:rPr>
              <w:t> </w:t>
            </w:r>
            <w:r>
              <w:rPr>
                <w:b/>
                <w:sz w:val="22"/>
              </w:rPr>
              <w:t>d’unité</w:t>
            </w:r>
            <w:r>
              <w:rPr>
                <w:b/>
                <w:spacing w:val="-14"/>
                <w:sz w:val="22"/>
              </w:rPr>
              <w:t> </w:t>
            </w:r>
            <w:r>
              <w:rPr>
                <w:b/>
                <w:sz w:val="22"/>
              </w:rPr>
              <w:t>: Courriel :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103" w:type="dxa"/>
            <w:tcBorders>
              <w:bottom w:val="nil"/>
              <w:right w:val="single" w:sz="2" w:space="0" w:color="7E7E7E"/>
            </w:tcBorders>
          </w:tcPr>
          <w:p>
            <w:pPr>
              <w:pStyle w:val="TableParagraph"/>
              <w:ind w:left="0"/>
              <w:rPr>
                <w:sz w:val="16"/>
              </w:rPr>
            </w:pPr>
          </w:p>
        </w:tc>
        <w:tc>
          <w:tcPr>
            <w:tcW w:w="5494" w:type="dxa"/>
            <w:tcBorders>
              <w:left w:val="single" w:sz="2" w:space="0" w:color="7E7E7E"/>
              <w:bottom w:val="nil"/>
            </w:tcBorders>
          </w:tcPr>
          <w:p>
            <w:pPr>
              <w:pStyle w:val="TableParagraph"/>
              <w:spacing w:line="224" w:lineRule="exact"/>
              <w:ind w:left="5"/>
              <w:rPr>
                <w:b/>
                <w:sz w:val="22"/>
              </w:rPr>
            </w:pPr>
            <w:r>
              <w:rPr>
                <w:b/>
                <w:sz w:val="22"/>
              </w:rPr>
              <w:t>Santiago</w:t>
            </w:r>
            <w:r>
              <w:rPr>
                <w:b/>
                <w:spacing w:val="-6"/>
                <w:sz w:val="22"/>
              </w:rPr>
              <w:t> </w:t>
            </w:r>
            <w:r>
              <w:rPr>
                <w:b/>
                <w:sz w:val="22"/>
              </w:rPr>
              <w:t>del</w:t>
            </w:r>
            <w:r>
              <w:rPr>
                <w:b/>
                <w:spacing w:val="-5"/>
                <w:sz w:val="22"/>
              </w:rPr>
              <w:t> </w:t>
            </w:r>
            <w:r>
              <w:rPr>
                <w:b/>
                <w:spacing w:val="-4"/>
                <w:sz w:val="22"/>
              </w:rPr>
              <w:t>Pino</w:t>
            </w:r>
          </w:p>
        </w:tc>
      </w:tr>
      <w:tr>
        <w:trPr>
          <w:trHeight w:val="1723" w:hRule="atLeast"/>
        </w:trPr>
        <w:tc>
          <w:tcPr>
            <w:tcW w:w="4359" w:type="dxa"/>
            <w:vMerge/>
            <w:tcBorders>
              <w:top w:val="nil"/>
            </w:tcBorders>
          </w:tcPr>
          <w:p>
            <w:pPr>
              <w:rPr>
                <w:sz w:val="2"/>
                <w:szCs w:val="2"/>
              </w:rPr>
            </w:pPr>
          </w:p>
        </w:tc>
        <w:tc>
          <w:tcPr>
            <w:tcW w:w="5597" w:type="dxa"/>
            <w:gridSpan w:val="2"/>
            <w:tcBorders>
              <w:top w:val="nil"/>
            </w:tcBorders>
          </w:tcPr>
          <w:p>
            <w:pPr>
              <w:pStyle w:val="TableParagraph"/>
              <w:spacing w:line="251" w:lineRule="exact"/>
              <w:rPr>
                <w:b/>
                <w:sz w:val="22"/>
              </w:rPr>
            </w:pPr>
            <w:hyperlink r:id="rId7">
              <w:r>
                <w:rPr>
                  <w:b/>
                  <w:spacing w:val="-2"/>
                  <w:sz w:val="22"/>
                </w:rPr>
                <w:t>Santiago.Del-Pino@ec.europa.eu</w:t>
              </w:r>
            </w:hyperlink>
          </w:p>
          <w:p>
            <w:pPr>
              <w:pStyle w:val="TableParagraph"/>
              <w:spacing w:line="252" w:lineRule="exact"/>
              <w:rPr>
                <w:b/>
                <w:sz w:val="22"/>
              </w:rPr>
            </w:pPr>
            <w:r>
              <w:rPr>
                <w:b/>
                <w:sz w:val="22"/>
              </w:rPr>
              <w:t>+32</w:t>
            </w:r>
            <w:r>
              <w:rPr>
                <w:b/>
                <w:spacing w:val="-1"/>
                <w:sz w:val="22"/>
              </w:rPr>
              <w:t> </w:t>
            </w:r>
            <w:r>
              <w:rPr>
                <w:b/>
                <w:sz w:val="22"/>
              </w:rPr>
              <w:t>229</w:t>
            </w:r>
            <w:r>
              <w:rPr>
                <w:b/>
                <w:spacing w:val="-1"/>
                <w:sz w:val="22"/>
              </w:rPr>
              <w:t> </w:t>
            </w:r>
            <w:r>
              <w:rPr>
                <w:b/>
                <w:spacing w:val="-2"/>
                <w:sz w:val="22"/>
              </w:rPr>
              <w:t>63124</w:t>
            </w:r>
          </w:p>
          <w:p>
            <w:pPr>
              <w:pStyle w:val="TableParagraph"/>
              <w:spacing w:line="252" w:lineRule="exact" w:before="1"/>
              <w:rPr>
                <w:b/>
                <w:sz w:val="22"/>
              </w:rPr>
            </w:pPr>
            <w:r>
              <w:rPr>
                <w:b/>
                <w:w w:val="100"/>
                <w:sz w:val="22"/>
              </w:rPr>
              <w:t>1</w:t>
            </w:r>
          </w:p>
          <w:p>
            <w:pPr>
              <w:pStyle w:val="TableParagraph"/>
              <w:spacing w:line="252" w:lineRule="exact"/>
              <w:rPr>
                <w:b/>
                <w:sz w:val="22"/>
              </w:rPr>
            </w:pPr>
            <w:r>
              <w:rPr>
                <w:b/>
                <w:sz w:val="22"/>
              </w:rPr>
              <w:t>2ème</w:t>
            </w:r>
            <w:r>
              <w:rPr>
                <w:b/>
                <w:spacing w:val="-7"/>
                <w:sz w:val="22"/>
              </w:rPr>
              <w:t> </w:t>
            </w:r>
            <w:r>
              <w:rPr>
                <w:b/>
                <w:sz w:val="22"/>
              </w:rPr>
              <w:t>trimestre</w:t>
            </w:r>
            <w:r>
              <w:rPr>
                <w:b/>
                <w:spacing w:val="-2"/>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4"/>
                <w:sz w:val="22"/>
              </w:rPr>
              <w:t>ans</w:t>
            </w:r>
            <w:r>
              <w:rPr>
                <w:b/>
                <w:spacing w:val="-4"/>
                <w:sz w:val="22"/>
                <w:vertAlign w:val="superscript"/>
              </w:rPr>
              <w:t>1</w:t>
            </w:r>
          </w:p>
          <w:p>
            <w:pPr>
              <w:pStyle w:val="TableParagraph"/>
              <w:spacing w:before="1"/>
              <w:rPr>
                <w:b/>
                <w:sz w:val="22"/>
              </w:rPr>
            </w:pPr>
            <w:r>
              <w:rPr>
                <w:rFonts w:ascii="Wingdings 2" w:hAnsi="Wingdings 2"/>
                <w:sz w:val="22"/>
              </w:rPr>
              <w:t></w:t>
            </w:r>
            <w:r>
              <w:rPr>
                <w:spacing w:val="-2"/>
                <w:sz w:val="22"/>
              </w:rPr>
              <w:t> </w:t>
            </w:r>
            <w:r>
              <w:rPr>
                <w:b/>
                <w:sz w:val="22"/>
              </w:rPr>
              <w:t>Bruxelles</w:t>
            </w:r>
            <w:r>
              <w:rPr>
                <w:b/>
                <w:spacing w:val="51"/>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b/>
                <w:sz w:val="22"/>
              </w:rPr>
              <w:t>Autre: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gridSpan w:val="2"/>
          </w:tcPr>
          <w:p>
            <w:pPr>
              <w:pStyle w:val="TableParagraph"/>
              <w:tabs>
                <w:tab w:pos="2894" w:val="left" w:leader="none"/>
                <w:tab w:pos="3367" w:val="left" w:leader="none"/>
              </w:tabs>
              <w:spacing w:before="145"/>
              <w:rPr>
                <w:b/>
                <w:sz w:val="22"/>
              </w:rPr>
            </w:pPr>
            <w:r>
              <w:rPr>
                <w:rFonts w:ascii="Wingdings 2" w:hAnsi="Wingdings 2"/>
                <w:sz w:val="22"/>
              </w:rPr>
              <w:t></w:t>
            </w:r>
            <w:r>
              <w:rPr>
                <w:spacing w:val="26"/>
                <w:sz w:val="22"/>
              </w:rPr>
              <w:t>  </w:t>
            </w:r>
            <w:r>
              <w:rPr>
                <w:b/>
                <w:sz w:val="22"/>
              </w:rPr>
              <w:t>Avec</w:t>
            </w:r>
            <w:r>
              <w:rPr>
                <w:b/>
                <w:spacing w:val="-1"/>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4" w:hRule="atLeast"/>
        </w:trPr>
        <w:tc>
          <w:tcPr>
            <w:tcW w:w="9956"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9"/>
                <w:sz w:val="22"/>
              </w:rPr>
              <w:t> </w:t>
            </w:r>
            <w:r>
              <w:rPr>
                <w:b/>
                <w:sz w:val="22"/>
              </w:rPr>
              <w:t>en</w:t>
            </w:r>
            <w:r>
              <w:rPr>
                <w:b/>
                <w:spacing w:val="-4"/>
                <w:sz w:val="22"/>
              </w:rPr>
              <w:t> </w:t>
            </w:r>
            <w:r>
              <w:rPr>
                <w:b/>
                <w:sz w:val="22"/>
              </w:rPr>
              <w:t>nature</w:t>
            </w:r>
            <w:r>
              <w:rPr>
                <w:b/>
                <w:spacing w:val="-5"/>
                <w:sz w:val="22"/>
              </w:rPr>
              <w:t> </w:t>
            </w:r>
            <w:r>
              <w:rPr>
                <w:b/>
                <w:sz w:val="22"/>
              </w:rPr>
              <w:t>AELE/EEE</w:t>
            </w:r>
            <w:r>
              <w:rPr>
                <w:b/>
                <w:spacing w:val="-5"/>
                <w:sz w:val="22"/>
              </w:rPr>
              <w:t> </w:t>
            </w:r>
            <w:r>
              <w:rPr>
                <w:b/>
                <w:sz w:val="22"/>
              </w:rPr>
              <w:t>(Islande,</w:t>
            </w:r>
            <w:r>
              <w:rPr>
                <w:b/>
                <w:spacing w:val="-5"/>
                <w:sz w:val="22"/>
              </w:rPr>
              <w:t> </w:t>
            </w:r>
            <w:r>
              <w:rPr>
                <w:b/>
                <w:sz w:val="22"/>
              </w:rPr>
              <w:t>Liechtenstein,</w:t>
            </w:r>
            <w:r>
              <w:rPr>
                <w:b/>
                <w:spacing w:val="-4"/>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pict>
          <v:shape style="position:absolute;margin-left:271.850006pt;margin-top:-140.206909pt;width:.6pt;height:12.6pt;mso-position-horizontal-relative:page;mso-position-vertical-relative:paragraph;z-index:-15825920" id="docshape4" coordorigin="5437,-2804" coordsize="12,252" path="m5449,-2557l5437,-2557,5437,-2552,5449,-2552,5449,-2557xm5449,-2804l5437,-2804,5437,-2799,5437,-2557,5442,-2557,5442,-2799,5449,-2799,5449,-2804xe" filled="true" fillcolor="#7e7e7e" stroked="false">
            <v:path arrowok="t"/>
            <v:fill type="solid"/>
            <w10:wrap type="none"/>
          </v:shape>
        </w:pict>
      </w:r>
      <w:r>
        <w:rPr/>
        <w:pict>
          <v:shape style="position:absolute;margin-left:486.580017pt;margin-top:-140.206909pt;width:.6pt;height:12.6pt;mso-position-horizontal-relative:page;mso-position-vertical-relative:paragraph;z-index:-15825408" id="docshape5" coordorigin="9732,-2804" coordsize="12,252" path="m9744,-2557l9732,-2557,9732,-2552,9744,-2552,9744,-2557xm9744,-2804l9732,-2804,9732,-2799,9739,-2799,9739,-2557,9744,-2557,9744,-2799,9744,-2804xe" filled="true" fillcolor="#7e7e7e" stroked="false">
            <v:path arrowok="t"/>
            <v:fill type="solid"/>
            <w10:wrap type="none"/>
          </v:shape>
        </w:pict>
      </w:r>
      <w:r>
        <w:rPr/>
        <w:pict>
          <v:shape style="position:absolute;margin-left:53.880001pt;margin-top:-111.165916pt;width:.6pt;height:12.5pt;mso-position-horizontal-relative:page;mso-position-vertical-relative:paragraph;z-index:-15824896" id="docshape6" coordorigin="1078,-2223" coordsize="12,250" path="m1090,-2223l1078,-2223,1078,-2219,1078,-1979,1078,-1974,1090,-1974,1090,-1979,1082,-1979,1082,-2219,1090,-2219,1090,-2223xe" filled="true" fillcolor="#7e7e7e" stroked="false">
            <v:path arrowok="t"/>
            <v:fill type="solid"/>
            <w10:wrap type="none"/>
          </v:shape>
        </w:pict>
      </w:r>
      <w:r>
        <w:rPr/>
        <w:pict>
          <v:shape style="position:absolute;margin-left:325.630005pt;margin-top:-35.326912pt;width:.6pt;height:12.5pt;mso-position-horizontal-relative:page;mso-position-vertical-relative:paragraph;z-index:-15824384" id="docshape7" coordorigin="6513,-707" coordsize="12,250" path="m6525,-462l6513,-462,6513,-457,6525,-457,6525,-462xm6525,-707l6513,-707,6513,-702,6520,-702,6520,-462,6525,-462,6525,-702,6525,-702,6525,-707xe" filled="true" fillcolor="#7e7e7e" stroked="false">
            <v:path arrowok="t"/>
            <v:fill type="solid"/>
            <w10:wrap type="none"/>
          </v:shape>
        </w:pict>
      </w: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132" w:right="44"/>
      </w:pPr>
      <w:r>
        <w:rPr/>
        <w:pict>
          <v:shape style="position:absolute;margin-left:42.360001pt;margin-top:5.030504pt;width:.6pt;height:12.5pt;mso-position-horizontal-relative:page;mso-position-vertical-relative:paragraph;z-index:15733248" id="docshape8" coordorigin="847,101" coordsize="12,250" path="m859,345l847,345,847,350,859,350,859,345xm859,101l847,101,847,105,847,345,852,345,852,105,859,105,859,101xe" filled="true" fillcolor="#7e7e7e" stroked="false">
            <v:path arrowok="t"/>
            <v:fill type="solid"/>
            <w10:wrap type="none"/>
          </v:shape>
        </w:pict>
      </w:r>
      <w:r>
        <w:rPr/>
        <w:t>L’expert national détaché travaillera en tant que traducteur et réviseur au sein de l’unité ES.1 du département de langue espagnole de la Direction générale de la traduction (DGT). Il travaillera principalement sur des documents hautement spécialisés dans les domaines de l’économie, de la finance et de la fiscalité demandés par d’autres services</w:t>
      </w:r>
      <w:r>
        <w:rPr>
          <w:spacing w:val="-2"/>
        </w:rPr>
        <w:t> </w:t>
      </w:r>
      <w:r>
        <w:rPr/>
        <w:t>de</w:t>
      </w:r>
      <w:r>
        <w:rPr>
          <w:spacing w:val="-4"/>
        </w:rPr>
        <w:t> </w:t>
      </w:r>
      <w:r>
        <w:rPr/>
        <w:t>la</w:t>
      </w:r>
      <w:r>
        <w:rPr>
          <w:spacing w:val="-2"/>
        </w:rPr>
        <w:t> </w:t>
      </w:r>
      <w:r>
        <w:rPr/>
        <w:t>Commission,</w:t>
      </w:r>
      <w:r>
        <w:rPr>
          <w:spacing w:val="-5"/>
        </w:rPr>
        <w:t> </w:t>
      </w:r>
      <w:r>
        <w:rPr/>
        <w:t>principalement</w:t>
      </w:r>
      <w:r>
        <w:rPr>
          <w:spacing w:val="-1"/>
        </w:rPr>
        <w:t> </w:t>
      </w:r>
      <w:r>
        <w:rPr/>
        <w:t>la</w:t>
      </w:r>
      <w:r>
        <w:rPr>
          <w:spacing w:val="-2"/>
        </w:rPr>
        <w:t> </w:t>
      </w:r>
      <w:r>
        <w:rPr/>
        <w:t>Direction</w:t>
      </w:r>
      <w:r>
        <w:rPr>
          <w:spacing w:val="-2"/>
        </w:rPr>
        <w:t> </w:t>
      </w:r>
      <w:r>
        <w:rPr/>
        <w:t>générale</w:t>
      </w:r>
      <w:r>
        <w:rPr>
          <w:spacing w:val="-2"/>
        </w:rPr>
        <w:t> </w:t>
      </w:r>
      <w:r>
        <w:rPr/>
        <w:t>de</w:t>
      </w:r>
      <w:r>
        <w:rPr>
          <w:spacing w:val="-4"/>
        </w:rPr>
        <w:t> </w:t>
      </w:r>
      <w:r>
        <w:rPr/>
        <w:t>la</w:t>
      </w:r>
      <w:r>
        <w:rPr>
          <w:spacing w:val="-4"/>
        </w:rPr>
        <w:t> </w:t>
      </w:r>
      <w:r>
        <w:rPr/>
        <w:t>stabilité</w:t>
      </w:r>
      <w:r>
        <w:rPr>
          <w:spacing w:val="-4"/>
        </w:rPr>
        <w:t> </w:t>
      </w:r>
      <w:r>
        <w:rPr/>
        <w:t>financière,</w:t>
      </w:r>
      <w:r>
        <w:rPr>
          <w:spacing w:val="-5"/>
        </w:rPr>
        <w:t> </w:t>
      </w:r>
      <w:r>
        <w:rPr/>
        <w:t>des</w:t>
      </w:r>
      <w:r>
        <w:rPr>
          <w:spacing w:val="-4"/>
        </w:rPr>
        <w:t> </w:t>
      </w:r>
      <w:r>
        <w:rPr/>
        <w:t>services</w:t>
      </w:r>
      <w:r>
        <w:rPr>
          <w:spacing w:val="-4"/>
        </w:rPr>
        <w:t> </w:t>
      </w:r>
      <w:r>
        <w:rPr/>
        <w:t>financiers</w:t>
      </w:r>
      <w:r>
        <w:rPr>
          <w:spacing w:val="-2"/>
        </w:rPr>
        <w:t> </w:t>
      </w:r>
      <w:r>
        <w:rPr/>
        <w:t>et de l’union des marchés des capitaux, la Direction générale des affaires économiques et financières et la Direction générale de la fiscalité et de l’union douanière.</w:t>
      </w:r>
    </w:p>
    <w:p>
      <w:pPr>
        <w:pStyle w:val="BodyText"/>
      </w:pPr>
    </w:p>
    <w:p>
      <w:pPr>
        <w:pStyle w:val="BodyText"/>
        <w:ind w:left="132"/>
      </w:pPr>
      <w:r>
        <w:rPr/>
        <w:t>Les</w:t>
      </w:r>
      <w:r>
        <w:rPr>
          <w:spacing w:val="-6"/>
        </w:rPr>
        <w:t> </w:t>
      </w:r>
      <w:r>
        <w:rPr/>
        <w:t>principales</w:t>
      </w:r>
      <w:r>
        <w:rPr>
          <w:spacing w:val="-3"/>
        </w:rPr>
        <w:t> </w:t>
      </w:r>
      <w:r>
        <w:rPr/>
        <w:t>tâches</w:t>
      </w:r>
      <w:r>
        <w:rPr>
          <w:spacing w:val="-3"/>
        </w:rPr>
        <w:t> </w:t>
      </w:r>
      <w:r>
        <w:rPr/>
        <w:t>de</w:t>
      </w:r>
      <w:r>
        <w:rPr>
          <w:spacing w:val="-5"/>
        </w:rPr>
        <w:t> </w:t>
      </w:r>
      <w:r>
        <w:rPr/>
        <w:t>l’expert</w:t>
      </w:r>
      <w:r>
        <w:rPr>
          <w:spacing w:val="-3"/>
        </w:rPr>
        <w:t> </w:t>
      </w:r>
      <w:r>
        <w:rPr/>
        <w:t>national</w:t>
      </w:r>
      <w:r>
        <w:rPr>
          <w:spacing w:val="-2"/>
        </w:rPr>
        <w:t> </w:t>
      </w:r>
      <w:r>
        <w:rPr/>
        <w:t>détaché</w:t>
      </w:r>
      <w:r>
        <w:rPr>
          <w:spacing w:val="-3"/>
        </w:rPr>
        <w:t> </w:t>
      </w:r>
      <w:r>
        <w:rPr/>
        <w:t>seront</w:t>
      </w:r>
      <w:r>
        <w:rPr>
          <w:spacing w:val="-2"/>
        </w:rPr>
        <w:t> </w:t>
      </w:r>
      <w:r>
        <w:rPr/>
        <w:t>les</w:t>
      </w:r>
      <w:r>
        <w:rPr>
          <w:spacing w:val="-5"/>
        </w:rPr>
        <w:t> </w:t>
      </w:r>
      <w:r>
        <w:rPr>
          <w:spacing w:val="-2"/>
        </w:rPr>
        <w:t>suivantes:</w:t>
      </w:r>
    </w:p>
    <w:p>
      <w:pPr>
        <w:pStyle w:val="BodyText"/>
        <w:spacing w:before="10"/>
        <w:rPr>
          <w:sz w:val="21"/>
        </w:rPr>
      </w:pPr>
    </w:p>
    <w:p>
      <w:pPr>
        <w:pStyle w:val="ListParagraph"/>
        <w:numPr>
          <w:ilvl w:val="1"/>
          <w:numId w:val="2"/>
        </w:numPr>
        <w:tabs>
          <w:tab w:pos="852" w:val="left" w:leader="none"/>
          <w:tab w:pos="853" w:val="left" w:leader="none"/>
        </w:tabs>
        <w:spacing w:line="240" w:lineRule="auto" w:before="0" w:after="0"/>
        <w:ind w:left="852" w:right="323" w:hanging="361"/>
        <w:jc w:val="left"/>
        <w:rPr>
          <w:sz w:val="22"/>
        </w:rPr>
      </w:pPr>
      <w:r>
        <w:rPr>
          <w:sz w:val="22"/>
        </w:rPr>
        <w:t>traduire</w:t>
      </w:r>
      <w:r>
        <w:rPr>
          <w:spacing w:val="-2"/>
          <w:sz w:val="22"/>
        </w:rPr>
        <w:t> </w:t>
      </w:r>
      <w:r>
        <w:rPr>
          <w:sz w:val="22"/>
        </w:rPr>
        <w:t>de</w:t>
      </w:r>
      <w:r>
        <w:rPr>
          <w:spacing w:val="-2"/>
          <w:sz w:val="22"/>
        </w:rPr>
        <w:t> </w:t>
      </w:r>
      <w:r>
        <w:rPr>
          <w:sz w:val="22"/>
        </w:rPr>
        <w:t>l’anglais</w:t>
      </w:r>
      <w:r>
        <w:rPr>
          <w:spacing w:val="-2"/>
          <w:sz w:val="22"/>
        </w:rPr>
        <w:t> </w:t>
      </w:r>
      <w:r>
        <w:rPr>
          <w:sz w:val="22"/>
        </w:rPr>
        <w:t>vers</w:t>
      </w:r>
      <w:r>
        <w:rPr>
          <w:spacing w:val="-4"/>
          <w:sz w:val="22"/>
        </w:rPr>
        <w:t> </w:t>
      </w:r>
      <w:r>
        <w:rPr>
          <w:sz w:val="22"/>
        </w:rPr>
        <w:t>l’espagnol</w:t>
      </w:r>
      <w:r>
        <w:rPr>
          <w:spacing w:val="-1"/>
          <w:sz w:val="22"/>
        </w:rPr>
        <w:t> </w:t>
      </w:r>
      <w:r>
        <w:rPr>
          <w:sz w:val="22"/>
        </w:rPr>
        <w:t>de documents</w:t>
      </w:r>
      <w:r>
        <w:rPr>
          <w:spacing w:val="-2"/>
          <w:sz w:val="22"/>
        </w:rPr>
        <w:t> </w:t>
      </w:r>
      <w:r>
        <w:rPr>
          <w:sz w:val="22"/>
        </w:rPr>
        <w:t>dans</w:t>
      </w:r>
      <w:r>
        <w:rPr>
          <w:spacing w:val="-2"/>
          <w:sz w:val="22"/>
        </w:rPr>
        <w:t> </w:t>
      </w:r>
      <w:r>
        <w:rPr>
          <w:sz w:val="22"/>
        </w:rPr>
        <w:t>les</w:t>
      </w:r>
      <w:r>
        <w:rPr>
          <w:spacing w:val="-2"/>
          <w:sz w:val="22"/>
        </w:rPr>
        <w:t> </w:t>
      </w:r>
      <w:r>
        <w:rPr>
          <w:sz w:val="22"/>
        </w:rPr>
        <w:t>domaines</w:t>
      </w:r>
      <w:r>
        <w:rPr>
          <w:spacing w:val="-4"/>
          <w:sz w:val="22"/>
        </w:rPr>
        <w:t> </w:t>
      </w:r>
      <w:r>
        <w:rPr>
          <w:sz w:val="22"/>
        </w:rPr>
        <w:t>de</w:t>
      </w:r>
      <w:r>
        <w:rPr>
          <w:spacing w:val="-2"/>
          <w:sz w:val="22"/>
        </w:rPr>
        <w:t> </w:t>
      </w:r>
      <w:r>
        <w:rPr>
          <w:sz w:val="22"/>
        </w:rPr>
        <w:t>l’économie,</w:t>
      </w:r>
      <w:r>
        <w:rPr>
          <w:spacing w:val="-2"/>
          <w:sz w:val="22"/>
        </w:rPr>
        <w:t> </w:t>
      </w:r>
      <w:r>
        <w:rPr>
          <w:sz w:val="22"/>
        </w:rPr>
        <w:t>des</w:t>
      </w:r>
      <w:r>
        <w:rPr>
          <w:spacing w:val="-2"/>
          <w:sz w:val="22"/>
        </w:rPr>
        <w:t> </w:t>
      </w:r>
      <w:r>
        <w:rPr>
          <w:sz w:val="22"/>
        </w:rPr>
        <w:t>finances</w:t>
      </w:r>
      <w:r>
        <w:rPr>
          <w:spacing w:val="-4"/>
          <w:sz w:val="22"/>
        </w:rPr>
        <w:t> </w:t>
      </w:r>
      <w:r>
        <w:rPr>
          <w:sz w:val="22"/>
        </w:rPr>
        <w:t>et</w:t>
      </w:r>
      <w:r>
        <w:rPr>
          <w:spacing w:val="-4"/>
          <w:sz w:val="22"/>
        </w:rPr>
        <w:t> </w:t>
      </w:r>
      <w:r>
        <w:rPr>
          <w:sz w:val="22"/>
        </w:rPr>
        <w:t>de</w:t>
      </w:r>
      <w:r>
        <w:rPr>
          <w:spacing w:val="-4"/>
          <w:sz w:val="22"/>
        </w:rPr>
        <w:t> </w:t>
      </w:r>
      <w:r>
        <w:rPr>
          <w:sz w:val="22"/>
        </w:rPr>
        <w:t>la fiscalité demandés par la Commission ;</w:t>
      </w:r>
    </w:p>
    <w:p>
      <w:pPr>
        <w:pStyle w:val="ListParagraph"/>
        <w:numPr>
          <w:ilvl w:val="1"/>
          <w:numId w:val="2"/>
        </w:numPr>
        <w:tabs>
          <w:tab w:pos="852" w:val="left" w:leader="none"/>
          <w:tab w:pos="853" w:val="left" w:leader="none"/>
        </w:tabs>
        <w:spacing w:line="240" w:lineRule="auto" w:before="1" w:after="0"/>
        <w:ind w:left="852" w:right="0" w:hanging="361"/>
        <w:jc w:val="left"/>
        <w:rPr>
          <w:sz w:val="22"/>
        </w:rPr>
      </w:pPr>
      <w:r>
        <w:rPr>
          <w:sz w:val="22"/>
        </w:rPr>
        <w:t>réviser,</w:t>
      </w:r>
      <w:r>
        <w:rPr>
          <w:spacing w:val="-4"/>
          <w:sz w:val="22"/>
        </w:rPr>
        <w:t> </w:t>
      </w:r>
      <w:r>
        <w:rPr>
          <w:sz w:val="22"/>
        </w:rPr>
        <w:t>relire</w:t>
      </w:r>
      <w:r>
        <w:rPr>
          <w:spacing w:val="-5"/>
          <w:sz w:val="22"/>
        </w:rPr>
        <w:t> </w:t>
      </w:r>
      <w:r>
        <w:rPr>
          <w:sz w:val="22"/>
        </w:rPr>
        <w:t>et</w:t>
      </w:r>
      <w:r>
        <w:rPr>
          <w:spacing w:val="-6"/>
          <w:sz w:val="22"/>
        </w:rPr>
        <w:t> </w:t>
      </w:r>
      <w:r>
        <w:rPr>
          <w:sz w:val="22"/>
        </w:rPr>
        <w:t>évaluer</w:t>
      </w:r>
      <w:r>
        <w:rPr>
          <w:spacing w:val="-2"/>
          <w:sz w:val="22"/>
        </w:rPr>
        <w:t> </w:t>
      </w:r>
      <w:r>
        <w:rPr>
          <w:sz w:val="22"/>
        </w:rPr>
        <w:t>des</w:t>
      </w:r>
      <w:r>
        <w:rPr>
          <w:spacing w:val="-6"/>
          <w:sz w:val="22"/>
        </w:rPr>
        <w:t> </w:t>
      </w:r>
      <w:r>
        <w:rPr>
          <w:sz w:val="22"/>
        </w:rPr>
        <w:t>traductions</w:t>
      </w:r>
      <w:r>
        <w:rPr>
          <w:spacing w:val="-2"/>
          <w:sz w:val="22"/>
        </w:rPr>
        <w:t> </w:t>
      </w:r>
      <w:r>
        <w:rPr>
          <w:sz w:val="22"/>
        </w:rPr>
        <w:t>internes</w:t>
      </w:r>
      <w:r>
        <w:rPr>
          <w:spacing w:val="-3"/>
          <w:sz w:val="22"/>
        </w:rPr>
        <w:t> </w:t>
      </w:r>
      <w:r>
        <w:rPr>
          <w:sz w:val="22"/>
        </w:rPr>
        <w:t>ou</w:t>
      </w:r>
      <w:r>
        <w:rPr>
          <w:spacing w:val="-4"/>
          <w:sz w:val="22"/>
        </w:rPr>
        <w:t> </w:t>
      </w:r>
      <w:r>
        <w:rPr>
          <w:sz w:val="22"/>
        </w:rPr>
        <w:t>externes</w:t>
      </w:r>
      <w:r>
        <w:rPr>
          <w:spacing w:val="-2"/>
          <w:sz w:val="22"/>
        </w:rPr>
        <w:t> </w:t>
      </w:r>
      <w:r>
        <w:rPr>
          <w:spacing w:val="-10"/>
          <w:sz w:val="22"/>
        </w:rPr>
        <w:t>;</w:t>
      </w:r>
    </w:p>
    <w:p>
      <w:pPr>
        <w:pStyle w:val="ListParagraph"/>
        <w:numPr>
          <w:ilvl w:val="1"/>
          <w:numId w:val="2"/>
        </w:numPr>
        <w:tabs>
          <w:tab w:pos="852" w:val="left" w:leader="none"/>
          <w:tab w:pos="853" w:val="left" w:leader="none"/>
        </w:tabs>
        <w:spacing w:line="252" w:lineRule="exact" w:before="1" w:after="0"/>
        <w:ind w:left="852" w:right="0" w:hanging="361"/>
        <w:jc w:val="left"/>
        <w:rPr>
          <w:sz w:val="22"/>
        </w:rPr>
      </w:pPr>
      <w:r>
        <w:rPr>
          <w:sz w:val="22"/>
        </w:rPr>
        <w:t>atteindre</w:t>
      </w:r>
      <w:r>
        <w:rPr>
          <w:spacing w:val="-8"/>
          <w:sz w:val="22"/>
        </w:rPr>
        <w:t> </w:t>
      </w:r>
      <w:r>
        <w:rPr>
          <w:sz w:val="22"/>
        </w:rPr>
        <w:t>les</w:t>
      </w:r>
      <w:r>
        <w:rPr>
          <w:spacing w:val="-3"/>
          <w:sz w:val="22"/>
        </w:rPr>
        <w:t> </w:t>
      </w:r>
      <w:r>
        <w:rPr>
          <w:sz w:val="22"/>
        </w:rPr>
        <w:t>objectifs</w:t>
      </w:r>
      <w:r>
        <w:rPr>
          <w:spacing w:val="-3"/>
          <w:sz w:val="22"/>
        </w:rPr>
        <w:t> </w:t>
      </w:r>
      <w:r>
        <w:rPr>
          <w:sz w:val="22"/>
        </w:rPr>
        <w:t>de</w:t>
      </w:r>
      <w:r>
        <w:rPr>
          <w:spacing w:val="-4"/>
          <w:sz w:val="22"/>
        </w:rPr>
        <w:t> </w:t>
      </w:r>
      <w:r>
        <w:rPr>
          <w:sz w:val="22"/>
        </w:rPr>
        <w:t>qualité</w:t>
      </w:r>
      <w:r>
        <w:rPr>
          <w:spacing w:val="-5"/>
          <w:sz w:val="22"/>
        </w:rPr>
        <w:t> </w:t>
      </w:r>
      <w:r>
        <w:rPr>
          <w:sz w:val="22"/>
        </w:rPr>
        <w:t>fixés</w:t>
      </w:r>
      <w:r>
        <w:rPr>
          <w:spacing w:val="1"/>
          <w:sz w:val="22"/>
        </w:rPr>
        <w:t> </w:t>
      </w:r>
      <w:r>
        <w:rPr>
          <w:sz w:val="22"/>
        </w:rPr>
        <w:t>dans</w:t>
      </w:r>
      <w:r>
        <w:rPr>
          <w:spacing w:val="-5"/>
          <w:sz w:val="22"/>
        </w:rPr>
        <w:t> </w:t>
      </w:r>
      <w:r>
        <w:rPr>
          <w:sz w:val="22"/>
        </w:rPr>
        <w:t>les</w:t>
      </w:r>
      <w:r>
        <w:rPr>
          <w:spacing w:val="-5"/>
          <w:sz w:val="22"/>
        </w:rPr>
        <w:t> </w:t>
      </w:r>
      <w:r>
        <w:rPr>
          <w:sz w:val="22"/>
        </w:rPr>
        <w:t>divers</w:t>
      </w:r>
      <w:r>
        <w:rPr>
          <w:spacing w:val="-5"/>
          <w:sz w:val="22"/>
        </w:rPr>
        <w:t> </w:t>
      </w:r>
      <w:r>
        <w:rPr>
          <w:sz w:val="22"/>
        </w:rPr>
        <w:t>documents</w:t>
      </w:r>
      <w:r>
        <w:rPr>
          <w:spacing w:val="-3"/>
          <w:sz w:val="22"/>
        </w:rPr>
        <w:t> </w:t>
      </w:r>
      <w:r>
        <w:rPr>
          <w:sz w:val="22"/>
        </w:rPr>
        <w:t>pertinents</w:t>
      </w:r>
      <w:r>
        <w:rPr>
          <w:spacing w:val="-3"/>
          <w:sz w:val="22"/>
        </w:rPr>
        <w:t> </w:t>
      </w:r>
      <w:r>
        <w:rPr>
          <w:sz w:val="22"/>
        </w:rPr>
        <w:t>de</w:t>
      </w:r>
      <w:r>
        <w:rPr>
          <w:spacing w:val="-4"/>
          <w:sz w:val="22"/>
        </w:rPr>
        <w:t> </w:t>
      </w:r>
      <w:r>
        <w:rPr>
          <w:sz w:val="22"/>
        </w:rPr>
        <w:t>la</w:t>
      </w:r>
      <w:r>
        <w:rPr>
          <w:spacing w:val="-1"/>
          <w:sz w:val="22"/>
        </w:rPr>
        <w:t> </w:t>
      </w:r>
      <w:r>
        <w:rPr>
          <w:sz w:val="22"/>
        </w:rPr>
        <w:t>DGT</w:t>
      </w:r>
      <w:r>
        <w:rPr>
          <w:spacing w:val="-1"/>
          <w:sz w:val="22"/>
        </w:rPr>
        <w:t> </w:t>
      </w:r>
      <w:r>
        <w:rPr>
          <w:spacing w:val="-10"/>
          <w:sz w:val="22"/>
        </w:rPr>
        <w:t>;</w:t>
      </w:r>
    </w:p>
    <w:p>
      <w:pPr>
        <w:pStyle w:val="ListParagraph"/>
        <w:numPr>
          <w:ilvl w:val="1"/>
          <w:numId w:val="2"/>
        </w:numPr>
        <w:tabs>
          <w:tab w:pos="852" w:val="left" w:leader="none"/>
          <w:tab w:pos="853" w:val="left" w:leader="none"/>
        </w:tabs>
        <w:spacing w:line="252" w:lineRule="exact" w:before="0" w:after="0"/>
        <w:ind w:left="852" w:right="0" w:hanging="361"/>
        <w:jc w:val="left"/>
        <w:rPr>
          <w:sz w:val="22"/>
        </w:rPr>
      </w:pPr>
      <w:r>
        <w:rPr>
          <w:sz w:val="22"/>
        </w:rPr>
        <w:t>effectuer</w:t>
      </w:r>
      <w:r>
        <w:rPr>
          <w:spacing w:val="-8"/>
          <w:sz w:val="22"/>
        </w:rPr>
        <w:t> </w:t>
      </w:r>
      <w:r>
        <w:rPr>
          <w:sz w:val="22"/>
        </w:rPr>
        <w:t>des</w:t>
      </w:r>
      <w:r>
        <w:rPr>
          <w:spacing w:val="-6"/>
          <w:sz w:val="22"/>
        </w:rPr>
        <w:t> </w:t>
      </w:r>
      <w:r>
        <w:rPr>
          <w:sz w:val="22"/>
        </w:rPr>
        <w:t>travaux</w:t>
      </w:r>
      <w:r>
        <w:rPr>
          <w:spacing w:val="-4"/>
          <w:sz w:val="22"/>
        </w:rPr>
        <w:t> </w:t>
      </w:r>
      <w:r>
        <w:rPr>
          <w:sz w:val="22"/>
        </w:rPr>
        <w:t>terminologiques</w:t>
      </w:r>
      <w:r>
        <w:rPr>
          <w:spacing w:val="-4"/>
          <w:sz w:val="22"/>
        </w:rPr>
        <w:t> </w:t>
      </w:r>
      <w:r>
        <w:rPr>
          <w:sz w:val="22"/>
        </w:rPr>
        <w:t>dans</w:t>
      </w:r>
      <w:r>
        <w:rPr>
          <w:spacing w:val="-4"/>
          <w:sz w:val="22"/>
        </w:rPr>
        <w:t> </w:t>
      </w:r>
      <w:r>
        <w:rPr>
          <w:sz w:val="22"/>
        </w:rPr>
        <w:t>ses</w:t>
      </w:r>
      <w:r>
        <w:rPr>
          <w:spacing w:val="-4"/>
          <w:sz w:val="22"/>
        </w:rPr>
        <w:t> </w:t>
      </w:r>
      <w:r>
        <w:rPr>
          <w:sz w:val="22"/>
        </w:rPr>
        <w:t>domaines</w:t>
      </w:r>
      <w:r>
        <w:rPr>
          <w:spacing w:val="-4"/>
          <w:sz w:val="22"/>
        </w:rPr>
        <w:t> </w:t>
      </w:r>
      <w:r>
        <w:rPr>
          <w:sz w:val="22"/>
        </w:rPr>
        <w:t>de</w:t>
      </w:r>
      <w:r>
        <w:rPr>
          <w:spacing w:val="-5"/>
          <w:sz w:val="22"/>
        </w:rPr>
        <w:t> </w:t>
      </w:r>
      <w:r>
        <w:rPr>
          <w:sz w:val="22"/>
        </w:rPr>
        <w:t>spécialisation</w:t>
      </w:r>
      <w:r>
        <w:rPr>
          <w:spacing w:val="-3"/>
          <w:sz w:val="22"/>
        </w:rPr>
        <w:t> </w:t>
      </w:r>
      <w:r>
        <w:rPr>
          <w:spacing w:val="-10"/>
          <w:sz w:val="22"/>
        </w:rPr>
        <w:t>;</w:t>
      </w:r>
    </w:p>
    <w:p>
      <w:pPr>
        <w:pStyle w:val="ListParagraph"/>
        <w:numPr>
          <w:ilvl w:val="1"/>
          <w:numId w:val="2"/>
        </w:numPr>
        <w:tabs>
          <w:tab w:pos="852" w:val="left" w:leader="none"/>
          <w:tab w:pos="853" w:val="left" w:leader="none"/>
        </w:tabs>
        <w:spacing w:line="240" w:lineRule="auto" w:before="0" w:after="0"/>
        <w:ind w:left="852" w:right="339" w:hanging="361"/>
        <w:jc w:val="left"/>
        <w:rPr>
          <w:sz w:val="22"/>
        </w:rPr>
      </w:pPr>
      <w:r>
        <w:rPr>
          <w:sz w:val="22"/>
        </w:rPr>
        <w:t>assurer</w:t>
      </w:r>
      <w:r>
        <w:rPr>
          <w:spacing w:val="-5"/>
          <w:sz w:val="22"/>
        </w:rPr>
        <w:t> </w:t>
      </w:r>
      <w:r>
        <w:rPr>
          <w:sz w:val="22"/>
        </w:rPr>
        <w:t>la</w:t>
      </w:r>
      <w:r>
        <w:rPr>
          <w:spacing w:val="-5"/>
          <w:sz w:val="22"/>
        </w:rPr>
        <w:t> </w:t>
      </w:r>
      <w:r>
        <w:rPr>
          <w:sz w:val="22"/>
        </w:rPr>
        <w:t>cohérence</w:t>
      </w:r>
      <w:r>
        <w:rPr>
          <w:spacing w:val="-5"/>
          <w:sz w:val="22"/>
        </w:rPr>
        <w:t> </w:t>
      </w:r>
      <w:r>
        <w:rPr>
          <w:sz w:val="22"/>
        </w:rPr>
        <w:t>linguistique</w:t>
      </w:r>
      <w:r>
        <w:rPr>
          <w:spacing w:val="-3"/>
          <w:sz w:val="22"/>
        </w:rPr>
        <w:t> </w:t>
      </w:r>
      <w:r>
        <w:rPr>
          <w:sz w:val="22"/>
        </w:rPr>
        <w:t>et</w:t>
      </w:r>
      <w:r>
        <w:rPr>
          <w:spacing w:val="-2"/>
          <w:sz w:val="22"/>
        </w:rPr>
        <w:t> </w:t>
      </w:r>
      <w:r>
        <w:rPr>
          <w:sz w:val="22"/>
        </w:rPr>
        <w:t>terminologique et</w:t>
      </w:r>
      <w:r>
        <w:rPr>
          <w:spacing w:val="-2"/>
          <w:sz w:val="22"/>
        </w:rPr>
        <w:t> </w:t>
      </w:r>
      <w:r>
        <w:rPr>
          <w:sz w:val="22"/>
        </w:rPr>
        <w:t>veiller</w:t>
      </w:r>
      <w:r>
        <w:rPr>
          <w:spacing w:val="-3"/>
          <w:sz w:val="22"/>
        </w:rPr>
        <w:t> </w:t>
      </w:r>
      <w:r>
        <w:rPr>
          <w:sz w:val="22"/>
        </w:rPr>
        <w:t>à</w:t>
      </w:r>
      <w:r>
        <w:rPr>
          <w:spacing w:val="-4"/>
          <w:sz w:val="22"/>
        </w:rPr>
        <w:t> </w:t>
      </w:r>
      <w:r>
        <w:rPr>
          <w:sz w:val="22"/>
        </w:rPr>
        <w:t>l’harmonisation</w:t>
      </w:r>
      <w:r>
        <w:rPr>
          <w:spacing w:val="-3"/>
          <w:sz w:val="22"/>
        </w:rPr>
        <w:t> </w:t>
      </w:r>
      <w:r>
        <w:rPr>
          <w:sz w:val="22"/>
        </w:rPr>
        <w:t>des</w:t>
      </w:r>
      <w:r>
        <w:rPr>
          <w:spacing w:val="-5"/>
          <w:sz w:val="22"/>
        </w:rPr>
        <w:t> </w:t>
      </w:r>
      <w:r>
        <w:rPr>
          <w:sz w:val="22"/>
        </w:rPr>
        <w:t>traductions</w:t>
      </w:r>
      <w:r>
        <w:rPr>
          <w:spacing w:val="-3"/>
          <w:sz w:val="22"/>
        </w:rPr>
        <w:t> </w:t>
      </w:r>
      <w:r>
        <w:rPr>
          <w:sz w:val="22"/>
        </w:rPr>
        <w:t>effectuées au sein de l’unité dans ses domaines de spécialisation.</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8"/>
        </w:rPr>
      </w:pPr>
      <w:r>
        <w:rPr/>
        <w:pict>
          <v:shape style="position:absolute;margin-left:65.063004pt;margin-top:17.698494pt;width:.65pt;height:12.65pt;mso-position-horizontal-relative:page;mso-position-vertical-relative:paragraph;z-index:-15728640;mso-wrap-distance-left:0;mso-wrap-distance-right:0" id="docshape9" coordorigin="1301,354" coordsize="13,253" path="m1313,602l1301,602,1301,606,1313,606,1313,602xm1313,359l1313,359,1313,354,1301,354,1301,359,1308,359,1308,602,1313,602,1313,359xe" filled="true" fillcolor="#7e7e7e" stroked="false">
            <v:path arrowok="t"/>
            <v:fill type="solid"/>
            <w10:wrap type="topAndBottom"/>
          </v:shape>
        </w:pict>
      </w:r>
    </w:p>
    <w:p>
      <w:pPr>
        <w:pStyle w:val="BodyText"/>
        <w:rPr>
          <w:sz w:val="20"/>
        </w:rPr>
      </w:pPr>
    </w:p>
    <w:p>
      <w:pPr>
        <w:pStyle w:val="BodyText"/>
        <w:rPr>
          <w:sz w:val="20"/>
        </w:rPr>
      </w:pPr>
    </w:p>
    <w:p>
      <w:pPr>
        <w:pStyle w:val="BodyText"/>
        <w:spacing w:before="5"/>
        <w:rPr>
          <w:sz w:val="14"/>
        </w:rPr>
      </w:pPr>
      <w:r>
        <w:rPr/>
        <w:pict>
          <v:rect style="position:absolute;margin-left:42.599998pt;margin-top:9.521983pt;width:144.020pt;height:.71997pt;mso-position-horizontal-relative:page;mso-position-vertical-relative:paragraph;z-index:-15728128;mso-wrap-distance-left:0;mso-wrap-distance-right:0" id="docshape10"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0"/>
          <w:numId w:val="2"/>
        </w:numPr>
        <w:tabs>
          <w:tab w:pos="559" w:val="left" w:leader="none"/>
          <w:tab w:pos="560" w:val="left" w:leader="none"/>
        </w:tabs>
        <w:spacing w:line="240" w:lineRule="auto" w:before="73"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
        <w:rPr>
          <w:b/>
          <w:sz w:val="16"/>
        </w:rPr>
      </w:pPr>
    </w:p>
    <w:p>
      <w:pPr>
        <w:pStyle w:val="Heading1"/>
        <w:numPr>
          <w:ilvl w:val="0"/>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2"/>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1"/>
          <w:numId w:val="2"/>
        </w:numPr>
        <w:tabs>
          <w:tab w:pos="841" w:val="left" w:leader="none"/>
        </w:tabs>
        <w:spacing w:line="240" w:lineRule="auto" w:before="0" w:after="0"/>
        <w:ind w:left="840" w:right="111"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2"/>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1"/>
          <w:numId w:val="2"/>
        </w:numPr>
        <w:tabs>
          <w:tab w:pos="841" w:val="left" w:leader="none"/>
        </w:tabs>
        <w:spacing w:line="240" w:lineRule="auto" w:before="1" w:after="0"/>
        <w:ind w:left="840" w:right="109"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0"/>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1"/>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3"/>
        </w:numPr>
        <w:tabs>
          <w:tab w:pos="966" w:val="left" w:leader="none"/>
        </w:tabs>
        <w:spacing w:line="253"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840" w:firstLine="110"/>
      </w:pPr>
      <w:r>
        <w:rPr/>
        <w:pict>
          <v:shape style="position:absolute;margin-left:193.130005pt;margin-top:.429523pt;width:.6pt;height:12.6pt;mso-position-horizontal-relative:page;mso-position-vertical-relative:paragraph;z-index:-15823360" id="docshape11" coordorigin="3863,9" coordsize="12,252" path="m3875,256l3863,256,3863,261,3875,261,3875,256xm3875,9l3863,9,3863,13,3863,256,3867,256,3867,13,3875,13,3875,9xe" filled="true" fillcolor="#7e7e7e" stroked="false">
            <v:path arrowok="t"/>
            <v:fill type="solid"/>
            <w10:wrap type="none"/>
          </v:shape>
        </w:pict>
      </w:r>
      <w:r>
        <w:rPr/>
        <w:pict>
          <v:shape style="position:absolute;margin-left:295.370026pt;margin-top:13.149524pt;width:.6pt;height:12.5pt;mso-position-horizontal-relative:page;mso-position-vertical-relative:paragraph;z-index:15734272" id="docshape12" coordorigin="5907,263" coordsize="12,250" path="m5919,508l5907,508,5907,513,5919,513,5919,508xm5919,263l5907,263,5907,268,5915,268,5915,508,5919,508,5919,268,5919,263xe" filled="true" fillcolor="#7e7e7e" stroked="false">
            <v:path arrowok="t"/>
            <v:fill type="solid"/>
            <w10:wrap type="none"/>
          </v:shape>
        </w:pict>
      </w:r>
      <w:r>
        <w:rPr/>
        <w:t>dans</w:t>
      </w:r>
      <w:r>
        <w:rPr>
          <w:spacing w:val="29"/>
        </w:rPr>
        <w:t> </w:t>
      </w:r>
      <w:r>
        <w:rPr/>
        <w:t>le(s)</w:t>
      </w:r>
      <w:r>
        <w:rPr>
          <w:spacing w:val="29"/>
        </w:rPr>
        <w:t> </w:t>
      </w:r>
      <w:r>
        <w:rPr/>
        <w:t>domaine(s)</w:t>
      </w:r>
      <w:r>
        <w:rPr>
          <w:spacing w:val="30"/>
        </w:rPr>
        <w:t> </w:t>
      </w:r>
      <w:r>
        <w:rPr/>
        <w:t>:</w:t>
      </w:r>
      <w:r>
        <w:rPr>
          <w:spacing w:val="32"/>
        </w:rPr>
        <w:t> </w:t>
      </w:r>
      <w:r>
        <w:rPr/>
        <w:t>économie,</w:t>
      </w:r>
      <w:r>
        <w:rPr>
          <w:spacing w:val="29"/>
        </w:rPr>
        <w:t> </w:t>
      </w:r>
      <w:r>
        <w:rPr/>
        <w:t>finances,</w:t>
      </w:r>
      <w:r>
        <w:rPr>
          <w:spacing w:val="29"/>
        </w:rPr>
        <w:t> </w:t>
      </w:r>
      <w:r>
        <w:rPr/>
        <w:t>comptabilité</w:t>
      </w:r>
      <w:r>
        <w:rPr>
          <w:spacing w:val="29"/>
        </w:rPr>
        <w:t> </w:t>
      </w:r>
      <w:r>
        <w:rPr/>
        <w:t>financière</w:t>
      </w:r>
      <w:r>
        <w:rPr>
          <w:spacing w:val="29"/>
        </w:rPr>
        <w:t> </w:t>
      </w:r>
      <w:r>
        <w:rPr/>
        <w:t>ou</w:t>
      </w:r>
      <w:r>
        <w:rPr>
          <w:spacing w:val="29"/>
        </w:rPr>
        <w:t> </w:t>
      </w:r>
      <w:r>
        <w:rPr/>
        <w:t>traduction,</w:t>
      </w:r>
      <w:r>
        <w:rPr>
          <w:spacing w:val="32"/>
        </w:rPr>
        <w:t> </w:t>
      </w:r>
      <w:r>
        <w:rPr/>
        <w:t>dans</w:t>
      </w:r>
      <w:r>
        <w:rPr>
          <w:spacing w:val="29"/>
        </w:rPr>
        <w:t> </w:t>
      </w:r>
      <w:r>
        <w:rPr/>
        <w:t>ce</w:t>
      </w:r>
      <w:r>
        <w:rPr>
          <w:spacing w:val="29"/>
        </w:rPr>
        <w:t> </w:t>
      </w:r>
      <w:r>
        <w:rPr/>
        <w:t>dernier</w:t>
      </w:r>
      <w:r>
        <w:rPr>
          <w:spacing w:val="29"/>
        </w:rPr>
        <w:t> </w:t>
      </w:r>
      <w:r>
        <w:rPr/>
        <w:t>cas avec une spécialisation en économie et finances.</w:t>
      </w:r>
    </w:p>
    <w:p>
      <w:pPr>
        <w:pStyle w:val="BodyText"/>
        <w:rPr>
          <w:sz w:val="14"/>
        </w:rPr>
      </w:pPr>
    </w:p>
    <w:p>
      <w:pPr>
        <w:pStyle w:val="BodyText"/>
        <w:spacing w:before="91"/>
        <w:ind w:left="84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840" w:right="163"/>
        <w:jc w:val="both"/>
      </w:pPr>
      <w:r>
        <w:rPr/>
        <w:pict>
          <v:shape style="position:absolute;margin-left:77.784004pt;margin-top:5.030506pt;width:.6pt;height:12.6pt;mso-position-horizontal-relative:page;mso-position-vertical-relative:paragraph;z-index:15734784" id="docshape13" coordorigin="1556,101" coordsize="12,252" path="m1568,101l1556,101,1556,105,1556,348,1556,353,1568,353,1568,348,1560,348,1560,105,1568,105,1568,101xe" filled="true" fillcolor="#7e7e7e" stroked="false">
            <v:path arrowok="t"/>
            <v:fill type="solid"/>
            <w10:wrap type="none"/>
          </v:shape>
        </w:pict>
      </w:r>
      <w:r>
        <w:rPr/>
        <w:pict>
          <v:shape style="position:absolute;margin-left:232.130005pt;margin-top:30.350506pt;width:.6pt;height:12.6pt;mso-position-horizontal-relative:page;mso-position-vertical-relative:paragraph;z-index:-15821824" id="docshape14" coordorigin="4643,607" coordsize="12,252" path="m4655,854l4643,854,4643,859,4655,859,4655,854xm4655,607l4643,607,4643,612,4650,612,4650,854,4655,854,4655,612,4655,607xe" filled="true" fillcolor="#7e7e7e" stroked="false">
            <v:path arrowok="t"/>
            <v:fill type="solid"/>
            <w10:wrap type="none"/>
          </v:shape>
        </w:pict>
      </w:r>
      <w:r>
        <w:rPr/>
        <w:t>Au moins trois ans d’expérience professionnelle dans l’un des domaines suivants</w:t>
      </w:r>
      <w:r>
        <w:rPr>
          <w:spacing w:val="-3"/>
        </w:rPr>
        <w:t> </w:t>
      </w:r>
      <w:r>
        <w:rPr/>
        <w:t>: économie, finances, comptabilité financière, banque, assurance ou fiscalité, de préférence en exerçant des activités de</w:t>
      </w:r>
      <w:r>
        <w:rPr>
          <w:spacing w:val="40"/>
        </w:rPr>
        <w:t> </w:t>
      </w:r>
      <w:r>
        <w:rPr/>
        <w:t>traduction ou liées à la traduction.</w:t>
      </w:r>
    </w:p>
    <w:p>
      <w:pPr>
        <w:pStyle w:val="BodyText"/>
        <w:spacing w:before="1"/>
        <w:rPr>
          <w:sz w:val="14"/>
        </w:rPr>
      </w:pPr>
    </w:p>
    <w:p>
      <w:pPr>
        <w:pStyle w:val="BodyText"/>
        <w:spacing w:before="92"/>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2"/>
        <w:ind w:left="840"/>
      </w:pPr>
      <w:r>
        <w:rPr/>
        <w:pict>
          <v:shape style="position:absolute;margin-left:77.784004pt;margin-top:5.000519pt;width:.6pt;height:12.55pt;mso-position-horizontal-relative:page;mso-position-vertical-relative:paragraph;z-index:15735808" id="docshape15" coordorigin="1556,100" coordsize="12,251" path="m1560,105l1556,105,1556,345,1560,345,1560,105xm1568,345l1556,345,1556,350,1568,350,1568,345xm1568,100l1556,100,1556,105,1568,105,1568,100xe" filled="true" fillcolor="#7e7e7e" stroked="false">
            <v:path arrowok="t"/>
            <v:fill type="solid"/>
            <w10:wrap type="none"/>
          </v:shape>
        </w:pict>
      </w:r>
      <w:r>
        <w:rPr/>
        <w:pict>
          <v:shape style="position:absolute;margin-left:431.230011pt;margin-top:17.63052pt;width:.6pt;height:12.6pt;mso-position-horizontal-relative:page;mso-position-vertical-relative:paragraph;z-index:-15820800" id="docshape16" coordorigin="8625,353" coordsize="12,252" path="m8637,353l8625,353,8625,357,8632,357,8632,600,8625,600,8625,605,8637,605,8637,600,8637,357,8637,353xe" filled="true" fillcolor="#7e7e7e" stroked="false">
            <v:path arrowok="t"/>
            <v:fill type="solid"/>
            <w10:wrap type="none"/>
          </v:shape>
        </w:pict>
      </w:r>
      <w:r>
        <w:rPr/>
        <w:t>Espagnol niveau langue maternelle et très bonne maîtrise de l’anglais. La connaissance d’autres langues</w:t>
      </w:r>
      <w:r>
        <w:rPr>
          <w:spacing w:val="80"/>
        </w:rPr>
        <w:t> </w:t>
      </w:r>
      <w:r>
        <w:rPr/>
        <w:t>officielles de l’UE, en particulier le français, serait considérée comme un atout.</w:t>
      </w:r>
    </w:p>
    <w:p>
      <w:pPr>
        <w:pStyle w:val="BodyText"/>
        <w:spacing w:before="7"/>
        <w:rPr>
          <w:sz w:val="14"/>
        </w:rPr>
      </w:pPr>
    </w:p>
    <w:p>
      <w:pPr>
        <w:pStyle w:val="ListParagraph"/>
        <w:numPr>
          <w:ilvl w:val="0"/>
          <w:numId w:val="2"/>
        </w:numPr>
        <w:tabs>
          <w:tab w:pos="559" w:val="left" w:leader="none"/>
          <w:tab w:pos="560" w:val="left" w:leader="none"/>
        </w:tabs>
        <w:spacing w:line="240" w:lineRule="auto" w:before="9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 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4"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spacing w:after="0" w:line="240" w:lineRule="auto"/>
        <w:jc w:val="both"/>
        <w:rPr>
          <w:sz w:val="24"/>
        </w:rPr>
        <w:sectPr>
          <w:pgSz w:w="11910" w:h="16840"/>
          <w:pgMar w:header="0" w:footer="690" w:top="1040" w:bottom="880" w:left="720" w:right="740"/>
        </w:sectPr>
      </w:pPr>
    </w:p>
    <w:p>
      <w:pPr>
        <w:spacing w:before="68"/>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4"/>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2"/>
        <w:jc w:val="both"/>
      </w:pPr>
      <w:r>
        <w:rPr/>
        <w:t>Les données des END seront conservées pendant 7 ans à compter de la fin du détachement (2 ans pour les END dont la candidature n'a pas été retenue).</w:t>
      </w:r>
    </w:p>
    <w:p>
      <w:pPr>
        <w:pStyle w:val="BodyText"/>
        <w:ind w:left="55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4"/>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4"/>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1"/>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4"/>
        </w:numPr>
        <w:tabs>
          <w:tab w:pos="841" w:val="left" w:leader="none"/>
        </w:tabs>
        <w:spacing w:line="252" w:lineRule="exact" w:before="92" w:after="0"/>
        <w:ind w:left="840" w:right="0" w:hanging="282"/>
        <w:jc w:val="both"/>
        <w:rPr>
          <w:b w:val="0"/>
          <w:u w:val="none"/>
        </w:rPr>
      </w:pPr>
      <w:r>
        <w:rPr>
          <w:u w:val="single"/>
        </w:rPr>
        <w:t>Le</w:t>
      </w:r>
      <w:r>
        <w:rPr>
          <w:spacing w:val="-2"/>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4"/>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w:t>
      </w:r>
      <w:r>
        <w:rPr>
          <w:spacing w:val="-1"/>
        </w:rPr>
        <w:t> </w:t>
      </w:r>
      <w:r>
        <w:rPr/>
        <w:t>relative</w:t>
      </w:r>
      <w:r>
        <w:rPr>
          <w:spacing w:val="-1"/>
        </w:rPr>
        <w:t> </w:t>
      </w:r>
      <w:r>
        <w:rPr/>
        <w:t>au traitement de vos données à caractère personnel en vertu du règlement (UE) 2018/1725.</w:t>
      </w:r>
    </w:p>
    <w:p>
      <w:pPr>
        <w:pStyle w:val="BodyText"/>
        <w:spacing w:before="5"/>
      </w:pPr>
    </w:p>
    <w:p>
      <w:pPr>
        <w:pStyle w:val="Heading1"/>
        <w:numPr>
          <w:ilvl w:val="0"/>
          <w:numId w:val="4"/>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8480"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852" w:hanging="36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860" w:hanging="361"/>
      </w:pPr>
      <w:rPr>
        <w:rFonts w:hint="default"/>
        <w:lang w:val="fr-FR" w:eastAsia="en-US" w:bidi="ar-SA"/>
      </w:rPr>
    </w:lvl>
    <w:lvl w:ilvl="3">
      <w:start w:val="0"/>
      <w:numFmt w:val="bullet"/>
      <w:lvlText w:val="•"/>
      <w:lvlJc w:val="left"/>
      <w:pPr>
        <w:ind w:left="2058" w:hanging="361"/>
      </w:pPr>
      <w:rPr>
        <w:rFonts w:hint="default"/>
        <w:lang w:val="fr-FR" w:eastAsia="en-US" w:bidi="ar-SA"/>
      </w:rPr>
    </w:lvl>
    <w:lvl w:ilvl="4">
      <w:start w:val="0"/>
      <w:numFmt w:val="bullet"/>
      <w:lvlText w:val="•"/>
      <w:lvlJc w:val="left"/>
      <w:pPr>
        <w:ind w:left="3256" w:hanging="361"/>
      </w:pPr>
      <w:rPr>
        <w:rFonts w:hint="default"/>
        <w:lang w:val="fr-FR" w:eastAsia="en-US" w:bidi="ar-SA"/>
      </w:rPr>
    </w:lvl>
    <w:lvl w:ilvl="5">
      <w:start w:val="0"/>
      <w:numFmt w:val="bullet"/>
      <w:lvlText w:val="•"/>
      <w:lvlJc w:val="left"/>
      <w:pPr>
        <w:ind w:left="4454" w:hanging="361"/>
      </w:pPr>
      <w:rPr>
        <w:rFonts w:hint="default"/>
        <w:lang w:val="fr-FR" w:eastAsia="en-US" w:bidi="ar-SA"/>
      </w:rPr>
    </w:lvl>
    <w:lvl w:ilvl="6">
      <w:start w:val="0"/>
      <w:numFmt w:val="bullet"/>
      <w:lvlText w:val="•"/>
      <w:lvlJc w:val="left"/>
      <w:pPr>
        <w:ind w:left="5653" w:hanging="361"/>
      </w:pPr>
      <w:rPr>
        <w:rFonts w:hint="default"/>
        <w:lang w:val="fr-FR" w:eastAsia="en-US" w:bidi="ar-SA"/>
      </w:rPr>
    </w:lvl>
    <w:lvl w:ilvl="7">
      <w:start w:val="0"/>
      <w:numFmt w:val="bullet"/>
      <w:lvlText w:val="•"/>
      <w:lvlJc w:val="left"/>
      <w:pPr>
        <w:ind w:left="6851" w:hanging="361"/>
      </w:pPr>
      <w:rPr>
        <w:rFonts w:hint="default"/>
        <w:lang w:val="fr-FR" w:eastAsia="en-US" w:bidi="ar-SA"/>
      </w:rPr>
    </w:lvl>
    <w:lvl w:ilvl="8">
      <w:start w:val="0"/>
      <w:numFmt w:val="bullet"/>
      <w:lvlText w:val="•"/>
      <w:lvlJc w:val="left"/>
      <w:pPr>
        <w:ind w:left="8049" w:hanging="36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ntiago.Del-Pino@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2023-02-16T16:44:59Z</dcterms:created>
  <dcterms:modified xsi:type="dcterms:W3CDTF">2023-02-16T16:44:59Z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