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67"/>
              <w:rPr>
                <w:sz w:val="22"/>
              </w:rPr>
            </w:pPr>
            <w:r>
              <w:rPr>
                <w:b/>
                <w:sz w:val="24"/>
              </w:rPr>
              <w:t>JUST.DDG.B.2</w:t>
            </w:r>
            <w:r>
              <w:rPr>
                <w:b/>
                <w:spacing w:val="49"/>
                <w:sz w:val="24"/>
              </w:rPr>
              <w:t> </w:t>
            </w:r>
            <w:r>
              <w:rPr>
                <w:sz w:val="22"/>
              </w:rPr>
              <w:t>(JUST.DDG.A.5</w:t>
            </w:r>
            <w:r>
              <w:rPr>
                <w:spacing w:val="-5"/>
                <w:sz w:val="22"/>
              </w:rPr>
              <w:t> </w:t>
            </w:r>
            <w:r>
              <w:rPr>
                <w:sz w:val="22"/>
              </w:rPr>
              <w:t>le</w:t>
            </w:r>
            <w:r>
              <w:rPr>
                <w:spacing w:val="-4"/>
                <w:sz w:val="22"/>
              </w:rPr>
              <w:t> </w:t>
            </w:r>
            <w:r>
              <w:rPr>
                <w:sz w:val="22"/>
              </w:rPr>
              <w:t>1</w:t>
            </w:r>
            <w:r>
              <w:rPr>
                <w:sz w:val="22"/>
                <w:vertAlign w:val="superscript"/>
              </w:rPr>
              <w:t>er</w:t>
            </w:r>
            <w:r>
              <w:rPr>
                <w:spacing w:val="-6"/>
                <w:sz w:val="22"/>
                <w:vertAlign w:val="baseline"/>
              </w:rPr>
              <w:t> </w:t>
            </w:r>
            <w:r>
              <w:rPr>
                <w:sz w:val="22"/>
                <w:vertAlign w:val="baseline"/>
              </w:rPr>
              <w:t>mars</w:t>
            </w:r>
            <w:r>
              <w:rPr>
                <w:spacing w:val="-5"/>
                <w:sz w:val="22"/>
                <w:vertAlign w:val="baseline"/>
              </w:rPr>
              <w:t> </w:t>
            </w:r>
            <w:r>
              <w:rPr>
                <w:spacing w:val="-2"/>
                <w:sz w:val="22"/>
                <w:vertAlign w:val="baseline"/>
              </w:rPr>
              <w:t>2023)</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rPr>
                <w:b/>
                <w:sz w:val="22"/>
              </w:rPr>
            </w:pPr>
            <w:r>
              <w:rPr>
                <w:b/>
                <w:sz w:val="22"/>
              </w:rPr>
              <w:t>Despina VASSILIADOU </w:t>
            </w:r>
            <w:hyperlink r:id="rId7">
              <w:r>
                <w:rPr>
                  <w:b/>
                  <w:spacing w:val="-2"/>
                  <w:sz w:val="22"/>
                </w:rPr>
                <w:t>Despina.Vassiliadou@ec.europa.eu</w:t>
              </w:r>
            </w:hyperlink>
          </w:p>
          <w:p>
            <w:pPr>
              <w:pStyle w:val="TableParagraph"/>
              <w:spacing w:line="274" w:lineRule="exact"/>
              <w:rPr>
                <w:b/>
                <w:sz w:val="24"/>
              </w:rPr>
            </w:pPr>
            <w:r>
              <w:rPr>
                <w:b/>
                <w:sz w:val="22"/>
              </w:rPr>
              <w:t>+32</w:t>
            </w:r>
            <w:r>
              <w:rPr>
                <w:b/>
                <w:spacing w:val="-1"/>
                <w:sz w:val="22"/>
              </w:rPr>
              <w:t> </w:t>
            </w:r>
            <w:r>
              <w:rPr>
                <w:b/>
                <w:sz w:val="22"/>
              </w:rPr>
              <w:t>2</w:t>
            </w:r>
            <w:r>
              <w:rPr>
                <w:b/>
                <w:spacing w:val="-1"/>
                <w:sz w:val="22"/>
              </w:rPr>
              <w:t> </w:t>
            </w:r>
            <w:r>
              <w:rPr>
                <w:b/>
                <w:sz w:val="22"/>
              </w:rPr>
              <w:t>29 </w:t>
            </w:r>
            <w:r>
              <w:rPr>
                <w:b/>
                <w:spacing w:val="-2"/>
                <w:sz w:val="24"/>
              </w:rPr>
              <w:t>99763</w:t>
            </w:r>
          </w:p>
          <w:p>
            <w:pPr>
              <w:pStyle w:val="TableParagraph"/>
              <w:spacing w:line="274" w:lineRule="exact"/>
              <w:rPr>
                <w:sz w:val="24"/>
              </w:rPr>
            </w:pPr>
            <w:r>
              <w:rPr>
                <w:sz w:val="24"/>
              </w:rPr>
              <w:t>1</w:t>
            </w:r>
          </w:p>
          <w:p>
            <w:pPr>
              <w:pStyle w:val="TableParagraph"/>
              <w:spacing w:before="3"/>
              <w:rPr>
                <w:b/>
                <w:sz w:val="22"/>
              </w:rPr>
            </w:pPr>
            <w:r>
              <w:rPr>
                <w:b/>
                <w:sz w:val="22"/>
              </w:rPr>
              <w:t>2ème</w:t>
            </w:r>
            <w:r>
              <w:rPr>
                <w:b/>
                <w:spacing w:val="-7"/>
                <w:sz w:val="22"/>
              </w:rPr>
              <w:t> </w:t>
            </w:r>
            <w:r>
              <w:rPr>
                <w:b/>
                <w:sz w:val="22"/>
              </w:rPr>
              <w:t>trimestre</w:t>
            </w:r>
            <w:r>
              <w:rPr>
                <w:b/>
                <w:spacing w:val="-2"/>
                <w:sz w:val="22"/>
              </w:rPr>
              <w:t> </w:t>
            </w:r>
            <w:r>
              <w:rPr>
                <w:b/>
                <w:sz w:val="22"/>
              </w:rPr>
              <w:t>2023</w:t>
            </w:r>
            <w:r>
              <w:rPr>
                <w:b/>
                <w:spacing w:val="-5"/>
                <w:sz w:val="22"/>
              </w:rPr>
              <w:t> </w:t>
            </w:r>
            <w:r>
              <w:rPr>
                <w:b/>
                <w:spacing w:val="-10"/>
                <w:sz w:val="22"/>
                <w:vertAlign w:val="superscript"/>
              </w:rPr>
              <w:t>1</w:t>
            </w:r>
          </w:p>
          <w:p>
            <w:pPr>
              <w:pStyle w:val="TableParagraph"/>
              <w:spacing w:line="250" w:lineRule="exact" w:before="2"/>
              <w:rPr>
                <w:b/>
                <w:sz w:val="22"/>
              </w:rPr>
            </w:pPr>
            <w:r>
              <w:rPr>
                <w:b/>
                <w:sz w:val="22"/>
              </w:rPr>
              <w:t>2</w:t>
            </w:r>
            <w:r>
              <w:rPr>
                <w:b/>
                <w:spacing w:val="-2"/>
                <w:sz w:val="22"/>
              </w:rPr>
              <w:t> an(s</w:t>
            </w:r>
            <w:r>
              <w:rPr>
                <w:b/>
                <w:spacing w:val="-2"/>
                <w:sz w:val="22"/>
                <w:vertAlign w:val="superscript"/>
              </w:rPr>
              <w:t>)1</w:t>
            </w:r>
          </w:p>
          <w:p>
            <w:pPr>
              <w:pStyle w:val="TableParagraph"/>
              <w:numPr>
                <w:ilvl w:val="0"/>
                <w:numId w:val="1"/>
              </w:numPr>
              <w:tabs>
                <w:tab w:pos="413" w:val="left" w:leader="none"/>
              </w:tabs>
              <w:spacing w:line="250" w:lineRule="exact" w:before="0" w:after="0"/>
              <w:ind w:left="413" w:right="0" w:hanging="308"/>
              <w:jc w:val="left"/>
              <w:rPr>
                <w:b/>
                <w:sz w:val="22"/>
              </w:rPr>
            </w:pPr>
            <w:r>
              <w:rPr>
                <w:b/>
                <w:sz w:val="22"/>
              </w:rPr>
              <w:t>Bruxelles</w:t>
            </w:r>
            <w:r>
              <w:rPr>
                <w:b/>
                <w:spacing w:val="51"/>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3"/>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469" w:val="left" w:leader="none"/>
                <w:tab w:pos="2894" w:val="left" w:leader="none"/>
                <w:tab w:pos="3367" w:val="left" w:leader="none"/>
              </w:tabs>
              <w:spacing w:line="240" w:lineRule="auto" w:before="145" w:after="0"/>
              <w:ind w:left="468" w:right="0" w:hanging="364"/>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3"/>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3"/>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3"/>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3"/>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7"/>
        <w:rPr>
          <w:b/>
          <w:sz w:val="15"/>
        </w:rPr>
      </w:pPr>
    </w:p>
    <w:p>
      <w:pPr>
        <w:pStyle w:val="BodyText"/>
        <w:spacing w:before="92"/>
        <w:ind w:left="372" w:right="876"/>
        <w:jc w:val="both"/>
      </w:pPr>
      <w:r>
        <w:rPr/>
        <w:t>Contribuer à la coordination, à la définition et à la mise en œuvre des politiques de l'Union dans le</w:t>
      </w:r>
      <w:r>
        <w:rPr>
          <w:spacing w:val="40"/>
        </w:rPr>
        <w:t> </w:t>
      </w:r>
      <w:r>
        <w:rPr/>
        <w:t>domaine des droits des victimes ainsi que de la coopération judiciaire en matière pénale et du droit pénal </w:t>
      </w:r>
      <w:r>
        <w:rPr>
          <w:spacing w:val="-2"/>
        </w:rPr>
        <w:t>procédural.</w:t>
      </w:r>
    </w:p>
    <w:p>
      <w:pPr>
        <w:pStyle w:val="BodyText"/>
        <w:spacing w:before="10"/>
        <w:rPr>
          <w:sz w:val="21"/>
        </w:rPr>
      </w:pPr>
    </w:p>
    <w:p>
      <w:pPr>
        <w:pStyle w:val="BodyText"/>
        <w:ind w:left="372"/>
        <w:jc w:val="both"/>
      </w:pPr>
      <w:r>
        <w:rPr/>
        <w:t>Les</w:t>
      </w:r>
      <w:r>
        <w:rPr>
          <w:spacing w:val="-4"/>
        </w:rPr>
        <w:t> </w:t>
      </w:r>
      <w:r>
        <w:rPr/>
        <w:t>tâches</w:t>
      </w:r>
      <w:r>
        <w:rPr>
          <w:spacing w:val="-3"/>
        </w:rPr>
        <w:t> </w:t>
      </w:r>
      <w:r>
        <w:rPr/>
        <w:t>spécifiques</w:t>
      </w:r>
      <w:r>
        <w:rPr>
          <w:spacing w:val="-3"/>
        </w:rPr>
        <w:t> </w:t>
      </w:r>
      <w:r>
        <w:rPr/>
        <w:t>peuvent</w:t>
      </w:r>
      <w:r>
        <w:rPr>
          <w:spacing w:val="-2"/>
        </w:rPr>
        <w:t> comprendre:</w:t>
      </w:r>
    </w:p>
    <w:p>
      <w:pPr>
        <w:pStyle w:val="BodyText"/>
        <w:spacing w:before="1"/>
        <w:ind w:left="372" w:right="870"/>
        <w:jc w:val="both"/>
      </w:pPr>
      <w:r>
        <w:rPr/>
        <w:t>Le suivi de la bonne transposition et application des instruments européens de coopération judiciaire en matière pénale dans les États membres en matière de droit des victimes ainsi que</w:t>
      </w:r>
      <w:r>
        <w:rPr>
          <w:spacing w:val="-2"/>
        </w:rPr>
        <w:t> </w:t>
      </w:r>
      <w:r>
        <w:rPr/>
        <w:t>d’autres instruments dont l’unité est responsable;</w:t>
      </w:r>
    </w:p>
    <w:p>
      <w:pPr>
        <w:pStyle w:val="BodyText"/>
        <w:ind w:left="372" w:right="879"/>
        <w:jc w:val="both"/>
      </w:pPr>
      <w:r>
        <w:rPr/>
        <w:t>Le lancement et suivi de procédures d'infractions, si nécessaire, préparation et participation à des réunions </w:t>
      </w:r>
      <w:r>
        <w:rPr>
          <w:spacing w:val="-2"/>
        </w:rPr>
        <w:t>d'experts;</w:t>
      </w:r>
    </w:p>
    <w:p>
      <w:pPr>
        <w:pStyle w:val="BodyText"/>
        <w:spacing w:line="252" w:lineRule="exact"/>
        <w:ind w:left="372"/>
        <w:jc w:val="both"/>
      </w:pPr>
      <w:r>
        <w:rPr/>
        <w:t>L'élaboration</w:t>
      </w:r>
      <w:r>
        <w:rPr>
          <w:spacing w:val="-7"/>
        </w:rPr>
        <w:t> </w:t>
      </w:r>
      <w:r>
        <w:rPr/>
        <w:t>de</w:t>
      </w:r>
      <w:r>
        <w:rPr>
          <w:spacing w:val="-4"/>
        </w:rPr>
        <w:t> </w:t>
      </w:r>
      <w:r>
        <w:rPr/>
        <w:t>propositions</w:t>
      </w:r>
      <w:r>
        <w:rPr>
          <w:spacing w:val="-5"/>
        </w:rPr>
        <w:t> </w:t>
      </w:r>
      <w:r>
        <w:rPr/>
        <w:t>législatives,</w:t>
      </w:r>
      <w:r>
        <w:rPr>
          <w:spacing w:val="-7"/>
        </w:rPr>
        <w:t> </w:t>
      </w:r>
      <w:r>
        <w:rPr/>
        <w:t>la</w:t>
      </w:r>
      <w:r>
        <w:rPr>
          <w:spacing w:val="-4"/>
        </w:rPr>
        <w:t> </w:t>
      </w:r>
      <w:r>
        <w:rPr/>
        <w:t>préparation</w:t>
      </w:r>
      <w:r>
        <w:rPr>
          <w:spacing w:val="-5"/>
        </w:rPr>
        <w:t> </w:t>
      </w:r>
      <w:r>
        <w:rPr/>
        <w:t>de</w:t>
      </w:r>
      <w:r>
        <w:rPr>
          <w:spacing w:val="-4"/>
        </w:rPr>
        <w:t> </w:t>
      </w:r>
      <w:r>
        <w:rPr/>
        <w:t>documents</w:t>
      </w:r>
      <w:r>
        <w:rPr>
          <w:spacing w:val="-4"/>
        </w:rPr>
        <w:t> </w:t>
      </w:r>
      <w:r>
        <w:rPr/>
        <w:t>de</w:t>
      </w:r>
      <w:r>
        <w:rPr>
          <w:spacing w:val="-6"/>
        </w:rPr>
        <w:t> </w:t>
      </w:r>
      <w:r>
        <w:rPr>
          <w:spacing w:val="-2"/>
        </w:rPr>
        <w:t>consultation;</w:t>
      </w:r>
    </w:p>
    <w:p>
      <w:pPr>
        <w:pStyle w:val="BodyText"/>
        <w:ind w:left="372" w:right="867"/>
        <w:jc w:val="both"/>
      </w:pPr>
      <w:r>
        <w:rPr/>
        <w:t>La participation aux réunions de groupes interservices et l'évaluation des impacts ex-ante desdites </w:t>
      </w:r>
      <w:r>
        <w:rPr>
          <w:spacing w:val="-2"/>
        </w:rPr>
        <w:t>propositions;</w:t>
      </w:r>
    </w:p>
    <w:p>
      <w:pPr>
        <w:pStyle w:val="BodyText"/>
        <w:ind w:left="372" w:right="871"/>
        <w:jc w:val="both"/>
      </w:pPr>
      <w:r>
        <w:rPr/>
        <w:t>La</w:t>
      </w:r>
      <w:r>
        <w:rPr>
          <w:spacing w:val="-2"/>
        </w:rPr>
        <w:t> </w:t>
      </w:r>
      <w:r>
        <w:rPr/>
        <w:t>participation</w:t>
      </w:r>
      <w:r>
        <w:rPr>
          <w:spacing w:val="-2"/>
        </w:rPr>
        <w:t> </w:t>
      </w:r>
      <w:r>
        <w:rPr/>
        <w:t>à</w:t>
      </w:r>
      <w:r>
        <w:rPr>
          <w:spacing w:val="-4"/>
        </w:rPr>
        <w:t> </w:t>
      </w:r>
      <w:r>
        <w:rPr/>
        <w:t>la</w:t>
      </w:r>
      <w:r>
        <w:rPr>
          <w:spacing w:val="-2"/>
        </w:rPr>
        <w:t> </w:t>
      </w:r>
      <w:r>
        <w:rPr/>
        <w:t>négociation</w:t>
      </w:r>
      <w:r>
        <w:rPr>
          <w:spacing w:val="-2"/>
        </w:rPr>
        <w:t> </w:t>
      </w:r>
      <w:r>
        <w:rPr/>
        <w:t>de</w:t>
      </w:r>
      <w:r>
        <w:rPr>
          <w:spacing w:val="-2"/>
        </w:rPr>
        <w:t> </w:t>
      </w:r>
      <w:r>
        <w:rPr/>
        <w:t>ces</w:t>
      </w:r>
      <w:r>
        <w:rPr>
          <w:spacing w:val="-2"/>
        </w:rPr>
        <w:t> </w:t>
      </w:r>
      <w:r>
        <w:rPr/>
        <w:t>propositions;</w:t>
      </w:r>
      <w:r>
        <w:rPr>
          <w:spacing w:val="-1"/>
        </w:rPr>
        <w:t> </w:t>
      </w:r>
      <w:r>
        <w:rPr/>
        <w:t>aux</w:t>
      </w:r>
      <w:r>
        <w:rPr>
          <w:spacing w:val="-2"/>
        </w:rPr>
        <w:t> </w:t>
      </w:r>
      <w:r>
        <w:rPr/>
        <w:t>réunions</w:t>
      </w:r>
      <w:r>
        <w:rPr>
          <w:spacing w:val="-4"/>
        </w:rPr>
        <w:t> </w:t>
      </w:r>
      <w:r>
        <w:rPr/>
        <w:t>de</w:t>
      </w:r>
      <w:r>
        <w:rPr>
          <w:spacing w:val="-2"/>
        </w:rPr>
        <w:t> </w:t>
      </w:r>
      <w:r>
        <w:rPr/>
        <w:t>travail</w:t>
      </w:r>
      <w:r>
        <w:rPr>
          <w:spacing w:val="-1"/>
        </w:rPr>
        <w:t> </w:t>
      </w:r>
      <w:r>
        <w:rPr/>
        <w:t>européennes</w:t>
      </w:r>
      <w:r>
        <w:rPr>
          <w:spacing w:val="-2"/>
        </w:rPr>
        <w:t> </w:t>
      </w:r>
      <w:r>
        <w:rPr/>
        <w:t>et</w:t>
      </w:r>
      <w:r>
        <w:rPr>
          <w:spacing w:val="-4"/>
        </w:rPr>
        <w:t> </w:t>
      </w:r>
      <w:r>
        <w:rPr/>
        <w:t>internationales et aux conférences relatives à ces instruments.</w:t>
      </w:r>
    </w:p>
    <w:p>
      <w:pPr>
        <w:pStyle w:val="BodyText"/>
        <w:spacing w:before="1"/>
        <w:ind w:left="372" w:right="871"/>
        <w:jc w:val="both"/>
      </w:pPr>
      <w:r>
        <w:rPr/>
        <w:t>Répondre aux consultations interservices et la préparation des briefings au Conseil et au PE ou en vue d'autres réunions bilatérales ou multilatérales; rédaction de réponses de la Commission à des questions écrites ou orales parlementaires et à des lettres de citoyens, y compris assurer une bonne coopération avec les parties prenantes sur le terrain.</w:t>
      </w:r>
    </w:p>
    <w:p>
      <w:pPr>
        <w:pStyle w:val="BodyText"/>
      </w:pPr>
    </w:p>
    <w:p>
      <w:pPr>
        <w:pStyle w:val="BodyText"/>
        <w:ind w:left="372"/>
        <w:jc w:val="both"/>
      </w:pPr>
      <w:r>
        <w:rPr/>
        <w:t>L'expert</w:t>
      </w:r>
      <w:r>
        <w:rPr>
          <w:spacing w:val="-5"/>
        </w:rPr>
        <w:t> </w:t>
      </w:r>
      <w:r>
        <w:rPr/>
        <w:t>national</w:t>
      </w:r>
      <w:r>
        <w:rPr>
          <w:spacing w:val="-5"/>
        </w:rPr>
        <w:t> </w:t>
      </w:r>
      <w:r>
        <w:rPr/>
        <w:t>travaillera</w:t>
      </w:r>
      <w:r>
        <w:rPr>
          <w:spacing w:val="-5"/>
        </w:rPr>
        <w:t> </w:t>
      </w:r>
      <w:r>
        <w:rPr/>
        <w:t>sous</w:t>
      </w:r>
      <w:r>
        <w:rPr>
          <w:spacing w:val="-5"/>
        </w:rPr>
        <w:t> </w:t>
      </w:r>
      <w:r>
        <w:rPr/>
        <w:t>la</w:t>
      </w:r>
      <w:r>
        <w:rPr>
          <w:spacing w:val="-3"/>
        </w:rPr>
        <w:t> </w:t>
      </w:r>
      <w:r>
        <w:rPr/>
        <w:t>supervision</w:t>
      </w:r>
      <w:r>
        <w:rPr>
          <w:spacing w:val="-6"/>
        </w:rPr>
        <w:t> </w:t>
      </w:r>
      <w:r>
        <w:rPr/>
        <w:t>d'un</w:t>
      </w:r>
      <w:r>
        <w:rPr>
          <w:spacing w:val="-3"/>
        </w:rPr>
        <w:t> </w:t>
      </w:r>
      <w:r>
        <w:rPr/>
        <w:t>fonctionnaire</w:t>
      </w:r>
      <w:r>
        <w:rPr>
          <w:spacing w:val="-3"/>
        </w:rPr>
        <w:t> </w:t>
      </w:r>
      <w:r>
        <w:rPr/>
        <w:t>de</w:t>
      </w:r>
      <w:r>
        <w:rPr>
          <w:spacing w:val="-5"/>
        </w:rPr>
        <w:t> </w:t>
      </w:r>
      <w:r>
        <w:rPr/>
        <w:t>la</w:t>
      </w:r>
      <w:r>
        <w:rPr>
          <w:spacing w:val="-3"/>
        </w:rPr>
        <w:t> </w:t>
      </w:r>
      <w:r>
        <w:rPr>
          <w:spacing w:val="-2"/>
        </w:rPr>
        <w:t>Commission.</w:t>
      </w:r>
    </w:p>
    <w:p>
      <w:pPr>
        <w:pStyle w:val="BodyText"/>
        <w:rPr>
          <w:sz w:val="20"/>
        </w:rPr>
      </w:pPr>
    </w:p>
    <w:p>
      <w:pPr>
        <w:pStyle w:val="BodyText"/>
        <w:rPr>
          <w:sz w:val="20"/>
        </w:rPr>
      </w:pPr>
    </w:p>
    <w:p>
      <w:pPr>
        <w:pStyle w:val="BodyText"/>
        <w:rPr>
          <w:sz w:val="20"/>
        </w:rPr>
      </w:pPr>
    </w:p>
    <w:p>
      <w:pPr>
        <w:pStyle w:val="BodyText"/>
        <w:spacing w:before="7"/>
        <w:rPr>
          <w:sz w:val="16"/>
        </w:rPr>
      </w:pPr>
      <w:r>
        <w:rPr/>
        <w:pict>
          <v:rect style="position:absolute;margin-left:42.599998pt;margin-top:10.77894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4"/>
        </w:numPr>
        <w:tabs>
          <w:tab w:pos="799" w:val="left" w:leader="none"/>
          <w:tab w:pos="800" w:val="left" w:leader="none"/>
        </w:tabs>
        <w:spacing w:line="240" w:lineRule="auto" w:before="60" w:after="0"/>
        <w:ind w:left="79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4"/>
        </w:numPr>
        <w:tabs>
          <w:tab w:pos="1040" w:val="left" w:leader="none"/>
        </w:tabs>
        <w:spacing w:line="240" w:lineRule="auto" w:before="92"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799" w:right="105"/>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2"/>
          <w:numId w:val="4"/>
        </w:numPr>
        <w:tabs>
          <w:tab w:pos="1081" w:val="left" w:leader="none"/>
        </w:tabs>
        <w:spacing w:line="240" w:lineRule="auto" w:before="1" w:after="0"/>
        <w:ind w:left="1080" w:right="104"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9"/>
        <w:rPr>
          <w:sz w:val="21"/>
        </w:rPr>
      </w:pPr>
    </w:p>
    <w:p>
      <w:pPr>
        <w:pStyle w:val="ListParagraph"/>
        <w:numPr>
          <w:ilvl w:val="2"/>
          <w:numId w:val="4"/>
        </w:numPr>
        <w:tabs>
          <w:tab w:pos="1081" w:val="left" w:leader="none"/>
        </w:tabs>
        <w:spacing w:line="240" w:lineRule="auto" w:before="1" w:after="0"/>
        <w:ind w:left="108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4"/>
        </w:numPr>
        <w:tabs>
          <w:tab w:pos="1081" w:val="left" w:leader="none"/>
        </w:tabs>
        <w:spacing w:line="240" w:lineRule="auto" w:before="0" w:after="0"/>
        <w:ind w:left="1080" w:right="109"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1"/>
          <w:numId w:val="4"/>
        </w:numPr>
        <w:tabs>
          <w:tab w:pos="1081" w:val="left" w:leader="none"/>
        </w:tabs>
        <w:spacing w:line="240" w:lineRule="auto" w:before="0" w:after="0"/>
        <w:ind w:left="108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before="92"/>
        <w:ind w:left="1080"/>
      </w:pPr>
      <w:r>
        <w:rPr>
          <w:spacing w:val="-2"/>
          <w:u w:val="single"/>
        </w:rPr>
        <w:t>Diplôme</w:t>
      </w:r>
    </w:p>
    <w:p>
      <w:pPr>
        <w:pStyle w:val="ListParagraph"/>
        <w:numPr>
          <w:ilvl w:val="0"/>
          <w:numId w:val="5"/>
        </w:numPr>
        <w:tabs>
          <w:tab w:pos="1206" w:val="left" w:leader="none"/>
        </w:tabs>
        <w:spacing w:line="252" w:lineRule="exact" w:before="1"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5"/>
        </w:numPr>
        <w:tabs>
          <w:tab w:pos="1206" w:val="left" w:leader="none"/>
        </w:tabs>
        <w:spacing w:line="252" w:lineRule="exact" w:before="0"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1"/>
      </w:pPr>
    </w:p>
    <w:p>
      <w:pPr>
        <w:pStyle w:val="BodyText"/>
        <w:ind w:left="1080" w:right="6740" w:firstLine="110"/>
      </w:pPr>
      <w:r>
        <w:rPr/>
        <w:t>dans le(s) domaine(s) : Diplôme</w:t>
      </w:r>
      <w:r>
        <w:rPr>
          <w:spacing w:val="-12"/>
        </w:rPr>
        <w:t> </w:t>
      </w:r>
      <w:r>
        <w:rPr/>
        <w:t>universitaire</w:t>
      </w:r>
      <w:r>
        <w:rPr>
          <w:spacing w:val="-12"/>
        </w:rPr>
        <w:t> </w:t>
      </w:r>
      <w:r>
        <w:rPr/>
        <w:t>de</w:t>
      </w:r>
      <w:r>
        <w:rPr>
          <w:spacing w:val="-12"/>
        </w:rPr>
        <w:t> </w:t>
      </w:r>
      <w:r>
        <w:rPr/>
        <w:t>Droit.</w:t>
      </w:r>
    </w:p>
    <w:p>
      <w:pPr>
        <w:pStyle w:val="BodyText"/>
        <w:spacing w:before="11"/>
        <w:rPr>
          <w:sz w:val="21"/>
        </w:rPr>
      </w:pPr>
    </w:p>
    <w:p>
      <w:pPr>
        <w:pStyle w:val="BodyText"/>
        <w:ind w:left="108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1"/>
        <w:ind w:left="1080"/>
      </w:pPr>
      <w:r>
        <w:rPr/>
        <w:t>Une expérience approfondie en coopération judiciaire en matière pénale et en droit de la procédure pénale nationale est requise.</w:t>
      </w:r>
    </w:p>
    <w:p>
      <w:pPr>
        <w:pStyle w:val="BodyText"/>
        <w:spacing w:line="252" w:lineRule="exact" w:before="1"/>
        <w:ind w:left="1080"/>
      </w:pPr>
      <w:r>
        <w:rPr/>
        <w:t>De</w:t>
      </w:r>
      <w:r>
        <w:rPr>
          <w:spacing w:val="-6"/>
        </w:rPr>
        <w:t> </w:t>
      </w:r>
      <w:r>
        <w:rPr/>
        <w:t>l’expérience</w:t>
      </w:r>
      <w:r>
        <w:rPr>
          <w:spacing w:val="-6"/>
        </w:rPr>
        <w:t> </w:t>
      </w:r>
      <w:r>
        <w:rPr/>
        <w:t>et/ou</w:t>
      </w:r>
      <w:r>
        <w:rPr>
          <w:spacing w:val="-2"/>
        </w:rPr>
        <w:t> </w:t>
      </w:r>
      <w:r>
        <w:rPr/>
        <w:t>de</w:t>
      </w:r>
      <w:r>
        <w:rPr>
          <w:spacing w:val="-4"/>
        </w:rPr>
        <w:t> </w:t>
      </w:r>
      <w:r>
        <w:rPr/>
        <w:t>l’expertise</w:t>
      </w:r>
      <w:r>
        <w:rPr>
          <w:spacing w:val="-3"/>
        </w:rPr>
        <w:t> </w:t>
      </w:r>
      <w:r>
        <w:rPr/>
        <w:t>en</w:t>
      </w:r>
      <w:r>
        <w:rPr>
          <w:spacing w:val="-3"/>
        </w:rPr>
        <w:t> </w:t>
      </w:r>
      <w:r>
        <w:rPr/>
        <w:t>matière</w:t>
      </w:r>
      <w:r>
        <w:rPr>
          <w:spacing w:val="-4"/>
        </w:rPr>
        <w:t> </w:t>
      </w:r>
      <w:r>
        <w:rPr/>
        <w:t>de</w:t>
      </w:r>
      <w:r>
        <w:rPr>
          <w:spacing w:val="-3"/>
        </w:rPr>
        <w:t> </w:t>
      </w:r>
      <w:r>
        <w:rPr/>
        <w:t>droit</w:t>
      </w:r>
      <w:r>
        <w:rPr>
          <w:spacing w:val="-6"/>
        </w:rPr>
        <w:t> </w:t>
      </w:r>
      <w:r>
        <w:rPr/>
        <w:t>des</w:t>
      </w:r>
      <w:r>
        <w:rPr>
          <w:spacing w:val="-4"/>
        </w:rPr>
        <w:t> </w:t>
      </w:r>
      <w:r>
        <w:rPr/>
        <w:t>victimes</w:t>
      </w:r>
      <w:r>
        <w:rPr>
          <w:spacing w:val="-1"/>
        </w:rPr>
        <w:t> </w:t>
      </w:r>
      <w:r>
        <w:rPr/>
        <w:t>serait</w:t>
      </w:r>
      <w:r>
        <w:rPr>
          <w:spacing w:val="-3"/>
        </w:rPr>
        <w:t> </w:t>
      </w:r>
      <w:r>
        <w:rPr/>
        <w:t>un</w:t>
      </w:r>
      <w:r>
        <w:rPr>
          <w:spacing w:val="-6"/>
        </w:rPr>
        <w:t> </w:t>
      </w:r>
      <w:r>
        <w:rPr>
          <w:spacing w:val="-2"/>
        </w:rPr>
        <w:t>atout.</w:t>
      </w:r>
    </w:p>
    <w:p>
      <w:pPr>
        <w:pStyle w:val="BodyText"/>
        <w:ind w:left="1080"/>
      </w:pPr>
      <w:r>
        <w:rPr/>
        <w:t>De</w:t>
      </w:r>
      <w:r>
        <w:rPr>
          <w:spacing w:val="72"/>
        </w:rPr>
        <w:t> </w:t>
      </w:r>
      <w:r>
        <w:rPr/>
        <w:t>l’expérience</w:t>
      </w:r>
      <w:r>
        <w:rPr>
          <w:spacing w:val="72"/>
        </w:rPr>
        <w:t> </w:t>
      </w:r>
      <w:r>
        <w:rPr/>
        <w:t>en</w:t>
      </w:r>
      <w:r>
        <w:rPr>
          <w:spacing w:val="70"/>
        </w:rPr>
        <w:t> </w:t>
      </w:r>
      <w:r>
        <w:rPr/>
        <w:t>matière</w:t>
      </w:r>
      <w:r>
        <w:rPr>
          <w:spacing w:val="74"/>
        </w:rPr>
        <w:t> </w:t>
      </w:r>
      <w:r>
        <w:rPr/>
        <w:t>de</w:t>
      </w:r>
      <w:r>
        <w:rPr>
          <w:spacing w:val="70"/>
        </w:rPr>
        <w:t> </w:t>
      </w:r>
      <w:r>
        <w:rPr/>
        <w:t>reconnaissance</w:t>
      </w:r>
      <w:r>
        <w:rPr>
          <w:spacing w:val="70"/>
        </w:rPr>
        <w:t> </w:t>
      </w:r>
      <w:r>
        <w:rPr/>
        <w:t>mutuelle</w:t>
      </w:r>
      <w:r>
        <w:rPr>
          <w:spacing w:val="72"/>
        </w:rPr>
        <w:t> </w:t>
      </w:r>
      <w:r>
        <w:rPr/>
        <w:t>ainsi</w:t>
      </w:r>
      <w:r>
        <w:rPr>
          <w:spacing w:val="71"/>
        </w:rPr>
        <w:t> </w:t>
      </w:r>
      <w:r>
        <w:rPr/>
        <w:t>qu’une</w:t>
      </w:r>
      <w:r>
        <w:rPr>
          <w:spacing w:val="71"/>
        </w:rPr>
        <w:t> </w:t>
      </w:r>
      <w:r>
        <w:rPr/>
        <w:t>expérience</w:t>
      </w:r>
      <w:r>
        <w:rPr>
          <w:spacing w:val="70"/>
        </w:rPr>
        <w:t> </w:t>
      </w:r>
      <w:r>
        <w:rPr/>
        <w:t>de</w:t>
      </w:r>
      <w:r>
        <w:rPr>
          <w:spacing w:val="70"/>
        </w:rPr>
        <w:t> </w:t>
      </w:r>
      <w:r>
        <w:rPr/>
        <w:t>la</w:t>
      </w:r>
      <w:r>
        <w:rPr>
          <w:spacing w:val="70"/>
        </w:rPr>
        <w:t> </w:t>
      </w:r>
      <w:r>
        <w:rPr/>
        <w:t>négociation interinstitutionnelle serait appréciée.</w:t>
      </w:r>
    </w:p>
    <w:p>
      <w:pPr>
        <w:pStyle w:val="BodyText"/>
        <w:rPr>
          <w:sz w:val="24"/>
        </w:rPr>
      </w:pPr>
    </w:p>
    <w:p>
      <w:pPr>
        <w:pStyle w:val="BodyText"/>
        <w:rPr>
          <w:sz w:val="24"/>
        </w:rPr>
      </w:pPr>
    </w:p>
    <w:p>
      <w:pPr>
        <w:pStyle w:val="BodyText"/>
        <w:spacing w:before="206"/>
        <w:ind w:left="108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2"/>
        <w:ind w:left="1080" w:right="1627"/>
      </w:pPr>
      <w:r>
        <w:rPr>
          <w:u w:val="single"/>
        </w:rPr>
        <w:t>Très</w:t>
      </w:r>
      <w:r>
        <w:rPr>
          <w:spacing w:val="-2"/>
          <w:u w:val="single"/>
        </w:rPr>
        <w:t> </w:t>
      </w:r>
      <w:r>
        <w:rPr>
          <w:u w:val="single"/>
        </w:rPr>
        <w:t>bonne</w:t>
      </w:r>
      <w:r>
        <w:rPr>
          <w:spacing w:val="-4"/>
          <w:u w:val="single"/>
        </w:rPr>
        <w:t> </w:t>
      </w:r>
      <w:r>
        <w:rPr>
          <w:u w:val="single"/>
        </w:rPr>
        <w:t>connaissance</w:t>
      </w:r>
      <w:r>
        <w:rPr>
          <w:spacing w:val="-2"/>
          <w:u w:val="single"/>
        </w:rPr>
        <w:t> </w:t>
      </w:r>
      <w:r>
        <w:rPr>
          <w:u w:val="single"/>
        </w:rPr>
        <w:t>de</w:t>
      </w:r>
      <w:r>
        <w:rPr>
          <w:spacing w:val="-2"/>
          <w:u w:val="single"/>
        </w:rPr>
        <w:t> </w:t>
      </w:r>
      <w:r>
        <w:rPr>
          <w:u w:val="single"/>
        </w:rPr>
        <w:t>l’EN.</w:t>
      </w:r>
      <w:r>
        <w:rPr>
          <w:spacing w:val="-5"/>
          <w:u w:val="single"/>
        </w:rPr>
        <w:t> </w:t>
      </w:r>
      <w:r>
        <w:rPr>
          <w:u w:val="single"/>
        </w:rPr>
        <w:t>Très</w:t>
      </w:r>
      <w:r>
        <w:rPr>
          <w:spacing w:val="-4"/>
          <w:u w:val="single"/>
        </w:rPr>
        <w:t> </w:t>
      </w:r>
      <w:r>
        <w:rPr>
          <w:u w:val="single"/>
        </w:rPr>
        <w:t>bonne</w:t>
      </w:r>
      <w:r>
        <w:rPr>
          <w:spacing w:val="-2"/>
          <w:u w:val="single"/>
        </w:rPr>
        <w:t> </w:t>
      </w:r>
      <w:r>
        <w:rPr>
          <w:u w:val="single"/>
        </w:rPr>
        <w:t>capacité</w:t>
      </w:r>
      <w:r>
        <w:rPr>
          <w:spacing w:val="-4"/>
          <w:u w:val="single"/>
        </w:rPr>
        <w:t> </w:t>
      </w:r>
      <w:r>
        <w:rPr>
          <w:u w:val="single"/>
        </w:rPr>
        <w:t>à</w:t>
      </w:r>
      <w:r>
        <w:rPr>
          <w:spacing w:val="-2"/>
          <w:u w:val="single"/>
        </w:rPr>
        <w:t> </w:t>
      </w:r>
      <w:r>
        <w:rPr>
          <w:u w:val="single"/>
        </w:rPr>
        <w:t>parler</w:t>
      </w:r>
      <w:r>
        <w:rPr>
          <w:spacing w:val="-2"/>
          <w:u w:val="single"/>
        </w:rPr>
        <w:t> </w:t>
      </w:r>
      <w:r>
        <w:rPr>
          <w:u w:val="single"/>
        </w:rPr>
        <w:t>et</w:t>
      </w:r>
      <w:r>
        <w:rPr>
          <w:spacing w:val="-1"/>
          <w:u w:val="single"/>
        </w:rPr>
        <w:t> </w:t>
      </w:r>
      <w:r>
        <w:rPr>
          <w:u w:val="single"/>
        </w:rPr>
        <w:t>à</w:t>
      </w:r>
      <w:r>
        <w:rPr>
          <w:spacing w:val="-2"/>
          <w:u w:val="single"/>
        </w:rPr>
        <w:t> </w:t>
      </w:r>
      <w:r>
        <w:rPr>
          <w:u w:val="single"/>
        </w:rPr>
        <w:t>écrire</w:t>
      </w:r>
      <w:r>
        <w:rPr>
          <w:spacing w:val="-2"/>
          <w:u w:val="single"/>
        </w:rPr>
        <w:t> </w:t>
      </w:r>
      <w:r>
        <w:rPr>
          <w:u w:val="single"/>
        </w:rPr>
        <w:t>en</w:t>
      </w:r>
      <w:r>
        <w:rPr>
          <w:spacing w:val="-2"/>
          <w:u w:val="single"/>
        </w:rPr>
        <w:t> </w:t>
      </w:r>
      <w:r>
        <w:rPr>
          <w:u w:val="single"/>
        </w:rPr>
        <w:t>EN</w:t>
      </w:r>
      <w:r>
        <w:rPr>
          <w:spacing w:val="-6"/>
          <w:u w:val="single"/>
        </w:rPr>
        <w:t> </w:t>
      </w:r>
      <w:r>
        <w:rPr>
          <w:u w:val="single"/>
        </w:rPr>
        <w:t>requise.</w:t>
      </w:r>
      <w:r>
        <w:rPr/>
        <w:t> </w:t>
      </w:r>
      <w:r>
        <w:rPr>
          <w:u w:val="single"/>
        </w:rPr>
        <w:t>La connaissance d’autres langues, notamment de la langue française, est un atout.</w:t>
      </w:r>
    </w:p>
    <w:p>
      <w:pPr>
        <w:pStyle w:val="BodyText"/>
        <w:rPr>
          <w:sz w:val="20"/>
        </w:rPr>
      </w:pPr>
    </w:p>
    <w:p>
      <w:pPr>
        <w:pStyle w:val="BodyText"/>
        <w:rPr>
          <w:sz w:val="20"/>
        </w:rPr>
      </w:pPr>
    </w:p>
    <w:p>
      <w:pPr>
        <w:pStyle w:val="BodyText"/>
        <w:spacing w:before="7"/>
        <w:rPr>
          <w:sz w:val="18"/>
        </w:rPr>
      </w:pPr>
    </w:p>
    <w:p>
      <w:pPr>
        <w:pStyle w:val="ListParagraph"/>
        <w:numPr>
          <w:ilvl w:val="0"/>
          <w:numId w:val="4"/>
        </w:numPr>
        <w:tabs>
          <w:tab w:pos="799" w:val="left" w:leader="none"/>
          <w:tab w:pos="800" w:val="left" w:leader="none"/>
        </w:tabs>
        <w:spacing w:line="240" w:lineRule="auto" w:before="90"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1"/>
        <w:ind w:left="799" w:right="277" w:firstLine="0"/>
        <w:jc w:val="both"/>
        <w:rPr>
          <w:b/>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w:t>
      </w:r>
      <w:r>
        <w:rPr>
          <w:spacing w:val="39"/>
          <w:sz w:val="22"/>
        </w:rPr>
        <w:t> </w:t>
      </w:r>
      <w:r>
        <w:rPr>
          <w:sz w:val="22"/>
        </w:rPr>
        <w:t>mentionner</w:t>
      </w:r>
      <w:r>
        <w:rPr>
          <w:spacing w:val="39"/>
          <w:sz w:val="22"/>
        </w:rPr>
        <w:t> </w:t>
      </w:r>
      <w:r>
        <w:rPr>
          <w:sz w:val="22"/>
        </w:rPr>
        <w:t>la</w:t>
      </w:r>
      <w:r>
        <w:rPr>
          <w:spacing w:val="39"/>
          <w:sz w:val="22"/>
        </w:rPr>
        <w:t> </w:t>
      </w:r>
      <w:r>
        <w:rPr>
          <w:sz w:val="22"/>
        </w:rPr>
        <w:t>date</w:t>
      </w:r>
      <w:r>
        <w:rPr>
          <w:spacing w:val="38"/>
          <w:sz w:val="22"/>
        </w:rPr>
        <w:t> </w:t>
      </w:r>
      <w:r>
        <w:rPr>
          <w:sz w:val="22"/>
        </w:rPr>
        <w:t>de</w:t>
      </w:r>
      <w:r>
        <w:rPr>
          <w:spacing w:val="37"/>
          <w:sz w:val="22"/>
        </w:rPr>
        <w:t> </w:t>
      </w:r>
      <w:r>
        <w:rPr>
          <w:sz w:val="22"/>
        </w:rPr>
        <w:t>naissance</w:t>
      </w:r>
      <w:r>
        <w:rPr>
          <w:spacing w:val="39"/>
          <w:sz w:val="22"/>
        </w:rPr>
        <w:t> </w:t>
      </w:r>
      <w:r>
        <w:rPr>
          <w:sz w:val="22"/>
        </w:rPr>
        <w:t>et</w:t>
      </w:r>
      <w:r>
        <w:rPr>
          <w:spacing w:val="37"/>
          <w:sz w:val="22"/>
        </w:rPr>
        <w:t> </w:t>
      </w:r>
      <w:r>
        <w:rPr>
          <w:sz w:val="22"/>
        </w:rPr>
        <w:t>la</w:t>
      </w:r>
      <w:r>
        <w:rPr>
          <w:spacing w:val="38"/>
          <w:sz w:val="22"/>
        </w:rPr>
        <w:t> </w:t>
      </w:r>
      <w:r>
        <w:rPr>
          <w:sz w:val="22"/>
        </w:rPr>
        <w:t>nationalité</w:t>
      </w:r>
      <w:r>
        <w:rPr>
          <w:spacing w:val="39"/>
          <w:sz w:val="22"/>
        </w:rPr>
        <w:t> </w:t>
      </w:r>
      <w:r>
        <w:rPr>
          <w:sz w:val="22"/>
        </w:rPr>
        <w:t>du</w:t>
      </w:r>
      <w:r>
        <w:rPr>
          <w:spacing w:val="39"/>
          <w:sz w:val="22"/>
        </w:rPr>
        <w:t> </w:t>
      </w:r>
      <w:r>
        <w:rPr>
          <w:sz w:val="22"/>
        </w:rPr>
        <w:t>candidat.</w:t>
      </w:r>
      <w:r>
        <w:rPr>
          <w:spacing w:val="42"/>
          <w:sz w:val="22"/>
        </w:rPr>
        <w:t> </w:t>
      </w:r>
      <w:r>
        <w:rPr>
          <w:b/>
          <w:sz w:val="22"/>
        </w:rPr>
        <w:t>Le</w:t>
      </w:r>
      <w:r>
        <w:rPr>
          <w:b/>
          <w:spacing w:val="39"/>
          <w:sz w:val="22"/>
        </w:rPr>
        <w:t> </w:t>
      </w:r>
      <w:r>
        <w:rPr>
          <w:b/>
          <w:sz w:val="22"/>
        </w:rPr>
        <w:t>non-respect</w:t>
      </w:r>
      <w:r>
        <w:rPr>
          <w:b/>
          <w:spacing w:val="37"/>
          <w:sz w:val="22"/>
        </w:rPr>
        <w:t> </w:t>
      </w:r>
      <w:r>
        <w:rPr>
          <w:b/>
          <w:sz w:val="22"/>
        </w:rPr>
        <w:t>de</w:t>
      </w:r>
      <w:r>
        <w:rPr>
          <w:b/>
          <w:spacing w:val="36"/>
          <w:sz w:val="22"/>
        </w:rPr>
        <w:t> </w:t>
      </w:r>
      <w:r>
        <w:rPr>
          <w:b/>
          <w:spacing w:val="-2"/>
          <w:sz w:val="22"/>
        </w:rPr>
        <w:t>cette</w:t>
      </w:r>
    </w:p>
    <w:p>
      <w:pPr>
        <w:spacing w:after="0"/>
        <w:jc w:val="both"/>
        <w:rPr>
          <w:sz w:val="22"/>
        </w:rPr>
        <w:sectPr>
          <w:pgSz w:w="11910" w:h="16840"/>
          <w:pgMar w:header="0" w:footer="690" w:top="1560" w:bottom="880" w:left="480" w:right="740"/>
        </w:sectPr>
      </w:pPr>
    </w:p>
    <w:p>
      <w:pPr>
        <w:pStyle w:val="BodyText"/>
        <w:spacing w:before="68"/>
        <w:ind w:left="799" w:right="279"/>
        <w:jc w:val="both"/>
      </w:pPr>
      <w:r>
        <w:rPr>
          <w:b/>
        </w:rPr>
        <w:t>procédure ou des délais invalidera automatiquement la candidature.</w:t>
      </w:r>
      <w:r>
        <w:rPr>
          <w:b/>
          <w:spacing w:val="40"/>
        </w:rPr>
        <w:t> </w:t>
      </w:r>
      <w:r>
        <w:rPr/>
        <w:t>Les candidats sont priés de ne pas joindre à leur candidature d'autres documents (tels que copie de carte d'identité, copie des diplômes et attestations</w:t>
      </w:r>
      <w:r>
        <w:rPr>
          <w:spacing w:val="-2"/>
        </w:rPr>
        <w:t> </w:t>
      </w:r>
      <w:r>
        <w:rPr/>
        <w:t>d'expérience</w:t>
      </w:r>
      <w:r>
        <w:rPr>
          <w:spacing w:val="-2"/>
        </w:rPr>
        <w:t> </w:t>
      </w:r>
      <w:r>
        <w:rPr/>
        <w:t>professionnelle,…).</w:t>
      </w:r>
      <w:r>
        <w:rPr>
          <w:spacing w:val="-2"/>
        </w:rPr>
        <w:t> </w:t>
      </w:r>
      <w:r>
        <w:rPr/>
        <w:t>Ces</w:t>
      </w:r>
      <w:r>
        <w:rPr>
          <w:spacing w:val="-2"/>
        </w:rPr>
        <w:t> </w:t>
      </w:r>
      <w:r>
        <w:rPr/>
        <w:t>documents</w:t>
      </w:r>
      <w:r>
        <w:rPr>
          <w:spacing w:val="-2"/>
        </w:rPr>
        <w:t> </w:t>
      </w:r>
      <w:r>
        <w:rPr/>
        <w:t>leur</w:t>
      </w:r>
      <w:r>
        <w:rPr>
          <w:spacing w:val="-1"/>
        </w:rPr>
        <w:t> </w:t>
      </w:r>
      <w:r>
        <w:rPr/>
        <w:t>seront demandés,</w:t>
      </w:r>
      <w:r>
        <w:rPr>
          <w:spacing w:val="-2"/>
        </w:rPr>
        <w:t> </w:t>
      </w:r>
      <w:r>
        <w:rPr/>
        <w:t>le</w:t>
      </w:r>
      <w:r>
        <w:rPr>
          <w:spacing w:val="-2"/>
        </w:rPr>
        <w:t> </w:t>
      </w:r>
      <w:r>
        <w:rPr/>
        <w:t>cas</w:t>
      </w:r>
      <w:r>
        <w:rPr>
          <w:spacing w:val="-2"/>
        </w:rPr>
        <w:t> </w:t>
      </w:r>
      <w:r>
        <w:rPr/>
        <w:t>échéant,</w:t>
      </w:r>
      <w:r>
        <w:rPr>
          <w:spacing w:val="-2"/>
        </w:rPr>
        <w:t> </w:t>
      </w:r>
      <w:r>
        <w:rPr/>
        <w:t>à</w:t>
      </w:r>
      <w:r>
        <w:rPr>
          <w:spacing w:val="-2"/>
        </w:rPr>
        <w:t> </w:t>
      </w:r>
      <w:r>
        <w:rPr/>
        <w:t>un</w:t>
      </w:r>
      <w:r>
        <w:rPr>
          <w:spacing w:val="-2"/>
        </w:rPr>
        <w:t> </w:t>
      </w:r>
      <w:r>
        <w:rPr/>
        <w:t>stade ultérieur de la procédure de sélection.</w:t>
      </w:r>
    </w:p>
    <w:p>
      <w:pPr>
        <w:pStyle w:val="BodyText"/>
        <w:spacing w:before="1"/>
        <w:ind w:left="79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4"/>
        </w:numPr>
        <w:tabs>
          <w:tab w:pos="800" w:val="left" w:leader="none"/>
        </w:tabs>
        <w:spacing w:line="240" w:lineRule="auto" w:before="7"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pStyle w:val="BodyText"/>
        <w:spacing w:before="91"/>
        <w:ind w:left="799" w:right="27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rPr>
          <w:sz w:val="14"/>
        </w:rPr>
      </w:pPr>
    </w:p>
    <w:p>
      <w:pPr>
        <w:pStyle w:val="BodyText"/>
        <w:spacing w:before="92"/>
        <w:ind w:left="79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79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9"/>
      </w:pPr>
      <w:r>
        <w:rPr/>
        <w:t>Durant</w:t>
      </w:r>
      <w:r>
        <w:rPr>
          <w:spacing w:val="30"/>
        </w:rPr>
        <w:t> </w:t>
      </w:r>
      <w:r>
        <w:rPr/>
        <w:t>le</w:t>
      </w:r>
      <w:r>
        <w:rPr>
          <w:spacing w:val="29"/>
        </w:rPr>
        <w:t> </w:t>
      </w:r>
      <w:r>
        <w:rPr/>
        <w:t>détachement,</w:t>
      </w:r>
      <w:r>
        <w:rPr>
          <w:spacing w:val="31"/>
        </w:rPr>
        <w:t> </w:t>
      </w:r>
      <w:r>
        <w:rPr/>
        <w:t>l'END</w:t>
      </w:r>
      <w:r>
        <w:rPr>
          <w:spacing w:val="30"/>
        </w:rPr>
        <w:t> </w:t>
      </w:r>
      <w:r>
        <w:rPr/>
        <w:t>sera</w:t>
      </w:r>
      <w:r>
        <w:rPr>
          <w:spacing w:val="29"/>
        </w:rPr>
        <w:t> </w:t>
      </w:r>
      <w:r>
        <w:rPr/>
        <w:t>soumis</w:t>
      </w:r>
      <w:r>
        <w:rPr>
          <w:spacing w:val="31"/>
        </w:rPr>
        <w:t> </w:t>
      </w:r>
      <w:r>
        <w:rPr/>
        <w:t>aux</w:t>
      </w:r>
      <w:r>
        <w:rPr>
          <w:spacing w:val="32"/>
        </w:rPr>
        <w:t> </w:t>
      </w:r>
      <w:r>
        <w:rPr/>
        <w:t>obligations</w:t>
      </w:r>
      <w:r>
        <w:rPr>
          <w:spacing w:val="31"/>
        </w:rPr>
        <w:t> </w:t>
      </w:r>
      <w:r>
        <w:rPr/>
        <w:t>de</w:t>
      </w:r>
      <w:r>
        <w:rPr>
          <w:spacing w:val="32"/>
        </w:rPr>
        <w:t> </w:t>
      </w:r>
      <w:r>
        <w:rPr/>
        <w:t>confidentialité,</w:t>
      </w:r>
      <w:r>
        <w:rPr>
          <w:spacing w:val="29"/>
        </w:rPr>
        <w:t> </w:t>
      </w:r>
      <w:r>
        <w:rPr/>
        <w:t>de</w:t>
      </w:r>
      <w:r>
        <w:rPr>
          <w:spacing w:val="32"/>
        </w:rPr>
        <w:t> </w:t>
      </w:r>
      <w:r>
        <w:rPr/>
        <w:t>loyauté</w:t>
      </w:r>
      <w:r>
        <w:rPr>
          <w:spacing w:val="32"/>
        </w:rPr>
        <w:t> </w:t>
      </w:r>
      <w:r>
        <w:rPr/>
        <w:t>et</w:t>
      </w:r>
      <w:r>
        <w:rPr>
          <w:spacing w:val="32"/>
        </w:rPr>
        <w:t> </w:t>
      </w:r>
      <w:r>
        <w:rPr/>
        <w:t>d'absence</w:t>
      </w:r>
      <w:r>
        <w:rPr>
          <w:spacing w:val="32"/>
        </w:rPr>
        <w:t> </w:t>
      </w:r>
      <w:r>
        <w:rPr/>
        <w:t>de conflit d'intérêt prévues par les articles 6 et 7 de la décision END.</w:t>
      </w:r>
    </w:p>
    <w:p>
      <w:pPr>
        <w:pStyle w:val="BodyTex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spacing w:before="1"/>
        <w:ind w:left="79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79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799" w:right="289"/>
        <w:jc w:val="both"/>
      </w:pPr>
      <w:r>
        <w:rPr/>
        <w:t>Les données des END seront conservées pendant 10 ans à compter de la fin du détachement (2 ans pour les END dont la candidature n'a pas été retenue ou a été retirée).</w:t>
      </w:r>
    </w:p>
    <w:p>
      <w:pPr>
        <w:pStyle w:val="BodyText"/>
        <w:spacing w:before="1"/>
        <w:ind w:left="799" w:right="283"/>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ind w:left="79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ind w:left="79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6"/>
        </w:numPr>
        <w:tabs>
          <w:tab w:pos="1081" w:val="left" w:leader="none"/>
        </w:tabs>
        <w:spacing w:line="252" w:lineRule="exact" w:before="92" w:after="0"/>
        <w:ind w:left="108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79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rPr>
          <w:sz w:val="14"/>
        </w:rPr>
      </w:pPr>
    </w:p>
    <w:p>
      <w:pPr>
        <w:pStyle w:val="Heading1"/>
        <w:numPr>
          <w:ilvl w:val="0"/>
          <w:numId w:val="6"/>
        </w:numPr>
        <w:tabs>
          <w:tab w:pos="1081" w:val="left" w:leader="none"/>
        </w:tabs>
        <w:spacing w:line="240" w:lineRule="auto" w:before="91" w:after="0"/>
        <w:ind w:left="108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2"/>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1081" w:val="left" w:leader="none"/>
        </w:tabs>
        <w:spacing w:line="240" w:lineRule="auto" w:before="4" w:after="0"/>
        <w:ind w:left="108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spacing w:after="0" w:line="240" w:lineRule="auto"/>
        <w:jc w:val="both"/>
        <w:sectPr>
          <w:pgSz w:w="11910" w:h="16840"/>
          <w:pgMar w:header="0" w:footer="690" w:top="1040" w:bottom="880" w:left="480" w:right="740"/>
        </w:sectPr>
      </w:pPr>
    </w:p>
    <w:p>
      <w:pPr>
        <w:pStyle w:val="BodyText"/>
        <w:spacing w:before="68"/>
        <w:ind w:left="79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799"/>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336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13" w:hanging="308"/>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936" w:hanging="308"/>
      </w:pPr>
      <w:rPr>
        <w:rFonts w:hint="default"/>
        <w:lang w:val="fr-FR" w:eastAsia="en-US" w:bidi="ar-SA"/>
      </w:rPr>
    </w:lvl>
    <w:lvl w:ilvl="2">
      <w:start w:val="0"/>
      <w:numFmt w:val="bullet"/>
      <w:lvlText w:val="•"/>
      <w:lvlJc w:val="left"/>
      <w:pPr>
        <w:ind w:left="1453" w:hanging="308"/>
      </w:pPr>
      <w:rPr>
        <w:rFonts w:hint="default"/>
        <w:lang w:val="fr-FR" w:eastAsia="en-US" w:bidi="ar-SA"/>
      </w:rPr>
    </w:lvl>
    <w:lvl w:ilvl="3">
      <w:start w:val="0"/>
      <w:numFmt w:val="bullet"/>
      <w:lvlText w:val="•"/>
      <w:lvlJc w:val="left"/>
      <w:pPr>
        <w:ind w:left="1970" w:hanging="308"/>
      </w:pPr>
      <w:rPr>
        <w:rFonts w:hint="default"/>
        <w:lang w:val="fr-FR" w:eastAsia="en-US" w:bidi="ar-SA"/>
      </w:rPr>
    </w:lvl>
    <w:lvl w:ilvl="4">
      <w:start w:val="0"/>
      <w:numFmt w:val="bullet"/>
      <w:lvlText w:val="•"/>
      <w:lvlJc w:val="left"/>
      <w:pPr>
        <w:ind w:left="2486" w:hanging="308"/>
      </w:pPr>
      <w:rPr>
        <w:rFonts w:hint="default"/>
        <w:lang w:val="fr-FR" w:eastAsia="en-US" w:bidi="ar-SA"/>
      </w:rPr>
    </w:lvl>
    <w:lvl w:ilvl="5">
      <w:start w:val="0"/>
      <w:numFmt w:val="bullet"/>
      <w:lvlText w:val="•"/>
      <w:lvlJc w:val="left"/>
      <w:pPr>
        <w:ind w:left="3003" w:hanging="308"/>
      </w:pPr>
      <w:rPr>
        <w:rFonts w:hint="default"/>
        <w:lang w:val="fr-FR" w:eastAsia="en-US" w:bidi="ar-SA"/>
      </w:rPr>
    </w:lvl>
    <w:lvl w:ilvl="6">
      <w:start w:val="0"/>
      <w:numFmt w:val="bullet"/>
      <w:lvlText w:val="•"/>
      <w:lvlJc w:val="left"/>
      <w:pPr>
        <w:ind w:left="3520" w:hanging="308"/>
      </w:pPr>
      <w:rPr>
        <w:rFonts w:hint="default"/>
        <w:lang w:val="fr-FR" w:eastAsia="en-US" w:bidi="ar-SA"/>
      </w:rPr>
    </w:lvl>
    <w:lvl w:ilvl="7">
      <w:start w:val="0"/>
      <w:numFmt w:val="bullet"/>
      <w:lvlText w:val="•"/>
      <w:lvlJc w:val="left"/>
      <w:pPr>
        <w:ind w:left="4036" w:hanging="308"/>
      </w:pPr>
      <w:rPr>
        <w:rFonts w:hint="default"/>
        <w:lang w:val="fr-FR" w:eastAsia="en-US" w:bidi="ar-SA"/>
      </w:rPr>
    </w:lvl>
    <w:lvl w:ilvl="8">
      <w:start w:val="0"/>
      <w:numFmt w:val="bullet"/>
      <w:lvlText w:val="•"/>
      <w:lvlJc w:val="left"/>
      <w:pPr>
        <w:ind w:left="4553" w:hanging="308"/>
      </w:pPr>
      <w:rPr>
        <w:rFonts w:hint="default"/>
        <w:lang w:val="fr-FR" w:eastAsia="en-US" w:bidi="ar-SA"/>
      </w:rPr>
    </w:lvl>
  </w:abstractNum>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4">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148" w:hanging="125"/>
      </w:pPr>
      <w:rPr>
        <w:rFonts w:hint="default"/>
        <w:lang w:val="fr-FR" w:eastAsia="en-US" w:bidi="ar-SA"/>
      </w:rPr>
    </w:lvl>
    <w:lvl w:ilvl="2">
      <w:start w:val="0"/>
      <w:numFmt w:val="bullet"/>
      <w:lvlText w:val="•"/>
      <w:lvlJc w:val="left"/>
      <w:pPr>
        <w:ind w:left="3097" w:hanging="125"/>
      </w:pPr>
      <w:rPr>
        <w:rFonts w:hint="default"/>
        <w:lang w:val="fr-FR" w:eastAsia="en-US" w:bidi="ar-SA"/>
      </w:rPr>
    </w:lvl>
    <w:lvl w:ilvl="3">
      <w:start w:val="0"/>
      <w:numFmt w:val="bullet"/>
      <w:lvlText w:val="•"/>
      <w:lvlJc w:val="left"/>
      <w:pPr>
        <w:ind w:left="4045" w:hanging="125"/>
      </w:pPr>
      <w:rPr>
        <w:rFonts w:hint="default"/>
        <w:lang w:val="fr-FR" w:eastAsia="en-US" w:bidi="ar-SA"/>
      </w:rPr>
    </w:lvl>
    <w:lvl w:ilvl="4">
      <w:start w:val="0"/>
      <w:numFmt w:val="bullet"/>
      <w:lvlText w:val="•"/>
      <w:lvlJc w:val="left"/>
      <w:pPr>
        <w:ind w:left="4994" w:hanging="125"/>
      </w:pPr>
      <w:rPr>
        <w:rFonts w:hint="default"/>
        <w:lang w:val="fr-FR" w:eastAsia="en-US" w:bidi="ar-SA"/>
      </w:rPr>
    </w:lvl>
    <w:lvl w:ilvl="5">
      <w:start w:val="0"/>
      <w:numFmt w:val="bullet"/>
      <w:lvlText w:val="•"/>
      <w:lvlJc w:val="left"/>
      <w:pPr>
        <w:ind w:left="5943" w:hanging="125"/>
      </w:pPr>
      <w:rPr>
        <w:rFonts w:hint="default"/>
        <w:lang w:val="fr-FR" w:eastAsia="en-US" w:bidi="ar-SA"/>
      </w:rPr>
    </w:lvl>
    <w:lvl w:ilvl="6">
      <w:start w:val="0"/>
      <w:numFmt w:val="bullet"/>
      <w:lvlText w:val="•"/>
      <w:lvlJc w:val="left"/>
      <w:pPr>
        <w:ind w:left="6891" w:hanging="125"/>
      </w:pPr>
      <w:rPr>
        <w:rFonts w:hint="default"/>
        <w:lang w:val="fr-FR" w:eastAsia="en-US" w:bidi="ar-SA"/>
      </w:rPr>
    </w:lvl>
    <w:lvl w:ilvl="7">
      <w:start w:val="0"/>
      <w:numFmt w:val="bullet"/>
      <w:lvlText w:val="•"/>
      <w:lvlJc w:val="left"/>
      <w:pPr>
        <w:ind w:left="7840" w:hanging="125"/>
      </w:pPr>
      <w:rPr>
        <w:rFonts w:hint="default"/>
        <w:lang w:val="fr-FR" w:eastAsia="en-US" w:bidi="ar-SA"/>
      </w:rPr>
    </w:lvl>
    <w:lvl w:ilvl="8">
      <w:start w:val="0"/>
      <w:numFmt w:val="bullet"/>
      <w:lvlText w:val="•"/>
      <w:lvlJc w:val="left"/>
      <w:pPr>
        <w:ind w:left="8789" w:hanging="125"/>
      </w:pPr>
      <w:rPr>
        <w:rFonts w:hint="default"/>
        <w:lang w:val="fr-FR"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0"/>
      <w:numFmt w:val="bullet"/>
      <w:lvlText w:val=""/>
      <w:lvlJc w:val="left"/>
      <w:pPr>
        <w:ind w:left="468" w:hanging="363"/>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972" w:hanging="363"/>
      </w:pPr>
      <w:rPr>
        <w:rFonts w:hint="default"/>
        <w:lang w:val="fr-FR" w:eastAsia="en-US" w:bidi="ar-SA"/>
      </w:rPr>
    </w:lvl>
    <w:lvl w:ilvl="2">
      <w:start w:val="0"/>
      <w:numFmt w:val="bullet"/>
      <w:lvlText w:val="•"/>
      <w:lvlJc w:val="left"/>
      <w:pPr>
        <w:ind w:left="1485" w:hanging="363"/>
      </w:pPr>
      <w:rPr>
        <w:rFonts w:hint="default"/>
        <w:lang w:val="fr-FR" w:eastAsia="en-US" w:bidi="ar-SA"/>
      </w:rPr>
    </w:lvl>
    <w:lvl w:ilvl="3">
      <w:start w:val="0"/>
      <w:numFmt w:val="bullet"/>
      <w:lvlText w:val="•"/>
      <w:lvlJc w:val="left"/>
      <w:pPr>
        <w:ind w:left="1998" w:hanging="363"/>
      </w:pPr>
      <w:rPr>
        <w:rFonts w:hint="default"/>
        <w:lang w:val="fr-FR" w:eastAsia="en-US" w:bidi="ar-SA"/>
      </w:rPr>
    </w:lvl>
    <w:lvl w:ilvl="4">
      <w:start w:val="0"/>
      <w:numFmt w:val="bullet"/>
      <w:lvlText w:val="•"/>
      <w:lvlJc w:val="left"/>
      <w:pPr>
        <w:ind w:left="2510" w:hanging="363"/>
      </w:pPr>
      <w:rPr>
        <w:rFonts w:hint="default"/>
        <w:lang w:val="fr-FR" w:eastAsia="en-US" w:bidi="ar-SA"/>
      </w:rPr>
    </w:lvl>
    <w:lvl w:ilvl="5">
      <w:start w:val="0"/>
      <w:numFmt w:val="bullet"/>
      <w:lvlText w:val="•"/>
      <w:lvlJc w:val="left"/>
      <w:pPr>
        <w:ind w:left="3023" w:hanging="363"/>
      </w:pPr>
      <w:rPr>
        <w:rFonts w:hint="default"/>
        <w:lang w:val="fr-FR" w:eastAsia="en-US" w:bidi="ar-SA"/>
      </w:rPr>
    </w:lvl>
    <w:lvl w:ilvl="6">
      <w:start w:val="0"/>
      <w:numFmt w:val="bullet"/>
      <w:lvlText w:val="•"/>
      <w:lvlJc w:val="left"/>
      <w:pPr>
        <w:ind w:left="3536" w:hanging="363"/>
      </w:pPr>
      <w:rPr>
        <w:rFonts w:hint="default"/>
        <w:lang w:val="fr-FR" w:eastAsia="en-US" w:bidi="ar-SA"/>
      </w:rPr>
    </w:lvl>
    <w:lvl w:ilvl="7">
      <w:start w:val="0"/>
      <w:numFmt w:val="bullet"/>
      <w:lvlText w:val="•"/>
      <w:lvlJc w:val="left"/>
      <w:pPr>
        <w:ind w:left="4048" w:hanging="363"/>
      </w:pPr>
      <w:rPr>
        <w:rFonts w:hint="default"/>
        <w:lang w:val="fr-FR" w:eastAsia="en-US" w:bidi="ar-SA"/>
      </w:rPr>
    </w:lvl>
    <w:lvl w:ilvl="8">
      <w:start w:val="0"/>
      <w:numFmt w:val="bullet"/>
      <w:lvlText w:val="•"/>
      <w:lvlJc w:val="left"/>
      <w:pPr>
        <w:ind w:left="4561" w:hanging="363"/>
      </w:pPr>
      <w:rPr>
        <w:rFonts w:hint="default"/>
        <w:lang w:val="fr-FR"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280" w:hanging="281"/>
      </w:pPr>
      <w:rPr>
        <w:rFonts w:hint="default"/>
        <w:lang w:val="fr-FR" w:eastAsia="en-US" w:bidi="ar-SA"/>
      </w:rPr>
    </w:lvl>
    <w:lvl w:ilvl="4">
      <w:start w:val="0"/>
      <w:numFmt w:val="bullet"/>
      <w:lvlText w:val="•"/>
      <w:lvlJc w:val="left"/>
      <w:pPr>
        <w:ind w:left="3481" w:hanging="281"/>
      </w:pPr>
      <w:rPr>
        <w:rFonts w:hint="default"/>
        <w:lang w:val="fr-FR" w:eastAsia="en-US" w:bidi="ar-SA"/>
      </w:rPr>
    </w:lvl>
    <w:lvl w:ilvl="5">
      <w:start w:val="0"/>
      <w:numFmt w:val="bullet"/>
      <w:lvlText w:val="•"/>
      <w:lvlJc w:val="left"/>
      <w:pPr>
        <w:ind w:left="4682" w:hanging="281"/>
      </w:pPr>
      <w:rPr>
        <w:rFonts w:hint="default"/>
        <w:lang w:val="fr-FR" w:eastAsia="en-US" w:bidi="ar-SA"/>
      </w:rPr>
    </w:lvl>
    <w:lvl w:ilvl="6">
      <w:start w:val="0"/>
      <w:numFmt w:val="bullet"/>
      <w:lvlText w:val="•"/>
      <w:lvlJc w:val="left"/>
      <w:pPr>
        <w:ind w:left="5883" w:hanging="281"/>
      </w:pPr>
      <w:rPr>
        <w:rFonts w:hint="default"/>
        <w:lang w:val="fr-FR" w:eastAsia="en-US" w:bidi="ar-SA"/>
      </w:rPr>
    </w:lvl>
    <w:lvl w:ilvl="7">
      <w:start w:val="0"/>
      <w:numFmt w:val="bullet"/>
      <w:lvlText w:val="•"/>
      <w:lvlJc w:val="left"/>
      <w:pPr>
        <w:ind w:left="7084" w:hanging="281"/>
      </w:pPr>
      <w:rPr>
        <w:rFonts w:hint="default"/>
        <w:lang w:val="fr-FR" w:eastAsia="en-US" w:bidi="ar-SA"/>
      </w:rPr>
    </w:lvl>
    <w:lvl w:ilvl="8">
      <w:start w:val="0"/>
      <w:numFmt w:val="bullet"/>
      <w:lvlText w:val="•"/>
      <w:lvlJc w:val="left"/>
      <w:pPr>
        <w:ind w:left="8284" w:hanging="281"/>
      </w:pPr>
      <w:rPr>
        <w:rFonts w:hint="default"/>
        <w:lang w:val="fr-FR" w:eastAsia="en-US" w:bidi="ar-SA"/>
      </w:rPr>
    </w:lvl>
  </w:abstractNum>
  <w:num w:numId="1">
    <w:abstractNumId w:val="0"/>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espina.Vassiliadou@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2023-02-16T16:51:37Z</dcterms:created>
  <dcterms:modified xsi:type="dcterms:W3CDTF">2023-02-16T16:51:37Z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