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09"/>
        <w:gridCol w:w="308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6" w:type="dxa"/>
            <w:gridSpan w:val="2"/>
          </w:tcPr>
          <w:p>
            <w:pPr>
              <w:pStyle w:val="TableParagraph"/>
              <w:spacing w:before="167"/>
              <w:rPr>
                <w:b/>
                <w:sz w:val="24"/>
              </w:rPr>
            </w:pPr>
            <w:r>
              <w:rPr>
                <w:b/>
                <w:spacing w:val="-2"/>
                <w:sz w:val="24"/>
              </w:rPr>
              <w:t>INTPA-G-</w:t>
            </w:r>
            <w:r>
              <w:rPr>
                <w:b/>
                <w:spacing w:val="-5"/>
                <w:sz w:val="24"/>
              </w:rPr>
              <w:t>5_A</w:t>
            </w:r>
          </w:p>
        </w:tc>
      </w:tr>
      <w:tr>
        <w:trPr>
          <w:trHeight w:val="256" w:hRule="atLeast"/>
        </w:trPr>
        <w:tc>
          <w:tcPr>
            <w:tcW w:w="4359" w:type="dxa"/>
            <w:tcBorders>
              <w:bottom w:val="nil"/>
            </w:tcBorders>
          </w:tcPr>
          <w:p>
            <w:pPr>
              <w:pStyle w:val="TableParagraph"/>
              <w:spacing w:line="237"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tc>
        <w:tc>
          <w:tcPr>
            <w:tcW w:w="5596" w:type="dxa"/>
            <w:gridSpan w:val="2"/>
            <w:tcBorders>
              <w:bottom w:val="nil"/>
            </w:tcBorders>
          </w:tcPr>
          <w:p>
            <w:pPr>
              <w:pStyle w:val="TableParagraph"/>
              <w:spacing w:line="237" w:lineRule="exact"/>
              <w:rPr>
                <w:b/>
                <w:sz w:val="22"/>
              </w:rPr>
            </w:pPr>
            <w:r>
              <w:rPr>
                <w:b/>
                <w:sz w:val="22"/>
              </w:rPr>
              <w:t>Olivier</w:t>
            </w:r>
            <w:r>
              <w:rPr>
                <w:b/>
                <w:spacing w:val="-4"/>
                <w:sz w:val="22"/>
              </w:rPr>
              <w:t> </w:t>
            </w:r>
            <w:r>
              <w:rPr>
                <w:b/>
                <w:spacing w:val="-2"/>
                <w:sz w:val="22"/>
              </w:rPr>
              <w:t>Luyckx</w:t>
            </w:r>
          </w:p>
        </w:tc>
      </w:tr>
      <w:tr>
        <w:trPr>
          <w:trHeight w:val="253" w:hRule="atLeast"/>
        </w:trPr>
        <w:tc>
          <w:tcPr>
            <w:tcW w:w="4359" w:type="dxa"/>
            <w:tcBorders>
              <w:top w:val="nil"/>
              <w:bottom w:val="nil"/>
            </w:tcBorders>
          </w:tcPr>
          <w:p>
            <w:pPr>
              <w:pStyle w:val="TableParagraph"/>
              <w:spacing w:line="233" w:lineRule="exact"/>
              <w:rPr>
                <w:b/>
                <w:sz w:val="22"/>
              </w:rPr>
            </w:pPr>
            <w:r>
              <w:rPr>
                <w:b/>
                <w:sz w:val="22"/>
              </w:rPr>
              <w:t>Adresse</w:t>
            </w:r>
            <w:r>
              <w:rPr>
                <w:b/>
                <w:spacing w:val="-5"/>
                <w:sz w:val="22"/>
              </w:rPr>
              <w:t> </w:t>
            </w:r>
            <w:r>
              <w:rPr>
                <w:b/>
                <w:sz w:val="22"/>
              </w:rPr>
              <w:t>e-mail</w:t>
            </w:r>
            <w:r>
              <w:rPr>
                <w:b/>
                <w:spacing w:val="-5"/>
                <w:sz w:val="22"/>
              </w:rPr>
              <w:t> </w:t>
            </w:r>
            <w:r>
              <w:rPr>
                <w:b/>
                <w:spacing w:val="-10"/>
                <w:sz w:val="22"/>
              </w:rPr>
              <w:t>:</w:t>
            </w:r>
          </w:p>
        </w:tc>
        <w:tc>
          <w:tcPr>
            <w:tcW w:w="5596" w:type="dxa"/>
            <w:gridSpan w:val="2"/>
            <w:tcBorders>
              <w:top w:val="nil"/>
              <w:bottom w:val="nil"/>
            </w:tcBorders>
          </w:tcPr>
          <w:p>
            <w:pPr>
              <w:pStyle w:val="TableParagraph"/>
              <w:spacing w:line="233" w:lineRule="exact"/>
              <w:rPr>
                <w:b/>
                <w:sz w:val="22"/>
              </w:rPr>
            </w:pPr>
            <w:hyperlink r:id="rId7">
              <w:r>
                <w:rPr>
                  <w:b/>
                  <w:spacing w:val="-2"/>
                  <w:sz w:val="22"/>
                </w:rPr>
                <w:t>Olivier.Luyckx@ec.europa.eu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z w:val="22"/>
              </w:rPr>
              <w:t>Téléphone</w:t>
            </w:r>
            <w:r>
              <w:rPr>
                <w:b/>
                <w:spacing w:val="-5"/>
                <w:sz w:val="22"/>
              </w:rPr>
              <w:t> </w:t>
            </w:r>
            <w:r>
              <w:rPr>
                <w:b/>
                <w:spacing w:val="-10"/>
                <w:sz w:val="22"/>
              </w:rPr>
              <w:t>:</w:t>
            </w:r>
          </w:p>
        </w:tc>
        <w:tc>
          <w:tcPr>
            <w:tcW w:w="5596" w:type="dxa"/>
            <w:gridSpan w:val="2"/>
            <w:tcBorders>
              <w:top w:val="nil"/>
              <w:bottom w:val="nil"/>
            </w:tcBorders>
          </w:tcPr>
          <w:p>
            <w:pPr>
              <w:pStyle w:val="TableParagraph"/>
              <w:spacing w:line="233" w:lineRule="exact"/>
              <w:rPr>
                <w:b/>
                <w:sz w:val="22"/>
              </w:rPr>
            </w:pPr>
            <w:r>
              <w:rPr>
                <w:b/>
                <w:sz w:val="22"/>
              </w:rPr>
              <w:t>+32</w:t>
            </w:r>
            <w:r>
              <w:rPr>
                <w:b/>
                <w:spacing w:val="-2"/>
                <w:sz w:val="22"/>
              </w:rPr>
              <w:t> </w:t>
            </w:r>
            <w:r>
              <w:rPr>
                <w:b/>
                <w:sz w:val="22"/>
              </w:rPr>
              <w:t>229-</w:t>
            </w:r>
            <w:r>
              <w:rPr>
                <w:b/>
                <w:spacing w:val="-2"/>
                <w:sz w:val="22"/>
              </w:rPr>
              <w:t>64110</w:t>
            </w:r>
          </w:p>
        </w:tc>
      </w:tr>
      <w:tr>
        <w:trPr>
          <w:trHeight w:val="253" w:hRule="atLeast"/>
        </w:trPr>
        <w:tc>
          <w:tcPr>
            <w:tcW w:w="4359" w:type="dxa"/>
            <w:tcBorders>
              <w:top w:val="nil"/>
              <w:bottom w:val="nil"/>
            </w:tcBorders>
          </w:tcPr>
          <w:p>
            <w:pPr>
              <w:pStyle w:val="TableParagraph"/>
              <w:spacing w:line="233" w:lineRule="exact"/>
              <w:rPr>
                <w:b/>
                <w:sz w:val="22"/>
              </w:rPr>
            </w:pPr>
            <w:r>
              <w:rPr>
                <w:b/>
                <w:sz w:val="22"/>
              </w:rPr>
              <w:t>Nombre</w:t>
            </w:r>
            <w:r>
              <w:rPr>
                <w:b/>
                <w:spacing w:val="-3"/>
                <w:sz w:val="22"/>
              </w:rPr>
              <w:t> </w:t>
            </w:r>
            <w:r>
              <w:rPr>
                <w:b/>
                <w:sz w:val="22"/>
              </w:rPr>
              <w:t>de</w:t>
            </w:r>
            <w:r>
              <w:rPr>
                <w:b/>
                <w:spacing w:val="-2"/>
                <w:sz w:val="22"/>
              </w:rPr>
              <w:t> </w:t>
            </w:r>
            <w:r>
              <w:rPr>
                <w:b/>
                <w:sz w:val="22"/>
              </w:rPr>
              <w:t>postes</w:t>
            </w:r>
            <w:r>
              <w:rPr>
                <w:b/>
                <w:spacing w:val="-2"/>
                <w:sz w:val="22"/>
              </w:rPr>
              <w:t> disponibles:</w:t>
            </w:r>
          </w:p>
        </w:tc>
        <w:tc>
          <w:tcPr>
            <w:tcW w:w="5596" w:type="dxa"/>
            <w:gridSpan w:val="2"/>
            <w:tcBorders>
              <w:top w:val="nil"/>
              <w:bottom w:val="nil"/>
            </w:tcBorders>
          </w:tcPr>
          <w:p>
            <w:pPr>
              <w:pStyle w:val="TableParagraph"/>
              <w:spacing w:line="233" w:lineRule="exact"/>
              <w:rPr>
                <w:b/>
                <w:sz w:val="22"/>
              </w:rPr>
            </w:pPr>
            <w:r>
              <w:rPr>
                <w:b/>
                <w:w w:val="100"/>
                <w:sz w:val="22"/>
              </w:rPr>
              <w:t>1</w:t>
            </w:r>
          </w:p>
        </w:tc>
      </w:tr>
      <w:tr>
        <w:trPr>
          <w:trHeight w:val="252" w:hRule="atLeast"/>
        </w:trPr>
        <w:tc>
          <w:tcPr>
            <w:tcW w:w="4359" w:type="dxa"/>
            <w:tcBorders>
              <w:top w:val="nil"/>
              <w:bottom w:val="nil"/>
            </w:tcBorders>
          </w:tcPr>
          <w:p>
            <w:pPr>
              <w:pStyle w:val="TableParagraph"/>
              <w:spacing w:line="232" w:lineRule="exact"/>
              <w:rPr>
                <w:b/>
                <w:sz w:val="22"/>
              </w:rPr>
            </w:pPr>
            <w:r>
              <w:rPr>
                <w:b/>
                <w:sz w:val="22"/>
              </w:rPr>
              <w:t>Prise</w:t>
            </w:r>
            <w:r>
              <w:rPr>
                <w:b/>
                <w:spacing w:val="-4"/>
                <w:sz w:val="22"/>
              </w:rPr>
              <w:t> </w:t>
            </w:r>
            <w:r>
              <w:rPr>
                <w:b/>
                <w:sz w:val="22"/>
              </w:rPr>
              <w:t>de</w:t>
            </w:r>
            <w:r>
              <w:rPr>
                <w:b/>
                <w:spacing w:val="-5"/>
                <w:sz w:val="22"/>
              </w:rPr>
              <w:t> </w:t>
            </w:r>
            <w:r>
              <w:rPr>
                <w:b/>
                <w:sz w:val="22"/>
              </w:rPr>
              <w:t>fonction</w:t>
            </w:r>
            <w:r>
              <w:rPr>
                <w:b/>
                <w:spacing w:val="-5"/>
                <w:sz w:val="22"/>
              </w:rPr>
              <w:t> </w:t>
            </w:r>
            <w:r>
              <w:rPr>
                <w:b/>
                <w:sz w:val="22"/>
              </w:rPr>
              <w:t>souhaitée</w:t>
            </w:r>
            <w:r>
              <w:rPr>
                <w:b/>
                <w:spacing w:val="1"/>
                <w:sz w:val="22"/>
              </w:rPr>
              <w:t> </w:t>
            </w:r>
            <w:r>
              <w:rPr>
                <w:b/>
                <w:spacing w:val="-10"/>
                <w:sz w:val="22"/>
              </w:rPr>
              <w:t>:</w:t>
            </w:r>
          </w:p>
        </w:tc>
        <w:tc>
          <w:tcPr>
            <w:tcW w:w="5596" w:type="dxa"/>
            <w:gridSpan w:val="2"/>
            <w:tcBorders>
              <w:top w:val="nil"/>
              <w:bottom w:val="nil"/>
            </w:tcBorders>
          </w:tcPr>
          <w:p>
            <w:pPr>
              <w:pStyle w:val="TableParagraph"/>
              <w:spacing w:line="232" w:lineRule="exact"/>
              <w:rPr>
                <w:b/>
                <w:sz w:val="22"/>
              </w:rPr>
            </w:pPr>
            <w:r>
              <w:rPr>
                <w:b/>
                <w:sz w:val="22"/>
              </w:rPr>
              <w:t>3</w:t>
            </w:r>
            <w:r>
              <w:rPr>
                <w:b/>
                <w:sz w:val="22"/>
                <w:vertAlign w:val="superscript"/>
              </w:rPr>
              <w:t>ème</w:t>
            </w:r>
            <w:r>
              <w:rPr>
                <w:b/>
                <w:spacing w:val="-4"/>
                <w:sz w:val="22"/>
                <w:vertAlign w:val="baseline"/>
              </w:rPr>
              <w:t> </w:t>
            </w:r>
            <w:r>
              <w:rPr>
                <w:b/>
                <w:sz w:val="22"/>
                <w:vertAlign w:val="baseline"/>
              </w:rPr>
              <w:t>trimestre</w:t>
            </w:r>
            <w:r>
              <w:rPr>
                <w:b/>
                <w:spacing w:val="-4"/>
                <w:sz w:val="22"/>
                <w:vertAlign w:val="baseline"/>
              </w:rPr>
              <w:t> </w:t>
            </w:r>
            <w:r>
              <w:rPr>
                <w:b/>
                <w:sz w:val="22"/>
                <w:vertAlign w:val="baseline"/>
              </w:rPr>
              <w:t>2023</w:t>
            </w:r>
            <w:r>
              <w:rPr>
                <w:b/>
                <w:spacing w:val="-6"/>
                <w:sz w:val="22"/>
                <w:vertAlign w:val="baseline"/>
              </w:rPr>
              <w:t> </w:t>
            </w:r>
            <w:r>
              <w:rPr>
                <w:b/>
                <w:spacing w:val="-10"/>
                <w:sz w:val="22"/>
                <w:vertAlign w:val="superscript"/>
              </w:rPr>
              <w:t>1</w:t>
            </w:r>
          </w:p>
        </w:tc>
      </w:tr>
      <w:tr>
        <w:trPr>
          <w:trHeight w:val="251" w:hRule="atLeast"/>
        </w:trPr>
        <w:tc>
          <w:tcPr>
            <w:tcW w:w="4359" w:type="dxa"/>
            <w:tcBorders>
              <w:top w:val="nil"/>
              <w:bottom w:val="nil"/>
            </w:tcBorders>
          </w:tcPr>
          <w:p>
            <w:pPr>
              <w:pStyle w:val="TableParagraph"/>
              <w:spacing w:line="231" w:lineRule="exact"/>
              <w:rPr>
                <w:b/>
                <w:sz w:val="22"/>
              </w:rPr>
            </w:pPr>
            <w:r>
              <w:rPr>
                <w:b/>
                <w:sz w:val="22"/>
              </w:rPr>
              <w:t>Durée</w:t>
            </w:r>
            <w:r>
              <w:rPr>
                <w:b/>
                <w:spacing w:val="-6"/>
                <w:sz w:val="22"/>
              </w:rPr>
              <w:t> </w:t>
            </w:r>
            <w:r>
              <w:rPr>
                <w:b/>
                <w:sz w:val="22"/>
              </w:rPr>
              <w:t>initiale</w:t>
            </w:r>
            <w:r>
              <w:rPr>
                <w:b/>
                <w:spacing w:val="-5"/>
                <w:sz w:val="22"/>
              </w:rPr>
              <w:t> </w:t>
            </w:r>
            <w:r>
              <w:rPr>
                <w:b/>
                <w:sz w:val="22"/>
              </w:rPr>
              <w:t>souhaitée</w:t>
            </w:r>
            <w:r>
              <w:rPr>
                <w:b/>
                <w:spacing w:val="-6"/>
                <w:sz w:val="22"/>
              </w:rPr>
              <w:t> </w:t>
            </w:r>
            <w:r>
              <w:rPr>
                <w:b/>
                <w:spacing w:val="-10"/>
                <w:sz w:val="22"/>
              </w:rPr>
              <w:t>:</w:t>
            </w:r>
          </w:p>
        </w:tc>
        <w:tc>
          <w:tcPr>
            <w:tcW w:w="5596" w:type="dxa"/>
            <w:gridSpan w:val="2"/>
            <w:tcBorders>
              <w:top w:val="nil"/>
              <w:bottom w:val="nil"/>
            </w:tcBorders>
          </w:tcPr>
          <w:p>
            <w:pPr>
              <w:pStyle w:val="TableParagraph"/>
              <w:spacing w:line="231" w:lineRule="exact"/>
              <w:rPr>
                <w:b/>
                <w:sz w:val="22"/>
              </w:rPr>
            </w:pPr>
            <w:r>
              <w:rPr>
                <w:b/>
                <w:sz w:val="22"/>
              </w:rPr>
              <w:t>2 </w:t>
            </w:r>
            <w:r>
              <w:rPr>
                <w:b/>
                <w:spacing w:val="-4"/>
                <w:sz w:val="22"/>
              </w:rPr>
              <w:t>ans</w:t>
            </w:r>
            <w:r>
              <w:rPr>
                <w:b/>
                <w:spacing w:val="-4"/>
                <w:sz w:val="22"/>
                <w:vertAlign w:val="superscript"/>
              </w:rPr>
              <w:t>1</w:t>
            </w:r>
          </w:p>
        </w:tc>
      </w:tr>
      <w:tr>
        <w:trPr>
          <w:trHeight w:val="458" w:hRule="atLeast"/>
        </w:trPr>
        <w:tc>
          <w:tcPr>
            <w:tcW w:w="4359" w:type="dxa"/>
            <w:tcBorders>
              <w:top w:val="nil"/>
              <w:bottom w:val="nil"/>
            </w:tcBorders>
          </w:tcPr>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6" w:type="dxa"/>
            <w:gridSpan w:val="2"/>
            <w:tcBorders>
              <w:top w:val="nil"/>
            </w:tcBorders>
          </w:tcPr>
          <w:p>
            <w:pPr>
              <w:pStyle w:val="TableParagraph"/>
              <w:spacing w:line="247" w:lineRule="exact"/>
              <w:rPr>
                <w:b/>
                <w:sz w:val="22"/>
              </w:rPr>
            </w:pPr>
            <w:r>
              <w:rPr>
                <w:rFonts w:ascii="Wingdings 2" w:hAnsi="Wingdings 2"/>
                <w:b/>
                <w:sz w:val="22"/>
              </w:rPr>
              <w:t></w:t>
            </w:r>
            <w:r>
              <w:rPr>
                <w:spacing w:val="-5"/>
                <w:sz w:val="22"/>
              </w:rPr>
              <w:t> </w:t>
            </w:r>
            <w:r>
              <w:rPr>
                <w:b/>
                <w:sz w:val="22"/>
              </w:rPr>
              <w:t>Bruxelles</w:t>
            </w:r>
            <w:r>
              <w:rPr>
                <w:b/>
                <w:spacing w:val="52"/>
                <w:sz w:val="22"/>
              </w:rPr>
              <w:t> </w:t>
            </w:r>
            <w:r>
              <w:rPr>
                <w:rFonts w:ascii="Wingdings 2" w:hAnsi="Wingdings 2"/>
                <w:sz w:val="22"/>
              </w:rPr>
              <w:t></w:t>
            </w:r>
            <w:r>
              <w:rPr>
                <w:spacing w:val="-3"/>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09" w:type="dxa"/>
            <w:tcBorders>
              <w:right w:val="nil"/>
            </w:tcBorders>
          </w:tcPr>
          <w:p>
            <w:pPr>
              <w:pStyle w:val="TableParagraph"/>
              <w:tabs>
                <w:tab w:pos="523" w:val="left" w:leader="none"/>
              </w:tabs>
              <w:spacing w:before="145"/>
              <w:rPr>
                <w:b/>
                <w:sz w:val="22"/>
              </w:rPr>
            </w:pPr>
            <w:r>
              <w:rPr>
                <w:rFonts w:ascii="Wingdings 2" w:hAnsi="Wingdings 2"/>
                <w:b/>
                <w:spacing w:val="-10"/>
                <w:sz w:val="22"/>
              </w:rPr>
              <w:t></w:t>
            </w:r>
            <w:r>
              <w:rPr>
                <w:sz w:val="22"/>
              </w:rPr>
              <w:tab/>
            </w:r>
            <w:r>
              <w:rPr>
                <w:b/>
                <w:sz w:val="22"/>
              </w:rPr>
              <w:t>Avec</w:t>
            </w:r>
            <w:r>
              <w:rPr>
                <w:b/>
                <w:spacing w:val="-4"/>
                <w:sz w:val="22"/>
              </w:rPr>
              <w:t> </w:t>
            </w:r>
            <w:r>
              <w:rPr>
                <w:b/>
                <w:spacing w:val="-2"/>
                <w:sz w:val="22"/>
              </w:rPr>
              <w:t>indemnités</w:t>
            </w:r>
          </w:p>
        </w:tc>
        <w:tc>
          <w:tcPr>
            <w:tcW w:w="3087" w:type="dxa"/>
            <w:tcBorders>
              <w:left w:val="nil"/>
            </w:tcBorders>
          </w:tcPr>
          <w:p>
            <w:pPr>
              <w:pStyle w:val="TableParagraph"/>
              <w:numPr>
                <w:ilvl w:val="0"/>
                <w:numId w:val="1"/>
              </w:numPr>
              <w:tabs>
                <w:tab w:pos="754" w:val="left" w:leader="none"/>
              </w:tabs>
              <w:spacing w:line="240" w:lineRule="auto" w:before="145" w:after="0"/>
              <w:ind w:left="753" w:right="0" w:hanging="308"/>
              <w:jc w:val="left"/>
              <w:rPr>
                <w:b/>
                <w:sz w:val="22"/>
              </w:rPr>
            </w:pPr>
            <w:r>
              <w:rPr>
                <w:b/>
                <w:sz w:val="22"/>
              </w:rPr>
              <w:t>Sans</w:t>
            </w:r>
            <w:r>
              <w:rPr>
                <w:b/>
                <w:spacing w:val="-8"/>
                <w:sz w:val="22"/>
              </w:rPr>
              <w:t> </w:t>
            </w:r>
            <w:r>
              <w:rPr>
                <w:b/>
                <w:spacing w:val="-4"/>
                <w:sz w:val="22"/>
              </w:rPr>
              <w:t>frais</w:t>
            </w:r>
          </w:p>
        </w:tc>
      </w:tr>
      <w:tr>
        <w:trPr>
          <w:trHeight w:val="2114" w:hRule="atLeast"/>
        </w:trPr>
        <w:tc>
          <w:tcPr>
            <w:tcW w:w="9955" w:type="dxa"/>
            <w:gridSpan w:val="3"/>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2"/>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2"/>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2"/>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2"/>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
        <w:rPr>
          <w:b/>
          <w:sz w:val="24"/>
        </w:rPr>
      </w:pPr>
    </w:p>
    <w:p>
      <w:pPr>
        <w:pStyle w:val="ListParagraph"/>
        <w:numPr>
          <w:ilvl w:val="0"/>
          <w:numId w:val="3"/>
        </w:numPr>
        <w:tabs>
          <w:tab w:pos="559" w:val="left" w:leader="none"/>
          <w:tab w:pos="560" w:val="left" w:leader="none"/>
        </w:tabs>
        <w:spacing w:line="240" w:lineRule="auto" w:before="1" w:after="0"/>
        <w:ind w:left="55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6"/>
        <w:rPr>
          <w:b/>
          <w:sz w:val="15"/>
        </w:rPr>
      </w:pPr>
    </w:p>
    <w:p>
      <w:pPr>
        <w:pStyle w:val="BodyText"/>
        <w:spacing w:before="92"/>
        <w:ind w:left="840" w:right="166"/>
        <w:jc w:val="both"/>
      </w:pPr>
      <w:r>
        <w:rPr/>
        <w:t>Au sein de</w:t>
      </w:r>
      <w:r>
        <w:rPr>
          <w:spacing w:val="-2"/>
        </w:rPr>
        <w:t> </w:t>
      </w:r>
      <w:r>
        <w:rPr/>
        <w:t>la Commission</w:t>
      </w:r>
      <w:r>
        <w:rPr>
          <w:spacing w:val="-2"/>
        </w:rPr>
        <w:t> </w:t>
      </w:r>
      <w:r>
        <w:rPr/>
        <w:t>Européenne,</w:t>
      </w:r>
      <w:r>
        <w:rPr>
          <w:spacing w:val="-3"/>
        </w:rPr>
        <w:t> </w:t>
      </w:r>
      <w:r>
        <w:rPr/>
        <w:t>la Direction Générale</w:t>
      </w:r>
      <w:r>
        <w:rPr>
          <w:spacing w:val="-2"/>
        </w:rPr>
        <w:t> </w:t>
      </w:r>
      <w:r>
        <w:rPr/>
        <w:t>des Partenariats</w:t>
      </w:r>
      <w:r>
        <w:rPr>
          <w:spacing w:val="-2"/>
        </w:rPr>
        <w:t> </w:t>
      </w:r>
      <w:r>
        <w:rPr/>
        <w:t>Internationaux</w:t>
      </w:r>
      <w:r>
        <w:rPr>
          <w:spacing w:val="-2"/>
        </w:rPr>
        <w:t> </w:t>
      </w:r>
      <w:r>
        <w:rPr/>
        <w:t>est</w:t>
      </w:r>
      <w:r>
        <w:rPr>
          <w:spacing w:val="-1"/>
        </w:rPr>
        <w:t> </w:t>
      </w:r>
      <w:r>
        <w:rPr/>
        <w:t>en</w:t>
      </w:r>
      <w:r>
        <w:rPr>
          <w:spacing w:val="-2"/>
        </w:rPr>
        <w:t> </w:t>
      </w:r>
      <w:r>
        <w:rPr/>
        <w:t>charge de la politique de coopération au développement et de coopération dans le contexte plus large de la coopération internationale tout en s'adaptant sans cesse à l’évolutions des besoins des pays partenaires. Ceci comprend la coopération avec les pays en voie de développement à différent stades en incluant les pays en phase transitoire, qu'ils soient à faible revenu ou à revenu intermédiaire. Dans le cadre de la mission générale de la DG INTPA, l'unité G5 contribue à la formulation de politiques sectorielles dans les domaines de la paix, de la résilience, de la stabilité et de la sécurité en lien avec le développement.</w:t>
      </w:r>
    </w:p>
    <w:p>
      <w:pPr>
        <w:pStyle w:val="BodyText"/>
      </w:pPr>
    </w:p>
    <w:p>
      <w:pPr>
        <w:pStyle w:val="BodyText"/>
        <w:ind w:left="840" w:right="168"/>
        <w:jc w:val="both"/>
      </w:pPr>
      <w:r>
        <w:rPr/>
        <w:t>Au sein de la Direction G dédiée au développement humain, aux migrations, à la gouvernance et à la paix, l'unité thématique G5 "Résilience, paix et sécurité" a pour mission de contribuer au développement durable, à la paix et à la stabilité en:</w:t>
      </w:r>
    </w:p>
    <w:p>
      <w:pPr>
        <w:pStyle w:val="BodyText"/>
        <w:spacing w:before="2"/>
      </w:pPr>
    </w:p>
    <w:p>
      <w:pPr>
        <w:pStyle w:val="ListParagraph"/>
        <w:numPr>
          <w:ilvl w:val="1"/>
          <w:numId w:val="3"/>
        </w:numPr>
        <w:tabs>
          <w:tab w:pos="1561" w:val="left" w:leader="none"/>
        </w:tabs>
        <w:spacing w:line="240" w:lineRule="auto" w:before="0" w:after="0"/>
        <w:ind w:left="1560" w:right="168" w:hanging="360"/>
        <w:jc w:val="both"/>
        <w:rPr>
          <w:sz w:val="22"/>
        </w:rPr>
      </w:pPr>
      <w:r>
        <w:rPr>
          <w:sz w:val="22"/>
        </w:rPr>
        <w:t>fournissant une expertise et renforçant les capacités permettant de contribuer à l'amélioration de la sécurité au plan régional et national en intégrant tous les maillons de la chaine pénale (services de police/unités de gendarmerie, autorité judiciaire, gestion des frontières, douane) et les acteurs militaires en appui aux programmes de soutien capacitaires de défense et de sécurité en lien avec</w:t>
      </w:r>
      <w:r>
        <w:rPr>
          <w:spacing w:val="40"/>
          <w:sz w:val="22"/>
        </w:rPr>
        <w:t> </w:t>
      </w:r>
      <w:r>
        <w:rPr>
          <w:sz w:val="22"/>
        </w:rPr>
        <w:t>le développement (CBDSD);</w:t>
      </w:r>
    </w:p>
    <w:p>
      <w:pPr>
        <w:pStyle w:val="ListParagraph"/>
        <w:numPr>
          <w:ilvl w:val="1"/>
          <w:numId w:val="3"/>
        </w:numPr>
        <w:tabs>
          <w:tab w:pos="1561" w:val="left" w:leader="none"/>
        </w:tabs>
        <w:spacing w:line="240" w:lineRule="auto" w:before="0" w:after="0"/>
        <w:ind w:left="1560" w:right="169" w:hanging="360"/>
        <w:jc w:val="both"/>
        <w:rPr>
          <w:sz w:val="22"/>
        </w:rPr>
      </w:pPr>
      <w:r>
        <w:rPr>
          <w:sz w:val="22"/>
        </w:rPr>
        <w:t>fournissant une expertise et renforçant les capacités permettant de s'assurer de la prise en compte par les pays impactés par des crises et/ou fragiles des approches liées à la sensibilité des conflits,</w:t>
      </w:r>
      <w:r>
        <w:rPr>
          <w:spacing w:val="40"/>
          <w:sz w:val="22"/>
        </w:rPr>
        <w:t> </w:t>
      </w:r>
      <w:r>
        <w:rPr>
          <w:sz w:val="22"/>
        </w:rPr>
        <w:t>la consolidation de la paix et de la résilience et des processus de transition.</w:t>
      </w:r>
    </w:p>
    <w:p>
      <w:pPr>
        <w:pStyle w:val="BodyText"/>
        <w:spacing w:before="8"/>
        <w:rPr>
          <w:sz w:val="21"/>
        </w:rPr>
      </w:pPr>
    </w:p>
    <w:p>
      <w:pPr>
        <w:pStyle w:val="BodyText"/>
        <w:spacing w:before="1"/>
        <w:ind w:left="840" w:right="174"/>
        <w:jc w:val="both"/>
      </w:pPr>
      <w:r>
        <w:rPr/>
        <w:t>L'unité est un centre d'expertise en matière de coopération liée à la résilience, la paix et la sécurité tout en intégrant</w:t>
      </w:r>
      <w:r>
        <w:rPr>
          <w:spacing w:val="52"/>
        </w:rPr>
        <w:t> </w:t>
      </w:r>
      <w:r>
        <w:rPr/>
        <w:t>les</w:t>
      </w:r>
      <w:r>
        <w:rPr>
          <w:spacing w:val="52"/>
        </w:rPr>
        <w:t> </w:t>
      </w:r>
      <w:r>
        <w:rPr/>
        <w:t>problématiques</w:t>
      </w:r>
      <w:r>
        <w:rPr>
          <w:spacing w:val="52"/>
        </w:rPr>
        <w:t> </w:t>
      </w:r>
      <w:r>
        <w:rPr/>
        <w:t>affectant</w:t>
      </w:r>
      <w:r>
        <w:rPr>
          <w:spacing w:val="52"/>
        </w:rPr>
        <w:t> </w:t>
      </w:r>
      <w:r>
        <w:rPr/>
        <w:t>les</w:t>
      </w:r>
      <w:r>
        <w:rPr>
          <w:spacing w:val="53"/>
        </w:rPr>
        <w:t> </w:t>
      </w:r>
      <w:r>
        <w:rPr/>
        <w:t>questions</w:t>
      </w:r>
      <w:r>
        <w:rPr>
          <w:spacing w:val="52"/>
        </w:rPr>
        <w:t> </w:t>
      </w:r>
      <w:r>
        <w:rPr/>
        <w:t>de</w:t>
      </w:r>
      <w:r>
        <w:rPr>
          <w:spacing w:val="51"/>
        </w:rPr>
        <w:t> </w:t>
      </w:r>
      <w:r>
        <w:rPr/>
        <w:t>genre</w:t>
      </w:r>
      <w:r>
        <w:rPr>
          <w:spacing w:val="52"/>
        </w:rPr>
        <w:t> </w:t>
      </w:r>
      <w:r>
        <w:rPr/>
        <w:t>et</w:t>
      </w:r>
      <w:r>
        <w:rPr>
          <w:spacing w:val="53"/>
        </w:rPr>
        <w:t> </w:t>
      </w:r>
      <w:r>
        <w:rPr/>
        <w:t>les</w:t>
      </w:r>
      <w:r>
        <w:rPr>
          <w:spacing w:val="53"/>
        </w:rPr>
        <w:t> </w:t>
      </w:r>
      <w:r>
        <w:rPr/>
        <w:t>mineurs.</w:t>
      </w:r>
      <w:r>
        <w:rPr>
          <w:spacing w:val="51"/>
        </w:rPr>
        <w:t> </w:t>
      </w:r>
      <w:r>
        <w:rPr/>
        <w:t>Cela</w:t>
      </w:r>
      <w:r>
        <w:rPr>
          <w:spacing w:val="52"/>
        </w:rPr>
        <w:t> </w:t>
      </w:r>
      <w:r>
        <w:rPr/>
        <w:t>implique</w:t>
      </w:r>
      <w:r>
        <w:rPr>
          <w:spacing w:val="52"/>
        </w:rPr>
        <w:t> </w:t>
      </w:r>
      <w:r>
        <w:rPr/>
        <w:t>aussi</w:t>
      </w:r>
      <w:r>
        <w:rPr>
          <w:spacing w:val="50"/>
        </w:rPr>
        <w:t> </w:t>
      </w:r>
      <w:r>
        <w:rPr>
          <w:spacing w:val="-5"/>
        </w:rPr>
        <w:t>la</w:t>
      </w:r>
    </w:p>
    <w:p>
      <w:pPr>
        <w:pStyle w:val="BodyText"/>
        <w:rPr>
          <w:sz w:val="20"/>
        </w:rPr>
      </w:pPr>
    </w:p>
    <w:p>
      <w:pPr>
        <w:pStyle w:val="BodyText"/>
        <w:spacing w:before="4"/>
        <w:rPr>
          <w:sz w:val="10"/>
        </w:rPr>
      </w:pPr>
      <w:r>
        <w:rPr/>
        <w:pict>
          <v:rect style="position:absolute;margin-left:42.599998pt;margin-top:7.18964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BodyText"/>
        <w:spacing w:before="68"/>
        <w:ind w:left="840" w:right="171"/>
        <w:jc w:val="both"/>
      </w:pPr>
      <w:r>
        <w:rPr/>
        <w:t>fourniture d'expertise pour la coopération en matière de réforme des systèmes de sécurité (RSS) : crime organisé (dont la criminalité environnementale, les trafics et la cybercriminalité); la protection des infrastructures critiques (sécurité des emprises maritimes, portuaires et aériennes); la prévention et la lutte contre l'extrémisme violent, la lutte anti blanchiment et le financement du terrorisme, etc.</w:t>
      </w:r>
    </w:p>
    <w:p>
      <w:pPr>
        <w:pStyle w:val="BodyText"/>
        <w:spacing w:before="2"/>
      </w:pPr>
    </w:p>
    <w:p>
      <w:pPr>
        <w:pStyle w:val="BodyText"/>
        <w:spacing w:before="1"/>
        <w:ind w:left="840"/>
      </w:pPr>
      <w:r>
        <w:rPr/>
        <w:t>Les tâches liées au domaine de la réforme des systèmes de sécurité sont traitées par l'unité sécurité et le candidat</w:t>
      </w:r>
      <w:r>
        <w:rPr>
          <w:spacing w:val="39"/>
        </w:rPr>
        <w:t> </w:t>
      </w:r>
      <w:r>
        <w:rPr/>
        <w:t>retenu</w:t>
      </w:r>
      <w:r>
        <w:rPr>
          <w:spacing w:val="40"/>
        </w:rPr>
        <w:t> </w:t>
      </w:r>
      <w:r>
        <w:rPr/>
        <w:t>fera</w:t>
      </w:r>
      <w:r>
        <w:rPr>
          <w:spacing w:val="40"/>
        </w:rPr>
        <w:t> </w:t>
      </w:r>
      <w:r>
        <w:rPr/>
        <w:t>partie</w:t>
      </w:r>
      <w:r>
        <w:rPr>
          <w:spacing w:val="39"/>
        </w:rPr>
        <w:t> </w:t>
      </w:r>
      <w:r>
        <w:rPr/>
        <w:t>d'une</w:t>
      </w:r>
      <w:r>
        <w:rPr>
          <w:spacing w:val="40"/>
        </w:rPr>
        <w:t> </w:t>
      </w:r>
      <w:r>
        <w:rPr/>
        <w:t>équipe</w:t>
      </w:r>
      <w:r>
        <w:rPr>
          <w:spacing w:val="40"/>
        </w:rPr>
        <w:t> </w:t>
      </w:r>
      <w:r>
        <w:rPr/>
        <w:t>composée</w:t>
      </w:r>
      <w:r>
        <w:rPr>
          <w:spacing w:val="40"/>
        </w:rPr>
        <w:t> </w:t>
      </w:r>
      <w:r>
        <w:rPr/>
        <w:t>de</w:t>
      </w:r>
      <w:r>
        <w:rPr>
          <w:spacing w:val="40"/>
        </w:rPr>
        <w:t> </w:t>
      </w:r>
      <w:r>
        <w:rPr/>
        <w:t>8</w:t>
      </w:r>
      <w:r>
        <w:rPr>
          <w:spacing w:val="40"/>
        </w:rPr>
        <w:t> </w:t>
      </w:r>
      <w:r>
        <w:rPr/>
        <w:t>collègues</w:t>
      </w:r>
      <w:r>
        <w:rPr>
          <w:spacing w:val="40"/>
        </w:rPr>
        <w:t> </w:t>
      </w:r>
      <w:r>
        <w:rPr/>
        <w:t>sous</w:t>
      </w:r>
      <w:r>
        <w:rPr>
          <w:spacing w:val="40"/>
        </w:rPr>
        <w:t> </w:t>
      </w:r>
      <w:r>
        <w:rPr/>
        <w:t>la</w:t>
      </w:r>
      <w:r>
        <w:rPr>
          <w:spacing w:val="40"/>
        </w:rPr>
        <w:t> </w:t>
      </w:r>
      <w:r>
        <w:rPr/>
        <w:t>responsabilité</w:t>
      </w:r>
      <w:r>
        <w:rPr>
          <w:spacing w:val="40"/>
        </w:rPr>
        <w:t> </w:t>
      </w:r>
      <w:r>
        <w:rPr/>
        <w:t>d'un</w:t>
      </w:r>
      <w:r>
        <w:rPr>
          <w:spacing w:val="40"/>
        </w:rPr>
        <w:t> </w:t>
      </w:r>
      <w:r>
        <w:rPr/>
        <w:t>chef</w:t>
      </w:r>
      <w:r>
        <w:rPr>
          <w:spacing w:val="40"/>
        </w:rPr>
        <w:t> </w:t>
      </w:r>
      <w:r>
        <w:rPr/>
        <w:t>de </w:t>
      </w:r>
      <w:r>
        <w:rPr>
          <w:spacing w:val="-2"/>
        </w:rPr>
        <w:t>secteur.</w:t>
      </w:r>
    </w:p>
    <w:p>
      <w:pPr>
        <w:pStyle w:val="BodyText"/>
        <w:spacing w:before="9"/>
        <w:rPr>
          <w:sz w:val="21"/>
        </w:rPr>
      </w:pPr>
    </w:p>
    <w:p>
      <w:pPr>
        <w:pStyle w:val="BodyText"/>
        <w:spacing w:before="1"/>
        <w:ind w:left="840"/>
      </w:pPr>
      <w:r>
        <w:rPr/>
        <w:t>Il/elle</w:t>
      </w:r>
      <w:r>
        <w:rPr>
          <w:spacing w:val="-8"/>
        </w:rPr>
        <w:t> </w:t>
      </w:r>
      <w:r>
        <w:rPr/>
        <w:t>aura</w:t>
      </w:r>
      <w:r>
        <w:rPr>
          <w:spacing w:val="-3"/>
        </w:rPr>
        <w:t> </w:t>
      </w:r>
      <w:r>
        <w:rPr/>
        <w:t>pour</w:t>
      </w:r>
      <w:r>
        <w:rPr>
          <w:spacing w:val="-4"/>
        </w:rPr>
        <w:t> </w:t>
      </w:r>
      <w:r>
        <w:rPr/>
        <w:t>missions</w:t>
      </w:r>
      <w:r>
        <w:rPr>
          <w:spacing w:val="-3"/>
        </w:rPr>
        <w:t> </w:t>
      </w:r>
      <w:r>
        <w:rPr>
          <w:spacing w:val="-5"/>
        </w:rPr>
        <w:t>de:</w:t>
      </w:r>
    </w:p>
    <w:p>
      <w:pPr>
        <w:pStyle w:val="BodyText"/>
      </w:pPr>
    </w:p>
    <w:p>
      <w:pPr>
        <w:pStyle w:val="ListParagraph"/>
        <w:numPr>
          <w:ilvl w:val="0"/>
          <w:numId w:val="4"/>
        </w:numPr>
        <w:tabs>
          <w:tab w:pos="1266" w:val="left" w:leader="none"/>
        </w:tabs>
        <w:spacing w:line="240" w:lineRule="auto" w:before="0" w:after="0"/>
        <w:ind w:left="1265" w:right="167" w:hanging="425"/>
        <w:jc w:val="both"/>
        <w:rPr>
          <w:sz w:val="22"/>
        </w:rPr>
      </w:pPr>
      <w:r>
        <w:rPr>
          <w:sz w:val="22"/>
        </w:rPr>
        <w:t>conseiller et appuyer les responsables de projets liés à la réforme du secteur de la sécurité et au développement de capacités en soutien aux pays partenaires dans des domaines tels que la réforme</w:t>
      </w:r>
      <w:r>
        <w:rPr>
          <w:spacing w:val="40"/>
          <w:sz w:val="22"/>
        </w:rPr>
        <w:t> </w:t>
      </w:r>
      <w:r>
        <w:rPr>
          <w:sz w:val="22"/>
        </w:rPr>
        <w:t>des Services de Sécurité, leur structure, compétences, cadre légal et leurs besoins en matière de capacités, ainsi que l’obtention et l’échange d’information conformément aux standards de l’UE. Ces actions seront mise en œuvre en collaboration avec les organisations telles que les forces de police, qu'il s'agisse de la sécurité publique, de la police judiciaire, des services de renseignement ou du contreterrorisme et les forces armées ainsi que leurs autorités de tutelle (ministère de l'Intérieur, Armées…) et en accord avec les priorités de la Commission Européenne;</w:t>
      </w:r>
    </w:p>
    <w:p>
      <w:pPr>
        <w:pStyle w:val="BodyText"/>
        <w:spacing w:before="1"/>
      </w:pPr>
    </w:p>
    <w:p>
      <w:pPr>
        <w:pStyle w:val="ListParagraph"/>
        <w:numPr>
          <w:ilvl w:val="0"/>
          <w:numId w:val="4"/>
        </w:numPr>
        <w:tabs>
          <w:tab w:pos="1266" w:val="left" w:leader="none"/>
        </w:tabs>
        <w:spacing w:line="240" w:lineRule="auto" w:before="0" w:after="0"/>
        <w:ind w:left="1265" w:right="168" w:hanging="425"/>
        <w:jc w:val="both"/>
        <w:rPr>
          <w:sz w:val="22"/>
        </w:rPr>
      </w:pPr>
      <w:r>
        <w:rPr>
          <w:sz w:val="22"/>
        </w:rPr>
        <w:t>contribuer à la cohérence de l’action extérieure de l’UE vis-à-vis de l’interaction entre sécurité et développement, en particulier pour la coopération avec les partenaires de l’Amérique Latine et des Caraïbes, tout en mettant l’accent sur les secteurs de la Stratégie Européenne de Sécurité qui ont un effet sur les résultat de la coopération au développement.</w:t>
      </w:r>
    </w:p>
    <w:p>
      <w:pPr>
        <w:pStyle w:val="BodyText"/>
        <w:spacing w:before="4"/>
        <w:rPr>
          <w:sz w:val="25"/>
        </w:rPr>
      </w:pPr>
    </w:p>
    <w:p>
      <w:pPr>
        <w:pStyle w:val="ListParagraph"/>
        <w:numPr>
          <w:ilvl w:val="0"/>
          <w:numId w:val="4"/>
        </w:numPr>
        <w:tabs>
          <w:tab w:pos="1266" w:val="left" w:leader="none"/>
        </w:tabs>
        <w:spacing w:line="240" w:lineRule="auto" w:before="0" w:after="0"/>
        <w:ind w:left="1265" w:right="167" w:hanging="425"/>
        <w:jc w:val="both"/>
        <w:rPr>
          <w:sz w:val="22"/>
        </w:rPr>
      </w:pPr>
      <w:r>
        <w:rPr>
          <w:sz w:val="22"/>
        </w:rPr>
        <w:t>assurer l’interface avec le Service Européen d’Action Extérieur (SEAE), le Conseil de l’Union Européenne, le Parlement Européen et les autres partenaires pertinents comme les Organisations Internationales (UNODC, UNOCT, Interpol, etc.) ainsi que les tiers dans les domaines</w:t>
      </w:r>
      <w:r>
        <w:rPr>
          <w:spacing w:val="80"/>
          <w:sz w:val="22"/>
        </w:rPr>
        <w:t> </w:t>
      </w:r>
      <w:r>
        <w:rPr>
          <w:spacing w:val="-2"/>
          <w:sz w:val="22"/>
        </w:rPr>
        <w:t>susmentionnés.</w:t>
      </w:r>
    </w:p>
    <w:p>
      <w:pPr>
        <w:pStyle w:val="BodyText"/>
        <w:spacing w:before="2"/>
        <w:rPr>
          <w:sz w:val="25"/>
        </w:rPr>
      </w:pPr>
    </w:p>
    <w:p>
      <w:pPr>
        <w:pStyle w:val="ListParagraph"/>
        <w:numPr>
          <w:ilvl w:val="0"/>
          <w:numId w:val="4"/>
        </w:numPr>
        <w:tabs>
          <w:tab w:pos="1266" w:val="left" w:leader="none"/>
        </w:tabs>
        <w:spacing w:line="240" w:lineRule="auto" w:before="0" w:after="0"/>
        <w:ind w:left="1265" w:right="172" w:hanging="425"/>
        <w:jc w:val="both"/>
        <w:rPr>
          <w:sz w:val="22"/>
        </w:rPr>
      </w:pPr>
      <w:r>
        <w:rPr>
          <w:sz w:val="22"/>
        </w:rPr>
        <w:t>contribuer à la définition des politiques européennes en matière de sécurité et en particulier de celles liées à la collecte des données et à l’échange d’informations classifiées entre services conformément aux normes européennes et aux principes des droits de humains.</w:t>
      </w:r>
    </w:p>
    <w:p>
      <w:pPr>
        <w:pStyle w:val="BodyText"/>
        <w:spacing w:before="5"/>
        <w:rPr>
          <w:sz w:val="25"/>
        </w:rPr>
      </w:pPr>
    </w:p>
    <w:p>
      <w:pPr>
        <w:pStyle w:val="ListParagraph"/>
        <w:numPr>
          <w:ilvl w:val="0"/>
          <w:numId w:val="4"/>
        </w:numPr>
        <w:tabs>
          <w:tab w:pos="1266" w:val="left" w:leader="none"/>
        </w:tabs>
        <w:spacing w:line="240" w:lineRule="auto" w:before="0" w:after="0"/>
        <w:ind w:left="1265" w:right="173" w:hanging="425"/>
        <w:jc w:val="both"/>
        <w:rPr>
          <w:sz w:val="22"/>
        </w:rPr>
      </w:pPr>
      <w:r>
        <w:rPr>
          <w:sz w:val="22"/>
        </w:rPr>
        <w:t>fournir de conseils pour la mise en œuvre des programmes et projets financés par l’Instrument de Voisinage, de coopération au développement et de coopération internationale (NDICI) et s’assurer</w:t>
      </w:r>
      <w:r>
        <w:rPr>
          <w:spacing w:val="40"/>
          <w:sz w:val="22"/>
        </w:rPr>
        <w:t> </w:t>
      </w:r>
      <w:r>
        <w:rPr>
          <w:sz w:val="22"/>
        </w:rPr>
        <w:t>que l’ensemble des programmes sont conçus et réalisés de façon conforme aux politiques, stratégies</w:t>
      </w:r>
      <w:r>
        <w:rPr>
          <w:spacing w:val="80"/>
          <w:sz w:val="22"/>
        </w:rPr>
        <w:t> </w:t>
      </w:r>
      <w:r>
        <w:rPr>
          <w:sz w:val="22"/>
        </w:rPr>
        <w:t>et plans d’action pertinents de l’UE.</w:t>
      </w:r>
    </w:p>
    <w:p>
      <w:pPr>
        <w:pStyle w:val="BodyText"/>
        <w:spacing w:before="4"/>
        <w:rPr>
          <w:sz w:val="25"/>
        </w:rPr>
      </w:pPr>
    </w:p>
    <w:p>
      <w:pPr>
        <w:pStyle w:val="ListParagraph"/>
        <w:numPr>
          <w:ilvl w:val="0"/>
          <w:numId w:val="4"/>
        </w:numPr>
        <w:tabs>
          <w:tab w:pos="1266" w:val="left" w:leader="none"/>
        </w:tabs>
        <w:spacing w:line="240" w:lineRule="auto" w:before="0" w:after="0"/>
        <w:ind w:left="1265" w:right="166" w:hanging="425"/>
        <w:jc w:val="both"/>
        <w:rPr>
          <w:sz w:val="22"/>
        </w:rPr>
      </w:pPr>
      <w:r>
        <w:rPr>
          <w:sz w:val="22"/>
        </w:rPr>
        <w:t>appuyer la coordination dans l’ensemble de l’Union Européenne et auprès des partenaires internationaux et des États Membres afin d’atteindre les objectifs de la politique de l’UE, de partager les bonnes pratiques, et d’éviter les doubles emplois. Mener ou contribuer à la conception et à la réalisation des programmes qui répondent aux menaces pour à la sécurité, aux composantes sécuritaires d’autres programmes de coopération et à la mise en œuvre des programmes appropriés au niveau national, régional ou trans-régional.</w:t>
      </w:r>
    </w:p>
    <w:p>
      <w:pPr>
        <w:pStyle w:val="BodyText"/>
        <w:spacing w:before="2"/>
        <w:rPr>
          <w:sz w:val="25"/>
        </w:rPr>
      </w:pPr>
    </w:p>
    <w:p>
      <w:pPr>
        <w:pStyle w:val="ListParagraph"/>
        <w:numPr>
          <w:ilvl w:val="0"/>
          <w:numId w:val="4"/>
        </w:numPr>
        <w:tabs>
          <w:tab w:pos="1266" w:val="left" w:leader="none"/>
        </w:tabs>
        <w:spacing w:line="240" w:lineRule="auto" w:before="0" w:after="0"/>
        <w:ind w:left="1265" w:right="174" w:hanging="425"/>
        <w:jc w:val="both"/>
        <w:rPr>
          <w:sz w:val="22"/>
        </w:rPr>
      </w:pPr>
      <w:r>
        <w:rPr>
          <w:sz w:val="22"/>
        </w:rPr>
        <w:t>être disponible pour soutenir INTPA dans l’analyse régulière des crises et des contextes politiques ainsi que dans l’identification et la préparation des actions ultérieures correspondant.</w:t>
      </w:r>
    </w:p>
    <w:p>
      <w:pPr>
        <w:pStyle w:val="BodyText"/>
        <w:spacing w:before="6"/>
        <w:rPr>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0"/>
          <w:numId w:val="5"/>
        </w:numPr>
        <w:tabs>
          <w:tab w:pos="800" w:val="left" w:leader="none"/>
        </w:tabs>
        <w:spacing w:line="240" w:lineRule="auto" w:before="92"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ind w:left="559" w:right="113"/>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spacing w:after="0"/>
        <w:jc w:val="both"/>
        <w:sectPr>
          <w:pgSz w:w="11910" w:h="16840"/>
          <w:pgMar w:header="0" w:footer="690" w:top="1040" w:bottom="880" w:left="720" w:right="740"/>
        </w:sectPr>
      </w:pPr>
    </w:p>
    <w:p>
      <w:pPr>
        <w:pStyle w:val="ListParagraph"/>
        <w:numPr>
          <w:ilvl w:val="0"/>
          <w:numId w:val="6"/>
        </w:numPr>
        <w:tabs>
          <w:tab w:pos="841" w:val="left" w:leader="none"/>
        </w:tabs>
        <w:spacing w:line="240" w:lineRule="auto" w:before="62" w:after="0"/>
        <w:ind w:left="840" w:right="112"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0"/>
          <w:numId w:val="6"/>
        </w:numPr>
        <w:tabs>
          <w:tab w:pos="841" w:val="left" w:leader="none"/>
        </w:tabs>
        <w:spacing w:line="240" w:lineRule="auto" w:before="1" w:after="0"/>
        <w:ind w:left="84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9"/>
        <w:rPr>
          <w:sz w:val="21"/>
        </w:rPr>
      </w:pPr>
    </w:p>
    <w:p>
      <w:pPr>
        <w:pStyle w:val="ListParagraph"/>
        <w:numPr>
          <w:ilvl w:val="0"/>
          <w:numId w:val="6"/>
        </w:numPr>
        <w:tabs>
          <w:tab w:pos="841" w:val="left" w:leader="none"/>
        </w:tabs>
        <w:spacing w:line="240" w:lineRule="auto" w:before="1" w:after="0"/>
        <w:ind w:left="840" w:right="107" w:hanging="281"/>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6"/>
      </w:pPr>
    </w:p>
    <w:p>
      <w:pPr>
        <w:pStyle w:val="Heading1"/>
        <w:numPr>
          <w:ilvl w:val="0"/>
          <w:numId w:val="5"/>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5"/>
        <w:rPr>
          <w:b/>
          <w:sz w:val="13"/>
        </w:rPr>
      </w:pPr>
    </w:p>
    <w:p>
      <w:pPr>
        <w:pStyle w:val="BodyText"/>
        <w:spacing w:before="92"/>
        <w:ind w:left="840"/>
      </w:pPr>
      <w:r>
        <w:rPr>
          <w:spacing w:val="-2"/>
          <w:u w:val="single"/>
        </w:rPr>
        <w:t>Diplôme</w:t>
      </w:r>
    </w:p>
    <w:p>
      <w:pPr>
        <w:pStyle w:val="ListParagraph"/>
        <w:numPr>
          <w:ilvl w:val="1"/>
          <w:numId w:val="5"/>
        </w:numPr>
        <w:tabs>
          <w:tab w:pos="966" w:val="left" w:leader="none"/>
        </w:tabs>
        <w:spacing w:line="252" w:lineRule="exact" w:before="1" w:after="0"/>
        <w:ind w:left="96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1"/>
          <w:numId w:val="5"/>
        </w:numPr>
        <w:tabs>
          <w:tab w:pos="966" w:val="left" w:leader="none"/>
        </w:tabs>
        <w:spacing w:line="252" w:lineRule="exact" w:before="0" w:after="0"/>
        <w:ind w:left="96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pStyle w:val="BodyText"/>
        <w:spacing w:before="1"/>
      </w:pPr>
    </w:p>
    <w:p>
      <w:pPr>
        <w:pStyle w:val="BodyText"/>
        <w:ind w:left="840" w:right="164"/>
        <w:jc w:val="both"/>
      </w:pPr>
      <w:r>
        <w:rPr/>
        <w:t>dans le(s) domaine(s): politiques de sécurité, comprenant une expérience minimum de 5 années dans le domaine de la coopération internationale avec des autorités du secteur de la sécurité, de préférence une expérience sur le terrain dans des pays tiers.</w:t>
      </w:r>
    </w:p>
    <w:p>
      <w:pPr>
        <w:pStyle w:val="BodyText"/>
        <w:spacing w:before="1"/>
      </w:pPr>
    </w:p>
    <w:p>
      <w:pPr>
        <w:pStyle w:val="BodyText"/>
        <w:ind w:left="840"/>
        <w:jc w:val="both"/>
      </w:pPr>
      <w:r>
        <w:rPr>
          <w:u w:val="single"/>
        </w:rPr>
        <w:t>Expérience</w:t>
      </w:r>
      <w:r>
        <w:rPr>
          <w:spacing w:val="-4"/>
          <w:u w:val="single"/>
        </w:rPr>
        <w:t> </w:t>
      </w:r>
      <w:r>
        <w:rPr>
          <w:spacing w:val="-2"/>
          <w:u w:val="single"/>
        </w:rPr>
        <w:t>professionnelle</w:t>
      </w:r>
    </w:p>
    <w:p>
      <w:pPr>
        <w:pStyle w:val="BodyText"/>
        <w:spacing w:before="1"/>
        <w:rPr>
          <w:sz w:val="14"/>
        </w:rPr>
      </w:pPr>
    </w:p>
    <w:p>
      <w:pPr>
        <w:pStyle w:val="BodyText"/>
        <w:spacing w:before="92"/>
        <w:ind w:left="840" w:right="163"/>
        <w:jc w:val="both"/>
      </w:pPr>
      <w:r>
        <w:rPr/>
        <w:t>De solides antécédents dans le domaine de la sécurité sont essentiels. Une ou plusieurs expériences en matière de politiques de sécurité au niveau institutionnel, avec des compétences d’analyse et d’élaboration de rapports ; connaissance du travail avec de l’information classifiée, sa réglementation et son traitement, en particulier pour la préparation des évaluations de risques, commentaires et briefings sur les documents de politique liés aux programmes de sécurité.</w:t>
      </w:r>
    </w:p>
    <w:p>
      <w:pPr>
        <w:pStyle w:val="BodyText"/>
        <w:spacing w:before="10"/>
        <w:rPr>
          <w:sz w:val="21"/>
        </w:rPr>
      </w:pPr>
    </w:p>
    <w:p>
      <w:pPr>
        <w:pStyle w:val="BodyText"/>
        <w:ind w:left="840" w:right="171"/>
        <w:jc w:val="both"/>
      </w:pPr>
      <w:r>
        <w:rPr/>
        <w:t>Une bonne connaissance des institutions européennes et une expérience en matière de politique de développement de l'UE, et concernant les programmes et le cycle d’intervention des projets européens serait un atout.</w:t>
      </w:r>
    </w:p>
    <w:p>
      <w:pPr>
        <w:pStyle w:val="BodyText"/>
        <w:spacing w:before="1"/>
      </w:pPr>
    </w:p>
    <w:p>
      <w:pPr>
        <w:pStyle w:val="BodyText"/>
        <w:ind w:left="840"/>
        <w:jc w:val="both"/>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11"/>
        <w:rPr>
          <w:sz w:val="13"/>
        </w:rPr>
      </w:pPr>
    </w:p>
    <w:p>
      <w:pPr>
        <w:pStyle w:val="BodyText"/>
        <w:spacing w:before="91"/>
        <w:ind w:left="840"/>
      </w:pPr>
      <w:r>
        <w:rPr/>
        <w:t>Anglais</w:t>
      </w:r>
      <w:r>
        <w:rPr>
          <w:spacing w:val="-4"/>
        </w:rPr>
        <w:t> </w:t>
      </w:r>
      <w:r>
        <w:rPr/>
        <w:t>courant</w:t>
      </w:r>
      <w:r>
        <w:rPr>
          <w:spacing w:val="-5"/>
        </w:rPr>
        <w:t> </w:t>
      </w:r>
      <w:r>
        <w:rPr/>
        <w:t>(écrit</w:t>
      </w:r>
      <w:r>
        <w:rPr>
          <w:spacing w:val="-3"/>
        </w:rPr>
        <w:t> </w:t>
      </w:r>
      <w:r>
        <w:rPr/>
        <w:t>et</w:t>
      </w:r>
      <w:r>
        <w:rPr>
          <w:spacing w:val="-3"/>
        </w:rPr>
        <w:t> </w:t>
      </w:r>
      <w:r>
        <w:rPr/>
        <w:t>parlé),</w:t>
      </w:r>
      <w:r>
        <w:rPr>
          <w:spacing w:val="-3"/>
        </w:rPr>
        <w:t> </w:t>
      </w:r>
      <w:r>
        <w:rPr/>
        <w:t>Espagnol</w:t>
      </w:r>
      <w:r>
        <w:rPr>
          <w:spacing w:val="-3"/>
        </w:rPr>
        <w:t> </w:t>
      </w:r>
      <w:r>
        <w:rPr/>
        <w:t>serait</w:t>
      </w:r>
      <w:r>
        <w:rPr>
          <w:spacing w:val="-5"/>
        </w:rPr>
        <w:t> </w:t>
      </w:r>
      <w:r>
        <w:rPr/>
        <w:t>un</w:t>
      </w:r>
      <w:r>
        <w:rPr>
          <w:spacing w:val="-3"/>
        </w:rPr>
        <w:t> </w:t>
      </w:r>
      <w:r>
        <w:rPr>
          <w:spacing w:val="-4"/>
        </w:rPr>
        <w:t>plus.</w:t>
      </w:r>
    </w:p>
    <w:p>
      <w:pPr>
        <w:pStyle w:val="BodyText"/>
        <w:spacing w:before="7"/>
        <w:rPr>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Soumission</w:t>
      </w:r>
      <w:r>
        <w:rPr>
          <w:b/>
          <w:spacing w:val="-6"/>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7"/>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before="91"/>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 d'expérience professionnelle, …). Ces documents leur seront demandés, le cas échéant, à un</w:t>
      </w:r>
      <w:r>
        <w:rPr>
          <w:spacing w:val="40"/>
          <w:sz w:val="22"/>
        </w:rPr>
        <w:t> </w:t>
      </w:r>
      <w:r>
        <w:rPr>
          <w:sz w:val="22"/>
        </w:rPr>
        <w:t>stade ultérieur de la procédure de sélection.</w:t>
      </w:r>
    </w:p>
    <w:p>
      <w:pPr>
        <w:pStyle w:val="BodyText"/>
        <w:spacing w:line="252" w:lineRule="exact"/>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BodyText"/>
        <w:spacing w:before="7"/>
        <w:rPr>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spacing w:after="0" w:line="240" w:lineRule="auto"/>
        <w:jc w:val="left"/>
        <w:rPr>
          <w:sz w:val="24"/>
        </w:rPr>
        <w:sectPr>
          <w:pgSz w:w="11910" w:h="16840"/>
          <w:pgMar w:header="0" w:footer="690" w:top="1300" w:bottom="880" w:left="720" w:right="740"/>
        </w:sectPr>
      </w:pPr>
    </w:p>
    <w:p>
      <w:pPr>
        <w:spacing w:before="68"/>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
      </w:pPr>
    </w:p>
    <w:p>
      <w:pPr>
        <w:pStyle w:val="BodyText"/>
        <w:ind w:left="55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spacing w:before="1"/>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spacing w:before="1"/>
        <w:ind w:left="55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3"/>
        </w:rPr>
        <w:t> </w:t>
      </w:r>
      <w:r>
        <w:rPr/>
        <w:t>pourra</w:t>
      </w:r>
      <w:r>
        <w:rPr>
          <w:spacing w:val="-4"/>
        </w:rPr>
        <w:t> </w:t>
      </w:r>
      <w:r>
        <w:rPr/>
        <w:t>entraîner</w:t>
      </w:r>
      <w:r>
        <w:rPr>
          <w:spacing w:val="-3"/>
        </w:rPr>
        <w:t> </w:t>
      </w:r>
      <w:r>
        <w:rPr/>
        <w:t>le</w:t>
      </w:r>
      <w:r>
        <w:rPr>
          <w:spacing w:val="-5"/>
        </w:rPr>
        <w:t> </w:t>
      </w:r>
      <w:r>
        <w:rPr/>
        <w:t>refus</w:t>
      </w:r>
      <w:r>
        <w:rPr>
          <w:spacing w:val="-3"/>
        </w:rPr>
        <w:t> </w:t>
      </w:r>
      <w:r>
        <w:rPr/>
        <w:t>de</w:t>
      </w:r>
      <w:r>
        <w:rPr>
          <w:spacing w:val="-3"/>
        </w:rPr>
        <w:t> </w:t>
      </w:r>
      <w:r>
        <w:rPr/>
        <w:t>la</w:t>
      </w:r>
      <w:r>
        <w:rPr>
          <w:spacing w:val="-3"/>
        </w:rPr>
        <w:t> </w:t>
      </w:r>
      <w:r>
        <w:rPr>
          <w:spacing w:val="-2"/>
        </w:rPr>
        <w:t>candidature.</w:t>
      </w:r>
    </w:p>
    <w:p>
      <w:pPr>
        <w:pStyle w:val="BodyText"/>
        <w:spacing w:before="8"/>
        <w:rPr>
          <w:sz w:val="20"/>
        </w:rPr>
      </w:pPr>
    </w:p>
    <w:p>
      <w:pPr>
        <w:pStyle w:val="BodyText"/>
        <w:spacing w:before="1"/>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6"/>
        <w:rPr>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2"/>
        <w:ind w:left="559" w:right="283"/>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pPr>
        <w:pStyle w:val="BodyText"/>
        <w:ind w:left="559" w:right="288"/>
        <w:jc w:val="both"/>
      </w:pPr>
      <w:r>
        <w:rPr/>
        <w:t>Les données des END seront conservées pendant 7 ans à compter de la fin du détachement (2 ans pour les END dont la candidature n'a pas été retenue).</w:t>
      </w:r>
    </w:p>
    <w:p>
      <w:pPr>
        <w:pStyle w:val="BodyText"/>
        <w:ind w:left="559" w:right="282"/>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w:t>
      </w:r>
      <w:r>
        <w:rPr>
          <w:spacing w:val="32"/>
        </w:rPr>
        <w:t> </w:t>
      </w:r>
      <w:r>
        <w:rPr/>
        <w:t>données personnelles. Le cas échéant, vous</w:t>
      </w:r>
      <w:r>
        <w:rPr>
          <w:spacing w:val="40"/>
        </w:rPr>
        <w:t> </w:t>
      </w:r>
      <w:r>
        <w:rPr/>
        <w:t>avez également le droit de vous opposer au traitement ou au droit à la portabilité des données.</w:t>
      </w:r>
    </w:p>
    <w:p>
      <w:pPr>
        <w:pStyle w:val="BodyText"/>
        <w:ind w:left="559" w:right="285"/>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4"/>
      </w:pPr>
    </w:p>
    <w:p>
      <w:pPr>
        <w:pStyle w:val="Heading1"/>
        <w:spacing w:before="1"/>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7"/>
        <w:rPr>
          <w:b/>
          <w:sz w:val="13"/>
        </w:rPr>
      </w:pPr>
    </w:p>
    <w:p>
      <w:pPr>
        <w:pStyle w:val="ListParagraph"/>
        <w:numPr>
          <w:ilvl w:val="0"/>
          <w:numId w:val="7"/>
        </w:numPr>
        <w:tabs>
          <w:tab w:pos="841" w:val="left" w:leader="none"/>
        </w:tabs>
        <w:spacing w:line="252" w:lineRule="exact" w:before="92" w:after="0"/>
        <w:ind w:left="84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559" w:right="281"/>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9">
        <w:r>
          <w:rPr>
            <w:color w:val="0000FF"/>
            <w:u w:val="single" w:color="0000FF"/>
          </w:rPr>
          <w:t>HR-B1-DPR@ec.europa.eu</w:t>
        </w:r>
      </w:hyperlink>
      <w:r>
        <w:rPr>
          <w:color w:val="0000FF"/>
        </w:rPr>
        <w:t>.</w:t>
      </w:r>
    </w:p>
    <w:p>
      <w:pPr>
        <w:pStyle w:val="BodyText"/>
        <w:rPr>
          <w:sz w:val="14"/>
        </w:rPr>
      </w:pPr>
    </w:p>
    <w:p>
      <w:pPr>
        <w:pStyle w:val="Heading1"/>
        <w:numPr>
          <w:ilvl w:val="0"/>
          <w:numId w:val="7"/>
        </w:numPr>
        <w:tabs>
          <w:tab w:pos="841" w:val="left" w:leader="none"/>
        </w:tabs>
        <w:spacing w:line="252" w:lineRule="exact" w:before="92"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BodyText"/>
        <w:spacing w:before="5"/>
      </w:pPr>
    </w:p>
    <w:p>
      <w:pPr>
        <w:pStyle w:val="Heading1"/>
        <w:numPr>
          <w:ilvl w:val="0"/>
          <w:numId w:val="7"/>
        </w:numPr>
        <w:tabs>
          <w:tab w:pos="841" w:val="left" w:leader="none"/>
        </w:tabs>
        <w:spacing w:line="240" w:lineRule="auto" w:before="0" w:after="0"/>
        <w:ind w:left="840" w:right="0" w:hanging="282"/>
        <w:jc w:val="both"/>
        <w:rPr>
          <w:u w:val="none"/>
        </w:rPr>
      </w:pPr>
      <w:r>
        <w:rPr>
          <w:u w:val="single"/>
        </w:rPr>
        <w:t>Le</w:t>
      </w:r>
      <w:r>
        <w:rPr>
          <w:spacing w:val="-4"/>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4"/>
          <w:u w:val="single"/>
        </w:rPr>
        <w:t> </w:t>
      </w:r>
      <w:r>
        <w:rPr>
          <w:u w:val="single"/>
        </w:rPr>
        <w:t>protection</w:t>
      </w:r>
      <w:r>
        <w:rPr>
          <w:spacing w:val="-1"/>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7"/>
        <w:rPr>
          <w:b/>
          <w:sz w:val="13"/>
        </w:rPr>
      </w:pPr>
    </w:p>
    <w:p>
      <w:pPr>
        <w:pStyle w:val="BodyText"/>
        <w:spacing w:before="92"/>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0"/>
        <w:rPr>
          <w:sz w:val="21"/>
        </w:rPr>
      </w:pPr>
    </w:p>
    <w:p>
      <w:pPr>
        <w:pStyle w:val="BodyText"/>
        <w:ind w:left="559"/>
      </w:pPr>
      <w:r>
        <w:rPr/>
        <w:t>À l'attention des candidats ressortissant de pays tiers: vos données personnelles peuvent être utilisées aux fins des vérifications de sécurité.</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4947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5">
    <w:multiLevelType w:val="hybridMultilevel"/>
    <w:lvl w:ilvl="0">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4">
    <w:multiLevelType w:val="hybridMultilevel"/>
    <w:lvl w:ilvl="0">
      <w:start w:val="1"/>
      <w:numFmt w:val="lowerLetter"/>
      <w:lvlText w:val="%1)"/>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965"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014" w:hanging="125"/>
      </w:pPr>
      <w:rPr>
        <w:rFonts w:hint="default"/>
        <w:lang w:val="fr-FR" w:eastAsia="en-US" w:bidi="ar-SA"/>
      </w:rPr>
    </w:lvl>
    <w:lvl w:ilvl="3">
      <w:start w:val="0"/>
      <w:numFmt w:val="bullet"/>
      <w:lvlText w:val="•"/>
      <w:lvlJc w:val="left"/>
      <w:pPr>
        <w:ind w:left="3068" w:hanging="125"/>
      </w:pPr>
      <w:rPr>
        <w:rFonts w:hint="default"/>
        <w:lang w:val="fr-FR" w:eastAsia="en-US" w:bidi="ar-SA"/>
      </w:rPr>
    </w:lvl>
    <w:lvl w:ilvl="4">
      <w:start w:val="0"/>
      <w:numFmt w:val="bullet"/>
      <w:lvlText w:val="•"/>
      <w:lvlJc w:val="left"/>
      <w:pPr>
        <w:ind w:left="4122" w:hanging="125"/>
      </w:pPr>
      <w:rPr>
        <w:rFonts w:hint="default"/>
        <w:lang w:val="fr-FR" w:eastAsia="en-US" w:bidi="ar-SA"/>
      </w:rPr>
    </w:lvl>
    <w:lvl w:ilvl="5">
      <w:start w:val="0"/>
      <w:numFmt w:val="bullet"/>
      <w:lvlText w:val="•"/>
      <w:lvlJc w:val="left"/>
      <w:pPr>
        <w:ind w:left="5176" w:hanging="125"/>
      </w:pPr>
      <w:rPr>
        <w:rFonts w:hint="default"/>
        <w:lang w:val="fr-FR" w:eastAsia="en-US" w:bidi="ar-SA"/>
      </w:rPr>
    </w:lvl>
    <w:lvl w:ilvl="6">
      <w:start w:val="0"/>
      <w:numFmt w:val="bullet"/>
      <w:lvlText w:val="•"/>
      <w:lvlJc w:val="left"/>
      <w:pPr>
        <w:ind w:left="6230" w:hanging="125"/>
      </w:pPr>
      <w:rPr>
        <w:rFonts w:hint="default"/>
        <w:lang w:val="fr-FR" w:eastAsia="en-US" w:bidi="ar-SA"/>
      </w:rPr>
    </w:lvl>
    <w:lvl w:ilvl="7">
      <w:start w:val="0"/>
      <w:numFmt w:val="bullet"/>
      <w:lvlText w:val="•"/>
      <w:lvlJc w:val="left"/>
      <w:pPr>
        <w:ind w:left="7284" w:hanging="125"/>
      </w:pPr>
      <w:rPr>
        <w:rFonts w:hint="default"/>
        <w:lang w:val="fr-FR" w:eastAsia="en-US" w:bidi="ar-SA"/>
      </w:rPr>
    </w:lvl>
    <w:lvl w:ilvl="8">
      <w:start w:val="0"/>
      <w:numFmt w:val="bullet"/>
      <w:lvlText w:val="•"/>
      <w:lvlJc w:val="left"/>
      <w:pPr>
        <w:ind w:left="8338" w:hanging="125"/>
      </w:pPr>
      <w:rPr>
        <w:rFonts w:hint="default"/>
        <w:lang w:val="fr-FR" w:eastAsia="en-US" w:bidi="ar-SA"/>
      </w:rPr>
    </w:lvl>
  </w:abstractNum>
  <w:abstractNum w:abstractNumId="3">
    <w:multiLevelType w:val="hybridMultilevel"/>
    <w:lvl w:ilvl="0">
      <w:start w:val="1"/>
      <w:numFmt w:val="lowerLetter"/>
      <w:lvlText w:val="%1)"/>
      <w:lvlJc w:val="left"/>
      <w:pPr>
        <w:ind w:left="1265" w:hanging="425"/>
        <w:jc w:val="left"/>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2178" w:hanging="425"/>
      </w:pPr>
      <w:rPr>
        <w:rFonts w:hint="default"/>
        <w:lang w:val="fr-FR" w:eastAsia="en-US" w:bidi="ar-SA"/>
      </w:rPr>
    </w:lvl>
    <w:lvl w:ilvl="2">
      <w:start w:val="0"/>
      <w:numFmt w:val="bullet"/>
      <w:lvlText w:val="•"/>
      <w:lvlJc w:val="left"/>
      <w:pPr>
        <w:ind w:left="3097" w:hanging="425"/>
      </w:pPr>
      <w:rPr>
        <w:rFonts w:hint="default"/>
        <w:lang w:val="fr-FR" w:eastAsia="en-US" w:bidi="ar-SA"/>
      </w:rPr>
    </w:lvl>
    <w:lvl w:ilvl="3">
      <w:start w:val="0"/>
      <w:numFmt w:val="bullet"/>
      <w:lvlText w:val="•"/>
      <w:lvlJc w:val="left"/>
      <w:pPr>
        <w:ind w:left="4015" w:hanging="425"/>
      </w:pPr>
      <w:rPr>
        <w:rFonts w:hint="default"/>
        <w:lang w:val="fr-FR" w:eastAsia="en-US" w:bidi="ar-SA"/>
      </w:rPr>
    </w:lvl>
    <w:lvl w:ilvl="4">
      <w:start w:val="0"/>
      <w:numFmt w:val="bullet"/>
      <w:lvlText w:val="•"/>
      <w:lvlJc w:val="left"/>
      <w:pPr>
        <w:ind w:left="4934" w:hanging="425"/>
      </w:pPr>
      <w:rPr>
        <w:rFonts w:hint="default"/>
        <w:lang w:val="fr-FR" w:eastAsia="en-US" w:bidi="ar-SA"/>
      </w:rPr>
    </w:lvl>
    <w:lvl w:ilvl="5">
      <w:start w:val="0"/>
      <w:numFmt w:val="bullet"/>
      <w:lvlText w:val="•"/>
      <w:lvlJc w:val="left"/>
      <w:pPr>
        <w:ind w:left="5853" w:hanging="425"/>
      </w:pPr>
      <w:rPr>
        <w:rFonts w:hint="default"/>
        <w:lang w:val="fr-FR" w:eastAsia="en-US" w:bidi="ar-SA"/>
      </w:rPr>
    </w:lvl>
    <w:lvl w:ilvl="6">
      <w:start w:val="0"/>
      <w:numFmt w:val="bullet"/>
      <w:lvlText w:val="•"/>
      <w:lvlJc w:val="left"/>
      <w:pPr>
        <w:ind w:left="6771" w:hanging="425"/>
      </w:pPr>
      <w:rPr>
        <w:rFonts w:hint="default"/>
        <w:lang w:val="fr-FR" w:eastAsia="en-US" w:bidi="ar-SA"/>
      </w:rPr>
    </w:lvl>
    <w:lvl w:ilvl="7">
      <w:start w:val="0"/>
      <w:numFmt w:val="bullet"/>
      <w:lvlText w:val="•"/>
      <w:lvlJc w:val="left"/>
      <w:pPr>
        <w:ind w:left="7690" w:hanging="425"/>
      </w:pPr>
      <w:rPr>
        <w:rFonts w:hint="default"/>
        <w:lang w:val="fr-FR" w:eastAsia="en-US" w:bidi="ar-SA"/>
      </w:rPr>
    </w:lvl>
    <w:lvl w:ilvl="8">
      <w:start w:val="0"/>
      <w:numFmt w:val="bullet"/>
      <w:lvlText w:val="•"/>
      <w:lvlJc w:val="left"/>
      <w:pPr>
        <w:ind w:left="8609" w:hanging="425"/>
      </w:pPr>
      <w:rPr>
        <w:rFonts w:hint="default"/>
        <w:lang w:val="fr-FR"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3" w:hanging="252"/>
      </w:pPr>
      <w:rPr>
        <w:rFonts w:hint="default"/>
        <w:lang w:val="fr-FR" w:eastAsia="en-US" w:bidi="ar-SA"/>
      </w:rPr>
    </w:lvl>
    <w:lvl w:ilvl="7">
      <w:start w:val="0"/>
      <w:numFmt w:val="bullet"/>
      <w:lvlText w:val="•"/>
      <w:lvlJc w:val="left"/>
      <w:pPr>
        <w:ind w:left="6996" w:hanging="252"/>
      </w:pPr>
      <w:rPr>
        <w:rFonts w:hint="default"/>
        <w:lang w:val="fr-FR" w:eastAsia="en-US" w:bidi="ar-SA"/>
      </w:rPr>
    </w:lvl>
    <w:lvl w:ilvl="8">
      <w:start w:val="0"/>
      <w:numFmt w:val="bullet"/>
      <w:lvlText w:val="•"/>
      <w:lvlJc w:val="left"/>
      <w:pPr>
        <w:ind w:left="7979" w:hanging="252"/>
      </w:pPr>
      <w:rPr>
        <w:rFonts w:hint="default"/>
        <w:lang w:val="fr-FR" w:eastAsia="en-US" w:bidi="ar-SA"/>
      </w:rPr>
    </w:lvl>
  </w:abstractNum>
  <w:abstractNum w:abstractNumId="0">
    <w:multiLevelType w:val="hybridMultilevel"/>
    <w:lvl w:ilvl="0">
      <w:start w:val="0"/>
      <w:numFmt w:val="bullet"/>
      <w:lvlText w:val=""/>
      <w:lvlJc w:val="left"/>
      <w:pPr>
        <w:ind w:left="753" w:hanging="308"/>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992" w:hanging="308"/>
      </w:pPr>
      <w:rPr>
        <w:rFonts w:hint="default"/>
        <w:lang w:val="fr-FR" w:eastAsia="en-US" w:bidi="ar-SA"/>
      </w:rPr>
    </w:lvl>
    <w:lvl w:ilvl="2">
      <w:start w:val="0"/>
      <w:numFmt w:val="bullet"/>
      <w:lvlText w:val="•"/>
      <w:lvlJc w:val="left"/>
      <w:pPr>
        <w:ind w:left="1224" w:hanging="308"/>
      </w:pPr>
      <w:rPr>
        <w:rFonts w:hint="default"/>
        <w:lang w:val="fr-FR" w:eastAsia="en-US" w:bidi="ar-SA"/>
      </w:rPr>
    </w:lvl>
    <w:lvl w:ilvl="3">
      <w:start w:val="0"/>
      <w:numFmt w:val="bullet"/>
      <w:lvlText w:val="•"/>
      <w:lvlJc w:val="left"/>
      <w:pPr>
        <w:ind w:left="1456" w:hanging="308"/>
      </w:pPr>
      <w:rPr>
        <w:rFonts w:hint="default"/>
        <w:lang w:val="fr-FR" w:eastAsia="en-US" w:bidi="ar-SA"/>
      </w:rPr>
    </w:lvl>
    <w:lvl w:ilvl="4">
      <w:start w:val="0"/>
      <w:numFmt w:val="bullet"/>
      <w:lvlText w:val="•"/>
      <w:lvlJc w:val="left"/>
      <w:pPr>
        <w:ind w:left="1688" w:hanging="308"/>
      </w:pPr>
      <w:rPr>
        <w:rFonts w:hint="default"/>
        <w:lang w:val="fr-FR" w:eastAsia="en-US" w:bidi="ar-SA"/>
      </w:rPr>
    </w:lvl>
    <w:lvl w:ilvl="5">
      <w:start w:val="0"/>
      <w:numFmt w:val="bullet"/>
      <w:lvlText w:val="•"/>
      <w:lvlJc w:val="left"/>
      <w:pPr>
        <w:ind w:left="1921" w:hanging="308"/>
      </w:pPr>
      <w:rPr>
        <w:rFonts w:hint="default"/>
        <w:lang w:val="fr-FR" w:eastAsia="en-US" w:bidi="ar-SA"/>
      </w:rPr>
    </w:lvl>
    <w:lvl w:ilvl="6">
      <w:start w:val="0"/>
      <w:numFmt w:val="bullet"/>
      <w:lvlText w:val="•"/>
      <w:lvlJc w:val="left"/>
      <w:pPr>
        <w:ind w:left="2153" w:hanging="308"/>
      </w:pPr>
      <w:rPr>
        <w:rFonts w:hint="default"/>
        <w:lang w:val="fr-FR" w:eastAsia="en-US" w:bidi="ar-SA"/>
      </w:rPr>
    </w:lvl>
    <w:lvl w:ilvl="7">
      <w:start w:val="0"/>
      <w:numFmt w:val="bullet"/>
      <w:lvlText w:val="•"/>
      <w:lvlJc w:val="left"/>
      <w:pPr>
        <w:ind w:left="2385" w:hanging="308"/>
      </w:pPr>
      <w:rPr>
        <w:rFonts w:hint="default"/>
        <w:lang w:val="fr-FR" w:eastAsia="en-US" w:bidi="ar-SA"/>
      </w:rPr>
    </w:lvl>
    <w:lvl w:ilvl="8">
      <w:start w:val="0"/>
      <w:numFmt w:val="bullet"/>
      <w:lvlText w:val="•"/>
      <w:lvlJc w:val="left"/>
      <w:pPr>
        <w:ind w:left="2617" w:hanging="308"/>
      </w:pPr>
      <w:rPr>
        <w:rFonts w:hint="default"/>
        <w:lang w:val="fr-FR" w:eastAsia="en-US" w:bidi="ar-SA"/>
      </w:rPr>
    </w:lvl>
  </w:abstractNum>
  <w:abstractNum w:abstractNumId="2">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560" w:hanging="360"/>
      </w:pPr>
      <w:rPr>
        <w:rFonts w:hint="default" w:ascii="Verdana" w:hAnsi="Verdana" w:eastAsia="Verdana" w:cs="Verdana"/>
        <w:b w:val="0"/>
        <w:bCs w:val="0"/>
        <w:i w:val="0"/>
        <w:iCs w:val="0"/>
        <w:w w:val="100"/>
        <w:sz w:val="22"/>
        <w:szCs w:val="22"/>
        <w:lang w:val="fr-FR" w:eastAsia="en-US" w:bidi="ar-SA"/>
      </w:rPr>
    </w:lvl>
    <w:lvl w:ilvl="2">
      <w:start w:val="0"/>
      <w:numFmt w:val="bullet"/>
      <w:lvlText w:val="•"/>
      <w:lvlJc w:val="left"/>
      <w:pPr>
        <w:ind w:left="2547" w:hanging="360"/>
      </w:pPr>
      <w:rPr>
        <w:rFonts w:hint="default"/>
        <w:lang w:val="fr-FR" w:eastAsia="en-US" w:bidi="ar-SA"/>
      </w:rPr>
    </w:lvl>
    <w:lvl w:ilvl="3">
      <w:start w:val="0"/>
      <w:numFmt w:val="bullet"/>
      <w:lvlText w:val="•"/>
      <w:lvlJc w:val="left"/>
      <w:pPr>
        <w:ind w:left="3534" w:hanging="360"/>
      </w:pPr>
      <w:rPr>
        <w:rFonts w:hint="default"/>
        <w:lang w:val="fr-FR" w:eastAsia="en-US" w:bidi="ar-SA"/>
      </w:rPr>
    </w:lvl>
    <w:lvl w:ilvl="4">
      <w:start w:val="0"/>
      <w:numFmt w:val="bullet"/>
      <w:lvlText w:val="•"/>
      <w:lvlJc w:val="left"/>
      <w:pPr>
        <w:ind w:left="4522" w:hanging="360"/>
      </w:pPr>
      <w:rPr>
        <w:rFonts w:hint="default"/>
        <w:lang w:val="fr-FR" w:eastAsia="en-US" w:bidi="ar-SA"/>
      </w:rPr>
    </w:lvl>
    <w:lvl w:ilvl="5">
      <w:start w:val="0"/>
      <w:numFmt w:val="bullet"/>
      <w:lvlText w:val="•"/>
      <w:lvlJc w:val="left"/>
      <w:pPr>
        <w:ind w:left="5509" w:hanging="360"/>
      </w:pPr>
      <w:rPr>
        <w:rFonts w:hint="default"/>
        <w:lang w:val="fr-FR" w:eastAsia="en-US" w:bidi="ar-SA"/>
      </w:rPr>
    </w:lvl>
    <w:lvl w:ilvl="6">
      <w:start w:val="0"/>
      <w:numFmt w:val="bullet"/>
      <w:lvlText w:val="•"/>
      <w:lvlJc w:val="left"/>
      <w:pPr>
        <w:ind w:left="6496" w:hanging="360"/>
      </w:pPr>
      <w:rPr>
        <w:rFonts w:hint="default"/>
        <w:lang w:val="fr-FR" w:eastAsia="en-US" w:bidi="ar-SA"/>
      </w:rPr>
    </w:lvl>
    <w:lvl w:ilvl="7">
      <w:start w:val="0"/>
      <w:numFmt w:val="bullet"/>
      <w:lvlText w:val="•"/>
      <w:lvlJc w:val="left"/>
      <w:pPr>
        <w:ind w:left="7484" w:hanging="360"/>
      </w:pPr>
      <w:rPr>
        <w:rFonts w:hint="default"/>
        <w:lang w:val="fr-FR" w:eastAsia="en-US" w:bidi="ar-SA"/>
      </w:rPr>
    </w:lvl>
    <w:lvl w:ilvl="8">
      <w:start w:val="0"/>
      <w:numFmt w:val="bullet"/>
      <w:lvlText w:val="•"/>
      <w:lvlJc w:val="left"/>
      <w:pPr>
        <w:ind w:left="8471" w:hanging="360"/>
      </w:pPr>
      <w:rPr>
        <w:rFonts w:hint="default"/>
        <w:lang w:val="fr-FR" w:eastAsia="en-US" w:bidi="ar-SA"/>
      </w:rPr>
    </w:lvl>
  </w:abstractNum>
  <w:num w:numId="7">
    <w:abstractNumId w:val="6"/>
  </w: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2"/>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425"/>
      <w:jc w:val="both"/>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Olivier.Luyckx@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2023-02-16T16:50:34Z</dcterms:created>
  <dcterms:modified xsi:type="dcterms:W3CDTF">2023-02-16T16:50:34Z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