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7"/>
              <w:rPr>
                <w:b/>
                <w:sz w:val="24"/>
              </w:rPr>
            </w:pPr>
            <w:r>
              <w:rPr>
                <w:b/>
                <w:spacing w:val="-2"/>
                <w:sz w:val="24"/>
              </w:rPr>
              <w:t>DGT-C-HU-</w:t>
            </w:r>
            <w:r>
              <w:rPr>
                <w:b/>
                <w:spacing w:val="-10"/>
                <w:sz w:val="24"/>
              </w:rPr>
              <w:t>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3"/>
                <w:sz w:val="22"/>
              </w:rPr>
              <w:t> </w:t>
            </w:r>
            <w:r>
              <w:rPr>
                <w:b/>
                <w:spacing w:val="-2"/>
                <w:sz w:val="22"/>
              </w:rPr>
              <w:t>d’unité:</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2223"/>
              <w:rPr>
                <w:b/>
                <w:sz w:val="22"/>
              </w:rPr>
            </w:pPr>
            <w:r>
              <w:rPr>
                <w:b/>
                <w:sz w:val="22"/>
              </w:rPr>
              <w:t>Sándor Kovács </w:t>
            </w:r>
            <w:hyperlink r:id="rId7">
              <w:r>
                <w:rPr>
                  <w:b/>
                  <w:spacing w:val="-2"/>
                  <w:sz w:val="22"/>
                </w:rPr>
                <w:t>sandor.kovacs@ec.europa.eu</w:t>
              </w:r>
            </w:hyperlink>
            <w:r>
              <w:rPr>
                <w:b/>
                <w:spacing w:val="-2"/>
                <w:sz w:val="22"/>
              </w:rPr>
              <w:t> </w:t>
            </w:r>
            <w:r>
              <w:rPr>
                <w:b/>
                <w:sz w:val="22"/>
              </w:rPr>
              <w:t>(+352) 4301 31654</w:t>
            </w:r>
          </w:p>
          <w:p>
            <w:pPr>
              <w:pStyle w:val="TableParagraph"/>
              <w:spacing w:line="274" w:lineRule="exact"/>
              <w:rPr>
                <w:sz w:val="24"/>
              </w:rPr>
            </w:pPr>
            <w:r>
              <w:rPr>
                <w:sz w:val="24"/>
              </w:rPr>
              <w:t>1</w:t>
            </w:r>
          </w:p>
          <w:p>
            <w:pPr>
              <w:pStyle w:val="TableParagraph"/>
              <w:spacing w:line="252" w:lineRule="exact" w:before="2"/>
              <w:rPr>
                <w:b/>
                <w:sz w:val="22"/>
              </w:rPr>
            </w:pPr>
            <w:r>
              <w:rPr>
                <w:b/>
                <w:sz w:val="22"/>
              </w:rPr>
              <w:t>3</w:t>
            </w:r>
            <w:r>
              <w:rPr>
                <w:b/>
                <w:sz w:val="22"/>
                <w:vertAlign w:val="superscript"/>
              </w:rPr>
              <w:t>ème</w:t>
            </w:r>
            <w:r>
              <w:rPr>
                <w:b/>
                <w:spacing w:val="-6"/>
                <w:sz w:val="22"/>
                <w:vertAlign w:val="baseline"/>
              </w:rPr>
              <w:t> </w:t>
            </w:r>
            <w:r>
              <w:rPr>
                <w:b/>
                <w:sz w:val="22"/>
                <w:vertAlign w:val="baseline"/>
              </w:rPr>
              <w:t>trimestre</w:t>
            </w:r>
            <w:r>
              <w:rPr>
                <w:b/>
                <w:spacing w:val="-6"/>
                <w:sz w:val="22"/>
                <w:vertAlign w:val="baseline"/>
              </w:rPr>
              <w:t> </w:t>
            </w:r>
            <w:r>
              <w:rPr>
                <w:b/>
                <w:spacing w:val="-4"/>
                <w:sz w:val="22"/>
                <w:vertAlign w:val="baseline"/>
              </w:rPr>
              <w:t>2023</w:t>
            </w:r>
            <w:r>
              <w:rPr>
                <w:b/>
                <w:spacing w:val="-4"/>
                <w:sz w:val="22"/>
                <w:vertAlign w:val="superscript"/>
              </w:rPr>
              <w:t>1</w:t>
            </w:r>
          </w:p>
          <w:p>
            <w:pPr>
              <w:pStyle w:val="TableParagraph"/>
              <w:spacing w:line="250" w:lineRule="exact"/>
              <w:rPr>
                <w:b/>
                <w:sz w:val="22"/>
              </w:rPr>
            </w:pPr>
            <w:r>
              <w:rPr>
                <w:b/>
                <w:sz w:val="22"/>
              </w:rPr>
              <w:t>2 </w:t>
            </w:r>
            <w:r>
              <w:rPr>
                <w:b/>
                <w:spacing w:val="-4"/>
                <w:sz w:val="22"/>
              </w:rPr>
              <w:t>ans</w:t>
            </w:r>
            <w:r>
              <w:rPr>
                <w:b/>
                <w:spacing w:val="-4"/>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2"/>
                <w:sz w:val="22"/>
              </w:rPr>
              <w:t> </w:t>
            </w:r>
            <w:r>
              <w:rPr>
                <w:b/>
                <w:sz w:val="22"/>
              </w:rPr>
              <w:t>ou</w:t>
            </w:r>
            <w:r>
              <w:rPr>
                <w:b/>
                <w:spacing w:val="-6"/>
                <w:sz w:val="22"/>
              </w:rPr>
              <w:t> </w:t>
            </w:r>
            <w:r>
              <w:rPr>
                <w:rFonts w:ascii="Wingdings 2" w:hAnsi="Wingdings 2"/>
                <w:b/>
                <w:sz w:val="22"/>
              </w:rPr>
              <w:t></w:t>
            </w:r>
            <w:r>
              <w:rPr>
                <w:sz w:val="22"/>
              </w:rPr>
              <w:t> </w:t>
            </w:r>
            <w:r>
              <w:rPr>
                <w:b/>
                <w:sz w:val="22"/>
              </w:rPr>
              <w:t>Luxembourg</w:t>
            </w:r>
            <w:r>
              <w:rPr>
                <w:b/>
                <w:spacing w:val="50"/>
                <w:sz w:val="22"/>
              </w:rPr>
              <w:t> </w:t>
            </w:r>
            <w:r>
              <w:rPr>
                <w:rFonts w:ascii="Wingdings 2" w:hAnsi="Wingdings 2"/>
                <w:sz w:val="22"/>
              </w:rPr>
              <w:t></w:t>
            </w:r>
            <w:r>
              <w:rPr>
                <w:spacing w:val="-3"/>
                <w:sz w:val="22"/>
              </w:rPr>
              <w:t> </w:t>
            </w:r>
            <w:r>
              <w:rPr>
                <w:sz w:val="22"/>
              </w:rPr>
              <w:t>A</w:t>
            </w:r>
            <w:r>
              <w:rPr>
                <w:b/>
                <w:sz w:val="22"/>
              </w:rPr>
              <w:t>utre:</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2"/>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2" w:hAnsi="Wingdings 2"/>
                <w:sz w:val="22"/>
              </w:rPr>
              <w:t></w:t>
            </w:r>
            <w:r>
              <w:rPr>
                <w:spacing w:val="-6"/>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pacing w:val="-2"/>
                <w:sz w:val="22"/>
              </w:rPr>
              <w:t></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ListParagraph"/>
        <w:numPr>
          <w:ilvl w:val="0"/>
          <w:numId w:val="4"/>
        </w:numPr>
        <w:tabs>
          <w:tab w:pos="841" w:val="left" w:leader="none"/>
        </w:tabs>
        <w:spacing w:line="240" w:lineRule="auto" w:before="92" w:after="0"/>
        <w:ind w:left="840" w:right="113" w:hanging="281"/>
        <w:jc w:val="both"/>
        <w:rPr>
          <w:sz w:val="22"/>
        </w:rPr>
      </w:pPr>
      <w:r>
        <w:rPr>
          <w:sz w:val="22"/>
        </w:rPr>
        <w:t>traduire des textes législatifs et spécialisés et réviser des textes de ce type traduits par des traducteurs du département ou des traducteurs externes;</w:t>
      </w:r>
    </w:p>
    <w:p>
      <w:pPr>
        <w:pStyle w:val="ListParagraph"/>
        <w:numPr>
          <w:ilvl w:val="0"/>
          <w:numId w:val="4"/>
        </w:numPr>
        <w:tabs>
          <w:tab w:pos="841" w:val="left" w:leader="none"/>
        </w:tabs>
        <w:spacing w:line="240" w:lineRule="auto" w:before="0" w:after="0"/>
        <w:ind w:left="840" w:right="105" w:hanging="281"/>
        <w:jc w:val="both"/>
        <w:rPr>
          <w:sz w:val="22"/>
        </w:rPr>
      </w:pPr>
      <w:r>
        <w:rPr>
          <w:sz w:val="22"/>
        </w:rPr>
        <w:t>fournir une assistance et des conseils terminologiques dans ses domaines d’expertise aux traducteurs et terminologues du département de langue hongroise; parmi les domaines d’expertise possibles figurent les sciences sociales et naturelles, la transition écologique l’économie, la santé, la culture, ingénierie (par exemple dans des domaines tels que l’énergie, le climat, le transport et l’informatique), l’économie, le</w:t>
      </w:r>
      <w:r>
        <w:rPr>
          <w:spacing w:val="40"/>
          <w:sz w:val="22"/>
        </w:rPr>
        <w:t> </w:t>
      </w:r>
      <w:r>
        <w:rPr>
          <w:sz w:val="22"/>
        </w:rPr>
        <w:t>droit, etc. (liste non exhaustive);</w:t>
      </w:r>
    </w:p>
    <w:p>
      <w:pPr>
        <w:pStyle w:val="ListParagraph"/>
        <w:numPr>
          <w:ilvl w:val="0"/>
          <w:numId w:val="4"/>
        </w:numPr>
        <w:tabs>
          <w:tab w:pos="841" w:val="left" w:leader="none"/>
        </w:tabs>
        <w:spacing w:line="252" w:lineRule="exact" w:before="0" w:after="0"/>
        <w:ind w:left="840" w:right="0" w:hanging="282"/>
        <w:jc w:val="both"/>
        <w:rPr>
          <w:sz w:val="22"/>
        </w:rPr>
      </w:pPr>
      <w:r>
        <w:rPr>
          <w:sz w:val="22"/>
        </w:rPr>
        <w:t>organiser</w:t>
      </w:r>
      <w:r>
        <w:rPr>
          <w:spacing w:val="-6"/>
          <w:sz w:val="22"/>
        </w:rPr>
        <w:t> </w:t>
      </w:r>
      <w:r>
        <w:rPr>
          <w:sz w:val="22"/>
        </w:rPr>
        <w:t>et</w:t>
      </w:r>
      <w:r>
        <w:rPr>
          <w:spacing w:val="-2"/>
          <w:sz w:val="22"/>
        </w:rPr>
        <w:t> </w:t>
      </w:r>
      <w:r>
        <w:rPr>
          <w:sz w:val="22"/>
        </w:rPr>
        <w:t>donner</w:t>
      </w:r>
      <w:r>
        <w:rPr>
          <w:spacing w:val="-5"/>
          <w:sz w:val="22"/>
        </w:rPr>
        <w:t> </w:t>
      </w:r>
      <w:r>
        <w:rPr>
          <w:sz w:val="22"/>
        </w:rPr>
        <w:t>des</w:t>
      </w:r>
      <w:r>
        <w:rPr>
          <w:spacing w:val="-3"/>
          <w:sz w:val="22"/>
        </w:rPr>
        <w:t> </w:t>
      </w:r>
      <w:r>
        <w:rPr>
          <w:sz w:val="22"/>
        </w:rPr>
        <w:t>présentations</w:t>
      </w:r>
      <w:r>
        <w:rPr>
          <w:spacing w:val="-5"/>
          <w:sz w:val="22"/>
        </w:rPr>
        <w:t> </w:t>
      </w:r>
      <w:r>
        <w:rPr>
          <w:sz w:val="22"/>
        </w:rPr>
        <w:t>sur</w:t>
      </w:r>
      <w:r>
        <w:rPr>
          <w:spacing w:val="-4"/>
          <w:sz w:val="22"/>
        </w:rPr>
        <w:t> </w:t>
      </w:r>
      <w:r>
        <w:rPr>
          <w:sz w:val="22"/>
        </w:rPr>
        <w:t>des</w:t>
      </w:r>
      <w:r>
        <w:rPr>
          <w:spacing w:val="-5"/>
          <w:sz w:val="22"/>
        </w:rPr>
        <w:t> </w:t>
      </w:r>
      <w:r>
        <w:rPr>
          <w:sz w:val="22"/>
        </w:rPr>
        <w:t>sujets</w:t>
      </w:r>
      <w:r>
        <w:rPr>
          <w:spacing w:val="-3"/>
          <w:sz w:val="22"/>
        </w:rPr>
        <w:t> </w:t>
      </w:r>
      <w:r>
        <w:rPr>
          <w:sz w:val="22"/>
        </w:rPr>
        <w:t>présentant</w:t>
      </w:r>
      <w:r>
        <w:rPr>
          <w:spacing w:val="-5"/>
          <w:sz w:val="22"/>
        </w:rPr>
        <w:t> </w:t>
      </w:r>
      <w:r>
        <w:rPr>
          <w:sz w:val="22"/>
        </w:rPr>
        <w:t>un</w:t>
      </w:r>
      <w:r>
        <w:rPr>
          <w:spacing w:val="-3"/>
          <w:sz w:val="22"/>
        </w:rPr>
        <w:t> </w:t>
      </w:r>
      <w:r>
        <w:rPr>
          <w:sz w:val="22"/>
        </w:rPr>
        <w:t>intérêt</w:t>
      </w:r>
      <w:r>
        <w:rPr>
          <w:spacing w:val="-2"/>
          <w:sz w:val="22"/>
        </w:rPr>
        <w:t> </w:t>
      </w:r>
      <w:r>
        <w:rPr>
          <w:sz w:val="22"/>
        </w:rPr>
        <w:t>pour</w:t>
      </w:r>
      <w:r>
        <w:rPr>
          <w:spacing w:val="-3"/>
          <w:sz w:val="22"/>
        </w:rPr>
        <w:t> </w:t>
      </w:r>
      <w:r>
        <w:rPr>
          <w:sz w:val="22"/>
        </w:rPr>
        <w:t>les</w:t>
      </w:r>
      <w:r>
        <w:rPr>
          <w:spacing w:val="-5"/>
          <w:sz w:val="22"/>
        </w:rPr>
        <w:t> </w:t>
      </w:r>
      <w:r>
        <w:rPr>
          <w:sz w:val="22"/>
        </w:rPr>
        <w:t>membres</w:t>
      </w:r>
      <w:r>
        <w:rPr>
          <w:spacing w:val="-3"/>
          <w:sz w:val="22"/>
        </w:rPr>
        <w:t> </w:t>
      </w:r>
      <w:r>
        <w:rPr>
          <w:sz w:val="22"/>
        </w:rPr>
        <w:t>du</w:t>
      </w:r>
      <w:r>
        <w:rPr>
          <w:spacing w:val="-3"/>
          <w:sz w:val="22"/>
        </w:rPr>
        <w:t> </w:t>
      </w:r>
      <w:r>
        <w:rPr>
          <w:spacing w:val="-2"/>
          <w:sz w:val="22"/>
        </w:rPr>
        <w:t>département;</w:t>
      </w:r>
    </w:p>
    <w:p>
      <w:pPr>
        <w:pStyle w:val="ListParagraph"/>
        <w:numPr>
          <w:ilvl w:val="0"/>
          <w:numId w:val="4"/>
        </w:numPr>
        <w:tabs>
          <w:tab w:pos="841" w:val="left" w:leader="none"/>
        </w:tabs>
        <w:spacing w:line="240" w:lineRule="auto" w:before="0" w:after="0"/>
        <w:ind w:left="840" w:right="113" w:hanging="281"/>
        <w:jc w:val="both"/>
        <w:rPr>
          <w:sz w:val="22"/>
        </w:rPr>
      </w:pPr>
      <w:r>
        <w:rPr>
          <w:sz w:val="22"/>
        </w:rPr>
        <w:t>contribuer à élargir le réseau de contacts et à établir un lien entre les institutions/autorités/services</w:t>
      </w:r>
      <w:r>
        <w:rPr>
          <w:spacing w:val="40"/>
          <w:sz w:val="22"/>
        </w:rPr>
        <w:t> </w:t>
      </w:r>
      <w:r>
        <w:rPr>
          <w:sz w:val="22"/>
        </w:rPr>
        <w:t>nationaux et le département de langue hongroise de la DGT;</w:t>
      </w:r>
    </w:p>
    <w:p>
      <w:pPr>
        <w:pStyle w:val="ListParagraph"/>
        <w:numPr>
          <w:ilvl w:val="0"/>
          <w:numId w:val="4"/>
        </w:numPr>
        <w:tabs>
          <w:tab w:pos="841" w:val="left" w:leader="none"/>
        </w:tabs>
        <w:spacing w:line="240" w:lineRule="auto" w:before="0" w:after="0"/>
        <w:ind w:left="840" w:right="104" w:hanging="281"/>
        <w:jc w:val="both"/>
        <w:rPr>
          <w:sz w:val="22"/>
        </w:rPr>
      </w:pPr>
      <w:r>
        <w:rPr>
          <w:sz w:val="22"/>
        </w:rPr>
        <w:t>apporter son appui au département de langue hongroise dans le cadre de la préparation de la présidence hongroise de l’UE (2024).</w:t>
      </w:r>
    </w:p>
    <w:p>
      <w:pPr>
        <w:pStyle w:val="BodyText"/>
        <w:spacing w:before="11"/>
        <w:rPr>
          <w:sz w:val="21"/>
        </w:rPr>
      </w:pPr>
    </w:p>
    <w:p>
      <w:pPr>
        <w:pStyle w:val="BodyText"/>
        <w:ind w:left="559"/>
        <w:jc w:val="both"/>
      </w:pPr>
      <w:r>
        <w:rPr/>
        <w:t>Le</w:t>
      </w:r>
      <w:r>
        <w:rPr>
          <w:spacing w:val="-3"/>
        </w:rPr>
        <w:t> </w:t>
      </w:r>
      <w:r>
        <w:rPr/>
        <w:t>candidat</w:t>
      </w:r>
      <w:r>
        <w:rPr>
          <w:spacing w:val="-1"/>
        </w:rPr>
        <w:t> </w:t>
      </w:r>
      <w:r>
        <w:rPr/>
        <w:t>retenu</w:t>
      </w:r>
      <w:r>
        <w:rPr>
          <w:spacing w:val="-2"/>
        </w:rPr>
        <w:t> </w:t>
      </w:r>
      <w:r>
        <w:rPr/>
        <w:t>sera</w:t>
      </w:r>
      <w:r>
        <w:rPr>
          <w:spacing w:val="-4"/>
        </w:rPr>
        <w:t> </w:t>
      </w:r>
      <w:r>
        <w:rPr/>
        <w:t>affecté</w:t>
      </w:r>
      <w:r>
        <w:rPr>
          <w:spacing w:val="-3"/>
        </w:rPr>
        <w:t> </w:t>
      </w:r>
      <w:r>
        <w:rPr/>
        <w:t>à</w:t>
      </w:r>
      <w:r>
        <w:rPr>
          <w:spacing w:val="-1"/>
        </w:rPr>
        <w:t> </w:t>
      </w:r>
      <w:r>
        <w:rPr>
          <w:spacing w:val="-2"/>
        </w:rPr>
        <w:t>Luxembourg.</w:t>
      </w:r>
    </w:p>
    <w:p>
      <w:pPr>
        <w:pStyle w:val="BodyText"/>
        <w:spacing w:before="6"/>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1"/>
        <w:rPr>
          <w:b/>
          <w:sz w:val="15"/>
        </w:rPr>
      </w:pPr>
    </w:p>
    <w:p>
      <w:pPr>
        <w:pStyle w:val="Heading1"/>
        <w:numPr>
          <w:ilvl w:val="1"/>
          <w:numId w:val="3"/>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6"/>
        <w:rPr>
          <w:b/>
          <w:sz w:val="21"/>
        </w:rPr>
      </w:pPr>
    </w:p>
    <w:p>
      <w:pPr>
        <w:pStyle w:val="BodyText"/>
        <w:spacing w:before="1"/>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rPr>
          <w:sz w:val="20"/>
        </w:rPr>
      </w:pPr>
    </w:p>
    <w:p>
      <w:pPr>
        <w:pStyle w:val="BodyText"/>
        <w:rPr>
          <w:sz w:val="20"/>
        </w:rPr>
      </w:pPr>
    </w:p>
    <w:p>
      <w:pPr>
        <w:pStyle w:val="BodyText"/>
        <w:spacing w:before="11"/>
        <w:rPr>
          <w:sz w:val="10"/>
        </w:rPr>
      </w:pPr>
      <w:r>
        <w:rPr/>
        <w:pict>
          <v:rect style="position:absolute;margin-left:42.599998pt;margin-top:7.51875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2"/>
          <w:numId w:val="3"/>
        </w:numPr>
        <w:tabs>
          <w:tab w:pos="841" w:val="left" w:leader="none"/>
        </w:tabs>
        <w:spacing w:line="240" w:lineRule="auto" w:before="68" w:after="0"/>
        <w:ind w:left="840" w:right="112"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3"/>
        </w:numPr>
        <w:tabs>
          <w:tab w:pos="841" w:val="left" w:leader="none"/>
        </w:tabs>
        <w:spacing w:line="240" w:lineRule="auto" w:before="0" w:after="0"/>
        <w:ind w:left="840" w:right="103"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3"/>
        </w:numPr>
        <w:tabs>
          <w:tab w:pos="841" w:val="left" w:leader="none"/>
        </w:tabs>
        <w:spacing w:line="240" w:lineRule="auto" w:before="0" w:after="0"/>
        <w:ind w:left="840" w:right="104"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before="91"/>
        <w:ind w:left="840"/>
      </w:pPr>
      <w:r>
        <w:rPr>
          <w:spacing w:val="-2"/>
          <w:u w:val="single"/>
        </w:rPr>
        <w:t>Diplôme</w:t>
      </w:r>
    </w:p>
    <w:p>
      <w:pPr>
        <w:pStyle w:val="ListParagraph"/>
        <w:numPr>
          <w:ilvl w:val="0"/>
          <w:numId w:val="5"/>
        </w:numPr>
        <w:tabs>
          <w:tab w:pos="966" w:val="left" w:leader="none"/>
        </w:tabs>
        <w:spacing w:line="252" w:lineRule="exact" w:before="2"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5"/>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984" w:right="170" w:hanging="34"/>
        <w:jc w:val="both"/>
      </w:pPr>
      <w:r>
        <w:rPr/>
        <w:t>dans le(s) domaine(s): linguistique/terminologie, la transition écologique l’économie, la santé, la culture, ingénierie (par exemple dans des domaines tels que l’énergie, le climat, le transport et l’informatique), l’économie, le droit ou autres domaines relevant de la politique de l’Union européenne.</w:t>
      </w:r>
    </w:p>
    <w:p>
      <w:pPr>
        <w:pStyle w:val="BodyText"/>
        <w:spacing w:before="10"/>
        <w:rPr>
          <w:sz w:val="21"/>
        </w:rPr>
      </w:pPr>
    </w:p>
    <w:p>
      <w:pPr>
        <w:pStyle w:val="BodyText"/>
        <w:ind w:left="84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1"/>
        <w:ind w:left="840"/>
      </w:pPr>
      <w:r>
        <w:rPr/>
        <w:t>Expérience</w:t>
      </w:r>
      <w:r>
        <w:rPr>
          <w:spacing w:val="-4"/>
        </w:rPr>
        <w:t> </w:t>
      </w:r>
      <w:r>
        <w:rPr/>
        <w:t>professionnelle</w:t>
      </w:r>
      <w:r>
        <w:rPr>
          <w:spacing w:val="-5"/>
        </w:rPr>
        <w:t> </w:t>
      </w:r>
      <w:r>
        <w:rPr/>
        <w:t>d’une</w:t>
      </w:r>
      <w:r>
        <w:rPr>
          <w:spacing w:val="-6"/>
        </w:rPr>
        <w:t> </w:t>
      </w:r>
      <w:r>
        <w:rPr/>
        <w:t>durée</w:t>
      </w:r>
      <w:r>
        <w:rPr>
          <w:spacing w:val="-3"/>
        </w:rPr>
        <w:t> </w:t>
      </w:r>
      <w:r>
        <w:rPr/>
        <w:t>minimale</w:t>
      </w:r>
      <w:r>
        <w:rPr>
          <w:spacing w:val="-4"/>
        </w:rPr>
        <w:t> </w:t>
      </w:r>
      <w:r>
        <w:rPr/>
        <w:t>de</w:t>
      </w:r>
      <w:r>
        <w:rPr>
          <w:spacing w:val="-3"/>
        </w:rPr>
        <w:t> </w:t>
      </w:r>
      <w:r>
        <w:rPr/>
        <w:t>3</w:t>
      </w:r>
      <w:r>
        <w:rPr>
          <w:spacing w:val="-6"/>
        </w:rPr>
        <w:t> </w:t>
      </w:r>
      <w:r>
        <w:rPr>
          <w:spacing w:val="-4"/>
        </w:rPr>
        <w:t>ans.</w:t>
      </w:r>
    </w:p>
    <w:p>
      <w:pPr>
        <w:pStyle w:val="BodyText"/>
        <w:spacing w:line="477" w:lineRule="auto" w:before="2"/>
        <w:ind w:left="840" w:right="637"/>
      </w:pPr>
      <w:r>
        <w:rPr/>
        <w:t>Une</w:t>
      </w:r>
      <w:r>
        <w:rPr>
          <w:spacing w:val="-2"/>
        </w:rPr>
        <w:t> </w:t>
      </w:r>
      <w:r>
        <w:rPr/>
        <w:t>expérience</w:t>
      </w:r>
      <w:r>
        <w:rPr>
          <w:spacing w:val="-4"/>
        </w:rPr>
        <w:t> </w:t>
      </w:r>
      <w:r>
        <w:rPr/>
        <w:t>dans</w:t>
      </w:r>
      <w:r>
        <w:rPr>
          <w:spacing w:val="-4"/>
        </w:rPr>
        <w:t> </w:t>
      </w:r>
      <w:r>
        <w:rPr/>
        <w:t>le</w:t>
      </w:r>
      <w:r>
        <w:rPr>
          <w:spacing w:val="-4"/>
        </w:rPr>
        <w:t> </w:t>
      </w:r>
      <w:r>
        <w:rPr/>
        <w:t>domaine</w:t>
      </w:r>
      <w:r>
        <w:rPr>
          <w:spacing w:val="-2"/>
        </w:rPr>
        <w:t> </w:t>
      </w:r>
      <w:r>
        <w:rPr/>
        <w:t>de</w:t>
      </w:r>
      <w:r>
        <w:rPr>
          <w:spacing w:val="-2"/>
        </w:rPr>
        <w:t> </w:t>
      </w:r>
      <w:r>
        <w:rPr/>
        <w:t>la</w:t>
      </w:r>
      <w:r>
        <w:rPr>
          <w:spacing w:val="-4"/>
        </w:rPr>
        <w:t> </w:t>
      </w:r>
      <w:r>
        <w:rPr/>
        <w:t>traduction</w:t>
      </w:r>
      <w:r>
        <w:rPr>
          <w:spacing w:val="-2"/>
        </w:rPr>
        <w:t> </w:t>
      </w:r>
      <w:r>
        <w:rPr/>
        <w:t>de</w:t>
      </w:r>
      <w:r>
        <w:rPr>
          <w:spacing w:val="-4"/>
        </w:rPr>
        <w:t> </w:t>
      </w:r>
      <w:r>
        <w:rPr/>
        <w:t>l’anglais</w:t>
      </w:r>
      <w:r>
        <w:rPr>
          <w:spacing w:val="-2"/>
        </w:rPr>
        <w:t> </w:t>
      </w:r>
      <w:r>
        <w:rPr/>
        <w:t>vers</w:t>
      </w:r>
      <w:r>
        <w:rPr>
          <w:spacing w:val="-2"/>
        </w:rPr>
        <w:t> </w:t>
      </w:r>
      <w:r>
        <w:rPr/>
        <w:t>le hongrois</w:t>
      </w:r>
      <w:r>
        <w:rPr>
          <w:spacing w:val="-1"/>
        </w:rPr>
        <w:t> </w:t>
      </w:r>
      <w:r>
        <w:rPr/>
        <w:t>constituerait</w:t>
      </w:r>
      <w:r>
        <w:rPr>
          <w:spacing w:val="-1"/>
        </w:rPr>
        <w:t> </w:t>
      </w:r>
      <w:r>
        <w:rPr/>
        <w:t>un</w:t>
      </w:r>
      <w:r>
        <w:rPr>
          <w:spacing w:val="-2"/>
        </w:rPr>
        <w:t> </w:t>
      </w:r>
      <w:r>
        <w:rPr/>
        <w:t>atout. </w:t>
      </w:r>
      <w:r>
        <w:rPr>
          <w:u w:val="single"/>
        </w:rPr>
        <w:t>Langues nécessaires pour l'accomplissement des tâches</w:t>
      </w:r>
    </w:p>
    <w:p>
      <w:pPr>
        <w:pStyle w:val="BodyText"/>
        <w:spacing w:before="4"/>
        <w:ind w:left="840"/>
      </w:pPr>
      <w:r>
        <w:rPr/>
        <w:t>Très</w:t>
      </w:r>
      <w:r>
        <w:rPr>
          <w:spacing w:val="-2"/>
        </w:rPr>
        <w:t> </w:t>
      </w:r>
      <w:r>
        <w:rPr/>
        <w:t>bonne</w:t>
      </w:r>
      <w:r>
        <w:rPr>
          <w:spacing w:val="-4"/>
        </w:rPr>
        <w:t> </w:t>
      </w:r>
      <w:r>
        <w:rPr/>
        <w:t>connaissance</w:t>
      </w:r>
      <w:r>
        <w:rPr>
          <w:spacing w:val="-2"/>
        </w:rPr>
        <w:t> </w:t>
      </w:r>
      <w:r>
        <w:rPr/>
        <w:t>du</w:t>
      </w:r>
      <w:r>
        <w:rPr>
          <w:spacing w:val="-1"/>
        </w:rPr>
        <w:t> </w:t>
      </w:r>
      <w:r>
        <w:rPr/>
        <w:t>hongrois</w:t>
      </w:r>
      <w:r>
        <w:rPr>
          <w:spacing w:val="-4"/>
        </w:rPr>
        <w:t> </w:t>
      </w:r>
      <w:r>
        <w:rPr/>
        <w:t>et</w:t>
      </w:r>
      <w:r>
        <w:rPr>
          <w:spacing w:val="-4"/>
        </w:rPr>
        <w:t> </w:t>
      </w:r>
      <w:r>
        <w:rPr/>
        <w:t>de</w:t>
      </w:r>
      <w:r>
        <w:rPr>
          <w:spacing w:val="-2"/>
        </w:rPr>
        <w:t> </w:t>
      </w:r>
      <w:r>
        <w:rPr/>
        <w:t>l’anglais.</w:t>
      </w:r>
      <w:r>
        <w:rPr>
          <w:spacing w:val="-4"/>
        </w:rPr>
        <w:t> </w:t>
      </w:r>
      <w:r>
        <w:rPr/>
        <w:t>Une</w:t>
      </w:r>
      <w:r>
        <w:rPr>
          <w:spacing w:val="-2"/>
        </w:rPr>
        <w:t> </w:t>
      </w:r>
      <w:r>
        <w:rPr/>
        <w:t>bonne</w:t>
      </w:r>
      <w:r>
        <w:rPr>
          <w:spacing w:val="-4"/>
        </w:rPr>
        <w:t> </w:t>
      </w:r>
      <w:r>
        <w:rPr/>
        <w:t>connaissance</w:t>
      </w:r>
      <w:r>
        <w:rPr>
          <w:spacing w:val="-2"/>
        </w:rPr>
        <w:t> </w:t>
      </w:r>
      <w:r>
        <w:rPr/>
        <w:t>du</w:t>
      </w:r>
      <w:r>
        <w:rPr>
          <w:spacing w:val="-4"/>
        </w:rPr>
        <w:t> </w:t>
      </w:r>
      <w:r>
        <w:rPr/>
        <w:t>français</w:t>
      </w:r>
      <w:r>
        <w:rPr>
          <w:spacing w:val="-2"/>
        </w:rPr>
        <w:t> </w:t>
      </w:r>
      <w:r>
        <w:rPr/>
        <w:t>constituerait</w:t>
      </w:r>
      <w:r>
        <w:rPr>
          <w:spacing w:val="-1"/>
        </w:rPr>
        <w:t> </w:t>
      </w:r>
      <w:r>
        <w:rPr/>
        <w:t>un </w:t>
      </w:r>
      <w:r>
        <w:rPr>
          <w:spacing w:val="-2"/>
        </w:rPr>
        <w:t>atout.</w:t>
      </w:r>
    </w:p>
    <w:p>
      <w:pPr>
        <w:pStyle w:val="BodyText"/>
        <w:spacing w:before="7"/>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6"/>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right="287"/>
        <w:jc w:val="both"/>
      </w:pPr>
      <w:r>
        <w:rPr/>
        <w:t>L'END restera employé et rémunéré par son employeur durant toute la durée du détachement. Il restera également couvert par la sécurité sociale nationale durant son détachement.</w:t>
      </w:r>
    </w:p>
    <w:p>
      <w:pPr>
        <w:pStyle w:val="BodyText"/>
        <w:ind w:left="559" w:right="280"/>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90" w:top="1040" w:bottom="880" w:left="720" w:right="740"/>
        </w:sectPr>
      </w:pPr>
    </w:p>
    <w:p>
      <w:pPr>
        <w:pStyle w:val="BodyText"/>
        <w:spacing w:before="68"/>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3"/>
          <w:sz w:val="24"/>
          <w:u w:val="single"/>
        </w:rPr>
        <w:t> </w:t>
      </w:r>
      <w:r>
        <w:rPr>
          <w:b/>
          <w:sz w:val="24"/>
          <w:u w:val="single"/>
        </w:rPr>
        <w:t>données</w:t>
      </w:r>
      <w:r>
        <w:rPr>
          <w:b/>
          <w:spacing w:val="-2"/>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before="1"/>
        <w:ind w:left="559" w:right="286"/>
        <w:jc w:val="both"/>
      </w:pPr>
      <w:r>
        <w:rPr/>
        <w:t>Les données des END seront conservées pendant 10 ans à compter de la fin du détachement (2 ans pour les END dont la candidature n'a pas été retenue ou a été retirée).</w:t>
      </w:r>
    </w:p>
    <w:p>
      <w:pPr>
        <w:pStyle w:val="BodyText"/>
        <w:ind w:left="559" w:right="286"/>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40" w:lineRule="auto"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6"/>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41" w:val="left" w:leader="none"/>
        </w:tabs>
        <w:spacing w:line="240" w:lineRule="auto" w:before="4"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721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281"/>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dor.kovacs@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2023-02-16T16:45:20Z</dcterms:created>
  <dcterms:modified xsi:type="dcterms:W3CDTF">2023-02-16T16:45:20Z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