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67"/>
              <w:rPr>
                <w:b/>
                <w:sz w:val="24"/>
              </w:rPr>
            </w:pPr>
            <w:r>
              <w:rPr>
                <w:b/>
                <w:spacing w:val="-4"/>
                <w:sz w:val="24"/>
              </w:rPr>
              <w:t>COMP-H-</w:t>
            </w:r>
            <w:r>
              <w:rPr>
                <w:b/>
                <w:spacing w:val="-10"/>
                <w:sz w:val="24"/>
              </w:rPr>
              <w:t>5</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060"/>
              <w:rPr>
                <w:b/>
                <w:sz w:val="22"/>
              </w:rPr>
            </w:pPr>
            <w:r>
              <w:rPr>
                <w:b/>
                <w:sz w:val="22"/>
              </w:rPr>
              <w:t>Harold NYSSENS </w:t>
            </w:r>
            <w:hyperlink r:id="rId7">
              <w:r>
                <w:rPr>
                  <w:b/>
                  <w:color w:val="0000FF"/>
                  <w:spacing w:val="-2"/>
                  <w:sz w:val="22"/>
                  <w:u w:val="single" w:color="0000FF"/>
                </w:rPr>
                <w:t>harold.nyssens@ec.europa.eu</w:t>
              </w:r>
            </w:hyperlink>
          </w:p>
          <w:p>
            <w:pPr>
              <w:pStyle w:val="TableParagraph"/>
              <w:rPr>
                <w:b/>
                <w:sz w:val="22"/>
              </w:rPr>
            </w:pPr>
            <w:r>
              <w:rPr>
                <w:b/>
                <w:sz w:val="22"/>
              </w:rPr>
              <w:t>+32</w:t>
            </w:r>
            <w:r>
              <w:rPr>
                <w:b/>
                <w:spacing w:val="-1"/>
                <w:sz w:val="22"/>
              </w:rPr>
              <w:t> </w:t>
            </w:r>
            <w:r>
              <w:rPr>
                <w:b/>
                <w:sz w:val="22"/>
              </w:rPr>
              <w:t>2</w:t>
            </w:r>
            <w:r>
              <w:rPr>
                <w:b/>
                <w:spacing w:val="-1"/>
                <w:sz w:val="22"/>
              </w:rPr>
              <w:t> </w:t>
            </w:r>
            <w:r>
              <w:rPr>
                <w:b/>
                <w:sz w:val="22"/>
              </w:rPr>
              <w:t>29 </w:t>
            </w:r>
            <w:r>
              <w:rPr>
                <w:b/>
                <w:spacing w:val="-2"/>
                <w:sz w:val="22"/>
              </w:rPr>
              <w:t>9687021</w:t>
            </w:r>
          </w:p>
          <w:p>
            <w:pPr>
              <w:pStyle w:val="TableParagraph"/>
              <w:spacing w:line="252" w:lineRule="exact"/>
              <w:rPr>
                <w:b/>
                <w:sz w:val="22"/>
              </w:rPr>
            </w:pPr>
            <w:r>
              <w:rPr>
                <w:b/>
                <w:w w:val="100"/>
                <w:sz w:val="22"/>
              </w:rPr>
              <w:t>1</w:t>
            </w:r>
          </w:p>
          <w:p>
            <w:pPr>
              <w:pStyle w:val="TableParagraph"/>
              <w:spacing w:line="252" w:lineRule="exact"/>
              <w:rPr>
                <w:b/>
                <w:sz w:val="22"/>
              </w:rPr>
            </w:pPr>
            <w:r>
              <w:rPr>
                <w:b/>
                <w:sz w:val="22"/>
              </w:rPr>
              <w:t>3</w:t>
            </w:r>
            <w:r>
              <w:rPr>
                <w:b/>
                <w:sz w:val="22"/>
                <w:vertAlign w:val="superscript"/>
              </w:rPr>
              <w:t>ème</w:t>
            </w:r>
            <w:r>
              <w:rPr>
                <w:b/>
                <w:spacing w:val="-6"/>
                <w:sz w:val="22"/>
                <w:vertAlign w:val="baseline"/>
              </w:rPr>
              <w:t> </w:t>
            </w:r>
            <w:r>
              <w:rPr>
                <w:b/>
                <w:sz w:val="22"/>
                <w:vertAlign w:val="baseline"/>
              </w:rPr>
              <w:t>trimestre</w:t>
            </w:r>
            <w:r>
              <w:rPr>
                <w:b/>
                <w:spacing w:val="-5"/>
                <w:sz w:val="22"/>
                <w:vertAlign w:val="baseline"/>
              </w:rPr>
              <w:t> </w:t>
            </w:r>
            <w:r>
              <w:rPr>
                <w:b/>
                <w:spacing w:val="-4"/>
                <w:sz w:val="22"/>
                <w:vertAlign w:val="baseline"/>
              </w:rPr>
              <w:t>2023</w:t>
            </w:r>
            <w:r>
              <w:rPr>
                <w:b/>
                <w:spacing w:val="-4"/>
                <w:sz w:val="22"/>
                <w:vertAlign w:val="superscript"/>
              </w:rPr>
              <w:t>1</w:t>
            </w:r>
          </w:p>
          <w:p>
            <w:pPr>
              <w:pStyle w:val="TableParagraph"/>
              <w:spacing w:line="252" w:lineRule="exact"/>
              <w:rPr>
                <w:b/>
                <w:sz w:val="22"/>
              </w:rPr>
            </w:pPr>
            <w:r>
              <w:rPr>
                <w:b/>
                <w:sz w:val="22"/>
              </w:rPr>
              <w:t>1 </w:t>
            </w:r>
            <w:r>
              <w:rPr>
                <w:b/>
                <w:spacing w:val="-5"/>
                <w:sz w:val="22"/>
              </w:rPr>
              <w:t>an</w:t>
            </w:r>
            <w:r>
              <w:rPr>
                <w:b/>
                <w:spacing w:val="-5"/>
                <w:sz w:val="22"/>
                <w:vertAlign w:val="superscript"/>
              </w:rPr>
              <w:t>1</w:t>
            </w:r>
          </w:p>
          <w:p>
            <w:pPr>
              <w:pStyle w:val="TableParagraph"/>
              <w:spacing w:before="1"/>
              <w:rPr>
                <w:b/>
                <w:sz w:val="22"/>
              </w:rPr>
            </w:pPr>
            <w:r>
              <w:rPr>
                <w:rFonts w:ascii="Wingdings 2" w:hAnsi="Wingdings 2"/>
                <w:b/>
                <w:sz w:val="22"/>
              </w:rPr>
              <w:t></w:t>
            </w:r>
            <w:r>
              <w:rPr>
                <w:spacing w:val="-5"/>
                <w:sz w:val="22"/>
              </w:rPr>
              <w:t> </w:t>
            </w:r>
            <w:r>
              <w:rPr>
                <w:b/>
                <w:sz w:val="22"/>
              </w:rPr>
              <w:t>Bruxelles</w:t>
            </w:r>
            <w:r>
              <w:rPr>
                <w:b/>
                <w:spacing w:val="50"/>
                <w:sz w:val="22"/>
              </w:rPr>
              <w:t> </w:t>
            </w:r>
            <w:r>
              <w:rPr>
                <w:rFonts w:ascii="Wingdings 2" w:hAnsi="Wingdings 2"/>
                <w:b/>
                <w:sz w:val="22"/>
              </w:rPr>
              <w:t></w:t>
            </w:r>
            <w:r>
              <w:rPr>
                <w:spacing w:val="-1"/>
                <w:sz w:val="22"/>
              </w:rPr>
              <w:t> </w:t>
            </w:r>
            <w:r>
              <w:rPr>
                <w:b/>
                <w:sz w:val="22"/>
              </w:rPr>
              <w:t>Luxembourg</w:t>
            </w:r>
            <w:r>
              <w:rPr>
                <w:b/>
                <w:spacing w:val="49"/>
                <w:sz w:val="22"/>
              </w:rPr>
              <w:t> </w:t>
            </w:r>
            <w:r>
              <w:rPr>
                <w:rFonts w:ascii="Wingdings 2" w:hAnsi="Wingdings 2"/>
                <w:b/>
                <w:sz w:val="22"/>
              </w:rPr>
              <w:t></w:t>
            </w:r>
            <w:r>
              <w:rPr>
                <w:sz w:val="22"/>
              </w:rPr>
              <w:t> </w:t>
            </w:r>
            <w:r>
              <w:rPr>
                <w:b/>
                <w:sz w:val="22"/>
              </w:rPr>
              <w:t>Autre: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40" w:val="left" w:leader="none"/>
                <w:tab w:pos="2966" w:val="left" w:leader="none"/>
                <w:tab w:pos="3439" w:val="left" w:leader="none"/>
              </w:tabs>
              <w:spacing w:before="145"/>
              <w:rPr>
                <w:b/>
                <w:sz w:val="22"/>
              </w:rPr>
            </w:pPr>
            <w:r>
              <w:rPr>
                <w:rFonts w:ascii="Wingdings 2" w:hAnsi="Wingdings 2"/>
                <w:spacing w:val="-10"/>
                <w:sz w:val="24"/>
              </w:rPr>
              <w:t></w:t>
            </w:r>
            <w:r>
              <w:rPr>
                <w:sz w:val="24"/>
              </w:rPr>
              <w:tab/>
            </w:r>
            <w:r>
              <w:rPr>
                <w:b/>
                <w:sz w:val="22"/>
              </w:rPr>
              <w:t>Avec</w:t>
            </w:r>
            <w:r>
              <w:rPr>
                <w:b/>
                <w:spacing w:val="-2"/>
                <w:sz w:val="22"/>
              </w:rPr>
              <w:t> 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1152" w:val="left" w:leader="none"/>
          <w:tab w:pos="1153" w:val="left" w:leader="none"/>
        </w:tabs>
        <w:spacing w:line="240" w:lineRule="auto" w:before="0" w:after="0"/>
        <w:ind w:left="1152" w:right="0" w:hanging="421"/>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7"/>
        <w:rPr>
          <w:b/>
          <w:sz w:val="15"/>
        </w:rPr>
      </w:pPr>
    </w:p>
    <w:p>
      <w:pPr>
        <w:pStyle w:val="BodyText"/>
        <w:spacing w:before="92"/>
        <w:ind w:left="799" w:right="104"/>
        <w:jc w:val="both"/>
      </w:pPr>
      <w:r>
        <w:rPr/>
        <w:t>L’unité H5 est chargée de veiller à ce que les mesures fiscales soient conformes aux règles en matière d’aides d’État. Nous avons pour mission d’empêcher les distorsions de concurrence résultant de traitements fiscaux</w:t>
      </w:r>
      <w:r>
        <w:rPr>
          <w:spacing w:val="40"/>
        </w:rPr>
        <w:t> </w:t>
      </w:r>
      <w:r>
        <w:rPr/>
        <w:t>qui procurent à certaines entreprises un avantage sélectif. Le portefeuille de l’unité comprend, en général, la fiscalité des entreprises, les régimes de sécurité sociale, la fiscalité immobilière, la fiscalité environnementale ou liée à la santé, les impôts sectoriels et la fiscalité des jeux d’argent et de hasard. Dans ce contexte, nous avons pour objectif de contribuer au bon fonctionnement du marché intérieur de l’UE.</w:t>
      </w:r>
    </w:p>
    <w:p>
      <w:pPr>
        <w:pStyle w:val="BodyText"/>
        <w:spacing w:before="10"/>
        <w:rPr>
          <w:sz w:val="23"/>
        </w:rPr>
      </w:pPr>
    </w:p>
    <w:p>
      <w:pPr>
        <w:pStyle w:val="BodyText"/>
        <w:ind w:left="799" w:right="107"/>
        <w:jc w:val="both"/>
      </w:pPr>
      <w:r>
        <w:rPr/>
        <w:t>Il s’agit également d’enquêter sur les mesures étatiques facilitant la planification fiscale agressive par les grandes multinationales. Il s’agit généralement de rulings fiscaux (comme dans les affaires Amazon, Apple, Fiat, Starbucks, Engie, par exemple) et de régimes fiscaux tels que le système belge des bénéfices </w:t>
      </w:r>
      <w:r>
        <w:rPr>
          <w:spacing w:val="-2"/>
        </w:rPr>
        <w:t>excédentaires.</w:t>
      </w:r>
    </w:p>
    <w:p>
      <w:pPr>
        <w:pStyle w:val="BodyText"/>
        <w:spacing w:before="1"/>
        <w:rPr>
          <w:sz w:val="24"/>
        </w:rPr>
      </w:pPr>
    </w:p>
    <w:p>
      <w:pPr>
        <w:pStyle w:val="BodyText"/>
        <w:ind w:left="799" w:right="104"/>
        <w:jc w:val="both"/>
      </w:pPr>
      <w:r>
        <w:rPr/>
        <w:t>Le travail de l’unité consiste donc en une combinaison d’enquêtes effectuées de sa propre initiative, par exemple en ce qui concerne la planification fiscale agressive ou les entreprises publiques dans le secteur portuaire, et d’enquêtes déclenchées par des plaintes émanant d’opérateurs du marché. L’une des questions centrales auxquelles l’unité est confrontée dans ces affaires concerne l’existence d’un «avantage sélectif», établissant ainsi la ligne de démarcation entre la compétence exclusive des États membres dans la conception de leurs systèmes fiscaux et le devoir de la Commission de veiller à la conformité de ces régimes fiscaux avec les règles en matière d’aides d’État. La jurisprudence récente de la Cour de justice joue un rôle crucial à cet </w:t>
      </w:r>
      <w:r>
        <w:rPr>
          <w:spacing w:val="-2"/>
        </w:rPr>
        <w:t>égard.</w:t>
      </w:r>
    </w:p>
    <w:p>
      <w:pPr>
        <w:pStyle w:val="BodyText"/>
        <w:rPr>
          <w:sz w:val="24"/>
        </w:rPr>
      </w:pPr>
    </w:p>
    <w:p>
      <w:pPr>
        <w:pStyle w:val="BodyText"/>
        <w:ind w:left="799" w:right="104"/>
        <w:jc w:val="both"/>
      </w:pPr>
      <w:r>
        <w:rPr/>
        <w:t>Des contacts étroits sont maintenus avec la DG TAXUD afin de garantir l’alignement de l’application des règles</w:t>
      </w:r>
      <w:r>
        <w:rPr>
          <w:spacing w:val="40"/>
        </w:rPr>
        <w:t> </w:t>
      </w:r>
      <w:r>
        <w:rPr/>
        <w:t>en</w:t>
      </w:r>
      <w:r>
        <w:rPr>
          <w:spacing w:val="40"/>
        </w:rPr>
        <w:t> </w:t>
      </w:r>
      <w:r>
        <w:rPr/>
        <w:t>matière</w:t>
      </w:r>
      <w:r>
        <w:rPr>
          <w:spacing w:val="40"/>
        </w:rPr>
        <w:t> </w:t>
      </w:r>
      <w:r>
        <w:rPr/>
        <w:t>d’aides</w:t>
      </w:r>
      <w:r>
        <w:rPr>
          <w:spacing w:val="40"/>
        </w:rPr>
        <w:t> </w:t>
      </w:r>
      <w:r>
        <w:rPr/>
        <w:t>d’État</w:t>
      </w:r>
      <w:r>
        <w:rPr>
          <w:spacing w:val="40"/>
        </w:rPr>
        <w:t> </w:t>
      </w:r>
      <w:r>
        <w:rPr/>
        <w:t>sur</w:t>
      </w:r>
      <w:r>
        <w:rPr>
          <w:spacing w:val="40"/>
        </w:rPr>
        <w:t> </w:t>
      </w:r>
      <w:r>
        <w:rPr/>
        <w:t>le</w:t>
      </w:r>
      <w:r>
        <w:rPr>
          <w:spacing w:val="40"/>
        </w:rPr>
        <w:t> </w:t>
      </w:r>
      <w:r>
        <w:rPr/>
        <w:t>programme</w:t>
      </w:r>
      <w:r>
        <w:rPr>
          <w:spacing w:val="40"/>
        </w:rPr>
        <w:t> </w:t>
      </w:r>
      <w:r>
        <w:rPr/>
        <w:t>politique</w:t>
      </w:r>
      <w:r>
        <w:rPr>
          <w:spacing w:val="40"/>
        </w:rPr>
        <w:t> </w:t>
      </w:r>
      <w:r>
        <w:rPr/>
        <w:t>plus</w:t>
      </w:r>
      <w:r>
        <w:rPr>
          <w:spacing w:val="40"/>
        </w:rPr>
        <w:t> </w:t>
      </w:r>
      <w:r>
        <w:rPr/>
        <w:t>large</w:t>
      </w:r>
      <w:r>
        <w:rPr>
          <w:spacing w:val="40"/>
        </w:rPr>
        <w:t> </w:t>
      </w:r>
      <w:r>
        <w:rPr/>
        <w:t>de</w:t>
      </w:r>
      <w:r>
        <w:rPr>
          <w:spacing w:val="40"/>
        </w:rPr>
        <w:t> </w:t>
      </w:r>
      <w:r>
        <w:rPr/>
        <w:t>la</w:t>
      </w:r>
      <w:r>
        <w:rPr>
          <w:spacing w:val="40"/>
        </w:rPr>
        <w:t> </w:t>
      </w:r>
      <w:r>
        <w:rPr/>
        <w:t>Commission</w:t>
      </w:r>
      <w:r>
        <w:rPr>
          <w:spacing w:val="40"/>
        </w:rPr>
        <w:t> </w:t>
      </w:r>
      <w:r>
        <w:rPr/>
        <w:t>en</w:t>
      </w:r>
      <w:r>
        <w:rPr>
          <w:spacing w:val="40"/>
        </w:rPr>
        <w:t> </w:t>
      </w:r>
      <w:r>
        <w:rPr/>
        <w:t>matière</w:t>
      </w:r>
      <w:r>
        <w:rPr>
          <w:spacing w:val="40"/>
        </w:rPr>
        <w:t> </w:t>
      </w:r>
      <w:r>
        <w:rPr/>
        <w:t>de</w:t>
      </w:r>
    </w:p>
    <w:p>
      <w:pPr>
        <w:pStyle w:val="BodyText"/>
        <w:spacing w:before="8"/>
        <w:rPr>
          <w:sz w:val="26"/>
        </w:rPr>
      </w:pPr>
      <w:r>
        <w:rPr/>
        <w:pict>
          <v:rect style="position:absolute;margin-left:42.599998pt;margin-top:16.553993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05"/>
        <w:jc w:val="both"/>
      </w:pPr>
      <w:r>
        <w:rPr/>
        <w:t>fiscalité. Cette coordination est particulièrement cruciale dans des domaines tels que la TVA, les droits d’accises et la fiscalité des entreprises. Les travaux sur les cas de planification fiscale s’inscrivent en outre</w:t>
      </w:r>
      <w:r>
        <w:rPr>
          <w:spacing w:val="40"/>
        </w:rPr>
        <w:t> </w:t>
      </w:r>
      <w:r>
        <w:rPr/>
        <w:t>dans des discussions plus larges sur la lutte contre la planification fiscale agressive au sein de l’OCDE et du G20 (par exemple, en ce qui concerne l’élaboration des règles du pilier 2 de l’OCDE).</w:t>
      </w:r>
    </w:p>
    <w:p>
      <w:pPr>
        <w:pStyle w:val="BodyText"/>
        <w:spacing w:before="1"/>
        <w:rPr>
          <w:sz w:val="24"/>
        </w:rPr>
      </w:pPr>
    </w:p>
    <w:p>
      <w:pPr>
        <w:pStyle w:val="BodyText"/>
        <w:ind w:left="799" w:right="105"/>
        <w:jc w:val="both"/>
      </w:pPr>
      <w:r>
        <w:rPr/>
        <w:t>Nous proposons un poste de gestionnaire de cas. Sa</w:t>
      </w:r>
      <w:r>
        <w:rPr>
          <w:spacing w:val="-1"/>
        </w:rPr>
        <w:t> </w:t>
      </w:r>
      <w:r>
        <w:rPr/>
        <w:t>tâche principale sera de procéder à</w:t>
      </w:r>
      <w:r>
        <w:rPr>
          <w:spacing w:val="-1"/>
        </w:rPr>
        <w:t> </w:t>
      </w:r>
      <w:r>
        <w:rPr/>
        <w:t>l’évaluation</w:t>
      </w:r>
      <w:r>
        <w:rPr>
          <w:spacing w:val="-1"/>
        </w:rPr>
        <w:t> </w:t>
      </w:r>
      <w:r>
        <w:rPr/>
        <w:t>fiscale des mesures d’État, y compris celles qui facilitent les structures de planification fiscale agressive en vertu des règles en matière d’aides d’État. Ce travail est réalisé au sein d’une équipe dynamique et jeune. L’équipe est responsable du dossier depuis son ouverture jusqu’à une décision formelle de la Commission, dirige les négociations avec les États membres et les parties prenantes et prépare les notes correspondantes à l’intention de la direction et du commissaire. L’équipe rédige également les décisions finales de la Commission. Le candidat retenu contribuera ainsi au développement de la politique de la Commission dans le domaine des aides fiscales.</w:t>
      </w:r>
    </w:p>
    <w:p>
      <w:pPr>
        <w:pStyle w:val="BodyText"/>
        <w:spacing w:before="11"/>
        <w:rPr>
          <w:sz w:val="23"/>
        </w:rPr>
      </w:pPr>
    </w:p>
    <w:p>
      <w:pPr>
        <w:pStyle w:val="BodyText"/>
        <w:ind w:left="799" w:right="106"/>
        <w:jc w:val="both"/>
      </w:pPr>
      <w:r>
        <w:rPr/>
        <w:t>Les collègues qui rejoignent la DG COMP se voient proposer une formation spécifique pour se familiariser avec l’organisation et les procédures de travail de la direction générale. Ils bénéficient en outre d’un accompagnement/parrainage par un collègue expérimenté de l’unité. La DG COMP applique une politique d’égalité des chances et applique un système d’horaire flexible, en particulier dans les circonstances actuelles de la COVID-19.</w:t>
      </w:r>
    </w:p>
    <w:p>
      <w:pPr>
        <w:pStyle w:val="BodyText"/>
        <w:rPr>
          <w:sz w:val="24"/>
        </w:rPr>
      </w:pP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2"/>
        </w:numPr>
        <w:tabs>
          <w:tab w:pos="1040" w:val="left" w:leader="none"/>
        </w:tabs>
        <w:spacing w:line="240" w:lineRule="auto" w:before="92"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6"/>
        <w:rPr>
          <w:b/>
          <w:sz w:val="21"/>
        </w:rPr>
      </w:pPr>
    </w:p>
    <w:p>
      <w:pPr>
        <w:pStyle w:val="BodyText"/>
        <w:spacing w:before="1"/>
        <w:ind w:left="799" w:right="106"/>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2"/>
          <w:numId w:val="2"/>
        </w:numPr>
        <w:tabs>
          <w:tab w:pos="1081" w:val="left" w:leader="none"/>
        </w:tabs>
        <w:spacing w:line="240" w:lineRule="auto" w:before="1" w:after="0"/>
        <w:ind w:left="1080" w:right="113"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0"/>
        <w:rPr>
          <w:sz w:val="21"/>
        </w:rPr>
      </w:pPr>
    </w:p>
    <w:p>
      <w:pPr>
        <w:pStyle w:val="ListParagraph"/>
        <w:numPr>
          <w:ilvl w:val="2"/>
          <w:numId w:val="2"/>
        </w:numPr>
        <w:tabs>
          <w:tab w:pos="1081" w:val="left" w:leader="none"/>
        </w:tabs>
        <w:spacing w:line="240" w:lineRule="auto" w:before="0" w:after="0"/>
        <w:ind w:left="108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2"/>
        </w:numPr>
        <w:tabs>
          <w:tab w:pos="1081" w:val="left" w:leader="none"/>
        </w:tabs>
        <w:spacing w:line="240" w:lineRule="auto" w:before="0" w:after="0"/>
        <w:ind w:left="1080" w:right="106"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rPr>
          <w:sz w:val="24"/>
        </w:rPr>
      </w:pPr>
    </w:p>
    <w:p>
      <w:pPr>
        <w:pStyle w:val="Heading1"/>
        <w:numPr>
          <w:ilvl w:val="1"/>
          <w:numId w:val="2"/>
        </w:numPr>
        <w:tabs>
          <w:tab w:pos="1093" w:val="left" w:leader="none"/>
        </w:tabs>
        <w:spacing w:line="240" w:lineRule="auto" w:before="1" w:after="0"/>
        <w:ind w:left="1092" w:right="0" w:hanging="294"/>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1"/>
        <w:ind w:left="1080"/>
      </w:pPr>
      <w:r>
        <w:rPr>
          <w:spacing w:val="-2"/>
          <w:u w:val="single"/>
        </w:rPr>
        <w:t>Diplôme</w:t>
      </w:r>
    </w:p>
    <w:p>
      <w:pPr>
        <w:pStyle w:val="ListParagraph"/>
        <w:numPr>
          <w:ilvl w:val="0"/>
          <w:numId w:val="3"/>
        </w:numPr>
        <w:tabs>
          <w:tab w:pos="1206" w:val="left" w:leader="none"/>
        </w:tabs>
        <w:spacing w:line="252" w:lineRule="exact" w:before="0" w:after="0"/>
        <w:ind w:left="120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3"/>
        </w:numPr>
        <w:tabs>
          <w:tab w:pos="1206" w:val="left" w:leader="none"/>
        </w:tabs>
        <w:spacing w:line="252" w:lineRule="exact" w:before="0" w:after="0"/>
        <w:ind w:left="120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2"/>
      </w:pPr>
    </w:p>
    <w:p>
      <w:pPr>
        <w:spacing w:before="1"/>
        <w:ind w:left="1080" w:right="0" w:firstLine="0"/>
        <w:jc w:val="left"/>
        <w:rPr>
          <w:sz w:val="20"/>
        </w:rPr>
      </w:pPr>
      <w:r>
        <w:rPr>
          <w:sz w:val="20"/>
        </w:rPr>
        <w:t>en</w:t>
      </w:r>
      <w:r>
        <w:rPr>
          <w:spacing w:val="18"/>
          <w:sz w:val="20"/>
        </w:rPr>
        <w:t> </w:t>
      </w:r>
      <w:r>
        <w:rPr>
          <w:sz w:val="20"/>
        </w:rPr>
        <w:t>économie,</w:t>
      </w:r>
      <w:r>
        <w:rPr>
          <w:spacing w:val="20"/>
          <w:sz w:val="20"/>
        </w:rPr>
        <w:t> </w:t>
      </w:r>
      <w:r>
        <w:rPr>
          <w:sz w:val="20"/>
        </w:rPr>
        <w:t>en</w:t>
      </w:r>
      <w:r>
        <w:rPr>
          <w:spacing w:val="22"/>
          <w:sz w:val="20"/>
        </w:rPr>
        <w:t> </w:t>
      </w:r>
      <w:r>
        <w:rPr>
          <w:sz w:val="20"/>
        </w:rPr>
        <w:t>fiscalité</w:t>
      </w:r>
      <w:r>
        <w:rPr>
          <w:spacing w:val="20"/>
          <w:sz w:val="20"/>
        </w:rPr>
        <w:t> </w:t>
      </w:r>
      <w:r>
        <w:rPr>
          <w:sz w:val="20"/>
        </w:rPr>
        <w:t>ou</w:t>
      </w:r>
      <w:r>
        <w:rPr>
          <w:spacing w:val="20"/>
          <w:sz w:val="20"/>
        </w:rPr>
        <w:t> </w:t>
      </w:r>
      <w:r>
        <w:rPr>
          <w:sz w:val="20"/>
        </w:rPr>
        <w:t>en</w:t>
      </w:r>
      <w:r>
        <w:rPr>
          <w:spacing w:val="18"/>
          <w:sz w:val="20"/>
        </w:rPr>
        <w:t> </w:t>
      </w:r>
      <w:r>
        <w:rPr>
          <w:sz w:val="20"/>
        </w:rPr>
        <w:t>droit,</w:t>
      </w:r>
      <w:r>
        <w:rPr>
          <w:spacing w:val="20"/>
          <w:sz w:val="20"/>
        </w:rPr>
        <w:t> </w:t>
      </w:r>
      <w:r>
        <w:rPr>
          <w:sz w:val="20"/>
        </w:rPr>
        <w:t>pouvant</w:t>
      </w:r>
      <w:r>
        <w:rPr>
          <w:spacing w:val="19"/>
          <w:sz w:val="20"/>
        </w:rPr>
        <w:t> </w:t>
      </w:r>
      <w:r>
        <w:rPr>
          <w:sz w:val="20"/>
        </w:rPr>
        <w:t>le</w:t>
      </w:r>
      <w:r>
        <w:rPr>
          <w:spacing w:val="19"/>
          <w:sz w:val="20"/>
        </w:rPr>
        <w:t> </w:t>
      </w:r>
      <w:r>
        <w:rPr>
          <w:sz w:val="20"/>
        </w:rPr>
        <w:t>cas</w:t>
      </w:r>
      <w:r>
        <w:rPr>
          <w:spacing w:val="19"/>
          <w:sz w:val="20"/>
        </w:rPr>
        <w:t> </w:t>
      </w:r>
      <w:r>
        <w:rPr>
          <w:sz w:val="20"/>
        </w:rPr>
        <w:t>échéant</w:t>
      </w:r>
      <w:r>
        <w:rPr>
          <w:spacing w:val="19"/>
          <w:sz w:val="20"/>
        </w:rPr>
        <w:t> </w:t>
      </w:r>
      <w:r>
        <w:rPr>
          <w:sz w:val="20"/>
        </w:rPr>
        <w:t>avoir</w:t>
      </w:r>
      <w:r>
        <w:rPr>
          <w:spacing w:val="20"/>
          <w:sz w:val="20"/>
        </w:rPr>
        <w:t> </w:t>
      </w:r>
      <w:r>
        <w:rPr>
          <w:sz w:val="20"/>
        </w:rPr>
        <w:t>été</w:t>
      </w:r>
      <w:r>
        <w:rPr>
          <w:spacing w:val="20"/>
          <w:sz w:val="20"/>
        </w:rPr>
        <w:t> </w:t>
      </w:r>
      <w:r>
        <w:rPr>
          <w:sz w:val="20"/>
        </w:rPr>
        <w:t>acquis(e)</w:t>
      </w:r>
      <w:r>
        <w:rPr>
          <w:spacing w:val="20"/>
          <w:sz w:val="20"/>
        </w:rPr>
        <w:t> </w:t>
      </w:r>
      <w:r>
        <w:rPr>
          <w:sz w:val="20"/>
        </w:rPr>
        <w:t>dans</w:t>
      </w:r>
      <w:r>
        <w:rPr>
          <w:spacing w:val="19"/>
          <w:sz w:val="20"/>
        </w:rPr>
        <w:t> </w:t>
      </w:r>
      <w:r>
        <w:rPr>
          <w:sz w:val="20"/>
        </w:rPr>
        <w:t>le</w:t>
      </w:r>
      <w:r>
        <w:rPr>
          <w:spacing w:val="20"/>
          <w:sz w:val="20"/>
        </w:rPr>
        <w:t> </w:t>
      </w:r>
      <w:r>
        <w:rPr>
          <w:sz w:val="20"/>
        </w:rPr>
        <w:t>cadre</w:t>
      </w:r>
      <w:r>
        <w:rPr>
          <w:spacing w:val="20"/>
          <w:sz w:val="20"/>
        </w:rPr>
        <w:t> </w:t>
      </w:r>
      <w:r>
        <w:rPr>
          <w:sz w:val="20"/>
        </w:rPr>
        <w:t>d’une</w:t>
      </w:r>
      <w:r>
        <w:rPr>
          <w:spacing w:val="22"/>
          <w:sz w:val="20"/>
        </w:rPr>
        <w:t> </w:t>
      </w:r>
      <w:r>
        <w:rPr>
          <w:sz w:val="20"/>
        </w:rPr>
        <w:t>formation</w:t>
      </w:r>
      <w:r>
        <w:rPr>
          <w:spacing w:val="18"/>
          <w:sz w:val="20"/>
        </w:rPr>
        <w:t> </w:t>
      </w:r>
      <w:r>
        <w:rPr>
          <w:sz w:val="20"/>
        </w:rPr>
        <w:t>de niveau supérieur au sein de l’administration fiscale</w:t>
      </w:r>
    </w:p>
    <w:p>
      <w:pPr>
        <w:spacing w:after="0"/>
        <w:jc w:val="left"/>
        <w:rPr>
          <w:sz w:val="20"/>
        </w:rPr>
        <w:sectPr>
          <w:pgSz w:w="11910" w:h="16840"/>
          <w:pgMar w:header="0" w:footer="690" w:top="1040" w:bottom="880" w:left="480" w:right="740"/>
        </w:sectPr>
      </w:pPr>
    </w:p>
    <w:p>
      <w:pPr>
        <w:pStyle w:val="BodyText"/>
        <w:spacing w:before="68"/>
        <w:ind w:left="1080"/>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2"/>
        <w:ind w:left="1080" w:right="167"/>
        <w:jc w:val="both"/>
      </w:pPr>
      <w:r>
        <w:rPr/>
        <w:t>En rapport avec les questions fiscales. En particulier, une expérience en matière de prix de transfert et/ou de fiscalité internationale des entreprises serait appréciée. Les qualifications professionnelles liées à ces domaines (par exemple, CFA, ACCA, etc.) constitueraient un atout.</w:t>
      </w:r>
    </w:p>
    <w:p>
      <w:pPr>
        <w:pStyle w:val="BodyText"/>
      </w:pPr>
    </w:p>
    <w:p>
      <w:pPr>
        <w:pStyle w:val="BodyText"/>
        <w:spacing w:before="1"/>
        <w:ind w:left="1080"/>
        <w:jc w:val="both"/>
      </w:pPr>
      <w:r>
        <w:rPr>
          <w:u w:val="single"/>
        </w:rPr>
        <w:t>Langue(s)</w:t>
      </w:r>
      <w:r>
        <w:rPr>
          <w:spacing w:val="-8"/>
          <w:u w:val="single"/>
        </w:rPr>
        <w:t> </w:t>
      </w:r>
      <w:r>
        <w:rPr>
          <w:u w:val="single"/>
        </w:rPr>
        <w:t>nécessaire(s)</w:t>
      </w:r>
      <w:r>
        <w:rPr>
          <w:spacing w:val="-4"/>
          <w:u w:val="single"/>
        </w:rPr>
        <w:t> </w:t>
      </w:r>
      <w:r>
        <w:rPr>
          <w:u w:val="single"/>
        </w:rPr>
        <w:t>pour</w:t>
      </w:r>
      <w:r>
        <w:rPr>
          <w:spacing w:val="-6"/>
          <w:u w:val="single"/>
        </w:rPr>
        <w:t> </w:t>
      </w:r>
      <w:r>
        <w:rPr>
          <w:u w:val="single"/>
        </w:rPr>
        <w:t>l'accomplissement</w:t>
      </w:r>
      <w:r>
        <w:rPr>
          <w:spacing w:val="-4"/>
          <w:u w:val="single"/>
        </w:rPr>
        <w:t> </w:t>
      </w:r>
      <w:r>
        <w:rPr>
          <w:u w:val="single"/>
        </w:rPr>
        <w:t>des</w:t>
      </w:r>
      <w:r>
        <w:rPr>
          <w:spacing w:val="-7"/>
          <w:u w:val="single"/>
        </w:rPr>
        <w:t> </w:t>
      </w:r>
      <w:r>
        <w:rPr>
          <w:spacing w:val="-2"/>
          <w:u w:val="single"/>
        </w:rPr>
        <w:t>tâches</w:t>
      </w:r>
    </w:p>
    <w:p>
      <w:pPr>
        <w:pStyle w:val="BodyText"/>
        <w:spacing w:before="3"/>
        <w:rPr>
          <w:sz w:val="14"/>
        </w:rPr>
      </w:pPr>
    </w:p>
    <w:p>
      <w:pPr>
        <w:spacing w:before="91"/>
        <w:ind w:left="1080" w:right="0" w:firstLine="0"/>
        <w:jc w:val="left"/>
        <w:rPr>
          <w:sz w:val="20"/>
        </w:rPr>
      </w:pPr>
      <w:r>
        <w:rPr>
          <w:sz w:val="20"/>
        </w:rPr>
        <w:t>L'anglais est la langue de travail ; en conséquence, de bonnes capacités rédactionnelles en anglais sont requises. Une bonne connaissance d'une autre langue de l'Union Européenne constitue un atout.</w:t>
      </w:r>
    </w:p>
    <w:p>
      <w:pPr>
        <w:pStyle w:val="BodyText"/>
        <w:spacing w:before="3"/>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Soumission</w:t>
      </w:r>
      <w:r>
        <w:rPr>
          <w:b/>
          <w:spacing w:val="-6"/>
          <w:sz w:val="24"/>
          <w:u w:val="single"/>
        </w:rPr>
        <w:t> </w:t>
      </w:r>
      <w:r>
        <w:rPr>
          <w:b/>
          <w:sz w:val="24"/>
          <w:u w:val="single"/>
        </w:rPr>
        <w:t>des</w:t>
      </w:r>
      <w:r>
        <w:rPr>
          <w:b/>
          <w:spacing w:val="-7"/>
          <w:sz w:val="24"/>
          <w:u w:val="single"/>
        </w:rPr>
        <w:t> </w:t>
      </w:r>
      <w:r>
        <w:rPr>
          <w:b/>
          <w:sz w:val="24"/>
          <w:u w:val="single"/>
        </w:rPr>
        <w:t>candidatures</w:t>
      </w:r>
      <w:r>
        <w:rPr>
          <w:b/>
          <w:spacing w:val="-6"/>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7"/>
          <w:sz w:val="24"/>
          <w:u w:val="single"/>
        </w:rPr>
        <w:t> </w:t>
      </w:r>
      <w:r>
        <w:rPr>
          <w:b/>
          <w:spacing w:val="-2"/>
          <w:sz w:val="24"/>
          <w:u w:val="single"/>
        </w:rPr>
        <w:t>sélection</w:t>
      </w:r>
    </w:p>
    <w:p>
      <w:pPr>
        <w:pStyle w:val="BodyText"/>
        <w:spacing w:before="7"/>
        <w:rPr>
          <w:b/>
          <w:sz w:val="15"/>
        </w:rPr>
      </w:pPr>
    </w:p>
    <w:p>
      <w:pPr>
        <w:spacing w:before="91"/>
        <w:ind w:left="79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2" w:lineRule="exact"/>
        <w:ind w:left="799"/>
        <w:jc w:val="both"/>
      </w:pPr>
      <w:r>
        <w:rPr/>
        <w:t>Les</w:t>
      </w:r>
      <w:r>
        <w:rPr>
          <w:spacing w:val="-6"/>
        </w:rPr>
        <w:t> </w:t>
      </w:r>
      <w:r>
        <w:rPr/>
        <w:t>candidats</w:t>
      </w:r>
      <w:r>
        <w:rPr>
          <w:spacing w:val="-4"/>
        </w:rPr>
        <w:t> </w:t>
      </w:r>
      <w:r>
        <w:rPr/>
        <w:t>seront</w:t>
      </w:r>
      <w:r>
        <w:rPr>
          <w:spacing w:val="-2"/>
        </w:rPr>
        <w:t> </w:t>
      </w:r>
      <w:r>
        <w:rPr/>
        <w:t>informés</w:t>
      </w:r>
      <w:r>
        <w:rPr>
          <w:spacing w:val="-4"/>
        </w:rPr>
        <w:t> </w:t>
      </w:r>
      <w:r>
        <w:rPr/>
        <w:t>du</w:t>
      </w:r>
      <w:r>
        <w:rPr>
          <w:spacing w:val="-4"/>
        </w:rPr>
        <w:t> </w:t>
      </w:r>
      <w:r>
        <w:rPr/>
        <w:t>suivi</w:t>
      </w:r>
      <w:r>
        <w:rPr>
          <w:spacing w:val="-2"/>
        </w:rPr>
        <w:t> </w:t>
      </w:r>
      <w:r>
        <w:rPr/>
        <w:t>de</w:t>
      </w:r>
      <w:r>
        <w:rPr>
          <w:spacing w:val="-6"/>
        </w:rPr>
        <w:t> </w:t>
      </w:r>
      <w:r>
        <w:rPr/>
        <w:t>leur</w:t>
      </w:r>
      <w:r>
        <w:rPr>
          <w:spacing w:val="-3"/>
        </w:rPr>
        <w:t> </w:t>
      </w:r>
      <w:r>
        <w:rPr/>
        <w:t>candidature</w:t>
      </w:r>
      <w:r>
        <w:rPr>
          <w:spacing w:val="-4"/>
        </w:rPr>
        <w:t> </w:t>
      </w:r>
      <w:r>
        <w:rPr/>
        <w:t>par</w:t>
      </w:r>
      <w:r>
        <w:rPr>
          <w:spacing w:val="-6"/>
        </w:rPr>
        <w:t> </w:t>
      </w:r>
      <w:r>
        <w:rPr/>
        <w:t>l'unité</w:t>
      </w:r>
      <w:r>
        <w:rPr>
          <w:spacing w:val="1"/>
        </w:rPr>
        <w:t> </w:t>
      </w:r>
      <w:r>
        <w:rPr>
          <w:spacing w:val="-2"/>
        </w:rPr>
        <w:t>concernée.</w:t>
      </w:r>
    </w:p>
    <w:p>
      <w:pPr>
        <w:pStyle w:val="ListParagraph"/>
        <w:numPr>
          <w:ilvl w:val="0"/>
          <w:numId w:val="2"/>
        </w:numPr>
        <w:tabs>
          <w:tab w:pos="800" w:val="left" w:leader="none"/>
        </w:tabs>
        <w:spacing w:line="240" w:lineRule="auto" w:before="7"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pStyle w:val="BodyText"/>
        <w:spacing w:before="91"/>
        <w:ind w:left="799" w:right="279"/>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2"/>
        <w:ind w:left="79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5"/>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79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79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line="251" w:lineRule="exact"/>
        <w:ind w:left="79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3"/>
        </w:rPr>
        <w:t> </w:t>
      </w:r>
      <w:r>
        <w:rPr/>
        <w:t>pourra</w:t>
      </w:r>
      <w:r>
        <w:rPr>
          <w:spacing w:val="-3"/>
        </w:rPr>
        <w:t> </w:t>
      </w:r>
      <w:r>
        <w:rPr/>
        <w:t>entraîner</w:t>
      </w:r>
      <w:r>
        <w:rPr>
          <w:spacing w:val="-3"/>
        </w:rPr>
        <w:t> </w:t>
      </w:r>
      <w:r>
        <w:rPr/>
        <w:t>le</w:t>
      </w:r>
      <w:r>
        <w:rPr>
          <w:spacing w:val="-5"/>
        </w:rPr>
        <w:t> </w:t>
      </w:r>
      <w:r>
        <w:rPr/>
        <w:t>refus</w:t>
      </w:r>
      <w:r>
        <w:rPr>
          <w:spacing w:val="-3"/>
        </w:rPr>
        <w:t> </w:t>
      </w:r>
      <w:r>
        <w:rPr/>
        <w:t>de</w:t>
      </w:r>
      <w:r>
        <w:rPr>
          <w:spacing w:val="-3"/>
        </w:rPr>
        <w:t> </w:t>
      </w:r>
      <w:r>
        <w:rPr/>
        <w:t>la</w:t>
      </w:r>
      <w:r>
        <w:rPr>
          <w:spacing w:val="-3"/>
        </w:rPr>
        <w:t> </w:t>
      </w:r>
      <w:r>
        <w:rPr>
          <w:spacing w:val="-2"/>
        </w:rPr>
        <w:t>candidature.</w:t>
      </w:r>
    </w:p>
    <w:p>
      <w:pPr>
        <w:pStyle w:val="BodyText"/>
        <w:spacing w:before="11"/>
        <w:rPr>
          <w:sz w:val="20"/>
        </w:rPr>
      </w:pPr>
    </w:p>
    <w:p>
      <w:pPr>
        <w:pStyle w:val="BodyText"/>
        <w:ind w:left="79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799"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799" w:right="282"/>
        <w:jc w:val="both"/>
      </w:pPr>
      <w:r>
        <w:rPr/>
        <w:t>Les données des END seront conservées pendant 10 ans à compter de la fin du détachement (2 ans pour les END dont la candidature n'a pas été retenue ou a été retirée).</w:t>
      </w:r>
    </w:p>
    <w:p>
      <w:pPr>
        <w:pStyle w:val="BodyText"/>
        <w:ind w:left="799"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spacing w:after="0"/>
        <w:jc w:val="both"/>
        <w:sectPr>
          <w:pgSz w:w="11910" w:h="16840"/>
          <w:pgMar w:header="0" w:footer="690" w:top="1040" w:bottom="880" w:left="480" w:right="740"/>
        </w:sectPr>
      </w:pPr>
    </w:p>
    <w:p>
      <w:pPr>
        <w:pStyle w:val="BodyText"/>
        <w:spacing w:before="68"/>
        <w:ind w:left="79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6"/>
      </w:pPr>
    </w:p>
    <w:p>
      <w:pPr>
        <w:pStyle w:val="Heading1"/>
        <w:spacing w:before="0"/>
        <w:ind w:left="79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4"/>
        </w:numPr>
        <w:tabs>
          <w:tab w:pos="1093" w:val="left" w:leader="none"/>
        </w:tabs>
        <w:spacing w:line="252" w:lineRule="exact" w:before="91" w:after="0"/>
        <w:ind w:left="1092" w:right="0" w:hanging="294"/>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79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rPr>
          <w:sz w:val="14"/>
        </w:rPr>
      </w:pPr>
    </w:p>
    <w:p>
      <w:pPr>
        <w:pStyle w:val="Heading1"/>
        <w:numPr>
          <w:ilvl w:val="0"/>
          <w:numId w:val="4"/>
        </w:numPr>
        <w:tabs>
          <w:tab w:pos="1093" w:val="left" w:leader="none"/>
        </w:tabs>
        <w:spacing w:line="240" w:lineRule="auto" w:before="92" w:after="0"/>
        <w:ind w:left="1092" w:right="0" w:hanging="294"/>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1"/>
        <w:ind w:left="79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4"/>
        </w:numPr>
        <w:tabs>
          <w:tab w:pos="1093" w:val="left" w:leader="none"/>
        </w:tabs>
        <w:spacing w:line="240" w:lineRule="auto" w:before="5" w:after="0"/>
        <w:ind w:left="1092" w:right="0" w:hanging="294"/>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7"/>
        <w:rPr>
          <w:b/>
          <w:sz w:val="13"/>
        </w:rPr>
      </w:pPr>
    </w:p>
    <w:p>
      <w:pPr>
        <w:pStyle w:val="BodyText"/>
        <w:spacing w:before="92"/>
        <w:ind w:left="799" w:right="27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799"/>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875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92" w:hanging="293"/>
      </w:pPr>
      <w:rPr>
        <w:rFonts w:hint="default" w:ascii="Times New Roman" w:hAnsi="Times New Roman" w:eastAsia="Times New Roman" w:cs="Times New Roman"/>
        <w:w w:val="100"/>
        <w:lang w:val="fr-FR" w:eastAsia="en-US" w:bidi="ar-SA"/>
      </w:rPr>
    </w:lvl>
    <w:lvl w:ilvl="1">
      <w:start w:val="0"/>
      <w:numFmt w:val="bullet"/>
      <w:lvlText w:val="•"/>
      <w:lvlJc w:val="left"/>
      <w:pPr>
        <w:ind w:left="2058" w:hanging="293"/>
      </w:pPr>
      <w:rPr>
        <w:rFonts w:hint="default"/>
        <w:lang w:val="fr-FR" w:eastAsia="en-US" w:bidi="ar-SA"/>
      </w:rPr>
    </w:lvl>
    <w:lvl w:ilvl="2">
      <w:start w:val="0"/>
      <w:numFmt w:val="bullet"/>
      <w:lvlText w:val="•"/>
      <w:lvlJc w:val="left"/>
      <w:pPr>
        <w:ind w:left="3017" w:hanging="293"/>
      </w:pPr>
      <w:rPr>
        <w:rFonts w:hint="default"/>
        <w:lang w:val="fr-FR" w:eastAsia="en-US" w:bidi="ar-SA"/>
      </w:rPr>
    </w:lvl>
    <w:lvl w:ilvl="3">
      <w:start w:val="0"/>
      <w:numFmt w:val="bullet"/>
      <w:lvlText w:val="•"/>
      <w:lvlJc w:val="left"/>
      <w:pPr>
        <w:ind w:left="3975" w:hanging="293"/>
      </w:pPr>
      <w:rPr>
        <w:rFonts w:hint="default"/>
        <w:lang w:val="fr-FR" w:eastAsia="en-US" w:bidi="ar-SA"/>
      </w:rPr>
    </w:lvl>
    <w:lvl w:ilvl="4">
      <w:start w:val="0"/>
      <w:numFmt w:val="bullet"/>
      <w:lvlText w:val="•"/>
      <w:lvlJc w:val="left"/>
      <w:pPr>
        <w:ind w:left="4934" w:hanging="293"/>
      </w:pPr>
      <w:rPr>
        <w:rFonts w:hint="default"/>
        <w:lang w:val="fr-FR" w:eastAsia="en-US" w:bidi="ar-SA"/>
      </w:rPr>
    </w:lvl>
    <w:lvl w:ilvl="5">
      <w:start w:val="0"/>
      <w:numFmt w:val="bullet"/>
      <w:lvlText w:val="•"/>
      <w:lvlJc w:val="left"/>
      <w:pPr>
        <w:ind w:left="5893" w:hanging="293"/>
      </w:pPr>
      <w:rPr>
        <w:rFonts w:hint="default"/>
        <w:lang w:val="fr-FR" w:eastAsia="en-US" w:bidi="ar-SA"/>
      </w:rPr>
    </w:lvl>
    <w:lvl w:ilvl="6">
      <w:start w:val="0"/>
      <w:numFmt w:val="bullet"/>
      <w:lvlText w:val="•"/>
      <w:lvlJc w:val="left"/>
      <w:pPr>
        <w:ind w:left="6851" w:hanging="293"/>
      </w:pPr>
      <w:rPr>
        <w:rFonts w:hint="default"/>
        <w:lang w:val="fr-FR" w:eastAsia="en-US" w:bidi="ar-SA"/>
      </w:rPr>
    </w:lvl>
    <w:lvl w:ilvl="7">
      <w:start w:val="0"/>
      <w:numFmt w:val="bullet"/>
      <w:lvlText w:val="•"/>
      <w:lvlJc w:val="left"/>
      <w:pPr>
        <w:ind w:left="7810" w:hanging="293"/>
      </w:pPr>
      <w:rPr>
        <w:rFonts w:hint="default"/>
        <w:lang w:val="fr-FR" w:eastAsia="en-US" w:bidi="ar-SA"/>
      </w:rPr>
    </w:lvl>
    <w:lvl w:ilvl="8">
      <w:start w:val="0"/>
      <w:numFmt w:val="bullet"/>
      <w:lvlText w:val="•"/>
      <w:lvlJc w:val="left"/>
      <w:pPr>
        <w:ind w:left="8769" w:hanging="293"/>
      </w:pPr>
      <w:rPr>
        <w:rFonts w:hint="default"/>
        <w:lang w:val="fr-FR" w:eastAsia="en-US" w:bidi="ar-SA"/>
      </w:rPr>
    </w:lvl>
  </w:abstractNum>
  <w:abstractNum w:abstractNumId="2">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148" w:hanging="125"/>
      </w:pPr>
      <w:rPr>
        <w:rFonts w:hint="default"/>
        <w:lang w:val="fr-FR" w:eastAsia="en-US" w:bidi="ar-SA"/>
      </w:rPr>
    </w:lvl>
    <w:lvl w:ilvl="2">
      <w:start w:val="0"/>
      <w:numFmt w:val="bullet"/>
      <w:lvlText w:val="•"/>
      <w:lvlJc w:val="left"/>
      <w:pPr>
        <w:ind w:left="3097" w:hanging="125"/>
      </w:pPr>
      <w:rPr>
        <w:rFonts w:hint="default"/>
        <w:lang w:val="fr-FR" w:eastAsia="en-US" w:bidi="ar-SA"/>
      </w:rPr>
    </w:lvl>
    <w:lvl w:ilvl="3">
      <w:start w:val="0"/>
      <w:numFmt w:val="bullet"/>
      <w:lvlText w:val="•"/>
      <w:lvlJc w:val="left"/>
      <w:pPr>
        <w:ind w:left="4045" w:hanging="125"/>
      </w:pPr>
      <w:rPr>
        <w:rFonts w:hint="default"/>
        <w:lang w:val="fr-FR" w:eastAsia="en-US" w:bidi="ar-SA"/>
      </w:rPr>
    </w:lvl>
    <w:lvl w:ilvl="4">
      <w:start w:val="0"/>
      <w:numFmt w:val="bullet"/>
      <w:lvlText w:val="•"/>
      <w:lvlJc w:val="left"/>
      <w:pPr>
        <w:ind w:left="4994" w:hanging="125"/>
      </w:pPr>
      <w:rPr>
        <w:rFonts w:hint="default"/>
        <w:lang w:val="fr-FR" w:eastAsia="en-US" w:bidi="ar-SA"/>
      </w:rPr>
    </w:lvl>
    <w:lvl w:ilvl="5">
      <w:start w:val="0"/>
      <w:numFmt w:val="bullet"/>
      <w:lvlText w:val="•"/>
      <w:lvlJc w:val="left"/>
      <w:pPr>
        <w:ind w:left="5943" w:hanging="125"/>
      </w:pPr>
      <w:rPr>
        <w:rFonts w:hint="default"/>
        <w:lang w:val="fr-FR" w:eastAsia="en-US" w:bidi="ar-SA"/>
      </w:rPr>
    </w:lvl>
    <w:lvl w:ilvl="6">
      <w:start w:val="0"/>
      <w:numFmt w:val="bullet"/>
      <w:lvlText w:val="•"/>
      <w:lvlJc w:val="left"/>
      <w:pPr>
        <w:ind w:left="6891" w:hanging="125"/>
      </w:pPr>
      <w:rPr>
        <w:rFonts w:hint="default"/>
        <w:lang w:val="fr-FR" w:eastAsia="en-US" w:bidi="ar-SA"/>
      </w:rPr>
    </w:lvl>
    <w:lvl w:ilvl="7">
      <w:start w:val="0"/>
      <w:numFmt w:val="bullet"/>
      <w:lvlText w:val="•"/>
      <w:lvlJc w:val="left"/>
      <w:pPr>
        <w:ind w:left="7840" w:hanging="125"/>
      </w:pPr>
      <w:rPr>
        <w:rFonts w:hint="default"/>
        <w:lang w:val="fr-FR" w:eastAsia="en-US" w:bidi="ar-SA"/>
      </w:rPr>
    </w:lvl>
    <w:lvl w:ilvl="8">
      <w:start w:val="0"/>
      <w:numFmt w:val="bullet"/>
      <w:lvlText w:val="•"/>
      <w:lvlJc w:val="left"/>
      <w:pPr>
        <w:ind w:left="8789"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1152" w:hanging="421"/>
        <w:jc w:val="righ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350" w:hanging="281"/>
      </w:pPr>
      <w:rPr>
        <w:rFonts w:hint="default"/>
        <w:lang w:val="fr-FR" w:eastAsia="en-US" w:bidi="ar-SA"/>
      </w:rPr>
    </w:lvl>
    <w:lvl w:ilvl="4">
      <w:start w:val="0"/>
      <w:numFmt w:val="bullet"/>
      <w:lvlText w:val="•"/>
      <w:lvlJc w:val="left"/>
      <w:pPr>
        <w:ind w:left="3541" w:hanging="281"/>
      </w:pPr>
      <w:rPr>
        <w:rFonts w:hint="default"/>
        <w:lang w:val="fr-FR" w:eastAsia="en-US" w:bidi="ar-SA"/>
      </w:rPr>
    </w:lvl>
    <w:lvl w:ilvl="5">
      <w:start w:val="0"/>
      <w:numFmt w:val="bullet"/>
      <w:lvlText w:val="•"/>
      <w:lvlJc w:val="left"/>
      <w:pPr>
        <w:ind w:left="4732" w:hanging="281"/>
      </w:pPr>
      <w:rPr>
        <w:rFonts w:hint="default"/>
        <w:lang w:val="fr-FR" w:eastAsia="en-US" w:bidi="ar-SA"/>
      </w:rPr>
    </w:lvl>
    <w:lvl w:ilvl="6">
      <w:start w:val="0"/>
      <w:numFmt w:val="bullet"/>
      <w:lvlText w:val="•"/>
      <w:lvlJc w:val="left"/>
      <w:pPr>
        <w:ind w:left="5923" w:hanging="281"/>
      </w:pPr>
      <w:rPr>
        <w:rFonts w:hint="default"/>
        <w:lang w:val="fr-FR" w:eastAsia="en-US" w:bidi="ar-SA"/>
      </w:rPr>
    </w:lvl>
    <w:lvl w:ilvl="7">
      <w:start w:val="0"/>
      <w:numFmt w:val="bullet"/>
      <w:lvlText w:val="•"/>
      <w:lvlJc w:val="left"/>
      <w:pPr>
        <w:ind w:left="7114" w:hanging="281"/>
      </w:pPr>
      <w:rPr>
        <w:rFonts w:hint="default"/>
        <w:lang w:val="fr-FR" w:eastAsia="en-US" w:bidi="ar-SA"/>
      </w:rPr>
    </w:lvl>
    <w:lvl w:ilvl="8">
      <w:start w:val="0"/>
      <w:numFmt w:val="bullet"/>
      <w:lvlText w:val="•"/>
      <w:lvlJc w:val="left"/>
      <w:pPr>
        <w:ind w:left="8304" w:hanging="281"/>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2"/>
      <w:ind w:left="1092" w:hanging="294"/>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799"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harold.nyssens@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2023-02-16T16:43:54Z</dcterms:created>
  <dcterms:modified xsi:type="dcterms:W3CDTF">2023-02-16T16:43:54Z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