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2"/>
              <w:rPr>
                <w:sz w:val="24"/>
              </w:rPr>
            </w:pPr>
            <w:r>
              <w:rPr>
                <w:spacing w:val="-2"/>
                <w:sz w:val="24"/>
              </w:rPr>
              <w:t>FISMA.C.1</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545"/>
              <w:rPr>
                <w:sz w:val="24"/>
              </w:rPr>
            </w:pPr>
            <w:r>
              <w:rPr>
                <w:sz w:val="24"/>
              </w:rPr>
              <w:t>Sven Gentner </w:t>
            </w:r>
            <w:hyperlink r:id="rId7">
              <w:r>
                <w:rPr>
                  <w:spacing w:val="-2"/>
                  <w:sz w:val="24"/>
                </w:rPr>
                <w:t>Sven.gentner@ec.europa.eu</w:t>
              </w:r>
            </w:hyperlink>
          </w:p>
          <w:p>
            <w:pPr>
              <w:pStyle w:val="TableParagraph"/>
              <w:rPr>
                <w:sz w:val="24"/>
              </w:rPr>
            </w:pPr>
            <w:r>
              <w:rPr>
                <w:sz w:val="24"/>
              </w:rPr>
              <w:t>+32</w:t>
            </w:r>
            <w:r>
              <w:rPr>
                <w:spacing w:val="-2"/>
                <w:sz w:val="24"/>
              </w:rPr>
              <w:t> </w:t>
            </w:r>
            <w:r>
              <w:rPr>
                <w:sz w:val="24"/>
              </w:rPr>
              <w:t>229-</w:t>
            </w:r>
            <w:r>
              <w:rPr>
                <w:spacing w:val="-2"/>
                <w:sz w:val="24"/>
              </w:rPr>
              <w:t>85365</w:t>
            </w:r>
          </w:p>
          <w:p>
            <w:pPr>
              <w:pStyle w:val="TableParagraph"/>
              <w:rPr>
                <w:sz w:val="24"/>
              </w:rPr>
            </w:pPr>
            <w:r>
              <w:rPr>
                <w:sz w:val="24"/>
              </w:rPr>
              <w:t>1</w:t>
            </w:r>
          </w:p>
          <w:p>
            <w:pPr>
              <w:pStyle w:val="TableParagraph"/>
              <w:rPr>
                <w:b/>
                <w:sz w:val="22"/>
              </w:rPr>
            </w:pPr>
            <w:r>
              <w:rPr>
                <w:b/>
                <w:sz w:val="22"/>
              </w:rPr>
              <w:t>3ème</w:t>
            </w:r>
            <w:r>
              <w:rPr>
                <w:b/>
                <w:spacing w:val="50"/>
                <w:sz w:val="22"/>
              </w:rPr>
              <w:t> </w:t>
            </w:r>
            <w:r>
              <w:rPr>
                <w:b/>
                <w:sz w:val="22"/>
              </w:rPr>
              <w:t>trimestre</w:t>
            </w:r>
            <w:r>
              <w:rPr>
                <w:b/>
                <w:spacing w:val="-3"/>
                <w:sz w:val="22"/>
              </w:rPr>
              <w:t> </w:t>
            </w:r>
            <w:r>
              <w:rPr>
                <w:b/>
                <w:sz w:val="22"/>
              </w:rPr>
              <w:t>2023</w:t>
            </w:r>
            <w:r>
              <w:rPr>
                <w:b/>
                <w:spacing w:val="-3"/>
                <w:sz w:val="22"/>
              </w:rPr>
              <w:t> </w:t>
            </w:r>
            <w:r>
              <w:rPr>
                <w:b/>
                <w:spacing w:val="-10"/>
                <w:sz w:val="22"/>
                <w:vertAlign w:val="superscript"/>
              </w:rPr>
              <w:t>1</w:t>
            </w:r>
          </w:p>
          <w:p>
            <w:pPr>
              <w:pStyle w:val="TableParagraph"/>
              <w:spacing w:line="250" w:lineRule="exact"/>
              <w:rPr>
                <w:b/>
                <w:sz w:val="22"/>
              </w:rPr>
            </w:pPr>
            <w:r>
              <w:rPr>
                <w:b/>
                <w:sz w:val="22"/>
              </w:rPr>
              <w:t>2</w:t>
            </w:r>
            <w:r>
              <w:rPr>
                <w:b/>
                <w:spacing w:val="-2"/>
                <w:sz w:val="22"/>
              </w:rPr>
              <w:t> an(s</w:t>
            </w:r>
            <w:r>
              <w:rPr>
                <w:b/>
                <w:spacing w:val="-2"/>
                <w:sz w:val="22"/>
                <w:vertAlign w:val="superscript"/>
              </w:rPr>
              <w:t>)1</w:t>
            </w:r>
          </w:p>
          <w:p>
            <w:pPr>
              <w:pStyle w:val="TableParagraph"/>
              <w:spacing w:line="250" w:lineRule="exact"/>
              <w:rPr>
                <w:b/>
                <w:sz w:val="22"/>
              </w:rPr>
            </w:pPr>
            <w:r>
              <w:rPr>
                <w:sz w:val="22"/>
              </w:rPr>
              <w:t>X</w:t>
            </w:r>
            <w:r>
              <w:rPr>
                <w:spacing w:val="48"/>
                <w:sz w:val="22"/>
              </w:rPr>
              <w:t> </w:t>
            </w:r>
            <w:r>
              <w:rPr>
                <w:b/>
                <w:sz w:val="22"/>
              </w:rPr>
              <w:t>Bruxelles</w:t>
            </w:r>
            <w:r>
              <w:rPr>
                <w:b/>
                <w:spacing w:val="50"/>
                <w:sz w:val="22"/>
              </w:rPr>
              <w:t> </w:t>
            </w:r>
            <w:r>
              <w:rPr>
                <w:rFonts w:ascii="Wingdings 2" w:hAnsi="Wingdings 2"/>
                <w:sz w:val="22"/>
              </w:rPr>
              <w:t></w:t>
            </w:r>
            <w:r>
              <w:rPr>
                <w:spacing w:val="-1"/>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87" w:val="left" w:leader="none"/>
                <w:tab w:pos="2911" w:val="left" w:leader="none"/>
                <w:tab w:pos="3384" w:val="left" w:leader="none"/>
              </w:tabs>
              <w:spacing w:before="140"/>
              <w:rPr>
                <w:b/>
                <w:sz w:val="22"/>
              </w:rPr>
            </w:pPr>
            <w:r>
              <w:rPr>
                <w:spacing w:val="-10"/>
                <w:sz w:val="22"/>
              </w:rPr>
              <w:t>X</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9"/>
        <w:rPr>
          <w:b/>
          <w:sz w:val="15"/>
        </w:rPr>
      </w:pPr>
    </w:p>
    <w:p>
      <w:pPr>
        <w:spacing w:before="90"/>
        <w:ind w:left="372" w:right="156" w:firstLine="0"/>
        <w:jc w:val="left"/>
        <w:rPr>
          <w:sz w:val="24"/>
        </w:rPr>
      </w:pPr>
      <w:r>
        <w:rPr>
          <w:sz w:val="24"/>
        </w:rPr>
        <w:t>L'unité FISMA.C1 est responsable de l'élaboration des politiques et des travaux législatifs/réglementaires visant à garantir la transparence, l'intégrité et l'efficacité des marchés de capitaux de l'UE en ce qui concerne les rapports d'entreprise, l'audit et les agences de notation de crédit. Nous traitons des questions que</w:t>
      </w:r>
      <w:r>
        <w:rPr>
          <w:spacing w:val="-3"/>
          <w:sz w:val="24"/>
        </w:rPr>
        <w:t> </w:t>
      </w:r>
      <w:r>
        <w:rPr>
          <w:sz w:val="24"/>
        </w:rPr>
        <w:t>vous</w:t>
      </w:r>
      <w:r>
        <w:rPr>
          <w:spacing w:val="-3"/>
          <w:sz w:val="24"/>
        </w:rPr>
        <w:t> </w:t>
      </w:r>
      <w:r>
        <w:rPr>
          <w:sz w:val="24"/>
        </w:rPr>
        <w:t>verrez</w:t>
      </w:r>
      <w:r>
        <w:rPr>
          <w:spacing w:val="-2"/>
          <w:sz w:val="24"/>
        </w:rPr>
        <w:t> </w:t>
      </w:r>
      <w:r>
        <w:rPr>
          <w:sz w:val="24"/>
        </w:rPr>
        <w:t>à</w:t>
      </w:r>
      <w:r>
        <w:rPr>
          <w:spacing w:val="-3"/>
          <w:sz w:val="24"/>
        </w:rPr>
        <w:t> </w:t>
      </w:r>
      <w:r>
        <w:rPr>
          <w:sz w:val="24"/>
        </w:rPr>
        <w:t>la</w:t>
      </w:r>
      <w:r>
        <w:rPr>
          <w:spacing w:val="-3"/>
          <w:sz w:val="24"/>
        </w:rPr>
        <w:t> </w:t>
      </w:r>
      <w:r>
        <w:rPr>
          <w:sz w:val="24"/>
        </w:rPr>
        <w:t>une</w:t>
      </w:r>
      <w:r>
        <w:rPr>
          <w:spacing w:val="-3"/>
          <w:sz w:val="24"/>
        </w:rPr>
        <w:t> </w:t>
      </w:r>
      <w:r>
        <w:rPr>
          <w:sz w:val="24"/>
        </w:rPr>
        <w:t>du</w:t>
      </w:r>
      <w:r>
        <w:rPr>
          <w:spacing w:val="-3"/>
          <w:sz w:val="24"/>
        </w:rPr>
        <w:t> </w:t>
      </w:r>
      <w:r>
        <w:rPr>
          <w:sz w:val="24"/>
        </w:rPr>
        <w:t>Financial</w:t>
      </w:r>
      <w:r>
        <w:rPr>
          <w:spacing w:val="-3"/>
          <w:sz w:val="24"/>
        </w:rPr>
        <w:t> </w:t>
      </w:r>
      <w:r>
        <w:rPr>
          <w:sz w:val="24"/>
        </w:rPr>
        <w:t>Times,</w:t>
      </w:r>
      <w:r>
        <w:rPr>
          <w:spacing w:val="-3"/>
          <w:sz w:val="24"/>
        </w:rPr>
        <w:t> </w:t>
      </w:r>
      <w:r>
        <w:rPr>
          <w:sz w:val="24"/>
        </w:rPr>
        <w:t>telles</w:t>
      </w:r>
      <w:r>
        <w:rPr>
          <w:spacing w:val="-3"/>
          <w:sz w:val="24"/>
        </w:rPr>
        <w:t> </w:t>
      </w:r>
      <w:r>
        <w:rPr>
          <w:sz w:val="24"/>
        </w:rPr>
        <w:t>que</w:t>
      </w:r>
      <w:r>
        <w:rPr>
          <w:spacing w:val="-3"/>
          <w:sz w:val="24"/>
        </w:rPr>
        <w:t> </w:t>
      </w:r>
      <w:r>
        <w:rPr>
          <w:sz w:val="24"/>
        </w:rPr>
        <w:t>le</w:t>
      </w:r>
      <w:r>
        <w:rPr>
          <w:spacing w:val="-3"/>
          <w:sz w:val="24"/>
        </w:rPr>
        <w:t> </w:t>
      </w:r>
      <w:r>
        <w:rPr>
          <w:sz w:val="24"/>
        </w:rPr>
        <w:t>développement</w:t>
      </w:r>
      <w:r>
        <w:rPr>
          <w:spacing w:val="-3"/>
          <w:sz w:val="24"/>
        </w:rPr>
        <w:t> </w:t>
      </w:r>
      <w:r>
        <w:rPr>
          <w:sz w:val="24"/>
        </w:rPr>
        <w:t>d'un</w:t>
      </w:r>
      <w:r>
        <w:rPr>
          <w:spacing w:val="-3"/>
          <w:sz w:val="24"/>
        </w:rPr>
        <w:t> </w:t>
      </w:r>
      <w:r>
        <w:rPr>
          <w:sz w:val="24"/>
        </w:rPr>
        <w:t>nouveau</w:t>
      </w:r>
      <w:r>
        <w:rPr>
          <w:spacing w:val="-3"/>
          <w:sz w:val="24"/>
        </w:rPr>
        <w:t> </w:t>
      </w:r>
      <w:r>
        <w:rPr>
          <w:sz w:val="24"/>
        </w:rPr>
        <w:t>cadre</w:t>
      </w:r>
      <w:r>
        <w:rPr>
          <w:spacing w:val="-4"/>
          <w:sz w:val="24"/>
        </w:rPr>
        <w:t> </w:t>
      </w:r>
      <w:r>
        <w:rPr>
          <w:sz w:val="24"/>
        </w:rPr>
        <w:t>de</w:t>
      </w:r>
      <w:r>
        <w:rPr>
          <w:spacing w:val="-3"/>
          <w:sz w:val="24"/>
        </w:rPr>
        <w:t> </w:t>
      </w:r>
      <w:r>
        <w:rPr>
          <w:sz w:val="24"/>
        </w:rPr>
        <w:t>reporting sur la durabilité des entreprises, les notations ESG et les réformes du cadre de l'UE pour le contrôle légal des comptes. Nous travaillons également sur des questions plus techniques telles que les normes comptables (internationales) et sur les exigences de gouvernance et de transparence pour les agences de notation de crédit. Les domaines les plus dynamiques de l'élaboration des politiques aujourd'hui sont tout ce qui est lié aux questions de durabilité (reporting et notations ESG) et le développement du point d'accès unique européen pour les informations réglementées.</w:t>
      </w:r>
    </w:p>
    <w:p>
      <w:pPr>
        <w:pStyle w:val="BodyText"/>
        <w:rPr>
          <w:sz w:val="24"/>
        </w:rPr>
      </w:pPr>
    </w:p>
    <w:p>
      <w:pPr>
        <w:spacing w:line="240" w:lineRule="auto" w:before="1"/>
        <w:ind w:left="372" w:right="123" w:firstLine="0"/>
        <w:jc w:val="left"/>
        <w:rPr>
          <w:sz w:val="24"/>
        </w:rPr>
      </w:pPr>
      <w:r>
        <w:rPr>
          <w:sz w:val="24"/>
        </w:rPr>
        <w:t>Par conséquent, notre unité contribue à la mise en œuvre de certaines des principales priorités politiques de</w:t>
      </w:r>
      <w:r>
        <w:rPr>
          <w:spacing w:val="-2"/>
          <w:sz w:val="24"/>
        </w:rPr>
        <w:t> </w:t>
      </w:r>
      <w:r>
        <w:rPr>
          <w:sz w:val="24"/>
        </w:rPr>
        <w:t>la</w:t>
      </w:r>
      <w:r>
        <w:rPr>
          <w:spacing w:val="-1"/>
          <w:sz w:val="24"/>
        </w:rPr>
        <w:t> </w:t>
      </w:r>
      <w:r>
        <w:rPr>
          <w:sz w:val="24"/>
        </w:rPr>
        <w:t>Commission,</w:t>
      </w:r>
      <w:r>
        <w:rPr>
          <w:spacing w:val="-1"/>
          <w:sz w:val="24"/>
        </w:rPr>
        <w:t> </w:t>
      </w:r>
      <w:r>
        <w:rPr>
          <w:sz w:val="24"/>
        </w:rPr>
        <w:t>notamment</w:t>
      </w:r>
      <w:r>
        <w:rPr>
          <w:spacing w:val="-1"/>
          <w:sz w:val="24"/>
        </w:rPr>
        <w:t> </w:t>
      </w:r>
      <w:r>
        <w:rPr>
          <w:sz w:val="24"/>
        </w:rPr>
        <w:t>le</w:t>
      </w:r>
      <w:r>
        <w:rPr>
          <w:spacing w:val="-1"/>
          <w:sz w:val="24"/>
        </w:rPr>
        <w:t> </w:t>
      </w:r>
      <w:r>
        <w:rPr>
          <w:sz w:val="24"/>
        </w:rPr>
        <w:t>pacte</w:t>
      </w:r>
      <w:r>
        <w:rPr>
          <w:spacing w:val="-1"/>
          <w:sz w:val="24"/>
        </w:rPr>
        <w:t> </w:t>
      </w:r>
      <w:r>
        <w:rPr>
          <w:sz w:val="24"/>
        </w:rPr>
        <w:t>vert</w:t>
      </w:r>
      <w:r>
        <w:rPr>
          <w:spacing w:val="-1"/>
          <w:sz w:val="24"/>
        </w:rPr>
        <w:t> </w:t>
      </w:r>
      <w:r>
        <w:rPr>
          <w:sz w:val="24"/>
        </w:rPr>
        <w:t>européen,</w:t>
      </w:r>
      <w:r>
        <w:rPr>
          <w:spacing w:val="-1"/>
          <w:sz w:val="24"/>
        </w:rPr>
        <w:t> </w:t>
      </w:r>
      <w:r>
        <w:rPr>
          <w:sz w:val="24"/>
        </w:rPr>
        <w:t>la</w:t>
      </w:r>
      <w:r>
        <w:rPr>
          <w:spacing w:val="-1"/>
          <w:sz w:val="24"/>
        </w:rPr>
        <w:t> </w:t>
      </w:r>
      <w:r>
        <w:rPr>
          <w:sz w:val="24"/>
        </w:rPr>
        <w:t>stratégie européenne</w:t>
      </w:r>
      <w:r>
        <w:rPr>
          <w:spacing w:val="-2"/>
          <w:sz w:val="24"/>
        </w:rPr>
        <w:t> </w:t>
      </w:r>
      <w:r>
        <w:rPr>
          <w:sz w:val="24"/>
        </w:rPr>
        <w:t>en</w:t>
      </w:r>
      <w:r>
        <w:rPr>
          <w:spacing w:val="-1"/>
          <w:sz w:val="24"/>
        </w:rPr>
        <w:t> </w:t>
      </w:r>
      <w:r>
        <w:rPr>
          <w:sz w:val="24"/>
        </w:rPr>
        <w:t>matière</w:t>
      </w:r>
      <w:r>
        <w:rPr>
          <w:spacing w:val="-2"/>
          <w:sz w:val="24"/>
        </w:rPr>
        <w:t> </w:t>
      </w:r>
      <w:r>
        <w:rPr>
          <w:sz w:val="24"/>
        </w:rPr>
        <w:t>de</w:t>
      </w:r>
      <w:r>
        <w:rPr>
          <w:spacing w:val="-2"/>
          <w:sz w:val="24"/>
        </w:rPr>
        <w:t> </w:t>
      </w:r>
      <w:r>
        <w:rPr>
          <w:sz w:val="24"/>
        </w:rPr>
        <w:t>données et</w:t>
      </w:r>
      <w:r>
        <w:rPr>
          <w:spacing w:val="-1"/>
          <w:sz w:val="24"/>
        </w:rPr>
        <w:t> </w:t>
      </w:r>
      <w:r>
        <w:rPr>
          <w:sz w:val="24"/>
        </w:rPr>
        <w:t>la création de l'union des marchés des capitaux. Notre travail a une dimension internationale importante, y compris la liaison avec des homologues d'autres juridictions importantes telles que la Securities and Exchange Commission des États-Unis, ainsi qu'avec des organismes européens et internationaux tels que l'Autorité</w:t>
      </w:r>
      <w:r>
        <w:rPr>
          <w:spacing w:val="-5"/>
          <w:sz w:val="24"/>
        </w:rPr>
        <w:t> </w:t>
      </w:r>
      <w:r>
        <w:rPr>
          <w:sz w:val="24"/>
        </w:rPr>
        <w:t>européenne</w:t>
      </w:r>
      <w:r>
        <w:rPr>
          <w:spacing w:val="-5"/>
          <w:sz w:val="24"/>
        </w:rPr>
        <w:t> </w:t>
      </w:r>
      <w:r>
        <w:rPr>
          <w:sz w:val="24"/>
        </w:rPr>
        <w:t>des</w:t>
      </w:r>
      <w:r>
        <w:rPr>
          <w:spacing w:val="-2"/>
          <w:sz w:val="24"/>
        </w:rPr>
        <w:t> </w:t>
      </w:r>
      <w:r>
        <w:rPr>
          <w:sz w:val="24"/>
        </w:rPr>
        <w:t>marchés</w:t>
      </w:r>
      <w:r>
        <w:rPr>
          <w:spacing w:val="-4"/>
          <w:sz w:val="24"/>
        </w:rPr>
        <w:t> </w:t>
      </w:r>
      <w:r>
        <w:rPr>
          <w:sz w:val="24"/>
        </w:rPr>
        <w:t>financiers</w:t>
      </w:r>
      <w:r>
        <w:rPr>
          <w:spacing w:val="-4"/>
          <w:sz w:val="24"/>
        </w:rPr>
        <w:t> </w:t>
      </w:r>
      <w:r>
        <w:rPr>
          <w:sz w:val="24"/>
        </w:rPr>
        <w:t>et</w:t>
      </w:r>
      <w:r>
        <w:rPr>
          <w:spacing w:val="-4"/>
          <w:sz w:val="24"/>
        </w:rPr>
        <w:t> </w:t>
      </w:r>
      <w:r>
        <w:rPr>
          <w:sz w:val="24"/>
        </w:rPr>
        <w:t>l'Organisation</w:t>
      </w:r>
      <w:r>
        <w:rPr>
          <w:spacing w:val="-4"/>
          <w:sz w:val="24"/>
        </w:rPr>
        <w:t> </w:t>
      </w:r>
      <w:r>
        <w:rPr>
          <w:sz w:val="24"/>
        </w:rPr>
        <w:t>internationale</w:t>
      </w:r>
      <w:r>
        <w:rPr>
          <w:spacing w:val="-3"/>
          <w:sz w:val="24"/>
        </w:rPr>
        <w:t> </w:t>
      </w:r>
      <w:r>
        <w:rPr>
          <w:sz w:val="24"/>
        </w:rPr>
        <w:t>des</w:t>
      </w:r>
      <w:r>
        <w:rPr>
          <w:spacing w:val="-4"/>
          <w:sz w:val="24"/>
        </w:rPr>
        <w:t> </w:t>
      </w:r>
      <w:r>
        <w:rPr>
          <w:sz w:val="24"/>
        </w:rPr>
        <w:t>commissions</w:t>
      </w:r>
      <w:r>
        <w:rPr>
          <w:spacing w:val="-4"/>
          <w:sz w:val="24"/>
        </w:rPr>
        <w:t> </w:t>
      </w:r>
      <w:r>
        <w:rPr>
          <w:sz w:val="24"/>
        </w:rPr>
        <w:t>de</w:t>
      </w:r>
      <w:r>
        <w:rPr>
          <w:spacing w:val="-5"/>
          <w:sz w:val="24"/>
        </w:rPr>
        <w:t> </w:t>
      </w:r>
      <w:r>
        <w:rPr>
          <w:sz w:val="24"/>
        </w:rPr>
        <w:t>valeurs, l'International Conseil des normes comptables et Conseil des normes internationales de durabilité. Nous avons de nombreux contacts avec l'industrie et la société civile. Nous gérons également un budget important grâce auquel l'UE finance plusieurs organismes européens et internationaux tels que l'International Financial Reporting Standards Foundation. Nous sommes une équipe d'environ 20</w:t>
      </w:r>
    </w:p>
    <w:p>
      <w:pPr>
        <w:pStyle w:val="BodyText"/>
        <w:rPr>
          <w:sz w:val="20"/>
        </w:rPr>
      </w:pPr>
    </w:p>
    <w:p>
      <w:pPr>
        <w:pStyle w:val="BodyText"/>
        <w:spacing w:before="6"/>
        <w:rPr>
          <w:sz w:val="14"/>
        </w:rPr>
      </w:pPr>
      <w:r>
        <w:rPr/>
        <w:pict>
          <v:rect style="position:absolute;margin-left:42.599998pt;margin-top:9.579627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68"/>
        <w:ind w:left="372" w:right="123" w:firstLine="0"/>
        <w:jc w:val="left"/>
        <w:rPr>
          <w:sz w:val="24"/>
        </w:rPr>
      </w:pPr>
      <w:r>
        <w:rPr>
          <w:sz w:val="24"/>
        </w:rPr>
        <w:t>personnes,</w:t>
      </w:r>
      <w:r>
        <w:rPr>
          <w:spacing w:val="-3"/>
          <w:sz w:val="24"/>
        </w:rPr>
        <w:t> </w:t>
      </w:r>
      <w:r>
        <w:rPr>
          <w:sz w:val="24"/>
        </w:rPr>
        <w:t>comprenant</w:t>
      </w:r>
      <w:r>
        <w:rPr>
          <w:spacing w:val="-3"/>
          <w:sz w:val="24"/>
        </w:rPr>
        <w:t> </w:t>
      </w:r>
      <w:r>
        <w:rPr>
          <w:sz w:val="24"/>
        </w:rPr>
        <w:t>des</w:t>
      </w:r>
      <w:r>
        <w:rPr>
          <w:spacing w:val="-3"/>
          <w:sz w:val="24"/>
        </w:rPr>
        <w:t> </w:t>
      </w:r>
      <w:r>
        <w:rPr>
          <w:sz w:val="24"/>
        </w:rPr>
        <w:t>économistes,</w:t>
      </w:r>
      <w:r>
        <w:rPr>
          <w:spacing w:val="-3"/>
          <w:sz w:val="24"/>
        </w:rPr>
        <w:t> </w:t>
      </w:r>
      <w:r>
        <w:rPr>
          <w:sz w:val="24"/>
        </w:rPr>
        <w:t>des</w:t>
      </w:r>
      <w:r>
        <w:rPr>
          <w:spacing w:val="-3"/>
          <w:sz w:val="24"/>
        </w:rPr>
        <w:t> </w:t>
      </w:r>
      <w:r>
        <w:rPr>
          <w:sz w:val="24"/>
        </w:rPr>
        <w:t>juristes,</w:t>
      </w:r>
      <w:r>
        <w:rPr>
          <w:spacing w:val="-3"/>
          <w:sz w:val="24"/>
        </w:rPr>
        <w:t> </w:t>
      </w:r>
      <w:r>
        <w:rPr>
          <w:sz w:val="24"/>
        </w:rPr>
        <w:t>des</w:t>
      </w:r>
      <w:r>
        <w:rPr>
          <w:spacing w:val="-3"/>
          <w:sz w:val="24"/>
        </w:rPr>
        <w:t> </w:t>
      </w:r>
      <w:r>
        <w:rPr>
          <w:sz w:val="24"/>
        </w:rPr>
        <w:t>comptables</w:t>
      </w:r>
      <w:r>
        <w:rPr>
          <w:spacing w:val="-3"/>
          <w:sz w:val="24"/>
        </w:rPr>
        <w:t> </w:t>
      </w:r>
      <w:r>
        <w:rPr>
          <w:sz w:val="24"/>
        </w:rPr>
        <w:t>et</w:t>
      </w:r>
      <w:r>
        <w:rPr>
          <w:spacing w:val="-3"/>
          <w:sz w:val="24"/>
        </w:rPr>
        <w:t> </w:t>
      </w:r>
      <w:r>
        <w:rPr>
          <w:sz w:val="24"/>
        </w:rPr>
        <w:t>des</w:t>
      </w:r>
      <w:r>
        <w:rPr>
          <w:spacing w:val="-1"/>
          <w:sz w:val="24"/>
        </w:rPr>
        <w:t> </w:t>
      </w:r>
      <w:r>
        <w:rPr>
          <w:sz w:val="24"/>
        </w:rPr>
        <w:t>généralistes,</w:t>
      </w:r>
      <w:r>
        <w:rPr>
          <w:spacing w:val="-3"/>
          <w:sz w:val="24"/>
        </w:rPr>
        <w:t> </w:t>
      </w:r>
      <w:r>
        <w:rPr>
          <w:sz w:val="24"/>
        </w:rPr>
        <w:t>avec</w:t>
      </w:r>
      <w:r>
        <w:rPr>
          <w:spacing w:val="-4"/>
          <w:sz w:val="24"/>
        </w:rPr>
        <w:t> </w:t>
      </w:r>
      <w:r>
        <w:rPr>
          <w:sz w:val="24"/>
        </w:rPr>
        <w:t>un</w:t>
      </w:r>
      <w:r>
        <w:rPr>
          <w:spacing w:val="-3"/>
          <w:sz w:val="24"/>
        </w:rPr>
        <w:t> </w:t>
      </w:r>
      <w:r>
        <w:rPr>
          <w:sz w:val="24"/>
        </w:rPr>
        <w:t>bon équilibre entre collègues plus jeunes et plus expérimentés.</w:t>
      </w:r>
    </w:p>
    <w:p>
      <w:pPr>
        <w:pStyle w:val="BodyText"/>
        <w:spacing w:before="1"/>
        <w:rPr>
          <w:sz w:val="24"/>
        </w:rPr>
      </w:pPr>
    </w:p>
    <w:p>
      <w:pPr>
        <w:spacing w:before="0"/>
        <w:ind w:left="372" w:right="217" w:firstLine="0"/>
        <w:jc w:val="both"/>
        <w:rPr>
          <w:sz w:val="24"/>
        </w:rPr>
      </w:pPr>
      <w:r>
        <w:rPr>
          <w:sz w:val="24"/>
        </w:rPr>
        <w:t>Nous</w:t>
      </w:r>
      <w:r>
        <w:rPr>
          <w:spacing w:val="-3"/>
          <w:sz w:val="24"/>
        </w:rPr>
        <w:t> </w:t>
      </w:r>
      <w:r>
        <w:rPr>
          <w:sz w:val="24"/>
        </w:rPr>
        <w:t>recherchons</w:t>
      </w:r>
      <w:r>
        <w:rPr>
          <w:spacing w:val="-3"/>
          <w:sz w:val="24"/>
        </w:rPr>
        <w:t> </w:t>
      </w:r>
      <w:r>
        <w:rPr>
          <w:sz w:val="24"/>
        </w:rPr>
        <w:t>un</w:t>
      </w:r>
      <w:r>
        <w:rPr>
          <w:spacing w:val="-1"/>
          <w:sz w:val="24"/>
        </w:rPr>
        <w:t> </w:t>
      </w:r>
      <w:r>
        <w:rPr>
          <w:sz w:val="24"/>
        </w:rPr>
        <w:t>expert</w:t>
      </w:r>
      <w:r>
        <w:rPr>
          <w:spacing w:val="-3"/>
          <w:sz w:val="24"/>
        </w:rPr>
        <w:t> </w:t>
      </w:r>
      <w:r>
        <w:rPr>
          <w:sz w:val="24"/>
        </w:rPr>
        <w:t>national</w:t>
      </w:r>
      <w:r>
        <w:rPr>
          <w:spacing w:val="-3"/>
          <w:sz w:val="24"/>
        </w:rPr>
        <w:t> </w:t>
      </w:r>
      <w:r>
        <w:rPr>
          <w:sz w:val="24"/>
        </w:rPr>
        <w:t>détaché</w:t>
      </w:r>
      <w:r>
        <w:rPr>
          <w:spacing w:val="-4"/>
          <w:sz w:val="24"/>
        </w:rPr>
        <w:t> </w:t>
      </w:r>
      <w:r>
        <w:rPr>
          <w:sz w:val="24"/>
        </w:rPr>
        <w:t>dynamique</w:t>
      </w:r>
      <w:r>
        <w:rPr>
          <w:spacing w:val="-4"/>
          <w:sz w:val="24"/>
        </w:rPr>
        <w:t> </w:t>
      </w:r>
      <w:r>
        <w:rPr>
          <w:sz w:val="24"/>
        </w:rPr>
        <w:t>pour</w:t>
      </w:r>
      <w:r>
        <w:rPr>
          <w:spacing w:val="-4"/>
          <w:sz w:val="24"/>
        </w:rPr>
        <w:t> </w:t>
      </w:r>
      <w:r>
        <w:rPr>
          <w:sz w:val="24"/>
        </w:rPr>
        <w:t>travailler</w:t>
      </w:r>
      <w:r>
        <w:rPr>
          <w:spacing w:val="-5"/>
          <w:sz w:val="24"/>
        </w:rPr>
        <w:t> </w:t>
      </w:r>
      <w:r>
        <w:rPr>
          <w:sz w:val="24"/>
        </w:rPr>
        <w:t>sur</w:t>
      </w:r>
      <w:r>
        <w:rPr>
          <w:spacing w:val="-2"/>
          <w:sz w:val="24"/>
        </w:rPr>
        <w:t> </w:t>
      </w:r>
      <w:r>
        <w:rPr>
          <w:sz w:val="24"/>
        </w:rPr>
        <w:t>l'analyse</w:t>
      </w:r>
      <w:r>
        <w:rPr>
          <w:spacing w:val="-4"/>
          <w:sz w:val="24"/>
        </w:rPr>
        <w:t> </w:t>
      </w:r>
      <w:r>
        <w:rPr>
          <w:sz w:val="24"/>
        </w:rPr>
        <w:t>et</w:t>
      </w:r>
      <w:r>
        <w:rPr>
          <w:spacing w:val="-3"/>
          <w:sz w:val="24"/>
        </w:rPr>
        <w:t> </w:t>
      </w:r>
      <w:r>
        <w:rPr>
          <w:sz w:val="24"/>
        </w:rPr>
        <w:t>le</w:t>
      </w:r>
      <w:r>
        <w:rPr>
          <w:spacing w:val="-4"/>
          <w:sz w:val="24"/>
        </w:rPr>
        <w:t> </w:t>
      </w:r>
      <w:r>
        <w:rPr>
          <w:sz w:val="24"/>
        </w:rPr>
        <w:t>développement des politiques, des conseils en rapport avec les tâches législatives et autres sur les domaines d'activité ci- </w:t>
      </w:r>
      <w:r>
        <w:rPr>
          <w:spacing w:val="-2"/>
          <w:sz w:val="24"/>
        </w:rPr>
        <w:t>dessus.</w:t>
      </w:r>
    </w:p>
    <w:p>
      <w:pPr>
        <w:spacing w:before="0"/>
        <w:ind w:left="372" w:right="123" w:firstLine="0"/>
        <w:jc w:val="left"/>
        <w:rPr>
          <w:sz w:val="24"/>
        </w:rPr>
      </w:pPr>
      <w:r>
        <w:rPr>
          <w:sz w:val="24"/>
        </w:rPr>
        <w:t>L'expert</w:t>
      </w:r>
      <w:r>
        <w:rPr>
          <w:spacing w:val="-4"/>
          <w:sz w:val="24"/>
        </w:rPr>
        <w:t> </w:t>
      </w:r>
      <w:r>
        <w:rPr>
          <w:sz w:val="24"/>
        </w:rPr>
        <w:t>national</w:t>
      </w:r>
      <w:r>
        <w:rPr>
          <w:spacing w:val="-4"/>
          <w:sz w:val="24"/>
        </w:rPr>
        <w:t> </w:t>
      </w:r>
      <w:r>
        <w:rPr>
          <w:sz w:val="24"/>
        </w:rPr>
        <w:t>détaché</w:t>
      </w:r>
      <w:r>
        <w:rPr>
          <w:spacing w:val="-3"/>
          <w:sz w:val="24"/>
        </w:rPr>
        <w:t> </w:t>
      </w:r>
      <w:r>
        <w:rPr>
          <w:sz w:val="24"/>
        </w:rPr>
        <w:t>contribuera</w:t>
      </w:r>
      <w:r>
        <w:rPr>
          <w:spacing w:val="-4"/>
          <w:sz w:val="24"/>
        </w:rPr>
        <w:t> </w:t>
      </w:r>
      <w:r>
        <w:rPr>
          <w:sz w:val="24"/>
        </w:rPr>
        <w:t>à</w:t>
      </w:r>
      <w:r>
        <w:rPr>
          <w:spacing w:val="-5"/>
          <w:sz w:val="24"/>
        </w:rPr>
        <w:t> </w:t>
      </w:r>
      <w:r>
        <w:rPr>
          <w:sz w:val="24"/>
        </w:rPr>
        <w:t>la</w:t>
      </w:r>
      <w:r>
        <w:rPr>
          <w:spacing w:val="-4"/>
          <w:sz w:val="24"/>
        </w:rPr>
        <w:t> </w:t>
      </w:r>
      <w:r>
        <w:rPr>
          <w:sz w:val="24"/>
        </w:rPr>
        <w:t>préparation</w:t>
      </w:r>
      <w:r>
        <w:rPr>
          <w:spacing w:val="-4"/>
          <w:sz w:val="24"/>
        </w:rPr>
        <w:t> </w:t>
      </w:r>
      <w:r>
        <w:rPr>
          <w:sz w:val="24"/>
        </w:rPr>
        <w:t>d'éventuelles</w:t>
      </w:r>
      <w:r>
        <w:rPr>
          <w:spacing w:val="-4"/>
          <w:sz w:val="24"/>
        </w:rPr>
        <w:t> </w:t>
      </w:r>
      <w:r>
        <w:rPr>
          <w:sz w:val="24"/>
        </w:rPr>
        <w:t>révisions</w:t>
      </w:r>
      <w:r>
        <w:rPr>
          <w:spacing w:val="-4"/>
          <w:sz w:val="24"/>
        </w:rPr>
        <w:t> </w:t>
      </w:r>
      <w:r>
        <w:rPr>
          <w:sz w:val="24"/>
        </w:rPr>
        <w:t>futures</w:t>
      </w:r>
      <w:r>
        <w:rPr>
          <w:spacing w:val="-4"/>
          <w:sz w:val="24"/>
        </w:rPr>
        <w:t> </w:t>
      </w:r>
      <w:r>
        <w:rPr>
          <w:sz w:val="24"/>
        </w:rPr>
        <w:t>de</w:t>
      </w:r>
      <w:r>
        <w:rPr>
          <w:spacing w:val="-5"/>
          <w:sz w:val="24"/>
        </w:rPr>
        <w:t> </w:t>
      </w:r>
      <w:r>
        <w:rPr>
          <w:sz w:val="24"/>
        </w:rPr>
        <w:t>la</w:t>
      </w:r>
      <w:r>
        <w:rPr>
          <w:spacing w:val="-4"/>
          <w:sz w:val="24"/>
        </w:rPr>
        <w:t> </w:t>
      </w:r>
      <w:r>
        <w:rPr>
          <w:sz w:val="24"/>
        </w:rPr>
        <w:t>législation</w:t>
      </w:r>
      <w:r>
        <w:rPr>
          <w:spacing w:val="-2"/>
          <w:sz w:val="24"/>
        </w:rPr>
        <w:t> </w:t>
      </w:r>
      <w:r>
        <w:rPr>
          <w:sz w:val="24"/>
        </w:rPr>
        <w:t>de l'UE et à l'élaboration de nouvelles initiatives législatives. Le candidat pourrait également être invité à contribuer à l'évaluation ex ante, aux analyses d'impact et à l'évaluation ex post de l'action de l'UE entreprise</w:t>
      </w:r>
      <w:r>
        <w:rPr>
          <w:spacing w:val="-3"/>
          <w:sz w:val="24"/>
        </w:rPr>
        <w:t> </w:t>
      </w:r>
      <w:r>
        <w:rPr>
          <w:sz w:val="24"/>
        </w:rPr>
        <w:t>dans</w:t>
      </w:r>
      <w:r>
        <w:rPr>
          <w:spacing w:val="-2"/>
          <w:sz w:val="24"/>
        </w:rPr>
        <w:t> </w:t>
      </w:r>
      <w:r>
        <w:rPr>
          <w:sz w:val="24"/>
        </w:rPr>
        <w:t>ces</w:t>
      </w:r>
      <w:r>
        <w:rPr>
          <w:spacing w:val="-3"/>
          <w:sz w:val="24"/>
        </w:rPr>
        <w:t> </w:t>
      </w:r>
      <w:r>
        <w:rPr>
          <w:sz w:val="24"/>
        </w:rPr>
        <w:t>domaines. Le</w:t>
      </w:r>
      <w:r>
        <w:rPr>
          <w:spacing w:val="-3"/>
          <w:sz w:val="24"/>
        </w:rPr>
        <w:t> </w:t>
      </w:r>
      <w:r>
        <w:rPr>
          <w:sz w:val="24"/>
        </w:rPr>
        <w:t>cas échéant,</w:t>
      </w:r>
      <w:r>
        <w:rPr>
          <w:spacing w:val="-2"/>
          <w:sz w:val="24"/>
        </w:rPr>
        <w:t> </w:t>
      </w:r>
      <w:r>
        <w:rPr>
          <w:sz w:val="24"/>
        </w:rPr>
        <w:t>elle</w:t>
      </w:r>
      <w:r>
        <w:rPr>
          <w:spacing w:val="-1"/>
          <w:sz w:val="24"/>
        </w:rPr>
        <w:t> </w:t>
      </w:r>
      <w:r>
        <w:rPr>
          <w:sz w:val="24"/>
        </w:rPr>
        <w:t>ou</w:t>
      </w:r>
      <w:r>
        <w:rPr>
          <w:spacing w:val="-2"/>
          <w:sz w:val="24"/>
        </w:rPr>
        <w:t> </w:t>
      </w:r>
      <w:r>
        <w:rPr>
          <w:sz w:val="24"/>
        </w:rPr>
        <w:t>il</w:t>
      </w:r>
      <w:r>
        <w:rPr>
          <w:spacing w:val="-2"/>
          <w:sz w:val="24"/>
        </w:rPr>
        <w:t> </w:t>
      </w:r>
      <w:r>
        <w:rPr>
          <w:sz w:val="24"/>
        </w:rPr>
        <w:t>contribuera</w:t>
      </w:r>
      <w:r>
        <w:rPr>
          <w:spacing w:val="-4"/>
          <w:sz w:val="24"/>
        </w:rPr>
        <w:t> </w:t>
      </w:r>
      <w:r>
        <w:rPr>
          <w:sz w:val="24"/>
        </w:rPr>
        <w:t>à</w:t>
      </w:r>
      <w:r>
        <w:rPr>
          <w:spacing w:val="-3"/>
          <w:sz w:val="24"/>
        </w:rPr>
        <w:t> </w:t>
      </w:r>
      <w:r>
        <w:rPr>
          <w:sz w:val="24"/>
        </w:rPr>
        <w:t>la</w:t>
      </w:r>
      <w:r>
        <w:rPr>
          <w:spacing w:val="-3"/>
          <w:sz w:val="24"/>
        </w:rPr>
        <w:t> </w:t>
      </w:r>
      <w:r>
        <w:rPr>
          <w:sz w:val="24"/>
        </w:rPr>
        <w:t>mise</w:t>
      </w:r>
      <w:r>
        <w:rPr>
          <w:spacing w:val="-3"/>
          <w:sz w:val="24"/>
        </w:rPr>
        <w:t> </w:t>
      </w:r>
      <w:r>
        <w:rPr>
          <w:sz w:val="24"/>
        </w:rPr>
        <w:t>en</w:t>
      </w:r>
      <w:r>
        <w:rPr>
          <w:spacing w:val="-2"/>
          <w:sz w:val="24"/>
        </w:rPr>
        <w:t> </w:t>
      </w:r>
      <w:r>
        <w:rPr>
          <w:sz w:val="24"/>
        </w:rPr>
        <w:t>œuvre</w:t>
      </w:r>
      <w:r>
        <w:rPr>
          <w:spacing w:val="-3"/>
          <w:sz w:val="24"/>
        </w:rPr>
        <w:t> </w:t>
      </w:r>
      <w:r>
        <w:rPr>
          <w:sz w:val="24"/>
        </w:rPr>
        <w:t>et</w:t>
      </w:r>
      <w:r>
        <w:rPr>
          <w:spacing w:val="-2"/>
          <w:sz w:val="24"/>
        </w:rPr>
        <w:t> </w:t>
      </w:r>
      <w:r>
        <w:rPr>
          <w:sz w:val="24"/>
        </w:rPr>
        <w:t>à l'application des exigences réglementaires.</w:t>
      </w:r>
    </w:p>
    <w:p>
      <w:pPr>
        <w:spacing w:before="0"/>
        <w:ind w:left="372" w:right="123" w:firstLine="0"/>
        <w:jc w:val="left"/>
        <w:rPr>
          <w:sz w:val="24"/>
        </w:rPr>
      </w:pPr>
      <w:r>
        <w:rPr>
          <w:sz w:val="24"/>
        </w:rPr>
        <w:t>Le</w:t>
      </w:r>
      <w:r>
        <w:rPr>
          <w:spacing w:val="-3"/>
          <w:sz w:val="24"/>
        </w:rPr>
        <w:t> </w:t>
      </w:r>
      <w:r>
        <w:rPr>
          <w:sz w:val="24"/>
        </w:rPr>
        <w:t>candidat</w:t>
      </w:r>
      <w:r>
        <w:rPr>
          <w:spacing w:val="-2"/>
          <w:sz w:val="24"/>
        </w:rPr>
        <w:t> </w:t>
      </w:r>
      <w:r>
        <w:rPr>
          <w:sz w:val="24"/>
        </w:rPr>
        <w:t>retenu</w:t>
      </w:r>
      <w:r>
        <w:rPr>
          <w:spacing w:val="-4"/>
          <w:sz w:val="24"/>
        </w:rPr>
        <w:t> </w:t>
      </w:r>
      <w:r>
        <w:rPr>
          <w:sz w:val="24"/>
        </w:rPr>
        <w:t>devrait</w:t>
      </w:r>
      <w:r>
        <w:rPr>
          <w:spacing w:val="-4"/>
          <w:sz w:val="24"/>
        </w:rPr>
        <w:t> </w:t>
      </w:r>
      <w:r>
        <w:rPr>
          <w:sz w:val="24"/>
        </w:rPr>
        <w:t>idéalement</w:t>
      </w:r>
      <w:r>
        <w:rPr>
          <w:spacing w:val="-4"/>
          <w:sz w:val="24"/>
        </w:rPr>
        <w:t> </w:t>
      </w:r>
      <w:r>
        <w:rPr>
          <w:sz w:val="24"/>
        </w:rPr>
        <w:t>être</w:t>
      </w:r>
      <w:r>
        <w:rPr>
          <w:spacing w:val="-5"/>
          <w:sz w:val="24"/>
        </w:rPr>
        <w:t> </w:t>
      </w:r>
      <w:r>
        <w:rPr>
          <w:sz w:val="24"/>
        </w:rPr>
        <w:t>un</w:t>
      </w:r>
      <w:r>
        <w:rPr>
          <w:spacing w:val="-2"/>
          <w:sz w:val="24"/>
        </w:rPr>
        <w:t> </w:t>
      </w:r>
      <w:r>
        <w:rPr>
          <w:sz w:val="24"/>
        </w:rPr>
        <w:t>expert</w:t>
      </w:r>
      <w:r>
        <w:rPr>
          <w:spacing w:val="-4"/>
          <w:sz w:val="24"/>
        </w:rPr>
        <w:t> </w:t>
      </w:r>
      <w:r>
        <w:rPr>
          <w:sz w:val="24"/>
        </w:rPr>
        <w:t>proactif</w:t>
      </w:r>
      <w:r>
        <w:rPr>
          <w:spacing w:val="-4"/>
          <w:sz w:val="24"/>
        </w:rPr>
        <w:t> </w:t>
      </w:r>
      <w:r>
        <w:rPr>
          <w:sz w:val="24"/>
        </w:rPr>
        <w:t>et</w:t>
      </w:r>
      <w:r>
        <w:rPr>
          <w:spacing w:val="-2"/>
          <w:sz w:val="24"/>
        </w:rPr>
        <w:t> </w:t>
      </w:r>
      <w:r>
        <w:rPr>
          <w:sz w:val="24"/>
        </w:rPr>
        <w:t>faire</w:t>
      </w:r>
      <w:r>
        <w:rPr>
          <w:spacing w:val="-6"/>
          <w:sz w:val="24"/>
        </w:rPr>
        <w:t> </w:t>
      </w:r>
      <w:r>
        <w:rPr>
          <w:sz w:val="24"/>
        </w:rPr>
        <w:t>preuve</w:t>
      </w:r>
      <w:r>
        <w:rPr>
          <w:spacing w:val="-3"/>
          <w:sz w:val="24"/>
        </w:rPr>
        <w:t> </w:t>
      </w:r>
      <w:r>
        <w:rPr>
          <w:sz w:val="24"/>
        </w:rPr>
        <w:t>d'excellentes</w:t>
      </w:r>
      <w:r>
        <w:rPr>
          <w:spacing w:val="-3"/>
          <w:sz w:val="24"/>
        </w:rPr>
        <w:t> </w:t>
      </w:r>
      <w:r>
        <w:rPr>
          <w:sz w:val="24"/>
        </w:rPr>
        <w:t>compétences</w:t>
      </w:r>
      <w:r>
        <w:rPr>
          <w:spacing w:val="-4"/>
          <w:sz w:val="24"/>
        </w:rPr>
        <w:t> </w:t>
      </w:r>
      <w:r>
        <w:rPr>
          <w:sz w:val="24"/>
        </w:rPr>
        <w:t>en communication et en rédaction, ainsi que d'un bon jugement, d'un fort esprit d'équipe et de bonnes compétences en organisation, communication et résolution de problèmes. Une connaissance et/ou une expérience de la transparence et du reporting des entreprises et/ou des questions relatives à la finance durable et à la responsabilité sociale des entreprises serait un atout supplémentaire.</w:t>
      </w:r>
    </w:p>
    <w:p>
      <w:pPr>
        <w:pStyle w:val="BodyText"/>
        <w:rPr>
          <w:sz w:val="26"/>
        </w:rPr>
      </w:pPr>
    </w:p>
    <w:p>
      <w:pPr>
        <w:pStyle w:val="BodyText"/>
        <w:spacing w:before="6"/>
        <w:rPr>
          <w:sz w:val="38"/>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799" w:right="107"/>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2"/>
          <w:numId w:val="2"/>
        </w:numPr>
        <w:tabs>
          <w:tab w:pos="1081" w:val="left" w:leader="none"/>
        </w:tabs>
        <w:spacing w:line="240" w:lineRule="auto" w:before="0" w:after="0"/>
        <w:ind w:left="1080" w:right="106"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2"/>
        </w:numPr>
        <w:tabs>
          <w:tab w:pos="1081" w:val="left" w:leader="none"/>
        </w:tabs>
        <w:spacing w:line="240" w:lineRule="auto" w:before="0"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2"/>
        </w:numPr>
        <w:tabs>
          <w:tab w:pos="1081" w:val="left" w:leader="none"/>
        </w:tabs>
        <w:spacing w:line="240" w:lineRule="auto" w:before="0" w:after="0"/>
        <w:ind w:left="108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2"/>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before="91"/>
        <w:ind w:left="1080"/>
      </w:pPr>
      <w:r>
        <w:rPr>
          <w:spacing w:val="-2"/>
          <w:u w:val="single"/>
        </w:rPr>
        <w:t>Diplôme</w:t>
      </w:r>
    </w:p>
    <w:p>
      <w:pPr>
        <w:pStyle w:val="ListParagraph"/>
        <w:numPr>
          <w:ilvl w:val="0"/>
          <w:numId w:val="3"/>
        </w:numPr>
        <w:tabs>
          <w:tab w:pos="1206" w:val="left" w:leader="none"/>
        </w:tabs>
        <w:spacing w:line="252" w:lineRule="exact" w:before="2"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3"/>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2"/>
      </w:pPr>
    </w:p>
    <w:p>
      <w:pPr>
        <w:spacing w:before="0"/>
        <w:ind w:left="1080" w:right="123" w:firstLine="0"/>
        <w:jc w:val="left"/>
        <w:rPr>
          <w:sz w:val="20"/>
        </w:rPr>
      </w:pPr>
      <w:r>
        <w:rPr>
          <w:sz w:val="20"/>
        </w:rPr>
        <w:t>Formation</w:t>
      </w:r>
      <w:r>
        <w:rPr>
          <w:spacing w:val="40"/>
          <w:sz w:val="20"/>
        </w:rPr>
        <w:t> </w:t>
      </w:r>
      <w:r>
        <w:rPr>
          <w:sz w:val="20"/>
        </w:rPr>
        <w:t>de</w:t>
      </w:r>
      <w:r>
        <w:rPr>
          <w:spacing w:val="40"/>
          <w:sz w:val="20"/>
        </w:rPr>
        <w:t> </w:t>
      </w:r>
      <w:r>
        <w:rPr>
          <w:sz w:val="20"/>
        </w:rPr>
        <w:t>niveau</w:t>
      </w:r>
      <w:r>
        <w:rPr>
          <w:spacing w:val="40"/>
          <w:sz w:val="20"/>
        </w:rPr>
        <w:t> </w:t>
      </w:r>
      <w:r>
        <w:rPr>
          <w:sz w:val="20"/>
        </w:rPr>
        <w:t>universitaire</w:t>
      </w:r>
      <w:r>
        <w:rPr>
          <w:spacing w:val="40"/>
          <w:sz w:val="20"/>
        </w:rPr>
        <w:t> </w:t>
      </w:r>
      <w:r>
        <w:rPr>
          <w:sz w:val="20"/>
        </w:rPr>
        <w:t>d'au</w:t>
      </w:r>
      <w:r>
        <w:rPr>
          <w:spacing w:val="40"/>
          <w:sz w:val="20"/>
        </w:rPr>
        <w:t> </w:t>
      </w:r>
      <w:r>
        <w:rPr>
          <w:sz w:val="20"/>
        </w:rPr>
        <w:t>moins</w:t>
      </w:r>
      <w:r>
        <w:rPr>
          <w:spacing w:val="40"/>
          <w:sz w:val="20"/>
        </w:rPr>
        <w:t> </w:t>
      </w:r>
      <w:r>
        <w:rPr>
          <w:sz w:val="20"/>
        </w:rPr>
        <w:t>4</w:t>
      </w:r>
      <w:r>
        <w:rPr>
          <w:spacing w:val="40"/>
          <w:sz w:val="20"/>
        </w:rPr>
        <w:t> </w:t>
      </w:r>
      <w:r>
        <w:rPr>
          <w:sz w:val="20"/>
        </w:rPr>
        <w:t>ans</w:t>
      </w:r>
      <w:r>
        <w:rPr>
          <w:spacing w:val="40"/>
          <w:sz w:val="20"/>
        </w:rPr>
        <w:t> </w:t>
      </w:r>
      <w:r>
        <w:rPr>
          <w:sz w:val="20"/>
        </w:rPr>
        <w:t>en</w:t>
      </w:r>
      <w:r>
        <w:rPr>
          <w:spacing w:val="40"/>
          <w:sz w:val="20"/>
        </w:rPr>
        <w:t> </w:t>
      </w:r>
      <w:r>
        <w:rPr>
          <w:sz w:val="20"/>
        </w:rPr>
        <w:t>économie,</w:t>
      </w:r>
      <w:r>
        <w:rPr>
          <w:spacing w:val="40"/>
          <w:sz w:val="20"/>
        </w:rPr>
        <w:t> </w:t>
      </w:r>
      <w:r>
        <w:rPr>
          <w:sz w:val="20"/>
        </w:rPr>
        <w:t>finances,</w:t>
      </w:r>
      <w:r>
        <w:rPr>
          <w:spacing w:val="40"/>
          <w:sz w:val="20"/>
        </w:rPr>
        <w:t> </w:t>
      </w:r>
      <w:r>
        <w:rPr>
          <w:sz w:val="20"/>
        </w:rPr>
        <w:t>droit,</w:t>
      </w:r>
      <w:r>
        <w:rPr>
          <w:spacing w:val="40"/>
          <w:sz w:val="20"/>
        </w:rPr>
        <w:t> </w:t>
      </w:r>
      <w:r>
        <w:rPr>
          <w:sz w:val="20"/>
        </w:rPr>
        <w:t>sciences</w:t>
      </w:r>
      <w:r>
        <w:rPr>
          <w:spacing w:val="40"/>
          <w:sz w:val="20"/>
        </w:rPr>
        <w:t> </w:t>
      </w:r>
      <w:r>
        <w:rPr>
          <w:sz w:val="20"/>
        </w:rPr>
        <w:t>politiques,</w:t>
      </w:r>
      <w:r>
        <w:rPr>
          <w:spacing w:val="40"/>
          <w:sz w:val="20"/>
        </w:rPr>
        <w:t> </w:t>
      </w:r>
      <w:r>
        <w:rPr>
          <w:sz w:val="20"/>
        </w:rPr>
        <w:t>sciences humaines ou sociales</w:t>
      </w:r>
    </w:p>
    <w:p>
      <w:pPr>
        <w:pStyle w:val="BodyText"/>
        <w:spacing w:before="9"/>
        <w:rPr>
          <w:sz w:val="21"/>
        </w:rPr>
      </w:pPr>
    </w:p>
    <w:p>
      <w:pPr>
        <w:pStyle w:val="BodyText"/>
        <w:spacing w:before="1"/>
        <w:ind w:left="1080"/>
      </w:pPr>
      <w:r>
        <w:rPr>
          <w:u w:val="single"/>
        </w:rPr>
        <w:t>Expérience</w:t>
      </w:r>
      <w:r>
        <w:rPr>
          <w:spacing w:val="-4"/>
          <w:u w:val="single"/>
        </w:rPr>
        <w:t> </w:t>
      </w:r>
      <w:r>
        <w:rPr>
          <w:spacing w:val="-2"/>
          <w:u w:val="single"/>
        </w:rPr>
        <w:t>professionnelle</w:t>
      </w:r>
    </w:p>
    <w:p>
      <w:pPr>
        <w:pStyle w:val="BodyText"/>
        <w:rPr>
          <w:sz w:val="14"/>
        </w:rPr>
      </w:pPr>
    </w:p>
    <w:p>
      <w:pPr>
        <w:spacing w:before="91"/>
        <w:ind w:left="1080" w:right="0" w:firstLine="0"/>
        <w:jc w:val="left"/>
        <w:rPr>
          <w:sz w:val="20"/>
        </w:rPr>
      </w:pPr>
      <w:r>
        <w:rPr>
          <w:sz w:val="20"/>
        </w:rPr>
        <w:t>3</w:t>
      </w:r>
      <w:r>
        <w:rPr>
          <w:spacing w:val="-2"/>
          <w:sz w:val="20"/>
        </w:rPr>
        <w:t> </w:t>
      </w:r>
      <w:r>
        <w:rPr>
          <w:sz w:val="20"/>
        </w:rPr>
        <w:t>ans </w:t>
      </w:r>
      <w:r>
        <w:rPr>
          <w:spacing w:val="-2"/>
          <w:sz w:val="20"/>
        </w:rPr>
        <w:t>minimum.</w:t>
      </w:r>
    </w:p>
    <w:p>
      <w:pPr>
        <w:pStyle w:val="BodyText"/>
      </w:pPr>
    </w:p>
    <w:p>
      <w:pPr>
        <w:pStyle w:val="BodyText"/>
        <w:ind w:left="1080"/>
      </w:pPr>
      <w:r>
        <w:rPr>
          <w:u w:val="single"/>
        </w:rPr>
        <w:t>Langue(s)</w:t>
      </w:r>
      <w:r>
        <w:rPr>
          <w:spacing w:val="-7"/>
          <w:u w:val="single"/>
        </w:rPr>
        <w:t> </w:t>
      </w:r>
      <w:r>
        <w:rPr>
          <w:u w:val="single"/>
        </w:rPr>
        <w:t>nécessaire(s)</w:t>
      </w:r>
      <w:r>
        <w:rPr>
          <w:spacing w:val="-6"/>
          <w:u w:val="single"/>
        </w:rPr>
        <w:t> </w:t>
      </w:r>
      <w:r>
        <w:rPr>
          <w:u w:val="single"/>
        </w:rPr>
        <w:t>pour</w:t>
      </w:r>
      <w:r>
        <w:rPr>
          <w:spacing w:val="-6"/>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spacing w:after="0"/>
        <w:sectPr>
          <w:pgSz w:w="11910" w:h="16840"/>
          <w:pgMar w:header="0" w:footer="690" w:top="1040" w:bottom="880" w:left="480" w:right="740"/>
        </w:sectPr>
      </w:pPr>
    </w:p>
    <w:p>
      <w:pPr>
        <w:spacing w:before="70"/>
        <w:ind w:left="1080" w:right="0" w:firstLine="0"/>
        <w:jc w:val="left"/>
        <w:rPr>
          <w:sz w:val="20"/>
        </w:rPr>
      </w:pPr>
      <w:r>
        <w:rPr>
          <w:spacing w:val="-2"/>
          <w:sz w:val="20"/>
        </w:rPr>
        <w:t>Anglais</w:t>
      </w:r>
    </w:p>
    <w:p>
      <w:pPr>
        <w:pStyle w:val="BodyText"/>
        <w:spacing w:before="5"/>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 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1" w:lineRule="exact"/>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800" w:val="left" w:leader="none"/>
        </w:tabs>
        <w:spacing w:line="240" w:lineRule="auto" w:before="6"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8"/>
        <w:rPr>
          <w:b/>
          <w:sz w:val="15"/>
        </w:rPr>
      </w:pPr>
    </w:p>
    <w:p>
      <w:pPr>
        <w:pStyle w:val="BodyText"/>
        <w:spacing w:before="91"/>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9" w:right="123"/>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799" w:right="123"/>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right="123"/>
      </w:pPr>
      <w:r>
        <w:rPr/>
        <w:t>Durant</w:t>
      </w:r>
      <w:r>
        <w:rPr>
          <w:spacing w:val="30"/>
        </w:rPr>
        <w:t> </w:t>
      </w:r>
      <w:r>
        <w:rPr/>
        <w:t>le</w:t>
      </w:r>
      <w:r>
        <w:rPr>
          <w:spacing w:val="29"/>
        </w:rPr>
        <w:t> </w:t>
      </w:r>
      <w:r>
        <w:rPr/>
        <w:t>détachement,</w:t>
      </w:r>
      <w:r>
        <w:rPr>
          <w:spacing w:val="31"/>
        </w:rPr>
        <w:t> </w:t>
      </w:r>
      <w:r>
        <w:rPr/>
        <w:t>l'END</w:t>
      </w:r>
      <w:r>
        <w:rPr>
          <w:spacing w:val="30"/>
        </w:rPr>
        <w:t> </w:t>
      </w:r>
      <w:r>
        <w:rPr/>
        <w:t>sera</w:t>
      </w:r>
      <w:r>
        <w:rPr>
          <w:spacing w:val="29"/>
        </w:rPr>
        <w:t> </w:t>
      </w:r>
      <w:r>
        <w:rPr/>
        <w:t>soumis</w:t>
      </w:r>
      <w:r>
        <w:rPr>
          <w:spacing w:val="31"/>
        </w:rPr>
        <w:t> </w:t>
      </w:r>
      <w:r>
        <w:rPr/>
        <w:t>aux</w:t>
      </w:r>
      <w:r>
        <w:rPr>
          <w:spacing w:val="32"/>
        </w:rPr>
        <w:t> </w:t>
      </w:r>
      <w:r>
        <w:rPr/>
        <w:t>obligations</w:t>
      </w:r>
      <w:r>
        <w:rPr>
          <w:spacing w:val="31"/>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spacing w:before="1"/>
        <w:ind w:left="79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79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 la Commission relative aux END</w:t>
      </w:r>
      <w:r>
        <w:rPr>
          <w:spacing w:val="-1"/>
        </w:rPr>
        <w:t> </w:t>
      </w:r>
      <w:r>
        <w:rPr/>
        <w:t>et</w:t>
      </w:r>
      <w:r>
        <w:rPr>
          <w:spacing w:val="-1"/>
        </w:rPr>
        <w:t> </w:t>
      </w:r>
      <w:r>
        <w:rPr/>
        <w:t>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pStyle w:val="BodyText"/>
        <w:ind w:left="799" w:right="283"/>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2"/>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ind w:left="79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4"/>
        </w:numPr>
        <w:tabs>
          <w:tab w:pos="1080" w:val="left" w:leader="none"/>
          <w:tab w:pos="1081" w:val="left" w:leader="none"/>
        </w:tabs>
        <w:spacing w:line="240" w:lineRule="auto" w:before="91" w:after="0"/>
        <w:ind w:left="1080" w:right="0" w:hanging="282"/>
        <w:jc w:val="left"/>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799" w:right="123"/>
      </w:pPr>
      <w:r>
        <w:rPr/>
        <w:t>Si</w:t>
      </w:r>
      <w:r>
        <w:rPr>
          <w:spacing w:val="70"/>
        </w:rPr>
        <w:t> </w:t>
      </w:r>
      <w:r>
        <w:rPr/>
        <w:t>vous</w:t>
      </w:r>
      <w:r>
        <w:rPr>
          <w:spacing w:val="70"/>
        </w:rPr>
        <w:t> </w:t>
      </w:r>
      <w:r>
        <w:rPr/>
        <w:t>souhaitez</w:t>
      </w:r>
      <w:r>
        <w:rPr>
          <w:spacing w:val="67"/>
        </w:rPr>
        <w:t> </w:t>
      </w:r>
      <w:r>
        <w:rPr/>
        <w:t>exercer</w:t>
      </w:r>
      <w:r>
        <w:rPr>
          <w:spacing w:val="70"/>
        </w:rPr>
        <w:t> </w:t>
      </w:r>
      <w:r>
        <w:rPr/>
        <w:t>vos</w:t>
      </w:r>
      <w:r>
        <w:rPr>
          <w:spacing w:val="70"/>
        </w:rPr>
        <w:t> </w:t>
      </w:r>
      <w:r>
        <w:rPr/>
        <w:t>droits</w:t>
      </w:r>
      <w:r>
        <w:rPr>
          <w:spacing w:val="70"/>
        </w:rPr>
        <w:t> </w:t>
      </w:r>
      <w:r>
        <w:rPr/>
        <w:t>en</w:t>
      </w:r>
      <w:r>
        <w:rPr>
          <w:spacing w:val="70"/>
        </w:rPr>
        <w:t> </w:t>
      </w:r>
      <w:r>
        <w:rPr/>
        <w:t>vertu</w:t>
      </w:r>
      <w:r>
        <w:rPr>
          <w:spacing w:val="69"/>
        </w:rPr>
        <w:t> </w:t>
      </w:r>
      <w:r>
        <w:rPr/>
        <w:t>du</w:t>
      </w:r>
      <w:r>
        <w:rPr>
          <w:spacing w:val="67"/>
        </w:rPr>
        <w:t> </w:t>
      </w:r>
      <w:r>
        <w:rPr/>
        <w:t>règlement</w:t>
      </w:r>
      <w:r>
        <w:rPr>
          <w:spacing w:val="71"/>
        </w:rPr>
        <w:t> </w:t>
      </w:r>
      <w:r>
        <w:rPr/>
        <w:t>(UE)</w:t>
      </w:r>
      <w:r>
        <w:rPr>
          <w:spacing w:val="70"/>
        </w:rPr>
        <w:t> </w:t>
      </w:r>
      <w:r>
        <w:rPr/>
        <w:t>2018/1725,</w:t>
      </w:r>
      <w:r>
        <w:rPr>
          <w:spacing w:val="69"/>
        </w:rPr>
        <w:t> </w:t>
      </w:r>
      <w:r>
        <w:rPr/>
        <w:t>ou</w:t>
      </w:r>
      <w:r>
        <w:rPr>
          <w:spacing w:val="69"/>
        </w:rPr>
        <w:t> </w:t>
      </w:r>
      <w:r>
        <w:rPr/>
        <w:t>si</w:t>
      </w:r>
      <w:r>
        <w:rPr>
          <w:spacing w:val="71"/>
        </w:rPr>
        <w:t> </w:t>
      </w:r>
      <w:r>
        <w:rPr/>
        <w:t>vous</w:t>
      </w:r>
      <w:r>
        <w:rPr>
          <w:spacing w:val="70"/>
        </w:rPr>
        <w:t> </w:t>
      </w:r>
      <w:r>
        <w:rPr/>
        <w:t>avez</w:t>
      </w:r>
      <w:r>
        <w:rPr>
          <w:spacing w:val="68"/>
        </w:rPr>
        <w:t> </w:t>
      </w:r>
      <w:r>
        <w:rPr/>
        <w:t>des commentaires,</w:t>
      </w:r>
      <w:r>
        <w:rPr>
          <w:spacing w:val="9"/>
        </w:rPr>
        <w:t> </w:t>
      </w:r>
      <w:r>
        <w:rPr/>
        <w:t>des</w:t>
      </w:r>
      <w:r>
        <w:rPr>
          <w:spacing w:val="8"/>
        </w:rPr>
        <w:t> </w:t>
      </w:r>
      <w:r>
        <w:rPr/>
        <w:t>questions</w:t>
      </w:r>
      <w:r>
        <w:rPr>
          <w:spacing w:val="9"/>
        </w:rPr>
        <w:t> </w:t>
      </w:r>
      <w:r>
        <w:rPr/>
        <w:t>ou</w:t>
      </w:r>
      <w:r>
        <w:rPr>
          <w:spacing w:val="9"/>
        </w:rPr>
        <w:t> </w:t>
      </w:r>
      <w:r>
        <w:rPr/>
        <w:t>des</w:t>
      </w:r>
      <w:r>
        <w:rPr>
          <w:spacing w:val="9"/>
        </w:rPr>
        <w:t> </w:t>
      </w:r>
      <w:r>
        <w:rPr/>
        <w:t>préoccupations,</w:t>
      </w:r>
      <w:r>
        <w:rPr>
          <w:spacing w:val="9"/>
        </w:rPr>
        <w:t> </w:t>
      </w:r>
      <w:r>
        <w:rPr/>
        <w:t>ou</w:t>
      </w:r>
      <w:r>
        <w:rPr>
          <w:spacing w:val="8"/>
        </w:rPr>
        <w:t> </w:t>
      </w:r>
      <w:r>
        <w:rPr/>
        <w:t>si</w:t>
      </w:r>
      <w:r>
        <w:rPr>
          <w:spacing w:val="10"/>
        </w:rPr>
        <w:t> </w:t>
      </w:r>
      <w:r>
        <w:rPr/>
        <w:t>vous</w:t>
      </w:r>
      <w:r>
        <w:rPr>
          <w:spacing w:val="8"/>
        </w:rPr>
        <w:t> </w:t>
      </w:r>
      <w:r>
        <w:rPr/>
        <w:t>souhaitez</w:t>
      </w:r>
      <w:r>
        <w:rPr>
          <w:spacing w:val="8"/>
        </w:rPr>
        <w:t> </w:t>
      </w:r>
      <w:r>
        <w:rPr/>
        <w:t>déposer</w:t>
      </w:r>
      <w:r>
        <w:rPr>
          <w:spacing w:val="10"/>
        </w:rPr>
        <w:t> </w:t>
      </w:r>
      <w:r>
        <w:rPr/>
        <w:t>une</w:t>
      </w:r>
      <w:r>
        <w:rPr>
          <w:spacing w:val="9"/>
        </w:rPr>
        <w:t> </w:t>
      </w:r>
      <w:r>
        <w:rPr/>
        <w:t>plainte</w:t>
      </w:r>
      <w:r>
        <w:rPr>
          <w:spacing w:val="9"/>
        </w:rPr>
        <w:t> </w:t>
      </w:r>
      <w:r>
        <w:rPr/>
        <w:t>concernant</w:t>
      </w:r>
      <w:r>
        <w:rPr>
          <w:spacing w:val="9"/>
        </w:rPr>
        <w:t> </w:t>
      </w:r>
      <w:r>
        <w:rPr>
          <w:spacing w:val="-5"/>
        </w:rPr>
        <w:t>la</w:t>
      </w:r>
    </w:p>
    <w:p>
      <w:pPr>
        <w:spacing w:after="0"/>
        <w:sectPr>
          <w:pgSz w:w="11910" w:h="16840"/>
          <w:pgMar w:header="0" w:footer="690" w:top="1040" w:bottom="880" w:left="480" w:right="740"/>
        </w:sectPr>
      </w:pPr>
    </w:p>
    <w:p>
      <w:pPr>
        <w:pStyle w:val="BodyText"/>
        <w:spacing w:before="68"/>
        <w:ind w:left="799" w:right="123"/>
      </w:pPr>
      <w:r>
        <w:rPr/>
        <w:t>collecte</w:t>
      </w:r>
      <w:r>
        <w:rPr>
          <w:spacing w:val="40"/>
        </w:rPr>
        <w:t> </w:t>
      </w:r>
      <w:r>
        <w:rPr/>
        <w:t>et</w:t>
      </w:r>
      <w:r>
        <w:rPr>
          <w:spacing w:val="40"/>
        </w:rPr>
        <w:t> </w:t>
      </w:r>
      <w:r>
        <w:rPr/>
        <w:t>l'utilisation</w:t>
      </w:r>
      <w:r>
        <w:rPr>
          <w:spacing w:val="40"/>
        </w:rPr>
        <w:t> </w:t>
      </w:r>
      <w:r>
        <w:rPr/>
        <w:t>de</w:t>
      </w:r>
      <w:r>
        <w:rPr>
          <w:spacing w:val="40"/>
        </w:rPr>
        <w:t> </w:t>
      </w:r>
      <w:r>
        <w:rPr/>
        <w:t>vos</w:t>
      </w:r>
      <w:r>
        <w:rPr>
          <w:spacing w:val="40"/>
        </w:rPr>
        <w:t> </w:t>
      </w:r>
      <w:r>
        <w:rPr/>
        <w:t>données</w:t>
      </w:r>
      <w:r>
        <w:rPr>
          <w:spacing w:val="40"/>
        </w:rPr>
        <w:t> </w:t>
      </w:r>
      <w:r>
        <w:rPr/>
        <w:t>à</w:t>
      </w:r>
      <w:r>
        <w:rPr>
          <w:spacing w:val="40"/>
        </w:rPr>
        <w:t> </w:t>
      </w:r>
      <w:r>
        <w:rPr/>
        <w:t>caractère</w:t>
      </w:r>
      <w:r>
        <w:rPr>
          <w:spacing w:val="40"/>
        </w:rPr>
        <w:t> </w:t>
      </w:r>
      <w:r>
        <w:rPr/>
        <w:t>personnel,</w:t>
      </w:r>
      <w:r>
        <w:rPr>
          <w:spacing w:val="40"/>
        </w:rPr>
        <w:t> </w:t>
      </w:r>
      <w:r>
        <w:rPr/>
        <w:t>n'hésitez</w:t>
      </w:r>
      <w:r>
        <w:rPr>
          <w:spacing w:val="40"/>
        </w:rPr>
        <w:t> </w:t>
      </w:r>
      <w:r>
        <w:rPr/>
        <w:t>pas</w:t>
      </w:r>
      <w:r>
        <w:rPr>
          <w:spacing w:val="40"/>
        </w:rPr>
        <w:t> </w:t>
      </w:r>
      <w:r>
        <w:rPr/>
        <w:t>à</w:t>
      </w:r>
      <w:r>
        <w:rPr>
          <w:spacing w:val="40"/>
        </w:rPr>
        <w:t> </w:t>
      </w:r>
      <w:r>
        <w:rPr/>
        <w:t>contacter</w:t>
      </w:r>
      <w:r>
        <w:rPr>
          <w:spacing w:val="40"/>
        </w:rPr>
        <w:t> </w:t>
      </w:r>
      <w:r>
        <w:rPr/>
        <w:t>le</w:t>
      </w:r>
      <w:r>
        <w:rPr>
          <w:spacing w:val="40"/>
        </w:rPr>
        <w:t> </w:t>
      </w:r>
      <w:r>
        <w:rPr/>
        <w:t>contrôleur</w:t>
      </w:r>
      <w:r>
        <w:rPr>
          <w:spacing w:val="40"/>
        </w:rPr>
        <w:t> </w:t>
      </w:r>
      <w:r>
        <w:rPr/>
        <w:t>de données, HR.DDG.B.4, </w:t>
      </w:r>
      <w:hyperlink r:id="rId10">
        <w:r>
          <w:rPr>
            <w:color w:val="0000FF"/>
            <w:u w:val="single" w:color="0000FF"/>
          </w:rPr>
          <w:t>HR-MAIL-B4@ec.europa.eu</w:t>
        </w:r>
      </w:hyperlink>
      <w:r>
        <w:rPr/>
        <w:t>.</w:t>
      </w:r>
    </w:p>
    <w:p>
      <w:pPr>
        <w:pStyle w:val="BodyText"/>
        <w:spacing w:before="3"/>
        <w:rPr>
          <w:sz w:val="14"/>
        </w:rPr>
      </w:pPr>
    </w:p>
    <w:p>
      <w:pPr>
        <w:pStyle w:val="Heading1"/>
        <w:numPr>
          <w:ilvl w:val="0"/>
          <w:numId w:val="4"/>
        </w:numPr>
        <w:tabs>
          <w:tab w:pos="1081" w:val="left" w:leader="none"/>
        </w:tabs>
        <w:spacing w:line="252" w:lineRule="exact" w:before="91"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1081" w:val="left" w:leader="none"/>
        </w:tabs>
        <w:spacing w:line="240" w:lineRule="auto" w:before="4" w:after="0"/>
        <w:ind w:left="1080" w:right="0" w:hanging="282"/>
        <w:jc w:val="both"/>
        <w:rPr>
          <w:u w:val="none"/>
        </w:rPr>
      </w:pPr>
      <w:r>
        <w:rPr>
          <w:u w:val="single"/>
        </w:rPr>
        <w:t>Le</w:t>
      </w:r>
      <w:r>
        <w:rPr>
          <w:spacing w:val="-3"/>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9" w:right="123"/>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670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48" w:hanging="125"/>
      </w:pPr>
      <w:rPr>
        <w:rFonts w:hint="default"/>
        <w:lang w:val="fr-FR" w:eastAsia="en-US" w:bidi="ar-SA"/>
      </w:rPr>
    </w:lvl>
    <w:lvl w:ilvl="2">
      <w:start w:val="0"/>
      <w:numFmt w:val="bullet"/>
      <w:lvlText w:val="•"/>
      <w:lvlJc w:val="left"/>
      <w:pPr>
        <w:ind w:left="3097" w:hanging="125"/>
      </w:pPr>
      <w:rPr>
        <w:rFonts w:hint="default"/>
        <w:lang w:val="fr-FR" w:eastAsia="en-US" w:bidi="ar-SA"/>
      </w:rPr>
    </w:lvl>
    <w:lvl w:ilvl="3">
      <w:start w:val="0"/>
      <w:numFmt w:val="bullet"/>
      <w:lvlText w:val="•"/>
      <w:lvlJc w:val="left"/>
      <w:pPr>
        <w:ind w:left="4045" w:hanging="125"/>
      </w:pPr>
      <w:rPr>
        <w:rFonts w:hint="default"/>
        <w:lang w:val="fr-FR" w:eastAsia="en-US" w:bidi="ar-SA"/>
      </w:rPr>
    </w:lvl>
    <w:lvl w:ilvl="4">
      <w:start w:val="0"/>
      <w:numFmt w:val="bullet"/>
      <w:lvlText w:val="•"/>
      <w:lvlJc w:val="left"/>
      <w:pPr>
        <w:ind w:left="4994" w:hanging="125"/>
      </w:pPr>
      <w:rPr>
        <w:rFonts w:hint="default"/>
        <w:lang w:val="fr-FR" w:eastAsia="en-US" w:bidi="ar-SA"/>
      </w:rPr>
    </w:lvl>
    <w:lvl w:ilvl="5">
      <w:start w:val="0"/>
      <w:numFmt w:val="bullet"/>
      <w:lvlText w:val="•"/>
      <w:lvlJc w:val="left"/>
      <w:pPr>
        <w:ind w:left="5943" w:hanging="125"/>
      </w:pPr>
      <w:rPr>
        <w:rFonts w:hint="default"/>
        <w:lang w:val="fr-FR" w:eastAsia="en-US" w:bidi="ar-SA"/>
      </w:rPr>
    </w:lvl>
    <w:lvl w:ilvl="6">
      <w:start w:val="0"/>
      <w:numFmt w:val="bullet"/>
      <w:lvlText w:val="•"/>
      <w:lvlJc w:val="left"/>
      <w:pPr>
        <w:ind w:left="6891" w:hanging="125"/>
      </w:pPr>
      <w:rPr>
        <w:rFonts w:hint="default"/>
        <w:lang w:val="fr-FR" w:eastAsia="en-US" w:bidi="ar-SA"/>
      </w:rPr>
    </w:lvl>
    <w:lvl w:ilvl="7">
      <w:start w:val="0"/>
      <w:numFmt w:val="bullet"/>
      <w:lvlText w:val="•"/>
      <w:lvlJc w:val="left"/>
      <w:pPr>
        <w:ind w:left="7840" w:hanging="125"/>
      </w:pPr>
      <w:rPr>
        <w:rFonts w:hint="default"/>
        <w:lang w:val="fr-FR" w:eastAsia="en-US" w:bidi="ar-SA"/>
      </w:rPr>
    </w:lvl>
    <w:lvl w:ilvl="8">
      <w:start w:val="0"/>
      <w:numFmt w:val="bullet"/>
      <w:lvlText w:val="•"/>
      <w:lvlJc w:val="left"/>
      <w:pPr>
        <w:ind w:left="878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280" w:hanging="281"/>
      </w:pPr>
      <w:rPr>
        <w:rFonts w:hint="default"/>
        <w:lang w:val="fr-FR" w:eastAsia="en-US" w:bidi="ar-SA"/>
      </w:rPr>
    </w:lvl>
    <w:lvl w:ilvl="4">
      <w:start w:val="0"/>
      <w:numFmt w:val="bullet"/>
      <w:lvlText w:val="•"/>
      <w:lvlJc w:val="left"/>
      <w:pPr>
        <w:ind w:left="3481" w:hanging="281"/>
      </w:pPr>
      <w:rPr>
        <w:rFonts w:hint="default"/>
        <w:lang w:val="fr-FR" w:eastAsia="en-US" w:bidi="ar-SA"/>
      </w:rPr>
    </w:lvl>
    <w:lvl w:ilvl="5">
      <w:start w:val="0"/>
      <w:numFmt w:val="bullet"/>
      <w:lvlText w:val="•"/>
      <w:lvlJc w:val="left"/>
      <w:pPr>
        <w:ind w:left="4682" w:hanging="281"/>
      </w:pPr>
      <w:rPr>
        <w:rFonts w:hint="default"/>
        <w:lang w:val="fr-FR" w:eastAsia="en-US" w:bidi="ar-SA"/>
      </w:rPr>
    </w:lvl>
    <w:lvl w:ilvl="6">
      <w:start w:val="0"/>
      <w:numFmt w:val="bullet"/>
      <w:lvlText w:val="•"/>
      <w:lvlJc w:val="left"/>
      <w:pPr>
        <w:ind w:left="5883" w:hanging="281"/>
      </w:pPr>
      <w:rPr>
        <w:rFonts w:hint="default"/>
        <w:lang w:val="fr-FR" w:eastAsia="en-US" w:bidi="ar-SA"/>
      </w:rPr>
    </w:lvl>
    <w:lvl w:ilvl="7">
      <w:start w:val="0"/>
      <w:numFmt w:val="bullet"/>
      <w:lvlText w:val="•"/>
      <w:lvlJc w:val="left"/>
      <w:pPr>
        <w:ind w:left="7084" w:hanging="281"/>
      </w:pPr>
      <w:rPr>
        <w:rFonts w:hint="default"/>
        <w:lang w:val="fr-FR" w:eastAsia="en-US" w:bidi="ar-SA"/>
      </w:rPr>
    </w:lvl>
    <w:lvl w:ilvl="8">
      <w:start w:val="0"/>
      <w:numFmt w:val="bullet"/>
      <w:lvlText w:val="•"/>
      <w:lvlJc w:val="left"/>
      <w:pPr>
        <w:ind w:left="8284" w:hanging="28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ven.gentn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2023-02-16T16:48:12Z</dcterms:created>
  <dcterms:modified xsi:type="dcterms:W3CDTF">2023-02-16T16:48:12Z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