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5"/>
        <w:ind w:left="4604" w:right="3597"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-436207</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AVIS</w:t>
      </w:r>
      <w:r>
        <w:rPr>
          <w:b/>
          <w:spacing w:val="-4"/>
          <w:sz w:val="24"/>
        </w:rPr>
        <w:t> </w:t>
      </w:r>
      <w:r>
        <w:rPr>
          <w:b/>
          <w:sz w:val="24"/>
        </w:rPr>
        <w:t>DE</w:t>
      </w:r>
      <w:r>
        <w:rPr>
          <w:b/>
          <w:spacing w:val="-1"/>
          <w:sz w:val="24"/>
        </w:rPr>
        <w:t> </w:t>
      </w:r>
      <w:r>
        <w:rPr>
          <w:b/>
          <w:spacing w:val="-2"/>
          <w:sz w:val="24"/>
        </w:rPr>
        <w:t>VACANCE</w:t>
      </w:r>
    </w:p>
    <w:p>
      <w:pPr>
        <w:pStyle w:val="BodyText"/>
        <w:spacing w:before="2"/>
        <w:rPr>
          <w:b/>
          <w:sz w:val="16"/>
        </w:rPr>
      </w:pPr>
    </w:p>
    <w:p>
      <w:pPr>
        <w:spacing w:before="90"/>
        <w:ind w:left="1125" w:right="0" w:firstLine="0"/>
        <w:jc w:val="left"/>
        <w:rPr>
          <w:b/>
          <w:sz w:val="24"/>
        </w:rPr>
      </w:pPr>
      <w:r>
        <w:rPr>
          <w:b/>
          <w:sz w:val="24"/>
        </w:rPr>
        <w:t>EXPERT</w:t>
      </w:r>
      <w:r>
        <w:rPr>
          <w:b/>
          <w:spacing w:val="-5"/>
          <w:sz w:val="24"/>
        </w:rPr>
        <w:t> </w:t>
      </w:r>
      <w:r>
        <w:rPr>
          <w:b/>
          <w:sz w:val="24"/>
        </w:rPr>
        <w:t>NATIONAL DETACHE</w:t>
      </w:r>
      <w:r>
        <w:rPr>
          <w:b/>
          <w:spacing w:val="-2"/>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
        <w:rPr>
          <w:b/>
          <w:sz w:val="24"/>
        </w:rPr>
      </w:pPr>
    </w:p>
    <w:tbl>
      <w:tblPr>
        <w:tblW w:w="0" w:type="auto"/>
        <w:jc w:val="left"/>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611" w:hRule="atLeast"/>
        </w:trPr>
        <w:tc>
          <w:tcPr>
            <w:tcW w:w="4358" w:type="dxa"/>
          </w:tcPr>
          <w:p>
            <w:pPr>
              <w:pStyle w:val="TableParagraph"/>
              <w:spacing w:line="274" w:lineRule="exact" w:before="1"/>
              <w:rPr>
                <w:b/>
                <w:sz w:val="24"/>
              </w:rPr>
            </w:pPr>
            <w:r>
              <w:rPr>
                <w:b/>
                <w:sz w:val="24"/>
              </w:rPr>
              <w:t>Intitulé</w:t>
            </w:r>
            <w:r>
              <w:rPr>
                <w:b/>
                <w:spacing w:val="-2"/>
                <w:sz w:val="24"/>
              </w:rPr>
              <w:t> </w:t>
            </w:r>
            <w:r>
              <w:rPr>
                <w:b/>
                <w:sz w:val="24"/>
              </w:rPr>
              <w:t>du</w:t>
            </w:r>
            <w:r>
              <w:rPr>
                <w:b/>
                <w:spacing w:val="-1"/>
                <w:sz w:val="24"/>
              </w:rPr>
              <w:t> </w:t>
            </w:r>
            <w:r>
              <w:rPr>
                <w:b/>
                <w:spacing w:val="-2"/>
                <w:sz w:val="24"/>
              </w:rPr>
              <w:t>poste:</w:t>
            </w:r>
          </w:p>
          <w:p>
            <w:pPr>
              <w:pStyle w:val="TableParagraph"/>
              <w:spacing w:line="274" w:lineRule="exact"/>
              <w:rPr>
                <w:sz w:val="24"/>
              </w:rPr>
            </w:pPr>
            <w:r>
              <w:rPr>
                <w:spacing w:val="-2"/>
                <w:sz w:val="24"/>
              </w:rPr>
              <w:t>(DG-DIR-UNITE)</w:t>
            </w:r>
          </w:p>
        </w:tc>
        <w:tc>
          <w:tcPr>
            <w:tcW w:w="5596" w:type="dxa"/>
          </w:tcPr>
          <w:p>
            <w:pPr>
              <w:pStyle w:val="TableParagraph"/>
              <w:spacing w:before="172"/>
              <w:rPr>
                <w:rFonts w:ascii="Calibri"/>
                <w:sz w:val="22"/>
              </w:rPr>
            </w:pPr>
            <w:r>
              <w:rPr>
                <w:rFonts w:ascii="Calibri"/>
                <w:spacing w:val="-2"/>
                <w:sz w:val="22"/>
              </w:rPr>
              <w:t>BUDG.E2</w:t>
            </w:r>
          </w:p>
        </w:tc>
      </w:tr>
      <w:tr>
        <w:trPr>
          <w:trHeight w:val="1977" w:hRule="atLeast"/>
        </w:trPr>
        <w:tc>
          <w:tcPr>
            <w:tcW w:w="4358"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tcPr>
          <w:p>
            <w:pPr>
              <w:pStyle w:val="TableParagraph"/>
              <w:ind w:right="1486"/>
              <w:rPr>
                <w:rFonts w:ascii="Calibri"/>
                <w:sz w:val="22"/>
              </w:rPr>
            </w:pPr>
            <w:r>
              <w:rPr>
                <w:rFonts w:ascii="Calibri"/>
                <w:sz w:val="22"/>
              </w:rPr>
              <w:t>Martin Koehler </w:t>
            </w:r>
            <w:hyperlink r:id="rId7">
              <w:r>
                <w:rPr>
                  <w:rFonts w:ascii="Calibri"/>
                  <w:spacing w:val="-2"/>
                  <w:sz w:val="22"/>
                </w:rPr>
                <w:t>Martin.koehler@ec.europa.eu</w:t>
              </w:r>
            </w:hyperlink>
          </w:p>
          <w:p>
            <w:pPr>
              <w:pStyle w:val="TableParagraph"/>
              <w:spacing w:before="11"/>
              <w:ind w:left="0"/>
              <w:rPr>
                <w:b/>
                <w:sz w:val="23"/>
              </w:rPr>
            </w:pPr>
          </w:p>
          <w:p>
            <w:pPr>
              <w:pStyle w:val="TableParagraph"/>
              <w:rPr>
                <w:rFonts w:ascii="Calibri"/>
                <w:sz w:val="22"/>
              </w:rPr>
            </w:pPr>
            <w:r>
              <w:rPr>
                <w:rFonts w:ascii="Calibri"/>
                <w:w w:val="100"/>
                <w:sz w:val="22"/>
              </w:rPr>
              <w:t>1</w:t>
            </w:r>
          </w:p>
          <w:p>
            <w:pPr>
              <w:pStyle w:val="TableParagraph"/>
              <w:rPr>
                <w:b/>
                <w:sz w:val="22"/>
              </w:rPr>
            </w:pPr>
            <w:r>
              <w:rPr>
                <w:rFonts w:ascii="Calibri" w:hAnsi="Calibri"/>
                <w:sz w:val="22"/>
              </w:rPr>
              <w:t>3ème</w:t>
            </w:r>
            <w:r>
              <w:rPr>
                <w:rFonts w:ascii="Calibri" w:hAnsi="Calibri"/>
                <w:spacing w:val="-3"/>
                <w:sz w:val="22"/>
              </w:rPr>
              <w:t> </w:t>
            </w:r>
            <w:r>
              <w:rPr>
                <w:b/>
                <w:sz w:val="22"/>
              </w:rPr>
              <w:t>trimestre</w:t>
            </w:r>
            <w:r>
              <w:rPr>
                <w:b/>
                <w:spacing w:val="-3"/>
                <w:sz w:val="22"/>
              </w:rPr>
              <w:t> </w:t>
            </w:r>
            <w:r>
              <w:rPr>
                <w:b/>
                <w:spacing w:val="-4"/>
                <w:sz w:val="22"/>
              </w:rPr>
              <w:t>20</w:t>
            </w:r>
            <w:r>
              <w:rPr>
                <w:rFonts w:ascii="Calibri" w:hAnsi="Calibri"/>
                <w:spacing w:val="-4"/>
                <w:sz w:val="22"/>
              </w:rPr>
              <w:t>23</w:t>
            </w:r>
            <w:r>
              <w:rPr>
                <w:b/>
                <w:spacing w:val="-4"/>
                <w:sz w:val="22"/>
                <w:vertAlign w:val="superscript"/>
              </w:rPr>
              <w:t>1</w:t>
            </w:r>
          </w:p>
          <w:p>
            <w:pPr>
              <w:pStyle w:val="TableParagraph"/>
              <w:rPr>
                <w:b/>
                <w:sz w:val="22"/>
              </w:rPr>
            </w:pPr>
            <w:r>
              <w:rPr>
                <w:rFonts w:ascii="Calibri"/>
                <w:sz w:val="22"/>
              </w:rPr>
              <w:t>2</w:t>
            </w:r>
            <w:r>
              <w:rPr>
                <w:rFonts w:ascii="Calibri"/>
                <w:spacing w:val="6"/>
                <w:sz w:val="22"/>
              </w:rPr>
              <w:t> </w:t>
            </w:r>
            <w:r>
              <w:rPr>
                <w:b/>
                <w:spacing w:val="-4"/>
                <w:sz w:val="22"/>
              </w:rPr>
              <w:t>ans</w:t>
            </w:r>
            <w:r>
              <w:rPr>
                <w:b/>
                <w:spacing w:val="-4"/>
                <w:sz w:val="22"/>
                <w:vertAlign w:val="superscript"/>
              </w:rPr>
              <w:t>1</w:t>
            </w:r>
          </w:p>
          <w:p>
            <w:pPr>
              <w:pStyle w:val="TableParagraph"/>
              <w:numPr>
                <w:ilvl w:val="0"/>
                <w:numId w:val="1"/>
              </w:numPr>
              <w:tabs>
                <w:tab w:pos="358" w:val="left" w:leader="none"/>
              </w:tabs>
              <w:spacing w:line="240" w:lineRule="auto" w:before="0" w:after="0"/>
              <w:ind w:left="357" w:right="0" w:hanging="253"/>
              <w:jc w:val="left"/>
              <w:rPr>
                <w:b/>
                <w:sz w:val="22"/>
              </w:rPr>
            </w:pPr>
            <w:r>
              <w:rPr>
                <w:b/>
                <w:sz w:val="22"/>
              </w:rPr>
              <w:t>Bruxelles</w:t>
            </w:r>
            <w:r>
              <w:rPr>
                <w:b/>
                <w:spacing w:val="48"/>
                <w:sz w:val="22"/>
              </w:rPr>
              <w:t> </w:t>
            </w:r>
            <w:r>
              <w:rPr>
                <w:rFonts w:ascii="Calibri" w:hAnsi="Calibri"/>
                <w:sz w:val="22"/>
              </w:rPr>
              <w:t>X</w:t>
            </w:r>
            <w:r>
              <w:rPr>
                <w:rFonts w:ascii="Calibri" w:hAnsi="Calibri"/>
                <w:spacing w:val="2"/>
                <w:sz w:val="22"/>
              </w:rPr>
              <w:t> </w:t>
            </w:r>
            <w:r>
              <w:rPr>
                <w:b/>
                <w:sz w:val="22"/>
              </w:rPr>
              <w:t>Luxembourg</w:t>
            </w:r>
            <w:r>
              <w:rPr>
                <w:b/>
                <w:spacing w:val="49"/>
                <w:sz w:val="22"/>
              </w:rPr>
              <w:t> </w:t>
            </w:r>
            <w:r>
              <w:rPr>
                <w:rFonts w:ascii="Wingdings 2" w:hAnsi="Wingdings 2"/>
                <w:sz w:val="22"/>
              </w:rPr>
              <w:t></w:t>
            </w:r>
            <w:r>
              <w:rPr>
                <w:spacing w:val="-3"/>
                <w:sz w:val="22"/>
              </w:rPr>
              <w:t> </w:t>
            </w:r>
            <w:r>
              <w:rPr>
                <w:sz w:val="22"/>
              </w:rPr>
              <w:t>A</w:t>
            </w:r>
            <w:r>
              <w:rPr>
                <w:b/>
                <w:sz w:val="22"/>
              </w:rPr>
              <w:t>utre:</w:t>
            </w:r>
            <w:r>
              <w:rPr>
                <w:b/>
                <w:spacing w:val="-5"/>
                <w:sz w:val="22"/>
              </w:rPr>
              <w:t> </w:t>
            </w:r>
            <w:r>
              <w:rPr>
                <w:b/>
                <w:spacing w:val="-2"/>
                <w:sz w:val="22"/>
              </w:rPr>
              <w:t>……………..</w:t>
            </w:r>
          </w:p>
        </w:tc>
      </w:tr>
      <w:tr>
        <w:trPr>
          <w:trHeight w:val="544" w:hRule="atLeast"/>
        </w:trPr>
        <w:tc>
          <w:tcPr>
            <w:tcW w:w="4358" w:type="dxa"/>
            <w:vMerge/>
            <w:tcBorders>
              <w:top w:val="nil"/>
            </w:tcBorders>
          </w:tcPr>
          <w:p>
            <w:pPr>
              <w:rPr>
                <w:sz w:val="2"/>
                <w:szCs w:val="2"/>
              </w:rPr>
            </w:pPr>
          </w:p>
        </w:tc>
        <w:tc>
          <w:tcPr>
            <w:tcW w:w="5596" w:type="dxa"/>
          </w:tcPr>
          <w:p>
            <w:pPr>
              <w:pStyle w:val="TableParagraph"/>
              <w:tabs>
                <w:tab w:pos="441" w:val="left" w:leader="none"/>
                <w:tab w:pos="2867" w:val="left" w:leader="none"/>
                <w:tab w:pos="3340"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8"/>
                <w:sz w:val="22"/>
              </w:rPr>
              <w:t> </w:t>
            </w:r>
            <w:r>
              <w:rPr>
                <w:b/>
                <w:spacing w:val="-2"/>
                <w:sz w:val="22"/>
              </w:rPr>
              <w:t>frais</w:t>
            </w:r>
          </w:p>
        </w:tc>
      </w:tr>
      <w:tr>
        <w:trPr>
          <w:trHeight w:val="2114" w:hRule="atLeast"/>
        </w:trPr>
        <w:tc>
          <w:tcPr>
            <w:tcW w:w="9954"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2"/>
                <w:sz w:val="22"/>
              </w:rPr>
              <w:t> ouvert</w:t>
            </w:r>
          </w:p>
          <w:p>
            <w:pPr>
              <w:pStyle w:val="TableParagraph"/>
              <w:spacing w:before="9"/>
              <w:ind w:left="0"/>
              <w:rPr>
                <w:b/>
                <w:sz w:val="21"/>
              </w:rPr>
            </w:pPr>
          </w:p>
          <w:p>
            <w:pPr>
              <w:pStyle w:val="TableParagraph"/>
              <w:numPr>
                <w:ilvl w:val="0"/>
                <w:numId w:val="2"/>
              </w:numPr>
              <w:tabs>
                <w:tab w:pos="522" w:val="left" w:leader="none"/>
                <w:tab w:pos="523" w:val="left" w:leader="none"/>
              </w:tabs>
              <w:spacing w:line="240" w:lineRule="auto" w:before="0" w:after="0"/>
              <w:ind w:left="522" w:right="0" w:hanging="418"/>
              <w:jc w:val="left"/>
              <w:rPr>
                <w:b/>
                <w:sz w:val="22"/>
              </w:rPr>
            </w:pPr>
            <w:r>
              <w:rPr>
                <w:b/>
                <w:sz w:val="22"/>
              </w:rPr>
              <w:t>aux</w:t>
            </w:r>
            <w:r>
              <w:rPr>
                <w:b/>
                <w:spacing w:val="-6"/>
                <w:sz w:val="22"/>
              </w:rPr>
              <w:t> </w:t>
            </w:r>
            <w:r>
              <w:rPr>
                <w:b/>
                <w:sz w:val="22"/>
              </w:rPr>
              <w:t>pays</w:t>
            </w:r>
            <w:r>
              <w:rPr>
                <w:b/>
                <w:spacing w:val="-3"/>
                <w:sz w:val="22"/>
              </w:rPr>
              <w:t> </w:t>
            </w:r>
            <w:r>
              <w:rPr>
                <w:b/>
                <w:sz w:val="22"/>
              </w:rPr>
              <w:t>AELE</w:t>
            </w:r>
            <w:r>
              <w:rPr>
                <w:b/>
                <w:spacing w:val="-4"/>
                <w:sz w:val="22"/>
              </w:rPr>
              <w:t> </w:t>
            </w:r>
            <w:r>
              <w:rPr>
                <w:b/>
                <w:sz w:val="22"/>
              </w:rPr>
              <w:t>suivants</w:t>
            </w:r>
            <w:r>
              <w:rPr>
                <w:b/>
                <w:spacing w:val="-3"/>
                <w:sz w:val="22"/>
              </w:rPr>
              <w:t>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4"/>
                <w:sz w:val="22"/>
              </w:rPr>
              <w:t> </w:t>
            </w:r>
            <w:r>
              <w:rPr>
                <w:b/>
                <w:sz w:val="22"/>
              </w:rPr>
              <w:t>Norvège</w:t>
            </w:r>
            <w:r>
              <w:rPr>
                <w:b/>
                <w:spacing w:val="-3"/>
                <w:sz w:val="22"/>
              </w:rPr>
              <w:t> </w:t>
            </w:r>
            <w:r>
              <w:rPr>
                <w:rFonts w:ascii="Wingdings 2" w:hAnsi="Wingdings 2"/>
                <w:sz w:val="22"/>
              </w:rPr>
              <w:t></w:t>
            </w:r>
            <w:r>
              <w:rPr>
                <w:spacing w:val="-3"/>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9"/>
                <w:sz w:val="22"/>
              </w:rPr>
              <w:t> </w:t>
            </w:r>
            <w:r>
              <w:rPr>
                <w:b/>
                <w:sz w:val="22"/>
              </w:rPr>
              <w:t>AELE-EEE</w:t>
            </w:r>
            <w:r>
              <w:rPr>
                <w:b/>
                <w:spacing w:val="-6"/>
                <w:sz w:val="22"/>
              </w:rPr>
              <w:t> </w:t>
            </w:r>
            <w:r>
              <w:rPr>
                <w:b/>
                <w:sz w:val="22"/>
              </w:rPr>
              <w:t>in-Kind</w:t>
            </w:r>
            <w:r>
              <w:rPr>
                <w:b/>
                <w:spacing w:val="-8"/>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2"/>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10"/>
                <w:sz w:val="22"/>
              </w:rPr>
              <w:t> </w:t>
            </w:r>
            <w:r>
              <w:rPr>
                <w:b/>
                <w:sz w:val="22"/>
              </w:rPr>
              <w:t>organisations</w:t>
            </w:r>
            <w:r>
              <w:rPr>
                <w:b/>
                <w:spacing w:val="-9"/>
                <w:sz w:val="22"/>
              </w:rPr>
              <w:t> </w:t>
            </w:r>
            <w:r>
              <w:rPr>
                <w:b/>
                <w:sz w:val="22"/>
              </w:rPr>
              <w:t>intergouvernementales</w:t>
            </w:r>
            <w:r>
              <w:rPr>
                <w:b/>
                <w:spacing w:val="-6"/>
                <w:sz w:val="22"/>
              </w:rPr>
              <w:t> </w:t>
            </w:r>
            <w:r>
              <w:rPr>
                <w:b/>
                <w:spacing w:val="-2"/>
                <w:sz w:val="22"/>
              </w:rPr>
              <w:t>suivantes:</w:t>
            </w:r>
          </w:p>
        </w:tc>
      </w:tr>
    </w:tbl>
    <w:p>
      <w:pPr>
        <w:pStyle w:val="BodyText"/>
        <w:spacing w:before="11"/>
        <w:rPr>
          <w:b/>
          <w:sz w:val="23"/>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3"/>
          <w:sz w:val="24"/>
          <w:u w:val="single"/>
        </w:rPr>
        <w:t> </w:t>
      </w:r>
      <w:r>
        <w:rPr>
          <w:b/>
          <w:sz w:val="24"/>
          <w:u w:val="single"/>
        </w:rPr>
        <w:t>des</w:t>
      </w:r>
      <w:r>
        <w:rPr>
          <w:b/>
          <w:spacing w:val="-2"/>
          <w:sz w:val="24"/>
          <w:u w:val="single"/>
        </w:rPr>
        <w:t> fonctions</w:t>
      </w:r>
    </w:p>
    <w:p>
      <w:pPr>
        <w:pStyle w:val="BodyText"/>
        <w:spacing w:before="2"/>
        <w:rPr>
          <w:b/>
          <w:sz w:val="19"/>
        </w:rPr>
      </w:pPr>
    </w:p>
    <w:p>
      <w:pPr>
        <w:pStyle w:val="BodyText"/>
        <w:spacing w:line="276" w:lineRule="auto" w:before="56"/>
        <w:ind w:left="132"/>
        <w:rPr>
          <w:rFonts w:ascii="Calibri" w:hAnsi="Calibri"/>
        </w:rPr>
      </w:pPr>
      <w:r>
        <w:rPr>
          <w:rFonts w:ascii="Calibri" w:hAnsi="Calibri"/>
        </w:rPr>
        <w:t>Ce poste offre aux experts nationaux dotés d'une expérience en gestion d'opérations financières et de dette la possibilité</w:t>
      </w:r>
      <w:r>
        <w:rPr>
          <w:rFonts w:ascii="Calibri" w:hAnsi="Calibri"/>
          <w:spacing w:val="-1"/>
        </w:rPr>
        <w:t> </w:t>
      </w:r>
      <w:r>
        <w:rPr>
          <w:rFonts w:ascii="Calibri" w:hAnsi="Calibri"/>
        </w:rPr>
        <w:t>de</w:t>
      </w:r>
      <w:r>
        <w:rPr>
          <w:rFonts w:ascii="Calibri" w:hAnsi="Calibri"/>
          <w:spacing w:val="-1"/>
        </w:rPr>
        <w:t> </w:t>
      </w:r>
      <w:r>
        <w:rPr>
          <w:rFonts w:ascii="Calibri" w:hAnsi="Calibri"/>
        </w:rPr>
        <w:t>rejoindre</w:t>
      </w:r>
      <w:r>
        <w:rPr>
          <w:rFonts w:ascii="Calibri" w:hAnsi="Calibri"/>
          <w:spacing w:val="-1"/>
        </w:rPr>
        <w:t> </w:t>
      </w:r>
      <w:r>
        <w:rPr>
          <w:rFonts w:ascii="Calibri" w:hAnsi="Calibri"/>
        </w:rPr>
        <w:t>une</w:t>
      </w:r>
      <w:r>
        <w:rPr>
          <w:rFonts w:ascii="Calibri" w:hAnsi="Calibri"/>
          <w:spacing w:val="-4"/>
        </w:rPr>
        <w:t> </w:t>
      </w:r>
      <w:r>
        <w:rPr>
          <w:rFonts w:ascii="Calibri" w:hAnsi="Calibri"/>
        </w:rPr>
        <w:t>équipe</w:t>
      </w:r>
      <w:r>
        <w:rPr>
          <w:rFonts w:ascii="Calibri" w:hAnsi="Calibri"/>
          <w:spacing w:val="-1"/>
        </w:rPr>
        <w:t> </w:t>
      </w:r>
      <w:r>
        <w:rPr>
          <w:rFonts w:ascii="Calibri" w:hAnsi="Calibri"/>
        </w:rPr>
        <w:t>située</w:t>
      </w:r>
      <w:r>
        <w:rPr>
          <w:rFonts w:ascii="Calibri" w:hAnsi="Calibri"/>
          <w:spacing w:val="-1"/>
        </w:rPr>
        <w:t> </w:t>
      </w:r>
      <w:r>
        <w:rPr>
          <w:rFonts w:ascii="Calibri" w:hAnsi="Calibri"/>
        </w:rPr>
        <w:t>au</w:t>
      </w:r>
      <w:r>
        <w:rPr>
          <w:rFonts w:ascii="Calibri" w:hAnsi="Calibri"/>
          <w:spacing w:val="-5"/>
        </w:rPr>
        <w:t> </w:t>
      </w:r>
      <w:r>
        <w:rPr>
          <w:rFonts w:ascii="Calibri" w:hAnsi="Calibri"/>
        </w:rPr>
        <w:t>cœur</w:t>
      </w:r>
      <w:r>
        <w:rPr>
          <w:rFonts w:ascii="Calibri" w:hAnsi="Calibri"/>
          <w:spacing w:val="-2"/>
        </w:rPr>
        <w:t> </w:t>
      </w:r>
      <w:r>
        <w:rPr>
          <w:rFonts w:ascii="Calibri" w:hAnsi="Calibri"/>
        </w:rPr>
        <w:t>du</w:t>
      </w:r>
      <w:r>
        <w:rPr>
          <w:rFonts w:ascii="Calibri" w:hAnsi="Calibri"/>
          <w:spacing w:val="-3"/>
        </w:rPr>
        <w:t> </w:t>
      </w:r>
      <w:r>
        <w:rPr>
          <w:rFonts w:ascii="Calibri" w:hAnsi="Calibri"/>
        </w:rPr>
        <w:t>financement</w:t>
      </w:r>
      <w:r>
        <w:rPr>
          <w:rFonts w:ascii="Calibri" w:hAnsi="Calibri"/>
          <w:spacing w:val="-1"/>
        </w:rPr>
        <w:t> </w:t>
      </w:r>
      <w:r>
        <w:rPr>
          <w:rFonts w:ascii="Calibri" w:hAnsi="Calibri"/>
        </w:rPr>
        <w:t>du</w:t>
      </w:r>
      <w:r>
        <w:rPr>
          <w:rFonts w:ascii="Calibri" w:hAnsi="Calibri"/>
          <w:spacing w:val="-3"/>
        </w:rPr>
        <w:t> </w:t>
      </w:r>
      <w:r>
        <w:rPr>
          <w:rFonts w:ascii="Calibri" w:hAnsi="Calibri"/>
        </w:rPr>
        <w:t>plan</w:t>
      </w:r>
      <w:r>
        <w:rPr>
          <w:rFonts w:ascii="Calibri" w:hAnsi="Calibri"/>
          <w:spacing w:val="-3"/>
        </w:rPr>
        <w:t> </w:t>
      </w:r>
      <w:r>
        <w:rPr>
          <w:rFonts w:ascii="Calibri" w:hAnsi="Calibri"/>
        </w:rPr>
        <w:t>de</w:t>
      </w:r>
      <w:r>
        <w:rPr>
          <w:rFonts w:ascii="Calibri" w:hAnsi="Calibri"/>
          <w:spacing w:val="-1"/>
        </w:rPr>
        <w:t> </w:t>
      </w:r>
      <w:r>
        <w:rPr>
          <w:rFonts w:ascii="Calibri" w:hAnsi="Calibri"/>
        </w:rPr>
        <w:t>relance</w:t>
      </w:r>
      <w:r>
        <w:rPr>
          <w:rFonts w:ascii="Calibri" w:hAnsi="Calibri"/>
          <w:spacing w:val="-1"/>
        </w:rPr>
        <w:t> </w:t>
      </w:r>
      <w:r>
        <w:rPr>
          <w:rFonts w:ascii="Calibri" w:hAnsi="Calibri"/>
        </w:rPr>
        <w:t>européen</w:t>
      </w:r>
      <w:r>
        <w:rPr>
          <w:rFonts w:ascii="Calibri" w:hAnsi="Calibri"/>
          <w:spacing w:val="-3"/>
        </w:rPr>
        <w:t> </w:t>
      </w:r>
      <w:r>
        <w:rPr>
          <w:rFonts w:ascii="Calibri" w:hAnsi="Calibri"/>
        </w:rPr>
        <w:t>post</w:t>
      </w:r>
      <w:r>
        <w:rPr>
          <w:rFonts w:ascii="Calibri" w:hAnsi="Calibri"/>
          <w:spacing w:val="-4"/>
        </w:rPr>
        <w:t> </w:t>
      </w:r>
      <w:r>
        <w:rPr>
          <w:rFonts w:ascii="Calibri" w:hAnsi="Calibri"/>
        </w:rPr>
        <w:t>COVID-19</w:t>
      </w:r>
      <w:r>
        <w:rPr>
          <w:rFonts w:ascii="Calibri" w:hAnsi="Calibri"/>
          <w:spacing w:val="-3"/>
        </w:rPr>
        <w:t> </w:t>
      </w:r>
      <w:r>
        <w:rPr>
          <w:rFonts w:ascii="Calibri" w:hAnsi="Calibri"/>
        </w:rPr>
        <w:t>et de bien d’autres priorités politiques qui nécessitent un recours aux marchés de capitaux.</w:t>
      </w:r>
    </w:p>
    <w:p>
      <w:pPr>
        <w:pStyle w:val="BodyText"/>
        <w:spacing w:before="3"/>
        <w:rPr>
          <w:rFonts w:ascii="Calibri"/>
          <w:sz w:val="16"/>
        </w:rPr>
      </w:pPr>
    </w:p>
    <w:p>
      <w:pPr>
        <w:pStyle w:val="BodyText"/>
        <w:spacing w:line="276" w:lineRule="auto"/>
        <w:ind w:left="132" w:right="178"/>
        <w:rPr>
          <w:rFonts w:ascii="Calibri" w:hAnsi="Calibri"/>
        </w:rPr>
      </w:pPr>
      <w:r>
        <w:rPr>
          <w:rFonts w:ascii="Calibri" w:hAnsi="Calibri"/>
        </w:rPr>
        <w:t>Pour</w:t>
      </w:r>
      <w:r>
        <w:rPr>
          <w:rFonts w:ascii="Calibri" w:hAnsi="Calibri"/>
          <w:spacing w:val="-2"/>
        </w:rPr>
        <w:t> </w:t>
      </w:r>
      <w:r>
        <w:rPr>
          <w:rFonts w:ascii="Calibri" w:hAnsi="Calibri"/>
        </w:rPr>
        <w:t>financer</w:t>
      </w:r>
      <w:r>
        <w:rPr>
          <w:rFonts w:ascii="Calibri" w:hAnsi="Calibri"/>
          <w:spacing w:val="-2"/>
        </w:rPr>
        <w:t> </w:t>
      </w:r>
      <w:r>
        <w:rPr>
          <w:rFonts w:ascii="Calibri" w:hAnsi="Calibri"/>
        </w:rPr>
        <w:t>la</w:t>
      </w:r>
      <w:r>
        <w:rPr>
          <w:rFonts w:ascii="Calibri" w:hAnsi="Calibri"/>
          <w:spacing w:val="-2"/>
        </w:rPr>
        <w:t> </w:t>
      </w:r>
      <w:r>
        <w:rPr>
          <w:rFonts w:ascii="Calibri" w:hAnsi="Calibri"/>
        </w:rPr>
        <w:t>réponse</w:t>
      </w:r>
      <w:r>
        <w:rPr>
          <w:rFonts w:ascii="Calibri" w:hAnsi="Calibri"/>
          <w:spacing w:val="-1"/>
        </w:rPr>
        <w:t> </w:t>
      </w:r>
      <w:r>
        <w:rPr>
          <w:rFonts w:ascii="Calibri" w:hAnsi="Calibri"/>
        </w:rPr>
        <w:t>politique</w:t>
      </w:r>
      <w:r>
        <w:rPr>
          <w:rFonts w:ascii="Calibri" w:hAnsi="Calibri"/>
          <w:spacing w:val="-4"/>
        </w:rPr>
        <w:t> </w:t>
      </w:r>
      <w:r>
        <w:rPr>
          <w:rFonts w:ascii="Calibri" w:hAnsi="Calibri"/>
        </w:rPr>
        <w:t>européenne</w:t>
      </w:r>
      <w:r>
        <w:rPr>
          <w:rFonts w:ascii="Calibri" w:hAnsi="Calibri"/>
          <w:spacing w:val="-1"/>
        </w:rPr>
        <w:t> </w:t>
      </w:r>
      <w:r>
        <w:rPr>
          <w:rFonts w:ascii="Calibri" w:hAnsi="Calibri"/>
        </w:rPr>
        <w:t>à</w:t>
      </w:r>
      <w:r>
        <w:rPr>
          <w:rFonts w:ascii="Calibri" w:hAnsi="Calibri"/>
          <w:spacing w:val="-2"/>
        </w:rPr>
        <w:t> </w:t>
      </w:r>
      <w:r>
        <w:rPr>
          <w:rFonts w:ascii="Calibri" w:hAnsi="Calibri"/>
        </w:rPr>
        <w:t>la</w:t>
      </w:r>
      <w:r>
        <w:rPr>
          <w:rFonts w:ascii="Calibri" w:hAnsi="Calibri"/>
          <w:spacing w:val="-5"/>
        </w:rPr>
        <w:t> </w:t>
      </w:r>
      <w:r>
        <w:rPr>
          <w:rFonts w:ascii="Calibri" w:hAnsi="Calibri"/>
        </w:rPr>
        <w:t>crise</w:t>
      </w:r>
      <w:r>
        <w:rPr>
          <w:rFonts w:ascii="Calibri" w:hAnsi="Calibri"/>
          <w:spacing w:val="-1"/>
        </w:rPr>
        <w:t> </w:t>
      </w:r>
      <w:r>
        <w:rPr>
          <w:rFonts w:ascii="Calibri" w:hAnsi="Calibri"/>
        </w:rPr>
        <w:t>de</w:t>
      </w:r>
      <w:r>
        <w:rPr>
          <w:rFonts w:ascii="Calibri" w:hAnsi="Calibri"/>
          <w:spacing w:val="-1"/>
        </w:rPr>
        <w:t> </w:t>
      </w:r>
      <w:r>
        <w:rPr>
          <w:rFonts w:ascii="Calibri" w:hAnsi="Calibri"/>
        </w:rPr>
        <w:t>la</w:t>
      </w:r>
      <w:r>
        <w:rPr>
          <w:rFonts w:ascii="Calibri" w:hAnsi="Calibri"/>
          <w:spacing w:val="-5"/>
        </w:rPr>
        <w:t> </w:t>
      </w:r>
      <w:r>
        <w:rPr>
          <w:rFonts w:ascii="Calibri" w:hAnsi="Calibri"/>
        </w:rPr>
        <w:t>COVID-19</w:t>
      </w:r>
      <w:r>
        <w:rPr>
          <w:rFonts w:ascii="Calibri" w:hAnsi="Calibri"/>
          <w:spacing w:val="-1"/>
        </w:rPr>
        <w:t> </w:t>
      </w:r>
      <w:r>
        <w:rPr>
          <w:rFonts w:ascii="Calibri" w:hAnsi="Calibri"/>
        </w:rPr>
        <w:t>et</w:t>
      </w:r>
      <w:r>
        <w:rPr>
          <w:rFonts w:ascii="Calibri" w:hAnsi="Calibri"/>
          <w:spacing w:val="-4"/>
        </w:rPr>
        <w:t> </w:t>
      </w:r>
      <w:r>
        <w:rPr>
          <w:rFonts w:ascii="Calibri" w:hAnsi="Calibri"/>
        </w:rPr>
        <w:t>pour</w:t>
      </w:r>
      <w:r>
        <w:rPr>
          <w:rFonts w:ascii="Calibri" w:hAnsi="Calibri"/>
          <w:spacing w:val="-4"/>
        </w:rPr>
        <w:t> </w:t>
      </w:r>
      <w:r>
        <w:rPr>
          <w:rFonts w:ascii="Calibri" w:hAnsi="Calibri"/>
        </w:rPr>
        <w:t>soutenir</w:t>
      </w:r>
      <w:r>
        <w:rPr>
          <w:rFonts w:ascii="Calibri" w:hAnsi="Calibri"/>
          <w:spacing w:val="-2"/>
        </w:rPr>
        <w:t> </w:t>
      </w:r>
      <w:r>
        <w:rPr>
          <w:rFonts w:ascii="Calibri" w:hAnsi="Calibri"/>
        </w:rPr>
        <w:t>la</w:t>
      </w:r>
      <w:r>
        <w:rPr>
          <w:rFonts w:ascii="Calibri" w:hAnsi="Calibri"/>
          <w:spacing w:val="-4"/>
        </w:rPr>
        <w:t> </w:t>
      </w:r>
      <w:r>
        <w:rPr>
          <w:rFonts w:ascii="Calibri" w:hAnsi="Calibri"/>
        </w:rPr>
        <w:t>reprise</w:t>
      </w:r>
      <w:r>
        <w:rPr>
          <w:rFonts w:ascii="Calibri" w:hAnsi="Calibri"/>
          <w:spacing w:val="-4"/>
        </w:rPr>
        <w:t> </w:t>
      </w:r>
      <w:r>
        <w:rPr>
          <w:rFonts w:ascii="Calibri" w:hAnsi="Calibri"/>
        </w:rPr>
        <w:t>économique dans l'Union, la Commission a été mandatée pour mettre en</w:t>
      </w:r>
      <w:r>
        <w:rPr>
          <w:rFonts w:ascii="Calibri" w:hAnsi="Calibri"/>
          <w:spacing w:val="-1"/>
        </w:rPr>
        <w:t> </w:t>
      </w:r>
      <w:r>
        <w:rPr>
          <w:rFonts w:ascii="Calibri" w:hAnsi="Calibri"/>
        </w:rPr>
        <w:t>œuvre la gestion de la dette liée à l'instrument</w:t>
      </w:r>
      <w:r>
        <w:rPr>
          <w:rFonts w:ascii="Calibri" w:hAnsi="Calibri"/>
          <w:spacing w:val="-2"/>
        </w:rPr>
        <w:t> </w:t>
      </w:r>
      <w:r>
        <w:rPr>
          <w:rFonts w:ascii="Calibri" w:hAnsi="Calibri"/>
        </w:rPr>
        <w:t>de relance NextGenerationEU (NGEU). Cette initiative politique prévoit l'émission d'obligations pour un montant pouvant atteindre 800 milliards d'euros d’ici fin 2026, avec un volume d'émissions annuel compris entre 100 à 150 milliards d'euros au cours des prochaines années.</w:t>
      </w:r>
      <w:r>
        <w:rPr>
          <w:rFonts w:ascii="Calibri" w:hAnsi="Calibri"/>
          <w:spacing w:val="-1"/>
        </w:rPr>
        <w:t> </w:t>
      </w:r>
      <w:r>
        <w:rPr>
          <w:rFonts w:ascii="Calibri" w:hAnsi="Calibri"/>
        </w:rPr>
        <w:t>Le produit de ces émissions sera utilisé pour financer les plans de relance nationaux</w:t>
      </w:r>
      <w:r>
        <w:rPr>
          <w:rFonts w:ascii="Calibri" w:hAnsi="Calibri"/>
          <w:spacing w:val="-2"/>
        </w:rPr>
        <w:t> </w:t>
      </w:r>
      <w:r>
        <w:rPr>
          <w:rFonts w:ascii="Calibri" w:hAnsi="Calibri"/>
        </w:rPr>
        <w:t>(dont une partie sous la</w:t>
      </w:r>
      <w:r>
        <w:rPr>
          <w:rFonts w:ascii="Calibri" w:hAnsi="Calibri"/>
          <w:spacing w:val="-2"/>
        </w:rPr>
        <w:t> </w:t>
      </w:r>
      <w:r>
        <w:rPr>
          <w:rFonts w:ascii="Calibri" w:hAnsi="Calibri"/>
        </w:rPr>
        <w:t>forme de prêts) et des</w:t>
      </w:r>
      <w:r>
        <w:rPr>
          <w:rFonts w:ascii="Calibri" w:hAnsi="Calibri"/>
          <w:spacing w:val="-2"/>
        </w:rPr>
        <w:t> </w:t>
      </w:r>
      <w:r>
        <w:rPr>
          <w:rFonts w:ascii="Calibri" w:hAnsi="Calibri"/>
        </w:rPr>
        <w:t>programmes budgétaires</w:t>
      </w:r>
      <w:r>
        <w:rPr>
          <w:rFonts w:ascii="Calibri" w:hAnsi="Calibri"/>
          <w:spacing w:val="-2"/>
        </w:rPr>
        <w:t> </w:t>
      </w:r>
      <w:r>
        <w:rPr>
          <w:rFonts w:ascii="Calibri" w:hAnsi="Calibri"/>
        </w:rPr>
        <w:t>européens </w:t>
      </w:r>
      <w:r>
        <w:rPr>
          <w:rFonts w:ascii="Calibri" w:hAnsi="Calibri"/>
          <w:spacing w:val="-2"/>
        </w:rPr>
        <w:t>existants.</w:t>
      </w:r>
    </w:p>
    <w:p>
      <w:pPr>
        <w:pStyle w:val="BodyText"/>
        <w:spacing w:before="4"/>
        <w:rPr>
          <w:rFonts w:ascii="Calibri"/>
          <w:sz w:val="16"/>
        </w:rPr>
      </w:pPr>
    </w:p>
    <w:p>
      <w:pPr>
        <w:pStyle w:val="BodyText"/>
        <w:spacing w:line="276" w:lineRule="auto" w:before="1"/>
        <w:ind w:left="132"/>
        <w:rPr>
          <w:rFonts w:ascii="Calibri" w:hAnsi="Calibri"/>
        </w:rPr>
      </w:pPr>
      <w:r>
        <w:rPr>
          <w:rFonts w:ascii="Calibri" w:hAnsi="Calibri"/>
        </w:rPr>
        <w:t>La</w:t>
      </w:r>
      <w:r>
        <w:rPr>
          <w:rFonts w:ascii="Calibri" w:hAnsi="Calibri"/>
          <w:spacing w:val="-2"/>
        </w:rPr>
        <w:t> </w:t>
      </w:r>
      <w:r>
        <w:rPr>
          <w:rFonts w:ascii="Calibri" w:hAnsi="Calibri"/>
        </w:rPr>
        <w:t>Commission</w:t>
      </w:r>
      <w:r>
        <w:rPr>
          <w:rFonts w:ascii="Calibri" w:hAnsi="Calibri"/>
          <w:spacing w:val="-5"/>
        </w:rPr>
        <w:t> </w:t>
      </w:r>
      <w:r>
        <w:rPr>
          <w:rFonts w:ascii="Calibri" w:hAnsi="Calibri"/>
        </w:rPr>
        <w:t>est</w:t>
      </w:r>
      <w:r>
        <w:rPr>
          <w:rFonts w:ascii="Calibri" w:hAnsi="Calibri"/>
          <w:spacing w:val="-1"/>
        </w:rPr>
        <w:t> </w:t>
      </w:r>
      <w:r>
        <w:rPr>
          <w:rFonts w:ascii="Calibri" w:hAnsi="Calibri"/>
        </w:rPr>
        <w:t>aussi</w:t>
      </w:r>
      <w:r>
        <w:rPr>
          <w:rFonts w:ascii="Calibri" w:hAnsi="Calibri"/>
          <w:spacing w:val="-5"/>
        </w:rPr>
        <w:t> </w:t>
      </w:r>
      <w:r>
        <w:rPr>
          <w:rFonts w:ascii="Calibri" w:hAnsi="Calibri"/>
        </w:rPr>
        <w:t>chargée</w:t>
      </w:r>
      <w:r>
        <w:rPr>
          <w:rFonts w:ascii="Calibri" w:hAnsi="Calibri"/>
          <w:spacing w:val="-1"/>
        </w:rPr>
        <w:t> </w:t>
      </w:r>
      <w:r>
        <w:rPr>
          <w:rFonts w:ascii="Calibri" w:hAnsi="Calibri"/>
        </w:rPr>
        <w:t>d’opérationnaliser</w:t>
      </w:r>
      <w:r>
        <w:rPr>
          <w:rFonts w:ascii="Calibri" w:hAnsi="Calibri"/>
          <w:spacing w:val="-2"/>
        </w:rPr>
        <w:t> </w:t>
      </w:r>
      <w:r>
        <w:rPr>
          <w:rFonts w:ascii="Calibri" w:hAnsi="Calibri"/>
        </w:rPr>
        <w:t>le</w:t>
      </w:r>
      <w:r>
        <w:rPr>
          <w:rFonts w:ascii="Calibri" w:hAnsi="Calibri"/>
          <w:spacing w:val="-4"/>
        </w:rPr>
        <w:t> </w:t>
      </w:r>
      <w:r>
        <w:rPr>
          <w:rFonts w:ascii="Calibri" w:hAnsi="Calibri"/>
        </w:rPr>
        <w:t>soutien</w:t>
      </w:r>
      <w:r>
        <w:rPr>
          <w:rFonts w:ascii="Calibri" w:hAnsi="Calibri"/>
          <w:spacing w:val="-3"/>
        </w:rPr>
        <w:t> </w:t>
      </w:r>
      <w:r>
        <w:rPr>
          <w:rFonts w:ascii="Calibri" w:hAnsi="Calibri"/>
        </w:rPr>
        <w:t>financier</w:t>
      </w:r>
      <w:r>
        <w:rPr>
          <w:rFonts w:ascii="Calibri" w:hAnsi="Calibri"/>
          <w:spacing w:val="-2"/>
        </w:rPr>
        <w:t> </w:t>
      </w:r>
      <w:r>
        <w:rPr>
          <w:rFonts w:ascii="Calibri" w:hAnsi="Calibri"/>
        </w:rPr>
        <w:t>à</w:t>
      </w:r>
      <w:r>
        <w:rPr>
          <w:rFonts w:ascii="Calibri" w:hAnsi="Calibri"/>
          <w:spacing w:val="-4"/>
        </w:rPr>
        <w:t> </w:t>
      </w:r>
      <w:r>
        <w:rPr>
          <w:rFonts w:ascii="Calibri" w:hAnsi="Calibri"/>
        </w:rPr>
        <w:t>l’Ukraine</w:t>
      </w:r>
      <w:r>
        <w:rPr>
          <w:rFonts w:ascii="Calibri" w:hAnsi="Calibri"/>
          <w:spacing w:val="-1"/>
        </w:rPr>
        <w:t> </w:t>
      </w:r>
      <w:r>
        <w:rPr>
          <w:rFonts w:ascii="Calibri" w:hAnsi="Calibri"/>
        </w:rPr>
        <w:t>et</w:t>
      </w:r>
      <w:r>
        <w:rPr>
          <w:rFonts w:ascii="Calibri" w:hAnsi="Calibri"/>
          <w:spacing w:val="-4"/>
        </w:rPr>
        <w:t> </w:t>
      </w:r>
      <w:r>
        <w:rPr>
          <w:rFonts w:ascii="Calibri" w:hAnsi="Calibri"/>
        </w:rPr>
        <w:t>à</w:t>
      </w:r>
      <w:r>
        <w:rPr>
          <w:rFonts w:ascii="Calibri" w:hAnsi="Calibri"/>
          <w:spacing w:val="-2"/>
        </w:rPr>
        <w:t> </w:t>
      </w:r>
      <w:r>
        <w:rPr>
          <w:rFonts w:ascii="Calibri" w:hAnsi="Calibri"/>
        </w:rPr>
        <w:t>d’autres</w:t>
      </w:r>
      <w:r>
        <w:rPr>
          <w:rFonts w:ascii="Calibri" w:hAnsi="Calibri"/>
          <w:spacing w:val="-2"/>
        </w:rPr>
        <w:t> </w:t>
      </w:r>
      <w:r>
        <w:rPr>
          <w:rFonts w:ascii="Calibri" w:hAnsi="Calibri"/>
        </w:rPr>
        <w:t>pays</w:t>
      </w:r>
      <w:r>
        <w:rPr>
          <w:rFonts w:ascii="Calibri" w:hAnsi="Calibri"/>
          <w:spacing w:val="-2"/>
        </w:rPr>
        <w:t> </w:t>
      </w:r>
      <w:r>
        <w:rPr>
          <w:rFonts w:ascii="Calibri" w:hAnsi="Calibri"/>
        </w:rPr>
        <w:t>tiers nécessitant un recours aux marchés obligataires.</w:t>
      </w:r>
    </w:p>
    <w:p>
      <w:pPr>
        <w:pStyle w:val="BodyText"/>
        <w:spacing w:before="5"/>
        <w:rPr>
          <w:rFonts w:ascii="Calibri"/>
          <w:sz w:val="16"/>
        </w:rPr>
      </w:pPr>
    </w:p>
    <w:p>
      <w:pPr>
        <w:pStyle w:val="BodyText"/>
        <w:spacing w:line="276" w:lineRule="auto"/>
        <w:ind w:left="132"/>
        <w:rPr>
          <w:rFonts w:ascii="Calibri" w:hAnsi="Calibri"/>
        </w:rPr>
      </w:pPr>
      <w:r>
        <w:rPr>
          <w:rFonts w:ascii="Calibri" w:hAnsi="Calibri"/>
        </w:rPr>
        <w:t>À compter de janvier 2023, la gestion de dette est « unifiée » pour tous les programmes et les opérations sont planifiées</w:t>
      </w:r>
      <w:r>
        <w:rPr>
          <w:rFonts w:ascii="Calibri" w:hAnsi="Calibri"/>
          <w:spacing w:val="-3"/>
        </w:rPr>
        <w:t> </w:t>
      </w:r>
      <w:r>
        <w:rPr>
          <w:rFonts w:ascii="Calibri" w:hAnsi="Calibri"/>
        </w:rPr>
        <w:t>et</w:t>
      </w:r>
      <w:r>
        <w:rPr>
          <w:rFonts w:ascii="Calibri" w:hAnsi="Calibri"/>
          <w:spacing w:val="-2"/>
        </w:rPr>
        <w:t> </w:t>
      </w:r>
      <w:r>
        <w:rPr>
          <w:rFonts w:ascii="Calibri" w:hAnsi="Calibri"/>
        </w:rPr>
        <w:t>exécutées</w:t>
      </w:r>
      <w:r>
        <w:rPr>
          <w:rFonts w:ascii="Calibri" w:hAnsi="Calibri"/>
          <w:spacing w:val="-4"/>
        </w:rPr>
        <w:t> </w:t>
      </w:r>
      <w:r>
        <w:rPr>
          <w:rFonts w:ascii="Calibri" w:hAnsi="Calibri"/>
        </w:rPr>
        <w:t>sans</w:t>
      </w:r>
      <w:r>
        <w:rPr>
          <w:rFonts w:ascii="Calibri" w:hAnsi="Calibri"/>
          <w:spacing w:val="-3"/>
        </w:rPr>
        <w:t> </w:t>
      </w:r>
      <w:r>
        <w:rPr>
          <w:rFonts w:ascii="Calibri" w:hAnsi="Calibri"/>
        </w:rPr>
        <w:t>considération</w:t>
      </w:r>
      <w:r>
        <w:rPr>
          <w:rFonts w:ascii="Calibri" w:hAnsi="Calibri"/>
          <w:spacing w:val="-4"/>
        </w:rPr>
        <w:t> </w:t>
      </w:r>
      <w:r>
        <w:rPr>
          <w:rFonts w:ascii="Calibri" w:hAnsi="Calibri"/>
        </w:rPr>
        <w:t>des</w:t>
      </w:r>
      <w:r>
        <w:rPr>
          <w:rFonts w:ascii="Calibri" w:hAnsi="Calibri"/>
          <w:spacing w:val="-3"/>
        </w:rPr>
        <w:t> </w:t>
      </w:r>
      <w:r>
        <w:rPr>
          <w:rFonts w:ascii="Calibri" w:hAnsi="Calibri"/>
        </w:rPr>
        <w:t>besoins</w:t>
      </w:r>
      <w:r>
        <w:rPr>
          <w:rFonts w:ascii="Calibri" w:hAnsi="Calibri"/>
          <w:spacing w:val="-4"/>
        </w:rPr>
        <w:t> </w:t>
      </w:r>
      <w:r>
        <w:rPr>
          <w:rFonts w:ascii="Calibri" w:hAnsi="Calibri"/>
        </w:rPr>
        <w:t>spécifiques</w:t>
      </w:r>
      <w:r>
        <w:rPr>
          <w:rFonts w:ascii="Calibri" w:hAnsi="Calibri"/>
          <w:spacing w:val="-3"/>
        </w:rPr>
        <w:t> </w:t>
      </w:r>
      <w:r>
        <w:rPr>
          <w:rFonts w:ascii="Calibri" w:hAnsi="Calibri"/>
        </w:rPr>
        <w:t>de</w:t>
      </w:r>
      <w:r>
        <w:rPr>
          <w:rFonts w:ascii="Calibri" w:hAnsi="Calibri"/>
          <w:spacing w:val="-2"/>
        </w:rPr>
        <w:t> </w:t>
      </w:r>
      <w:r>
        <w:rPr>
          <w:rFonts w:ascii="Calibri" w:hAnsi="Calibri"/>
        </w:rPr>
        <w:t>financement</w:t>
      </w:r>
      <w:r>
        <w:rPr>
          <w:rFonts w:ascii="Calibri" w:hAnsi="Calibri"/>
          <w:spacing w:val="-2"/>
        </w:rPr>
        <w:t> </w:t>
      </w:r>
      <w:r>
        <w:rPr>
          <w:rFonts w:ascii="Calibri" w:hAnsi="Calibri"/>
        </w:rPr>
        <w:t>afin</w:t>
      </w:r>
      <w:r>
        <w:rPr>
          <w:rFonts w:ascii="Calibri" w:hAnsi="Calibri"/>
          <w:spacing w:val="-4"/>
        </w:rPr>
        <w:t> </w:t>
      </w:r>
      <w:r>
        <w:rPr>
          <w:rFonts w:ascii="Calibri" w:hAnsi="Calibri"/>
        </w:rPr>
        <w:t>de</w:t>
      </w:r>
      <w:r>
        <w:rPr>
          <w:rFonts w:ascii="Calibri" w:hAnsi="Calibri"/>
          <w:spacing w:val="-2"/>
        </w:rPr>
        <w:t> </w:t>
      </w:r>
      <w:r>
        <w:rPr>
          <w:rFonts w:ascii="Calibri" w:hAnsi="Calibri"/>
        </w:rPr>
        <w:t>favoriser</w:t>
      </w:r>
      <w:r>
        <w:rPr>
          <w:rFonts w:ascii="Calibri" w:hAnsi="Calibri"/>
          <w:spacing w:val="-3"/>
        </w:rPr>
        <w:t> </w:t>
      </w:r>
      <w:r>
        <w:rPr>
          <w:rFonts w:ascii="Calibri" w:hAnsi="Calibri"/>
        </w:rPr>
        <w:t>la</w:t>
      </w:r>
      <w:r>
        <w:rPr>
          <w:rFonts w:ascii="Calibri" w:hAnsi="Calibri"/>
          <w:spacing w:val="-3"/>
        </w:rPr>
        <w:t> </w:t>
      </w:r>
      <w:r>
        <w:rPr>
          <w:rFonts w:ascii="Calibri" w:hAnsi="Calibri"/>
        </w:rPr>
        <w:t>liquidité</w:t>
      </w:r>
      <w:r>
        <w:rPr>
          <w:rFonts w:ascii="Calibri" w:hAnsi="Calibri"/>
          <w:spacing w:val="-2"/>
        </w:rPr>
        <w:t> </w:t>
      </w:r>
      <w:r>
        <w:rPr>
          <w:rFonts w:ascii="Calibri" w:hAnsi="Calibri"/>
        </w:rPr>
        <w:t>des titres émis par l’UE. L'approche de financement de la Commission prévoit l'organisation d'opérations de financement par le biais d'une approche de financements groupés, complétée par une gestion des liquidités spécifique. Les fonds sont mobilisés par le biais de différents canaux de financement (transactions syndiquées et</w:t>
      </w:r>
    </w:p>
    <w:p>
      <w:pPr>
        <w:pStyle w:val="BodyText"/>
        <w:spacing w:before="1"/>
        <w:rPr>
          <w:rFonts w:ascii="Calibri"/>
          <w:sz w:val="28"/>
        </w:rPr>
      </w:pPr>
      <w:r>
        <w:rPr/>
        <w:pict>
          <v:rect style="position:absolute;margin-left:42.599998pt;margin-top:18.384140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6"/>
        <w:ind w:left="131" w:right="638"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2" w:header="0" w:top="760" w:bottom="880" w:left="720" w:right="740"/>
          <w:pgNumType w:start="1"/>
        </w:sectPr>
      </w:pPr>
    </w:p>
    <w:p>
      <w:pPr>
        <w:pStyle w:val="BodyText"/>
        <w:spacing w:line="276" w:lineRule="auto" w:before="33"/>
        <w:ind w:left="131" w:right="158"/>
        <w:rPr>
          <w:rFonts w:ascii="Calibri" w:hAnsi="Calibri"/>
        </w:rPr>
      </w:pPr>
      <w:r>
        <w:rPr>
          <w:rFonts w:ascii="Calibri" w:hAnsi="Calibri"/>
        </w:rPr>
        <w:t>adjudications) et en utilisant tous les points de courbe (financement à court et à long terme). Enfin, la</w:t>
      </w:r>
      <w:r>
        <w:rPr>
          <w:rFonts w:ascii="Calibri" w:hAnsi="Calibri"/>
          <w:spacing w:val="40"/>
        </w:rPr>
        <w:t> </w:t>
      </w:r>
      <w:r>
        <w:rPr>
          <w:rFonts w:ascii="Calibri" w:hAnsi="Calibri"/>
        </w:rPr>
        <w:t>Commission</w:t>
      </w:r>
      <w:r>
        <w:rPr>
          <w:rFonts w:ascii="Calibri" w:hAnsi="Calibri"/>
          <w:spacing w:val="-5"/>
        </w:rPr>
        <w:t> </w:t>
      </w:r>
      <w:r>
        <w:rPr>
          <w:rFonts w:ascii="Calibri" w:hAnsi="Calibri"/>
        </w:rPr>
        <w:t>va</w:t>
      </w:r>
      <w:r>
        <w:rPr>
          <w:rFonts w:ascii="Calibri" w:hAnsi="Calibri"/>
          <w:spacing w:val="-2"/>
        </w:rPr>
        <w:t> </w:t>
      </w:r>
      <w:r>
        <w:rPr>
          <w:rFonts w:ascii="Calibri" w:hAnsi="Calibri"/>
        </w:rPr>
        <w:t>continuer</w:t>
      </w:r>
      <w:r>
        <w:rPr>
          <w:rFonts w:ascii="Calibri" w:hAnsi="Calibri"/>
          <w:spacing w:val="-4"/>
        </w:rPr>
        <w:t> </w:t>
      </w:r>
      <w:r>
        <w:rPr>
          <w:rFonts w:ascii="Calibri" w:hAnsi="Calibri"/>
        </w:rPr>
        <w:t>d’émettre</w:t>
      </w:r>
      <w:r>
        <w:rPr>
          <w:rFonts w:ascii="Calibri" w:hAnsi="Calibri"/>
          <w:spacing w:val="-1"/>
        </w:rPr>
        <w:t> </w:t>
      </w:r>
      <w:r>
        <w:rPr>
          <w:rFonts w:ascii="Calibri" w:hAnsi="Calibri"/>
        </w:rPr>
        <w:t>des</w:t>
      </w:r>
      <w:r>
        <w:rPr>
          <w:rFonts w:ascii="Calibri" w:hAnsi="Calibri"/>
          <w:spacing w:val="-4"/>
        </w:rPr>
        <w:t> </w:t>
      </w:r>
      <w:r>
        <w:rPr>
          <w:rFonts w:ascii="Calibri" w:hAnsi="Calibri"/>
        </w:rPr>
        <w:t>obligations</w:t>
      </w:r>
      <w:r>
        <w:rPr>
          <w:rFonts w:ascii="Calibri" w:hAnsi="Calibri"/>
          <w:spacing w:val="-4"/>
        </w:rPr>
        <w:t> </w:t>
      </w:r>
      <w:r>
        <w:rPr>
          <w:rFonts w:ascii="Calibri" w:hAnsi="Calibri"/>
        </w:rPr>
        <w:t>vertes</w:t>
      </w:r>
      <w:r>
        <w:rPr>
          <w:rFonts w:ascii="Calibri" w:hAnsi="Calibri"/>
          <w:spacing w:val="-2"/>
        </w:rPr>
        <w:t> </w:t>
      </w:r>
      <w:r>
        <w:rPr>
          <w:rFonts w:ascii="Calibri" w:hAnsi="Calibri"/>
        </w:rPr>
        <w:t>sous</w:t>
      </w:r>
      <w:r>
        <w:rPr>
          <w:rFonts w:ascii="Calibri" w:hAnsi="Calibri"/>
          <w:spacing w:val="-2"/>
        </w:rPr>
        <w:t> </w:t>
      </w:r>
      <w:r>
        <w:rPr>
          <w:rFonts w:ascii="Calibri" w:hAnsi="Calibri"/>
        </w:rPr>
        <w:t>réserve</w:t>
      </w:r>
      <w:r>
        <w:rPr>
          <w:rFonts w:ascii="Calibri" w:hAnsi="Calibri"/>
          <w:spacing w:val="-1"/>
        </w:rPr>
        <w:t> </w:t>
      </w:r>
      <w:r>
        <w:rPr>
          <w:rFonts w:ascii="Calibri" w:hAnsi="Calibri"/>
        </w:rPr>
        <w:t>des</w:t>
      </w:r>
      <w:r>
        <w:rPr>
          <w:rFonts w:ascii="Calibri" w:hAnsi="Calibri"/>
          <w:spacing w:val="-2"/>
        </w:rPr>
        <w:t> </w:t>
      </w:r>
      <w:r>
        <w:rPr>
          <w:rFonts w:ascii="Calibri" w:hAnsi="Calibri"/>
        </w:rPr>
        <w:t>dépenses</w:t>
      </w:r>
      <w:r>
        <w:rPr>
          <w:rFonts w:ascii="Calibri" w:hAnsi="Calibri"/>
          <w:spacing w:val="-2"/>
        </w:rPr>
        <w:t> </w:t>
      </w:r>
      <w:r>
        <w:rPr>
          <w:rFonts w:ascii="Calibri" w:hAnsi="Calibri"/>
        </w:rPr>
        <w:t>éligibles</w:t>
      </w:r>
      <w:r>
        <w:rPr>
          <w:rFonts w:ascii="Calibri" w:hAnsi="Calibri"/>
          <w:spacing w:val="-4"/>
        </w:rPr>
        <w:t> </w:t>
      </w:r>
      <w:r>
        <w:rPr>
          <w:rFonts w:ascii="Calibri" w:hAnsi="Calibri"/>
        </w:rPr>
        <w:t>issues</w:t>
      </w:r>
      <w:r>
        <w:rPr>
          <w:rFonts w:ascii="Calibri" w:hAnsi="Calibri"/>
          <w:spacing w:val="-2"/>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Facilité de Relance et de</w:t>
      </w:r>
      <w:r>
        <w:rPr>
          <w:rFonts w:ascii="Calibri" w:hAnsi="Calibri"/>
          <w:spacing w:val="-1"/>
        </w:rPr>
        <w:t> </w:t>
      </w:r>
      <w:r>
        <w:rPr>
          <w:rFonts w:ascii="Calibri" w:hAnsi="Calibri"/>
        </w:rPr>
        <w:t>Résilience</w:t>
      </w:r>
      <w:r>
        <w:rPr>
          <w:rFonts w:ascii="Calibri" w:hAnsi="Calibri"/>
          <w:spacing w:val="-1"/>
        </w:rPr>
        <w:t> </w:t>
      </w:r>
      <w:r>
        <w:rPr>
          <w:rFonts w:ascii="Calibri" w:hAnsi="Calibri"/>
        </w:rPr>
        <w:t>(liée</w:t>
      </w:r>
      <w:r>
        <w:rPr>
          <w:rFonts w:ascii="Calibri" w:hAnsi="Calibri"/>
          <w:spacing w:val="-1"/>
        </w:rPr>
        <w:t> </w:t>
      </w:r>
      <w:r>
        <w:rPr>
          <w:rFonts w:ascii="Calibri" w:hAnsi="Calibri"/>
        </w:rPr>
        <w:t>au programme NGEU). La première</w:t>
      </w:r>
      <w:r>
        <w:rPr>
          <w:rFonts w:ascii="Calibri" w:hAnsi="Calibri"/>
          <w:spacing w:val="-1"/>
        </w:rPr>
        <w:t> </w:t>
      </w:r>
      <w:r>
        <w:rPr>
          <w:rFonts w:ascii="Calibri" w:hAnsi="Calibri"/>
        </w:rPr>
        <w:t>obligation</w:t>
      </w:r>
      <w:r>
        <w:rPr>
          <w:rFonts w:ascii="Calibri" w:hAnsi="Calibri"/>
          <w:spacing w:val="-2"/>
        </w:rPr>
        <w:t> </w:t>
      </w:r>
      <w:r>
        <w:rPr>
          <w:rFonts w:ascii="Calibri" w:hAnsi="Calibri"/>
        </w:rPr>
        <w:t>verte dans le cadre</w:t>
      </w:r>
      <w:r>
        <w:rPr>
          <w:rFonts w:ascii="Calibri" w:hAnsi="Calibri"/>
          <w:spacing w:val="-1"/>
        </w:rPr>
        <w:t> </w:t>
      </w:r>
      <w:r>
        <w:rPr>
          <w:rFonts w:ascii="Calibri" w:hAnsi="Calibri"/>
        </w:rPr>
        <w:t>du NGEU</w:t>
      </w:r>
      <w:r>
        <w:rPr>
          <w:rFonts w:ascii="Calibri" w:hAnsi="Calibri"/>
          <w:spacing w:val="-1"/>
        </w:rPr>
        <w:t> </w:t>
      </w:r>
      <w:r>
        <w:rPr>
          <w:rFonts w:ascii="Calibri" w:hAnsi="Calibri"/>
        </w:rPr>
        <w:t>a été émise en octobre 2021.</w:t>
      </w:r>
    </w:p>
    <w:p>
      <w:pPr>
        <w:pStyle w:val="BodyText"/>
        <w:spacing w:before="7"/>
        <w:rPr>
          <w:rFonts w:ascii="Calibri"/>
          <w:sz w:val="16"/>
        </w:rPr>
      </w:pPr>
    </w:p>
    <w:p>
      <w:pPr>
        <w:pStyle w:val="BodyText"/>
        <w:spacing w:line="276" w:lineRule="auto"/>
        <w:ind w:left="131"/>
        <w:rPr>
          <w:rFonts w:ascii="Calibri" w:hAnsi="Calibri"/>
        </w:rPr>
      </w:pPr>
      <w:r>
        <w:rPr>
          <w:rFonts w:ascii="Calibri" w:hAnsi="Calibri"/>
        </w:rPr>
        <w:t>La Commission cherche à compléter son équipe par un expert national qui pourra apporter une expérience opérationnelle</w:t>
      </w:r>
      <w:r>
        <w:rPr>
          <w:rFonts w:ascii="Calibri" w:hAnsi="Calibri"/>
          <w:spacing w:val="-4"/>
        </w:rPr>
        <w:t> </w:t>
      </w:r>
      <w:r>
        <w:rPr>
          <w:rFonts w:ascii="Calibri" w:hAnsi="Calibri"/>
        </w:rPr>
        <w:t>dans</w:t>
      </w:r>
      <w:r>
        <w:rPr>
          <w:rFonts w:ascii="Calibri" w:hAnsi="Calibri"/>
          <w:spacing w:val="-2"/>
        </w:rPr>
        <w:t> </w:t>
      </w:r>
      <w:r>
        <w:rPr>
          <w:rFonts w:ascii="Calibri" w:hAnsi="Calibri"/>
        </w:rPr>
        <w:t>la</w:t>
      </w:r>
      <w:r>
        <w:rPr>
          <w:rFonts w:ascii="Calibri" w:hAnsi="Calibri"/>
          <w:spacing w:val="-2"/>
        </w:rPr>
        <w:t> </w:t>
      </w:r>
      <w:r>
        <w:rPr>
          <w:rFonts w:ascii="Calibri" w:hAnsi="Calibri"/>
        </w:rPr>
        <w:t>gestion</w:t>
      </w:r>
      <w:r>
        <w:rPr>
          <w:rFonts w:ascii="Calibri" w:hAnsi="Calibri"/>
          <w:spacing w:val="-3"/>
        </w:rPr>
        <w:t> </w:t>
      </w:r>
      <w:r>
        <w:rPr>
          <w:rFonts w:ascii="Calibri" w:hAnsi="Calibri"/>
        </w:rPr>
        <w:t>des</w:t>
      </w:r>
      <w:r>
        <w:rPr>
          <w:rFonts w:ascii="Calibri" w:hAnsi="Calibri"/>
          <w:spacing w:val="-4"/>
        </w:rPr>
        <w:t> </w:t>
      </w:r>
      <w:r>
        <w:rPr>
          <w:rFonts w:ascii="Calibri" w:hAnsi="Calibri"/>
        </w:rPr>
        <w:t>opérations</w:t>
      </w:r>
      <w:r>
        <w:rPr>
          <w:rFonts w:ascii="Calibri" w:hAnsi="Calibri"/>
          <w:spacing w:val="-4"/>
        </w:rPr>
        <w:t> </w:t>
      </w:r>
      <w:r>
        <w:rPr>
          <w:rFonts w:ascii="Calibri" w:hAnsi="Calibri"/>
        </w:rPr>
        <w:t>financières</w:t>
      </w:r>
      <w:r>
        <w:rPr>
          <w:rFonts w:ascii="Calibri" w:hAnsi="Calibri"/>
          <w:spacing w:val="-2"/>
        </w:rPr>
        <w:t> </w:t>
      </w:r>
      <w:r>
        <w:rPr>
          <w:rFonts w:ascii="Calibri" w:hAnsi="Calibri"/>
        </w:rPr>
        <w:t>du</w:t>
      </w:r>
      <w:r>
        <w:rPr>
          <w:rFonts w:ascii="Calibri" w:hAnsi="Calibri"/>
          <w:spacing w:val="-3"/>
        </w:rPr>
        <w:t> </w:t>
      </w:r>
      <w:r>
        <w:rPr>
          <w:rFonts w:ascii="Calibri" w:hAnsi="Calibri"/>
        </w:rPr>
        <w:t>back</w:t>
      </w:r>
      <w:r>
        <w:rPr>
          <w:rFonts w:ascii="Calibri" w:hAnsi="Calibri"/>
          <w:spacing w:val="-4"/>
        </w:rPr>
        <w:t> </w:t>
      </w:r>
      <w:r>
        <w:rPr>
          <w:rFonts w:ascii="Calibri" w:hAnsi="Calibri"/>
        </w:rPr>
        <w:t>office.</w:t>
      </w:r>
      <w:r>
        <w:rPr>
          <w:rFonts w:ascii="Calibri" w:hAnsi="Calibri"/>
          <w:spacing w:val="-2"/>
        </w:rPr>
        <w:t> </w:t>
      </w:r>
      <w:r>
        <w:rPr>
          <w:rFonts w:ascii="Calibri" w:hAnsi="Calibri"/>
        </w:rPr>
        <w:t>En</w:t>
      </w:r>
      <w:r>
        <w:rPr>
          <w:rFonts w:ascii="Calibri" w:hAnsi="Calibri"/>
          <w:spacing w:val="-3"/>
        </w:rPr>
        <w:t> </w:t>
      </w:r>
      <w:r>
        <w:rPr>
          <w:rFonts w:ascii="Calibri" w:hAnsi="Calibri"/>
        </w:rPr>
        <w:t>particulier,</w:t>
      </w:r>
      <w:r>
        <w:rPr>
          <w:rFonts w:ascii="Calibri" w:hAnsi="Calibri"/>
          <w:spacing w:val="-2"/>
        </w:rPr>
        <w:t> </w:t>
      </w:r>
      <w:r>
        <w:rPr>
          <w:rFonts w:ascii="Calibri" w:hAnsi="Calibri"/>
        </w:rPr>
        <w:t>l'expert</w:t>
      </w:r>
      <w:r>
        <w:rPr>
          <w:rFonts w:ascii="Calibri" w:hAnsi="Calibri"/>
          <w:spacing w:val="-2"/>
        </w:rPr>
        <w:t> </w:t>
      </w:r>
      <w:r>
        <w:rPr>
          <w:rFonts w:ascii="Calibri" w:hAnsi="Calibri"/>
        </w:rPr>
        <w:t>national</w:t>
      </w:r>
      <w:r>
        <w:rPr>
          <w:rFonts w:ascii="Calibri" w:hAnsi="Calibri"/>
          <w:spacing w:val="-2"/>
        </w:rPr>
        <w:t> </w:t>
      </w:r>
      <w:r>
        <w:rPr>
          <w:rFonts w:ascii="Calibri" w:hAnsi="Calibri"/>
        </w:rPr>
        <w:t>sera sélectionné en vue de :</w:t>
      </w:r>
    </w:p>
    <w:p>
      <w:pPr>
        <w:pStyle w:val="BodyText"/>
        <w:spacing w:before="4"/>
        <w:rPr>
          <w:rFonts w:ascii="Calibri"/>
          <w:sz w:val="16"/>
        </w:rPr>
      </w:pPr>
    </w:p>
    <w:p>
      <w:pPr>
        <w:pStyle w:val="ListParagraph"/>
        <w:numPr>
          <w:ilvl w:val="0"/>
          <w:numId w:val="4"/>
        </w:numPr>
        <w:tabs>
          <w:tab w:pos="970" w:val="left" w:leader="none"/>
        </w:tabs>
        <w:spacing w:line="276" w:lineRule="auto" w:before="0" w:after="0"/>
        <w:ind w:left="851" w:right="245" w:firstLine="0"/>
        <w:jc w:val="left"/>
        <w:rPr>
          <w:rFonts w:ascii="Calibri" w:hAnsi="Calibri"/>
          <w:sz w:val="22"/>
        </w:rPr>
      </w:pPr>
      <w:r>
        <w:rPr>
          <w:rFonts w:ascii="Calibri" w:hAnsi="Calibri"/>
          <w:sz w:val="22"/>
        </w:rPr>
        <w:t>Renforcer</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capacité</w:t>
      </w:r>
      <w:r>
        <w:rPr>
          <w:rFonts w:ascii="Calibri" w:hAnsi="Calibri"/>
          <w:spacing w:val="-1"/>
          <w:sz w:val="22"/>
        </w:rPr>
        <w:t> </w:t>
      </w:r>
      <w:r>
        <w:rPr>
          <w:rFonts w:ascii="Calibri" w:hAnsi="Calibri"/>
          <w:sz w:val="22"/>
        </w:rPr>
        <w:t>de</w:t>
      </w:r>
      <w:r>
        <w:rPr>
          <w:rFonts w:ascii="Calibri" w:hAnsi="Calibri"/>
          <w:spacing w:val="-4"/>
          <w:sz w:val="22"/>
        </w:rPr>
        <w:t> </w:t>
      </w:r>
      <w:r>
        <w:rPr>
          <w:rFonts w:ascii="Calibri" w:hAnsi="Calibri"/>
          <w:sz w:val="22"/>
        </w:rPr>
        <w:t>la</w:t>
      </w:r>
      <w:r>
        <w:rPr>
          <w:rFonts w:ascii="Calibri" w:hAnsi="Calibri"/>
          <w:spacing w:val="-2"/>
          <w:sz w:val="22"/>
        </w:rPr>
        <w:t> </w:t>
      </w:r>
      <w:r>
        <w:rPr>
          <w:rFonts w:ascii="Calibri" w:hAnsi="Calibri"/>
          <w:sz w:val="22"/>
        </w:rPr>
        <w:t>Commission</w:t>
      </w:r>
      <w:r>
        <w:rPr>
          <w:rFonts w:ascii="Calibri" w:hAnsi="Calibri"/>
          <w:spacing w:val="-3"/>
          <w:sz w:val="22"/>
        </w:rPr>
        <w:t> </w:t>
      </w:r>
      <w:r>
        <w:rPr>
          <w:rFonts w:ascii="Calibri" w:hAnsi="Calibri"/>
          <w:sz w:val="22"/>
        </w:rPr>
        <w:t>pour</w:t>
      </w:r>
      <w:r>
        <w:rPr>
          <w:rFonts w:ascii="Calibri" w:hAnsi="Calibri"/>
          <w:spacing w:val="-2"/>
          <w:sz w:val="22"/>
        </w:rPr>
        <w:t> </w:t>
      </w:r>
      <w:r>
        <w:rPr>
          <w:rFonts w:ascii="Calibri" w:hAnsi="Calibri"/>
          <w:sz w:val="22"/>
        </w:rPr>
        <w:t>une</w:t>
      </w:r>
      <w:r>
        <w:rPr>
          <w:rFonts w:ascii="Calibri" w:hAnsi="Calibri"/>
          <w:spacing w:val="-4"/>
          <w:sz w:val="22"/>
        </w:rPr>
        <w:t> </w:t>
      </w:r>
      <w:r>
        <w:rPr>
          <w:rFonts w:ascii="Calibri" w:hAnsi="Calibri"/>
          <w:sz w:val="22"/>
        </w:rPr>
        <w:t>gestion</w:t>
      </w:r>
      <w:r>
        <w:rPr>
          <w:rFonts w:ascii="Calibri" w:hAnsi="Calibri"/>
          <w:spacing w:val="-3"/>
          <w:sz w:val="22"/>
        </w:rPr>
        <w:t> </w:t>
      </w:r>
      <w:r>
        <w:rPr>
          <w:rFonts w:ascii="Calibri" w:hAnsi="Calibri"/>
          <w:sz w:val="22"/>
        </w:rPr>
        <w:t>du</w:t>
      </w:r>
      <w:r>
        <w:rPr>
          <w:rFonts w:ascii="Calibri" w:hAnsi="Calibri"/>
          <w:spacing w:val="-3"/>
          <w:sz w:val="22"/>
        </w:rPr>
        <w:t> </w:t>
      </w:r>
      <w:r>
        <w:rPr>
          <w:rFonts w:ascii="Calibri" w:hAnsi="Calibri"/>
          <w:sz w:val="22"/>
        </w:rPr>
        <w:t>Settlement</w:t>
      </w:r>
      <w:r>
        <w:rPr>
          <w:rFonts w:ascii="Calibri" w:hAnsi="Calibri"/>
          <w:spacing w:val="-2"/>
          <w:sz w:val="22"/>
        </w:rPr>
        <w:t> </w:t>
      </w:r>
      <w:r>
        <w:rPr>
          <w:rFonts w:ascii="Calibri" w:hAnsi="Calibri"/>
          <w:sz w:val="22"/>
        </w:rPr>
        <w:t>et</w:t>
      </w:r>
      <w:r>
        <w:rPr>
          <w:rFonts w:ascii="Calibri" w:hAnsi="Calibri"/>
          <w:spacing w:val="-1"/>
          <w:sz w:val="22"/>
        </w:rPr>
        <w:t> </w:t>
      </w:r>
      <w:r>
        <w:rPr>
          <w:rFonts w:ascii="Calibri" w:hAnsi="Calibri"/>
          <w:sz w:val="22"/>
        </w:rPr>
        <w:t>du</w:t>
      </w:r>
      <w:r>
        <w:rPr>
          <w:rFonts w:ascii="Calibri" w:hAnsi="Calibri"/>
          <w:spacing w:val="-3"/>
          <w:sz w:val="22"/>
        </w:rPr>
        <w:t> </w:t>
      </w:r>
      <w:r>
        <w:rPr>
          <w:rFonts w:ascii="Calibri" w:hAnsi="Calibri"/>
          <w:sz w:val="22"/>
        </w:rPr>
        <w:t>Payment</w:t>
      </w:r>
      <w:r>
        <w:rPr>
          <w:rFonts w:ascii="Calibri" w:hAnsi="Calibri"/>
          <w:spacing w:val="-1"/>
          <w:sz w:val="22"/>
        </w:rPr>
        <w:t> </w:t>
      </w:r>
      <w:r>
        <w:rPr>
          <w:rFonts w:ascii="Calibri" w:hAnsi="Calibri"/>
          <w:sz w:val="22"/>
        </w:rPr>
        <w:t>processing</w:t>
      </w:r>
      <w:r>
        <w:rPr>
          <w:rFonts w:ascii="Calibri" w:hAnsi="Calibri"/>
          <w:spacing w:val="-3"/>
          <w:sz w:val="22"/>
        </w:rPr>
        <w:t> </w:t>
      </w:r>
      <w:r>
        <w:rPr>
          <w:rFonts w:ascii="Calibri" w:hAnsi="Calibri"/>
          <w:sz w:val="22"/>
        </w:rPr>
        <w:t>dans le cadre de NGEU ;</w:t>
      </w:r>
    </w:p>
    <w:p>
      <w:pPr>
        <w:pStyle w:val="ListParagraph"/>
        <w:numPr>
          <w:ilvl w:val="0"/>
          <w:numId w:val="4"/>
        </w:numPr>
        <w:tabs>
          <w:tab w:pos="970" w:val="left" w:leader="none"/>
        </w:tabs>
        <w:spacing w:line="276" w:lineRule="auto" w:before="0" w:after="0"/>
        <w:ind w:left="851" w:right="427" w:firstLine="0"/>
        <w:jc w:val="left"/>
        <w:rPr>
          <w:rFonts w:ascii="Calibri" w:hAnsi="Calibri"/>
          <w:sz w:val="22"/>
        </w:rPr>
      </w:pPr>
      <w:r>
        <w:rPr>
          <w:rFonts w:ascii="Calibri" w:hAnsi="Calibri"/>
          <w:sz w:val="22"/>
        </w:rPr>
        <w:t>Soutenir</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gestion</w:t>
      </w:r>
      <w:r>
        <w:rPr>
          <w:rFonts w:ascii="Calibri" w:hAnsi="Calibri"/>
          <w:spacing w:val="-3"/>
          <w:sz w:val="22"/>
        </w:rPr>
        <w:t> </w:t>
      </w:r>
      <w:r>
        <w:rPr>
          <w:rFonts w:ascii="Calibri" w:hAnsi="Calibri"/>
          <w:sz w:val="22"/>
        </w:rPr>
        <w:t>et</w:t>
      </w:r>
      <w:r>
        <w:rPr>
          <w:rFonts w:ascii="Calibri" w:hAnsi="Calibri"/>
          <w:spacing w:val="-1"/>
          <w:sz w:val="22"/>
        </w:rPr>
        <w:t> </w:t>
      </w:r>
      <w:r>
        <w:rPr>
          <w:rFonts w:ascii="Calibri" w:hAnsi="Calibri"/>
          <w:sz w:val="22"/>
        </w:rPr>
        <w:t>le</w:t>
      </w:r>
      <w:r>
        <w:rPr>
          <w:rFonts w:ascii="Calibri" w:hAnsi="Calibri"/>
          <w:spacing w:val="-4"/>
          <w:sz w:val="22"/>
        </w:rPr>
        <w:t> </w:t>
      </w:r>
      <w:r>
        <w:rPr>
          <w:rFonts w:ascii="Calibri" w:hAnsi="Calibri"/>
          <w:sz w:val="22"/>
        </w:rPr>
        <w:t>contrôle</w:t>
      </w:r>
      <w:r>
        <w:rPr>
          <w:rFonts w:ascii="Calibri" w:hAnsi="Calibri"/>
          <w:spacing w:val="-1"/>
          <w:sz w:val="22"/>
        </w:rPr>
        <w:t> </w:t>
      </w:r>
      <w:r>
        <w:rPr>
          <w:rFonts w:ascii="Calibri" w:hAnsi="Calibri"/>
          <w:sz w:val="22"/>
        </w:rPr>
        <w:t>des</w:t>
      </w:r>
      <w:r>
        <w:rPr>
          <w:rFonts w:ascii="Calibri" w:hAnsi="Calibri"/>
          <w:spacing w:val="-4"/>
          <w:sz w:val="22"/>
        </w:rPr>
        <w:t> </w:t>
      </w:r>
      <w:r>
        <w:rPr>
          <w:rFonts w:ascii="Calibri" w:hAnsi="Calibri"/>
          <w:sz w:val="22"/>
        </w:rPr>
        <w:t>risques</w:t>
      </w:r>
      <w:r>
        <w:rPr>
          <w:rFonts w:ascii="Calibri" w:hAnsi="Calibri"/>
          <w:spacing w:val="-2"/>
          <w:sz w:val="22"/>
        </w:rPr>
        <w:t> </w:t>
      </w:r>
      <w:r>
        <w:rPr>
          <w:rFonts w:ascii="Calibri" w:hAnsi="Calibri"/>
          <w:sz w:val="22"/>
        </w:rPr>
        <w:t>pour</w:t>
      </w:r>
      <w:r>
        <w:rPr>
          <w:rFonts w:ascii="Calibri" w:hAnsi="Calibri"/>
          <w:spacing w:val="-2"/>
          <w:sz w:val="22"/>
        </w:rPr>
        <w:t> </w:t>
      </w:r>
      <w:r>
        <w:rPr>
          <w:rFonts w:ascii="Calibri" w:hAnsi="Calibri"/>
          <w:sz w:val="22"/>
        </w:rPr>
        <w:t>les</w:t>
      </w:r>
      <w:r>
        <w:rPr>
          <w:rFonts w:ascii="Calibri" w:hAnsi="Calibri"/>
          <w:spacing w:val="-1"/>
          <w:sz w:val="22"/>
        </w:rPr>
        <w:t> </w:t>
      </w:r>
      <w:r>
        <w:rPr>
          <w:rFonts w:ascii="Calibri" w:hAnsi="Calibri"/>
          <w:sz w:val="22"/>
        </w:rPr>
        <w:t>opérations</w:t>
      </w:r>
      <w:r>
        <w:rPr>
          <w:rFonts w:ascii="Calibri" w:hAnsi="Calibri"/>
          <w:spacing w:val="-4"/>
          <w:sz w:val="22"/>
        </w:rPr>
        <w:t> </w:t>
      </w:r>
      <w:r>
        <w:rPr>
          <w:rFonts w:ascii="Calibri" w:hAnsi="Calibri"/>
          <w:sz w:val="22"/>
        </w:rPr>
        <w:t>de</w:t>
      </w:r>
      <w:r>
        <w:rPr>
          <w:rFonts w:ascii="Calibri" w:hAnsi="Calibri"/>
          <w:spacing w:val="-1"/>
          <w:sz w:val="22"/>
        </w:rPr>
        <w:t> </w:t>
      </w:r>
      <w:r>
        <w:rPr>
          <w:rFonts w:ascii="Calibri" w:hAnsi="Calibri"/>
          <w:sz w:val="22"/>
        </w:rPr>
        <w:t>financement</w:t>
      </w:r>
      <w:r>
        <w:rPr>
          <w:rFonts w:ascii="Calibri" w:hAnsi="Calibri"/>
          <w:spacing w:val="-1"/>
          <w:sz w:val="22"/>
        </w:rPr>
        <w:t> </w:t>
      </w:r>
      <w:r>
        <w:rPr>
          <w:rFonts w:ascii="Calibri" w:hAnsi="Calibri"/>
          <w:sz w:val="22"/>
        </w:rPr>
        <w:t>et</w:t>
      </w:r>
      <w:r>
        <w:rPr>
          <w:rFonts w:ascii="Calibri" w:hAnsi="Calibri"/>
          <w:spacing w:val="-1"/>
          <w:sz w:val="22"/>
        </w:rPr>
        <w:t> </w:t>
      </w:r>
      <w:r>
        <w:rPr>
          <w:rFonts w:ascii="Calibri" w:hAnsi="Calibri"/>
          <w:sz w:val="22"/>
        </w:rPr>
        <w:t>de</w:t>
      </w:r>
      <w:r>
        <w:rPr>
          <w:rFonts w:ascii="Calibri" w:hAnsi="Calibri"/>
          <w:spacing w:val="-1"/>
          <w:sz w:val="22"/>
        </w:rPr>
        <w:t> </w:t>
      </w:r>
      <w:r>
        <w:rPr>
          <w:rFonts w:ascii="Calibri" w:hAnsi="Calibri"/>
          <w:sz w:val="22"/>
        </w:rPr>
        <w:t>disbursement, conformément aux politiques de risque définies par le responsable directeur des risques de la Commission ;</w:t>
      </w:r>
    </w:p>
    <w:p>
      <w:pPr>
        <w:pStyle w:val="ListParagraph"/>
        <w:numPr>
          <w:ilvl w:val="0"/>
          <w:numId w:val="4"/>
        </w:numPr>
        <w:tabs>
          <w:tab w:pos="970" w:val="left" w:leader="none"/>
        </w:tabs>
        <w:spacing w:line="276" w:lineRule="auto" w:before="0" w:after="0"/>
        <w:ind w:left="851" w:right="133" w:firstLine="0"/>
        <w:jc w:val="left"/>
        <w:rPr>
          <w:rFonts w:ascii="Calibri" w:hAnsi="Calibri"/>
          <w:sz w:val="22"/>
        </w:rPr>
      </w:pPr>
      <w:r>
        <w:rPr>
          <w:rFonts w:ascii="Calibri" w:hAnsi="Calibri"/>
          <w:sz w:val="22"/>
        </w:rPr>
        <w:t>Soutenir</w:t>
      </w:r>
      <w:r>
        <w:rPr>
          <w:rFonts w:ascii="Calibri" w:hAnsi="Calibri"/>
          <w:spacing w:val="-2"/>
          <w:sz w:val="22"/>
        </w:rPr>
        <w:t> </w:t>
      </w:r>
      <w:r>
        <w:rPr>
          <w:rFonts w:ascii="Calibri" w:hAnsi="Calibri"/>
          <w:sz w:val="22"/>
        </w:rPr>
        <w:t>la</w:t>
      </w:r>
      <w:r>
        <w:rPr>
          <w:rFonts w:ascii="Calibri" w:hAnsi="Calibri"/>
          <w:spacing w:val="-4"/>
          <w:sz w:val="22"/>
        </w:rPr>
        <w:t> </w:t>
      </w:r>
      <w:r>
        <w:rPr>
          <w:rFonts w:ascii="Calibri" w:hAnsi="Calibri"/>
          <w:sz w:val="22"/>
        </w:rPr>
        <w:t>Commission</w:t>
      </w:r>
      <w:r>
        <w:rPr>
          <w:rFonts w:ascii="Calibri" w:hAnsi="Calibri"/>
          <w:spacing w:val="-3"/>
          <w:sz w:val="22"/>
        </w:rPr>
        <w:t> </w:t>
      </w:r>
      <w:r>
        <w:rPr>
          <w:rFonts w:ascii="Calibri" w:hAnsi="Calibri"/>
          <w:sz w:val="22"/>
        </w:rPr>
        <w:t>dans</w:t>
      </w:r>
      <w:r>
        <w:rPr>
          <w:rFonts w:ascii="Calibri" w:hAnsi="Calibri"/>
          <w:spacing w:val="-2"/>
          <w:sz w:val="22"/>
        </w:rPr>
        <w:t> </w:t>
      </w:r>
      <w:r>
        <w:rPr>
          <w:rFonts w:ascii="Calibri" w:hAnsi="Calibri"/>
          <w:sz w:val="22"/>
        </w:rPr>
        <w:t>le</w:t>
      </w:r>
      <w:r>
        <w:rPr>
          <w:rFonts w:ascii="Calibri" w:hAnsi="Calibri"/>
          <w:spacing w:val="-1"/>
          <w:sz w:val="22"/>
        </w:rPr>
        <w:t> </w:t>
      </w:r>
      <w:r>
        <w:rPr>
          <w:rFonts w:ascii="Calibri" w:hAnsi="Calibri"/>
          <w:sz w:val="22"/>
        </w:rPr>
        <w:t>développement</w:t>
      </w:r>
      <w:r>
        <w:rPr>
          <w:rFonts w:ascii="Calibri" w:hAnsi="Calibri"/>
          <w:spacing w:val="-1"/>
          <w:sz w:val="22"/>
        </w:rPr>
        <w:t> </w:t>
      </w:r>
      <w:r>
        <w:rPr>
          <w:rFonts w:ascii="Calibri" w:hAnsi="Calibri"/>
          <w:sz w:val="22"/>
        </w:rPr>
        <w:t>du</w:t>
      </w:r>
      <w:r>
        <w:rPr>
          <w:rFonts w:ascii="Calibri" w:hAnsi="Calibri"/>
          <w:spacing w:val="-5"/>
          <w:sz w:val="22"/>
        </w:rPr>
        <w:t> </w:t>
      </w:r>
      <w:r>
        <w:rPr>
          <w:rFonts w:ascii="Calibri" w:hAnsi="Calibri"/>
          <w:sz w:val="22"/>
        </w:rPr>
        <w:t>cadre</w:t>
      </w:r>
      <w:r>
        <w:rPr>
          <w:rFonts w:ascii="Calibri" w:hAnsi="Calibri"/>
          <w:spacing w:val="-1"/>
          <w:sz w:val="22"/>
        </w:rPr>
        <w:t> </w:t>
      </w:r>
      <w:r>
        <w:rPr>
          <w:rFonts w:ascii="Calibri" w:hAnsi="Calibri"/>
          <w:sz w:val="22"/>
        </w:rPr>
        <w:t>opérationnel</w:t>
      </w:r>
      <w:r>
        <w:rPr>
          <w:rFonts w:ascii="Calibri" w:hAnsi="Calibri"/>
          <w:spacing w:val="-2"/>
          <w:sz w:val="22"/>
        </w:rPr>
        <w:t> </w:t>
      </w:r>
      <w:r>
        <w:rPr>
          <w:rFonts w:ascii="Calibri" w:hAnsi="Calibri"/>
          <w:sz w:val="22"/>
        </w:rPr>
        <w:t>de</w:t>
      </w:r>
      <w:r>
        <w:rPr>
          <w:rFonts w:ascii="Calibri" w:hAnsi="Calibri"/>
          <w:spacing w:val="-1"/>
          <w:sz w:val="22"/>
        </w:rPr>
        <w:t> </w:t>
      </w:r>
      <w:r>
        <w:rPr>
          <w:rFonts w:ascii="Calibri" w:hAnsi="Calibri"/>
          <w:sz w:val="22"/>
        </w:rPr>
        <w:t>la</w:t>
      </w:r>
      <w:r>
        <w:rPr>
          <w:rFonts w:ascii="Calibri" w:hAnsi="Calibri"/>
          <w:spacing w:val="-4"/>
          <w:sz w:val="22"/>
        </w:rPr>
        <w:t> </w:t>
      </w:r>
      <w:r>
        <w:rPr>
          <w:rFonts w:ascii="Calibri" w:hAnsi="Calibri"/>
          <w:sz w:val="22"/>
        </w:rPr>
        <w:t>gestion</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la</w:t>
      </w:r>
      <w:r>
        <w:rPr>
          <w:rFonts w:ascii="Calibri" w:hAnsi="Calibri"/>
          <w:spacing w:val="-2"/>
          <w:sz w:val="22"/>
        </w:rPr>
        <w:t> </w:t>
      </w:r>
      <w:r>
        <w:rPr>
          <w:rFonts w:ascii="Calibri" w:hAnsi="Calibri"/>
          <w:sz w:val="22"/>
        </w:rPr>
        <w:t>dette</w:t>
      </w:r>
      <w:r>
        <w:rPr>
          <w:rFonts w:ascii="Calibri" w:hAnsi="Calibri"/>
          <w:spacing w:val="-1"/>
          <w:sz w:val="22"/>
        </w:rPr>
        <w:t> </w:t>
      </w:r>
      <w:r>
        <w:rPr>
          <w:rFonts w:ascii="Calibri" w:hAnsi="Calibri"/>
          <w:sz w:val="22"/>
        </w:rPr>
        <w:t>du</w:t>
      </w:r>
      <w:r>
        <w:rPr>
          <w:rFonts w:ascii="Calibri" w:hAnsi="Calibri"/>
          <w:spacing w:val="-3"/>
          <w:sz w:val="22"/>
        </w:rPr>
        <w:t> </w:t>
      </w:r>
      <w:r>
        <w:rPr>
          <w:rFonts w:ascii="Calibri" w:hAnsi="Calibri"/>
          <w:sz w:val="22"/>
        </w:rPr>
        <w:t>NGEU du point de vue back office et aussi pour l'Asset Management (secondary market).</w:t>
      </w:r>
    </w:p>
    <w:p>
      <w:pPr>
        <w:pStyle w:val="BodyText"/>
        <w:spacing w:before="4"/>
        <w:rPr>
          <w:rFonts w:ascii="Calibri"/>
          <w:sz w:val="16"/>
        </w:rPr>
      </w:pPr>
    </w:p>
    <w:p>
      <w:pPr>
        <w:pStyle w:val="BodyText"/>
        <w:spacing w:line="276" w:lineRule="auto"/>
        <w:ind w:left="131" w:right="178"/>
        <w:rPr>
          <w:rFonts w:ascii="Calibri" w:hAnsi="Calibri"/>
        </w:rPr>
      </w:pPr>
      <w:r>
        <w:rPr>
          <w:rFonts w:ascii="Calibri" w:hAnsi="Calibri"/>
        </w:rPr>
        <w:t>L'expert</w:t>
      </w:r>
      <w:r>
        <w:rPr>
          <w:rFonts w:ascii="Calibri" w:hAnsi="Calibri"/>
          <w:spacing w:val="-5"/>
        </w:rPr>
        <w:t> </w:t>
      </w:r>
      <w:r>
        <w:rPr>
          <w:rFonts w:ascii="Calibri" w:hAnsi="Calibri"/>
        </w:rPr>
        <w:t>national</w:t>
      </w:r>
      <w:r>
        <w:rPr>
          <w:rFonts w:ascii="Calibri" w:hAnsi="Calibri"/>
          <w:spacing w:val="-3"/>
        </w:rPr>
        <w:t> </w:t>
      </w:r>
      <w:r>
        <w:rPr>
          <w:rFonts w:ascii="Calibri" w:hAnsi="Calibri"/>
        </w:rPr>
        <w:t>assumera</w:t>
      </w:r>
      <w:r>
        <w:rPr>
          <w:rFonts w:ascii="Calibri" w:hAnsi="Calibri"/>
          <w:spacing w:val="-5"/>
        </w:rPr>
        <w:t> </w:t>
      </w:r>
      <w:r>
        <w:rPr>
          <w:rFonts w:ascii="Calibri" w:hAnsi="Calibri"/>
        </w:rPr>
        <w:t>d'importantes</w:t>
      </w:r>
      <w:r>
        <w:rPr>
          <w:rFonts w:ascii="Calibri" w:hAnsi="Calibri"/>
          <w:spacing w:val="-3"/>
        </w:rPr>
        <w:t> </w:t>
      </w:r>
      <w:r>
        <w:rPr>
          <w:rFonts w:ascii="Calibri" w:hAnsi="Calibri"/>
        </w:rPr>
        <w:t>responsabilités</w:t>
      </w:r>
      <w:r>
        <w:rPr>
          <w:rFonts w:ascii="Calibri" w:hAnsi="Calibri"/>
          <w:spacing w:val="-3"/>
        </w:rPr>
        <w:t> </w:t>
      </w:r>
      <w:r>
        <w:rPr>
          <w:rFonts w:ascii="Calibri" w:hAnsi="Calibri"/>
        </w:rPr>
        <w:t>dans</w:t>
      </w:r>
      <w:r>
        <w:rPr>
          <w:rFonts w:ascii="Calibri" w:hAnsi="Calibri"/>
          <w:spacing w:val="-3"/>
        </w:rPr>
        <w:t> </w:t>
      </w:r>
      <w:r>
        <w:rPr>
          <w:rFonts w:ascii="Calibri" w:hAnsi="Calibri"/>
        </w:rPr>
        <w:t>son</w:t>
      </w:r>
      <w:r>
        <w:rPr>
          <w:rFonts w:ascii="Calibri" w:hAnsi="Calibri"/>
          <w:spacing w:val="-4"/>
        </w:rPr>
        <w:t> </w:t>
      </w:r>
      <w:r>
        <w:rPr>
          <w:rFonts w:ascii="Calibri" w:hAnsi="Calibri"/>
        </w:rPr>
        <w:t>domaine</w:t>
      </w:r>
      <w:r>
        <w:rPr>
          <w:rFonts w:ascii="Calibri" w:hAnsi="Calibri"/>
          <w:spacing w:val="-2"/>
        </w:rPr>
        <w:t> </w:t>
      </w:r>
      <w:r>
        <w:rPr>
          <w:rFonts w:ascii="Calibri" w:hAnsi="Calibri"/>
        </w:rPr>
        <w:t>de</w:t>
      </w:r>
      <w:r>
        <w:rPr>
          <w:rFonts w:ascii="Calibri" w:hAnsi="Calibri"/>
          <w:spacing w:val="-5"/>
        </w:rPr>
        <w:t> </w:t>
      </w:r>
      <w:r>
        <w:rPr>
          <w:rFonts w:ascii="Calibri" w:hAnsi="Calibri"/>
        </w:rPr>
        <w:t>compétence</w:t>
      </w:r>
      <w:r>
        <w:rPr>
          <w:rFonts w:ascii="Calibri" w:hAnsi="Calibri"/>
          <w:spacing w:val="-2"/>
        </w:rPr>
        <w:t> </w:t>
      </w:r>
      <w:r>
        <w:rPr>
          <w:rFonts w:ascii="Calibri" w:hAnsi="Calibri"/>
        </w:rPr>
        <w:t>et</w:t>
      </w:r>
      <w:r>
        <w:rPr>
          <w:rFonts w:ascii="Calibri" w:hAnsi="Calibri"/>
          <w:spacing w:val="-2"/>
        </w:rPr>
        <w:t> </w:t>
      </w:r>
      <w:r>
        <w:rPr>
          <w:rFonts w:ascii="Calibri" w:hAnsi="Calibri"/>
        </w:rPr>
        <w:t>sera</w:t>
      </w:r>
      <w:r>
        <w:rPr>
          <w:rFonts w:ascii="Calibri" w:hAnsi="Calibri"/>
          <w:spacing w:val="-3"/>
        </w:rPr>
        <w:t> </w:t>
      </w:r>
      <w:r>
        <w:rPr>
          <w:rFonts w:ascii="Calibri" w:hAnsi="Calibri"/>
        </w:rPr>
        <w:t>fortement sollicité pour des conseils stratégiques et opérationnels dans le domaine du Settlement et du Payment infrastructure. L'expert national bénéficiera d'une autonomie considérable et d'une grande marge d'initiative pour</w:t>
      </w:r>
      <w:r>
        <w:rPr>
          <w:rFonts w:ascii="Calibri" w:hAnsi="Calibri"/>
          <w:spacing w:val="-2"/>
        </w:rPr>
        <w:t> </w:t>
      </w:r>
      <w:r>
        <w:rPr>
          <w:rFonts w:ascii="Calibri" w:hAnsi="Calibri"/>
        </w:rPr>
        <w:t>atteindre</w:t>
      </w:r>
      <w:r>
        <w:rPr>
          <w:rFonts w:ascii="Calibri" w:hAnsi="Calibri"/>
          <w:spacing w:val="-1"/>
        </w:rPr>
        <w:t> </w:t>
      </w:r>
      <w:r>
        <w:rPr>
          <w:rFonts w:ascii="Calibri" w:hAnsi="Calibri"/>
        </w:rPr>
        <w:t>les</w:t>
      </w:r>
      <w:r>
        <w:rPr>
          <w:rFonts w:ascii="Calibri" w:hAnsi="Calibri"/>
          <w:spacing w:val="-2"/>
        </w:rPr>
        <w:t> </w:t>
      </w:r>
      <w:r>
        <w:rPr>
          <w:rFonts w:ascii="Calibri" w:hAnsi="Calibri"/>
        </w:rPr>
        <w:t>objectifs</w:t>
      </w:r>
      <w:r>
        <w:rPr>
          <w:rFonts w:ascii="Calibri" w:hAnsi="Calibri"/>
          <w:spacing w:val="-4"/>
        </w:rPr>
        <w:t> </w:t>
      </w:r>
      <w:r>
        <w:rPr>
          <w:rFonts w:ascii="Calibri" w:hAnsi="Calibri"/>
        </w:rPr>
        <w:t>convenus,</w:t>
      </w:r>
      <w:r>
        <w:rPr>
          <w:rFonts w:ascii="Calibri" w:hAnsi="Calibri"/>
          <w:spacing w:val="-2"/>
        </w:rPr>
        <w:t> </w:t>
      </w:r>
      <w:r>
        <w:rPr>
          <w:rFonts w:ascii="Calibri" w:hAnsi="Calibri"/>
        </w:rPr>
        <w:t>tout</w:t>
      </w:r>
      <w:r>
        <w:rPr>
          <w:rFonts w:ascii="Calibri" w:hAnsi="Calibri"/>
          <w:spacing w:val="-4"/>
        </w:rPr>
        <w:t> </w:t>
      </w:r>
      <w:r>
        <w:rPr>
          <w:rFonts w:ascii="Calibri" w:hAnsi="Calibri"/>
        </w:rPr>
        <w:t>en</w:t>
      </w:r>
      <w:r>
        <w:rPr>
          <w:rFonts w:ascii="Calibri" w:hAnsi="Calibri"/>
          <w:spacing w:val="-2"/>
        </w:rPr>
        <w:t> </w:t>
      </w:r>
      <w:r>
        <w:rPr>
          <w:rFonts w:ascii="Calibri" w:hAnsi="Calibri"/>
        </w:rPr>
        <w:t>étant</w:t>
      </w:r>
      <w:r>
        <w:rPr>
          <w:rFonts w:ascii="Calibri" w:hAnsi="Calibri"/>
          <w:spacing w:val="-1"/>
        </w:rPr>
        <w:t> </w:t>
      </w:r>
      <w:r>
        <w:rPr>
          <w:rFonts w:ascii="Calibri" w:hAnsi="Calibri"/>
        </w:rPr>
        <w:t>pleinement</w:t>
      </w:r>
      <w:r>
        <w:rPr>
          <w:rFonts w:ascii="Calibri" w:hAnsi="Calibri"/>
          <w:spacing w:val="-1"/>
        </w:rPr>
        <w:t> </w:t>
      </w:r>
      <w:r>
        <w:rPr>
          <w:rFonts w:ascii="Calibri" w:hAnsi="Calibri"/>
        </w:rPr>
        <w:t>intégré</w:t>
      </w:r>
      <w:r>
        <w:rPr>
          <w:rFonts w:ascii="Calibri" w:hAnsi="Calibri"/>
          <w:spacing w:val="-4"/>
        </w:rPr>
        <w:t> </w:t>
      </w:r>
      <w:r>
        <w:rPr>
          <w:rFonts w:ascii="Calibri" w:hAnsi="Calibri"/>
        </w:rPr>
        <w:t>et</w:t>
      </w:r>
      <w:r>
        <w:rPr>
          <w:rFonts w:ascii="Calibri" w:hAnsi="Calibri"/>
          <w:spacing w:val="-1"/>
        </w:rPr>
        <w:t> </w:t>
      </w:r>
      <w:r>
        <w:rPr>
          <w:rFonts w:ascii="Calibri" w:hAnsi="Calibri"/>
        </w:rPr>
        <w:t>en</w:t>
      </w:r>
      <w:r>
        <w:rPr>
          <w:rFonts w:ascii="Calibri" w:hAnsi="Calibri"/>
          <w:spacing w:val="-5"/>
        </w:rPr>
        <w:t> </w:t>
      </w:r>
      <w:r>
        <w:rPr>
          <w:rFonts w:ascii="Calibri" w:hAnsi="Calibri"/>
        </w:rPr>
        <w:t>travaillant</w:t>
      </w:r>
      <w:r>
        <w:rPr>
          <w:rFonts w:ascii="Calibri" w:hAnsi="Calibri"/>
          <w:spacing w:val="-1"/>
        </w:rPr>
        <w:t> </w:t>
      </w:r>
      <w:r>
        <w:rPr>
          <w:rFonts w:ascii="Calibri" w:hAnsi="Calibri"/>
        </w:rPr>
        <w:t>au</w:t>
      </w:r>
      <w:r>
        <w:rPr>
          <w:rFonts w:ascii="Calibri" w:hAnsi="Calibri"/>
          <w:spacing w:val="-3"/>
        </w:rPr>
        <w:t> </w:t>
      </w:r>
      <w:r>
        <w:rPr>
          <w:rFonts w:ascii="Calibri" w:hAnsi="Calibri"/>
        </w:rPr>
        <w:t>sein</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5"/>
        </w:rPr>
        <w:t> </w:t>
      </w:r>
      <w:r>
        <w:rPr>
          <w:rFonts w:ascii="Calibri" w:hAnsi="Calibri"/>
        </w:rPr>
        <w:t>structure organisationnelle et de gestion de la direction.</w:t>
      </w:r>
    </w:p>
    <w:p>
      <w:pPr>
        <w:pStyle w:val="BodyText"/>
        <w:spacing w:before="5"/>
        <w:rPr>
          <w:rFonts w:ascii="Calibri"/>
          <w:sz w:val="16"/>
        </w:rPr>
      </w:pPr>
    </w:p>
    <w:p>
      <w:pPr>
        <w:pStyle w:val="BodyText"/>
        <w:ind w:left="131" w:right="138"/>
        <w:rPr>
          <w:rFonts w:ascii="Calibri" w:hAnsi="Calibri"/>
        </w:rPr>
      </w:pPr>
      <w:r>
        <w:rPr>
          <w:rFonts w:ascii="Calibri" w:hAnsi="Calibri"/>
        </w:rPr>
        <w:t>L'expert rejoindra la direction qui effectue les opérations de marché pour le compte du budget de l'Union ("Gestion des risques et des actifs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InvestEU et la Garantie pour l'Action Extérieure. Cette direction coordonne également le cadre politique de la Commission</w:t>
      </w:r>
      <w:r>
        <w:rPr>
          <w:rFonts w:ascii="Calibri" w:hAnsi="Calibri"/>
          <w:spacing w:val="-3"/>
        </w:rPr>
        <w:t> </w:t>
      </w:r>
      <w:r>
        <w:rPr>
          <w:rFonts w:ascii="Calibri" w:hAnsi="Calibri"/>
        </w:rPr>
        <w:t>pour</w:t>
      </w:r>
      <w:r>
        <w:rPr>
          <w:rFonts w:ascii="Calibri" w:hAnsi="Calibri"/>
          <w:spacing w:val="-2"/>
        </w:rPr>
        <w:t> </w:t>
      </w:r>
      <w:r>
        <w:rPr>
          <w:rFonts w:ascii="Calibri" w:hAnsi="Calibri"/>
        </w:rPr>
        <w:t>la</w:t>
      </w:r>
      <w:r>
        <w:rPr>
          <w:rFonts w:ascii="Calibri" w:hAnsi="Calibri"/>
          <w:spacing w:val="-2"/>
        </w:rPr>
        <w:t> </w:t>
      </w:r>
      <w:r>
        <w:rPr>
          <w:rFonts w:ascii="Calibri" w:hAnsi="Calibri"/>
        </w:rPr>
        <w:t>gestion</w:t>
      </w:r>
      <w:r>
        <w:rPr>
          <w:rFonts w:ascii="Calibri" w:hAnsi="Calibri"/>
          <w:spacing w:val="-3"/>
        </w:rPr>
        <w:t> </w:t>
      </w:r>
      <w:r>
        <w:rPr>
          <w:rFonts w:ascii="Calibri" w:hAnsi="Calibri"/>
        </w:rPr>
        <w:t>et</w:t>
      </w:r>
      <w:r>
        <w:rPr>
          <w:rFonts w:ascii="Calibri" w:hAnsi="Calibri"/>
          <w:spacing w:val="-1"/>
        </w:rPr>
        <w:t> </w:t>
      </w:r>
      <w:r>
        <w:rPr>
          <w:rFonts w:ascii="Calibri" w:hAnsi="Calibri"/>
        </w:rPr>
        <w:t>le</w:t>
      </w:r>
      <w:r>
        <w:rPr>
          <w:rFonts w:ascii="Calibri" w:hAnsi="Calibri"/>
          <w:spacing w:val="-4"/>
        </w:rPr>
        <w:t> </w:t>
      </w:r>
      <w:r>
        <w:rPr>
          <w:rFonts w:ascii="Calibri" w:hAnsi="Calibri"/>
        </w:rPr>
        <w:t>compte</w:t>
      </w:r>
      <w:r>
        <w:rPr>
          <w:rFonts w:ascii="Calibri" w:hAnsi="Calibri"/>
          <w:spacing w:val="-1"/>
        </w:rPr>
        <w:t> </w:t>
      </w:r>
      <w:r>
        <w:rPr>
          <w:rFonts w:ascii="Calibri" w:hAnsi="Calibri"/>
        </w:rPr>
        <w:t>rendu</w:t>
      </w:r>
      <w:r>
        <w:rPr>
          <w:rFonts w:ascii="Calibri" w:hAnsi="Calibri"/>
          <w:spacing w:val="-3"/>
        </w:rPr>
        <w:t> </w:t>
      </w:r>
      <w:r>
        <w:rPr>
          <w:rFonts w:ascii="Calibri" w:hAnsi="Calibri"/>
        </w:rPr>
        <w:t>de</w:t>
      </w:r>
      <w:r>
        <w:rPr>
          <w:rFonts w:ascii="Calibri" w:hAnsi="Calibri"/>
          <w:spacing w:val="-1"/>
        </w:rPr>
        <w:t> </w:t>
      </w:r>
      <w:r>
        <w:rPr>
          <w:rFonts w:ascii="Calibri" w:hAnsi="Calibri"/>
        </w:rPr>
        <w:t>l'accumulation</w:t>
      </w:r>
      <w:r>
        <w:rPr>
          <w:rFonts w:ascii="Calibri" w:hAnsi="Calibri"/>
          <w:spacing w:val="-3"/>
        </w:rPr>
        <w:t> </w:t>
      </w:r>
      <w:r>
        <w:rPr>
          <w:rFonts w:ascii="Calibri" w:hAnsi="Calibri"/>
        </w:rPr>
        <w:t>de</w:t>
      </w:r>
      <w:r>
        <w:rPr>
          <w:rFonts w:ascii="Calibri" w:hAnsi="Calibri"/>
          <w:spacing w:val="-1"/>
        </w:rPr>
        <w:t> </w:t>
      </w:r>
      <w:r>
        <w:rPr>
          <w:rFonts w:ascii="Calibri" w:hAnsi="Calibri"/>
        </w:rPr>
        <w:t>passifs</w:t>
      </w:r>
      <w:r>
        <w:rPr>
          <w:rFonts w:ascii="Calibri" w:hAnsi="Calibri"/>
          <w:spacing w:val="-2"/>
        </w:rPr>
        <w:t> </w:t>
      </w:r>
      <w:r>
        <w:rPr>
          <w:rFonts w:ascii="Calibri" w:hAnsi="Calibri"/>
        </w:rPr>
        <w:t>éventuels</w:t>
      </w:r>
      <w:r>
        <w:rPr>
          <w:rFonts w:ascii="Calibri" w:hAnsi="Calibri"/>
          <w:spacing w:val="-2"/>
        </w:rPr>
        <w:t> </w:t>
      </w:r>
      <w:r>
        <w:rPr>
          <w:rFonts w:ascii="Calibri" w:hAnsi="Calibri"/>
        </w:rPr>
        <w:t>dans</w:t>
      </w:r>
      <w:r>
        <w:rPr>
          <w:rFonts w:ascii="Calibri" w:hAnsi="Calibri"/>
          <w:spacing w:val="-2"/>
        </w:rPr>
        <w:t> </w:t>
      </w:r>
      <w:r>
        <w:rPr>
          <w:rFonts w:ascii="Calibri" w:hAnsi="Calibri"/>
        </w:rPr>
        <w:t>le</w:t>
      </w:r>
      <w:r>
        <w:rPr>
          <w:rFonts w:ascii="Calibri" w:hAnsi="Calibri"/>
          <w:spacing w:val="-4"/>
        </w:rPr>
        <w:t> </w:t>
      </w:r>
      <w:r>
        <w:rPr>
          <w:rFonts w:ascii="Calibri" w:hAnsi="Calibri"/>
        </w:rPr>
        <w:t>cadre</w:t>
      </w:r>
      <w:r>
        <w:rPr>
          <w:rFonts w:ascii="Calibri" w:hAnsi="Calibri"/>
          <w:spacing w:val="-1"/>
        </w:rPr>
        <w:t> </w:t>
      </w:r>
      <w:r>
        <w:rPr>
          <w:rFonts w:ascii="Calibri" w:hAnsi="Calibri"/>
        </w:rPr>
        <w:t>des</w:t>
      </w:r>
      <w:r>
        <w:rPr>
          <w:rFonts w:ascii="Calibri" w:hAnsi="Calibri"/>
          <w:spacing w:val="-2"/>
        </w:rPr>
        <w:t> </w:t>
      </w:r>
      <w:r>
        <w:rPr>
          <w:rFonts w:ascii="Calibri" w:hAnsi="Calibri"/>
        </w:rPr>
        <w:t>garanties </w:t>
      </w:r>
      <w:r>
        <w:rPr>
          <w:rFonts w:ascii="Calibri" w:hAnsi="Calibri"/>
          <w:spacing w:val="-2"/>
        </w:rPr>
        <w:t>budgétaires.</w:t>
      </w:r>
    </w:p>
    <w:p>
      <w:pPr>
        <w:pStyle w:val="BodyText"/>
        <w:spacing w:before="8"/>
        <w:rPr>
          <w:rFonts w:ascii="Calibri"/>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2"/>
          <w:sz w:val="24"/>
          <w:u w:val="single"/>
        </w:rPr>
        <w:t> requises</w:t>
      </w:r>
    </w:p>
    <w:p>
      <w:pPr>
        <w:pStyle w:val="BodyText"/>
        <w:rPr>
          <w:b/>
          <w:sz w:val="16"/>
        </w:rPr>
      </w:pPr>
    </w:p>
    <w:p>
      <w:pPr>
        <w:pStyle w:val="Heading1"/>
        <w:numPr>
          <w:ilvl w:val="1"/>
          <w:numId w:val="3"/>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6"/>
        <w:rPr>
          <w:b/>
          <w:sz w:val="21"/>
        </w:rPr>
      </w:pPr>
    </w:p>
    <w:p>
      <w:pPr>
        <w:pStyle w:val="BodyText"/>
        <w:spacing w:before="1"/>
        <w:ind w:left="559" w:right="10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3"/>
        </w:numPr>
        <w:tabs>
          <w:tab w:pos="841" w:val="left" w:leader="none"/>
        </w:tabs>
        <w:spacing w:line="240" w:lineRule="auto" w:before="0" w:after="0"/>
        <w:ind w:left="840" w:right="106"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2"/>
          <w:numId w:val="3"/>
        </w:numPr>
        <w:tabs>
          <w:tab w:pos="841" w:val="left" w:leader="none"/>
        </w:tabs>
        <w:spacing w:line="240" w:lineRule="auto" w:before="0" w:after="0"/>
        <w:ind w:left="840" w:right="105" w:hanging="281"/>
        <w:jc w:val="both"/>
        <w:rPr>
          <w:sz w:val="22"/>
        </w:rPr>
      </w:pPr>
      <w:r>
        <w:rPr>
          <w:sz w:val="22"/>
        </w:rPr>
        <w:t>Ancienneté de service : avoir une ancienneté d'au moins un an auprès de son employeur, c'est-à-dire être employé</w:t>
      </w:r>
      <w:r>
        <w:rPr>
          <w:spacing w:val="-2"/>
          <w:sz w:val="22"/>
        </w:rPr>
        <w:t> </w:t>
      </w:r>
      <w:r>
        <w:rPr>
          <w:sz w:val="22"/>
        </w:rPr>
        <w:t>depuis</w:t>
      </w:r>
      <w:r>
        <w:rPr>
          <w:spacing w:val="-2"/>
          <w:sz w:val="22"/>
        </w:rPr>
        <w:t> </w:t>
      </w:r>
      <w:r>
        <w:rPr>
          <w:sz w:val="22"/>
        </w:rPr>
        <w:t>au</w:t>
      </w:r>
      <w:r>
        <w:rPr>
          <w:spacing w:val="-2"/>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1"/>
          <w:sz w:val="22"/>
        </w:rPr>
        <w:t> </w:t>
      </w:r>
      <w:r>
        <w:rPr>
          <w:sz w:val="22"/>
        </w:rPr>
        <w:t>un</w:t>
      </w:r>
      <w:r>
        <w:rPr>
          <w:spacing w:val="-2"/>
          <w:sz w:val="22"/>
        </w:rPr>
        <w:t> </w:t>
      </w:r>
      <w:r>
        <w:rPr>
          <w:sz w:val="22"/>
        </w:rPr>
        <w:t>employeur</w:t>
      </w:r>
      <w:r>
        <w:rPr>
          <w:spacing w:val="-1"/>
          <w:sz w:val="22"/>
        </w:rPr>
        <w:t> </w:t>
      </w:r>
      <w:r>
        <w:rPr>
          <w:sz w:val="22"/>
        </w:rPr>
        <w:t>éligible</w:t>
      </w:r>
      <w:r>
        <w:rPr>
          <w:spacing w:val="-2"/>
          <w:sz w:val="22"/>
        </w:rPr>
        <w:t> </w:t>
      </w:r>
      <w:r>
        <w:rPr>
          <w:sz w:val="22"/>
        </w:rPr>
        <w:t>au</w:t>
      </w:r>
      <w:r>
        <w:rPr>
          <w:spacing w:val="-4"/>
          <w:sz w:val="22"/>
        </w:rPr>
        <w:t> </w:t>
      </w:r>
      <w:r>
        <w:rPr>
          <w:sz w:val="22"/>
        </w:rPr>
        <w:t>sens</w:t>
      </w:r>
      <w:r>
        <w:rPr>
          <w:spacing w:val="-2"/>
          <w:sz w:val="22"/>
        </w:rPr>
        <w:t> </w:t>
      </w:r>
      <w:r>
        <w:rPr>
          <w:sz w:val="22"/>
        </w:rPr>
        <w:t>de</w:t>
      </w:r>
      <w:r>
        <w:rPr>
          <w:spacing w:val="-4"/>
          <w:sz w:val="22"/>
        </w:rPr>
        <w:t> </w:t>
      </w:r>
      <w:r>
        <w:rPr>
          <w:sz w:val="22"/>
        </w:rPr>
        <w:t>l'article</w:t>
      </w:r>
      <w:r>
        <w:rPr>
          <w:spacing w:val="-2"/>
          <w:sz w:val="22"/>
        </w:rPr>
        <w:t> </w:t>
      </w:r>
      <w:r>
        <w:rPr>
          <w:sz w:val="22"/>
        </w:rPr>
        <w:t>1</w:t>
      </w:r>
      <w:r>
        <w:rPr>
          <w:spacing w:val="-2"/>
          <w:sz w:val="22"/>
        </w:rPr>
        <w:t> </w:t>
      </w:r>
      <w:r>
        <w:rPr>
          <w:sz w:val="22"/>
        </w:rPr>
        <w:t>de</w:t>
      </w:r>
      <w:r>
        <w:rPr>
          <w:spacing w:val="-4"/>
          <w:sz w:val="22"/>
        </w:rPr>
        <w:t> </w:t>
      </w:r>
      <w:r>
        <w:rPr>
          <w:sz w:val="22"/>
        </w:rPr>
        <w:t>la</w:t>
      </w:r>
      <w:r>
        <w:rPr>
          <w:spacing w:val="-2"/>
          <w:sz w:val="22"/>
        </w:rPr>
        <w:t> </w:t>
      </w:r>
      <w:r>
        <w:rPr>
          <w:sz w:val="22"/>
        </w:rPr>
        <w:t>décision</w:t>
      </w:r>
      <w:r>
        <w:rPr>
          <w:spacing w:val="-2"/>
          <w:sz w:val="22"/>
        </w:rPr>
        <w:t> </w:t>
      </w:r>
      <w:r>
        <w:rPr>
          <w:sz w:val="22"/>
        </w:rPr>
        <w:t>END,</w:t>
      </w:r>
      <w:r>
        <w:rPr>
          <w:spacing w:val="-2"/>
          <w:sz w:val="22"/>
        </w:rPr>
        <w:t> </w:t>
      </w:r>
      <w:r>
        <w:rPr>
          <w:sz w:val="22"/>
        </w:rPr>
        <w:t>dans</w:t>
      </w:r>
      <w:r>
        <w:rPr>
          <w:spacing w:val="-2"/>
          <w:sz w:val="22"/>
        </w:rPr>
        <w:t> </w:t>
      </w:r>
      <w:r>
        <w:rPr>
          <w:sz w:val="22"/>
        </w:rPr>
        <w:t>un cadre statutaire ou contractuel avant le détachement;</w:t>
      </w:r>
    </w:p>
    <w:p>
      <w:pPr>
        <w:pStyle w:val="BodyText"/>
      </w:pPr>
    </w:p>
    <w:p>
      <w:pPr>
        <w:pStyle w:val="ListParagraph"/>
        <w:numPr>
          <w:ilvl w:val="2"/>
          <w:numId w:val="3"/>
        </w:numPr>
        <w:tabs>
          <w:tab w:pos="841" w:val="left" w:leader="none"/>
        </w:tabs>
        <w:spacing w:line="240" w:lineRule="auto" w:before="1" w:after="0"/>
        <w:ind w:left="840" w:right="103"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spacing w:after="0" w:line="240" w:lineRule="auto"/>
        <w:jc w:val="both"/>
        <w:rPr>
          <w:sz w:val="22"/>
        </w:rPr>
        <w:sectPr>
          <w:pgSz w:w="11910" w:h="16840"/>
          <w:pgMar w:header="0" w:footer="692" w:top="1080" w:bottom="880" w:left="720" w:right="740"/>
        </w:sectPr>
      </w:pPr>
    </w:p>
    <w:p>
      <w:pPr>
        <w:pStyle w:val="Heading1"/>
        <w:numPr>
          <w:ilvl w:val="1"/>
          <w:numId w:val="3"/>
        </w:numPr>
        <w:tabs>
          <w:tab w:pos="840" w:val="left" w:leader="none"/>
        </w:tabs>
        <w:spacing w:line="240" w:lineRule="auto" w:before="69" w:after="0"/>
        <w:ind w:left="839" w:right="0" w:hanging="281"/>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8"/>
        <w:rPr>
          <w:b/>
          <w:sz w:val="15"/>
        </w:rPr>
      </w:pPr>
    </w:p>
    <w:p>
      <w:pPr>
        <w:pStyle w:val="BodyText"/>
        <w:spacing w:line="252" w:lineRule="exact" w:before="92"/>
        <w:ind w:left="840"/>
      </w:pPr>
      <w:r>
        <w:rPr>
          <w:spacing w:val="-2"/>
          <w:u w:val="single"/>
        </w:rPr>
        <w:t>Diplôme</w:t>
      </w:r>
    </w:p>
    <w:p>
      <w:pPr>
        <w:pStyle w:val="ListParagraph"/>
        <w:numPr>
          <w:ilvl w:val="0"/>
          <w:numId w:val="5"/>
        </w:numPr>
        <w:tabs>
          <w:tab w:pos="965" w:val="left" w:leader="none"/>
        </w:tabs>
        <w:spacing w:line="252" w:lineRule="exact" w:before="0" w:after="0"/>
        <w:ind w:left="964" w:right="0" w:hanging="125"/>
        <w:jc w:val="left"/>
        <w:rPr>
          <w:sz w:val="22"/>
        </w:rPr>
      </w:pPr>
      <w:r>
        <w:rPr>
          <w:sz w:val="22"/>
        </w:rPr>
        <w:t>diplôme</w:t>
      </w:r>
      <w:r>
        <w:rPr>
          <w:spacing w:val="-4"/>
          <w:sz w:val="22"/>
        </w:rPr>
        <w:t> </w:t>
      </w:r>
      <w:r>
        <w:rPr>
          <w:sz w:val="22"/>
        </w:rPr>
        <w:t>universitaire</w:t>
      </w:r>
      <w:r>
        <w:rPr>
          <w:spacing w:val="-3"/>
          <w:sz w:val="22"/>
        </w:rPr>
        <w:t> </w:t>
      </w:r>
      <w:r>
        <w:rPr>
          <w:spacing w:val="-5"/>
          <w:sz w:val="22"/>
        </w:rPr>
        <w:t>ou</w:t>
      </w:r>
    </w:p>
    <w:p>
      <w:pPr>
        <w:pStyle w:val="ListParagraph"/>
        <w:numPr>
          <w:ilvl w:val="0"/>
          <w:numId w:val="5"/>
        </w:numPr>
        <w:tabs>
          <w:tab w:pos="965" w:val="left" w:leader="none"/>
        </w:tabs>
        <w:spacing w:line="482" w:lineRule="auto" w:before="1" w:after="0"/>
        <w:ind w:left="950" w:right="2650" w:hanging="111"/>
        <w:jc w:val="left"/>
        <w:rPr>
          <w:rFonts w:ascii="Calibri" w:hAnsi="Calibri"/>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w:t>
      </w:r>
      <w:r>
        <w:rPr>
          <w:rFonts w:ascii="Calibri" w:hAnsi="Calibri"/>
          <w:sz w:val="22"/>
        </w:rPr>
        <w:t>économie, finance, droit, gestion et banque.</w:t>
      </w:r>
    </w:p>
    <w:p>
      <w:pPr>
        <w:pStyle w:val="BodyText"/>
        <w:spacing w:before="11"/>
        <w:rPr>
          <w:rFonts w:ascii="Calibri"/>
          <w:sz w:val="18"/>
        </w:rPr>
      </w:pPr>
    </w:p>
    <w:p>
      <w:pPr>
        <w:pStyle w:val="BodyText"/>
        <w:ind w:left="840"/>
      </w:pPr>
      <w:r>
        <w:rPr>
          <w:u w:val="single"/>
        </w:rPr>
        <w:t>Expérience</w:t>
      </w:r>
      <w:r>
        <w:rPr>
          <w:spacing w:val="-5"/>
          <w:u w:val="single"/>
        </w:rPr>
        <w:t> </w:t>
      </w:r>
      <w:r>
        <w:rPr>
          <w:spacing w:val="-2"/>
          <w:u w:val="single"/>
        </w:rPr>
        <w:t>professionnelle</w:t>
      </w:r>
    </w:p>
    <w:p>
      <w:pPr>
        <w:pStyle w:val="BodyText"/>
        <w:spacing w:before="8"/>
        <w:rPr>
          <w:sz w:val="17"/>
        </w:rPr>
      </w:pPr>
    </w:p>
    <w:p>
      <w:pPr>
        <w:pStyle w:val="BodyText"/>
        <w:spacing w:before="56"/>
        <w:ind w:left="840"/>
        <w:rPr>
          <w:rFonts w:ascii="Calibri"/>
        </w:rPr>
      </w:pPr>
      <w:r>
        <w:rPr>
          <w:rFonts w:ascii="Calibri"/>
        </w:rPr>
        <w:t>5</w:t>
      </w:r>
      <w:r>
        <w:rPr>
          <w:rFonts w:ascii="Calibri"/>
          <w:spacing w:val="-2"/>
        </w:rPr>
        <w:t> </w:t>
      </w:r>
      <w:r>
        <w:rPr>
          <w:rFonts w:ascii="Calibri"/>
        </w:rPr>
        <w:t>ans</w:t>
      </w:r>
      <w:r>
        <w:rPr>
          <w:rFonts w:ascii="Calibri"/>
          <w:spacing w:val="-3"/>
        </w:rPr>
        <w:t> </w:t>
      </w:r>
      <w:r>
        <w:rPr>
          <w:rFonts w:ascii="Calibri"/>
        </w:rPr>
        <w:t>dans</w:t>
      </w:r>
      <w:r>
        <w:rPr>
          <w:rFonts w:ascii="Calibri"/>
          <w:spacing w:val="-3"/>
        </w:rPr>
        <w:t> </w:t>
      </w:r>
      <w:r>
        <w:rPr>
          <w:rFonts w:ascii="Calibri"/>
        </w:rPr>
        <w:t>le</w:t>
      </w:r>
      <w:r>
        <w:rPr>
          <w:rFonts w:ascii="Calibri"/>
          <w:spacing w:val="-2"/>
        </w:rPr>
        <w:t> </w:t>
      </w:r>
      <w:r>
        <w:rPr>
          <w:rFonts w:ascii="Calibri"/>
        </w:rPr>
        <w:t>domaine</w:t>
      </w:r>
      <w:r>
        <w:rPr>
          <w:rFonts w:ascii="Calibri"/>
          <w:spacing w:val="-4"/>
        </w:rPr>
        <w:t> </w:t>
      </w:r>
      <w:r>
        <w:rPr>
          <w:rFonts w:ascii="Calibri"/>
        </w:rPr>
        <w:t>du</w:t>
      </w:r>
      <w:r>
        <w:rPr>
          <w:rFonts w:ascii="Calibri"/>
          <w:spacing w:val="-4"/>
        </w:rPr>
        <w:t> </w:t>
      </w:r>
      <w:r>
        <w:rPr>
          <w:rFonts w:ascii="Calibri"/>
        </w:rPr>
        <w:t>back</w:t>
      </w:r>
      <w:r>
        <w:rPr>
          <w:rFonts w:ascii="Calibri"/>
          <w:spacing w:val="-4"/>
        </w:rPr>
        <w:t> </w:t>
      </w:r>
      <w:r>
        <w:rPr>
          <w:rFonts w:ascii="Calibri"/>
          <w:spacing w:val="-2"/>
        </w:rPr>
        <w:t>office</w:t>
      </w: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spacing w:before="169"/>
        <w:ind w:left="840"/>
      </w:pPr>
      <w:r>
        <w:rPr>
          <w:u w:val="single"/>
        </w:rPr>
        <w:t>Langue(s)</w:t>
      </w:r>
      <w:r>
        <w:rPr>
          <w:spacing w:val="-8"/>
          <w:u w:val="single"/>
        </w:rPr>
        <w:t> </w:t>
      </w:r>
      <w:r>
        <w:rPr>
          <w:u w:val="single"/>
        </w:rPr>
        <w:t>nécessaire(s)</w:t>
      </w:r>
      <w:r>
        <w:rPr>
          <w:spacing w:val="-5"/>
          <w:u w:val="single"/>
        </w:rPr>
        <w:t> </w:t>
      </w:r>
      <w:r>
        <w:rPr>
          <w:u w:val="single"/>
        </w:rPr>
        <w:t>pour</w:t>
      </w:r>
      <w:r>
        <w:rPr>
          <w:spacing w:val="-5"/>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6"/>
        <w:ind w:left="131"/>
        <w:rPr>
          <w:rFonts w:ascii="Calibri"/>
        </w:rPr>
      </w:pPr>
      <w:r>
        <w:rPr>
          <w:rFonts w:ascii="Calibri"/>
          <w:spacing w:val="-2"/>
        </w:rPr>
        <w:t>Anglais</w:t>
      </w:r>
    </w:p>
    <w:p>
      <w:pPr>
        <w:pStyle w:val="BodyText"/>
        <w:rPr>
          <w:rFonts w:ascii="Calibri"/>
        </w:rPr>
      </w:pPr>
    </w:p>
    <w:p>
      <w:pPr>
        <w:pStyle w:val="BodyText"/>
        <w:rPr>
          <w:rFonts w:ascii="Calibri"/>
        </w:rPr>
      </w:pPr>
    </w:p>
    <w:p>
      <w:pPr>
        <w:pStyle w:val="BodyText"/>
        <w:rPr>
          <w:rFonts w:ascii="Calibri"/>
        </w:rPr>
      </w:pPr>
    </w:p>
    <w:p>
      <w:pPr>
        <w:pStyle w:val="ListParagraph"/>
        <w:numPr>
          <w:ilvl w:val="0"/>
          <w:numId w:val="3"/>
        </w:numPr>
        <w:tabs>
          <w:tab w:pos="559" w:val="left" w:leader="none"/>
          <w:tab w:pos="560" w:val="left" w:leader="none"/>
        </w:tabs>
        <w:spacing w:line="240" w:lineRule="auto" w:before="193" w:after="0"/>
        <w:ind w:left="559" w:right="0" w:hanging="428"/>
        <w:jc w:val="left"/>
        <w:rPr>
          <w:b/>
          <w:sz w:val="24"/>
        </w:rPr>
      </w:pPr>
      <w:r>
        <w:rPr>
          <w:b/>
          <w:sz w:val="24"/>
          <w:u w:val="single"/>
        </w:rPr>
        <w:t>Soumission</w:t>
      </w:r>
      <w:r>
        <w:rPr>
          <w:b/>
          <w:spacing w:val="-5"/>
          <w:sz w:val="24"/>
          <w:u w:val="single"/>
        </w:rPr>
        <w:t> </w:t>
      </w:r>
      <w:r>
        <w:rPr>
          <w:b/>
          <w:sz w:val="24"/>
          <w:u w:val="single"/>
        </w:rPr>
        <w:t>des</w:t>
      </w:r>
      <w:r>
        <w:rPr>
          <w:b/>
          <w:spacing w:val="-2"/>
          <w:sz w:val="24"/>
          <w:u w:val="single"/>
        </w:rPr>
        <w:t> </w:t>
      </w:r>
      <w:r>
        <w:rPr>
          <w:b/>
          <w:sz w:val="24"/>
          <w:u w:val="single"/>
        </w:rPr>
        <w:t>candidatures</w:t>
      </w:r>
      <w:r>
        <w:rPr>
          <w:b/>
          <w:spacing w:val="-3"/>
          <w:sz w:val="24"/>
          <w:u w:val="single"/>
        </w:rPr>
        <w:t> </w:t>
      </w:r>
      <w:r>
        <w:rPr>
          <w:b/>
          <w:sz w:val="24"/>
          <w:u w:val="single"/>
        </w:rPr>
        <w:t>et</w:t>
      </w:r>
      <w:r>
        <w:rPr>
          <w:b/>
          <w:spacing w:val="-3"/>
          <w:sz w:val="24"/>
          <w:u w:val="single"/>
        </w:rPr>
        <w:t> </w:t>
      </w:r>
      <w:r>
        <w:rPr>
          <w:b/>
          <w:sz w:val="24"/>
          <w:u w:val="single"/>
        </w:rPr>
        <w:t>procédure</w:t>
      </w:r>
      <w:r>
        <w:rPr>
          <w:b/>
          <w:spacing w:val="-3"/>
          <w:sz w:val="24"/>
          <w:u w:val="single"/>
        </w:rPr>
        <w:t> </w:t>
      </w:r>
      <w:r>
        <w:rPr>
          <w:b/>
          <w:sz w:val="24"/>
          <w:u w:val="single"/>
        </w:rPr>
        <w:t>de</w:t>
      </w:r>
      <w:r>
        <w:rPr>
          <w:b/>
          <w:spacing w:val="-3"/>
          <w:sz w:val="24"/>
          <w:u w:val="single"/>
        </w:rPr>
        <w:t> </w:t>
      </w:r>
      <w:r>
        <w:rPr>
          <w:b/>
          <w:spacing w:val="-2"/>
          <w:sz w:val="24"/>
          <w:u w:val="single"/>
        </w:rPr>
        <w:t>sélection</w:t>
      </w:r>
    </w:p>
    <w:p>
      <w:pPr>
        <w:pStyle w:val="BodyText"/>
        <w:spacing w:before="7"/>
        <w:rPr>
          <w:b/>
          <w:sz w:val="15"/>
        </w:rPr>
      </w:pPr>
    </w:p>
    <w:p>
      <w:pPr>
        <w:spacing w:before="91"/>
        <w:ind w:left="559" w:right="276"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4"/>
        </w:rPr>
        <w:t> </w:t>
      </w:r>
      <w:r>
        <w:rPr/>
        <w:t>candidats</w:t>
      </w:r>
      <w:r>
        <w:rPr>
          <w:spacing w:val="-3"/>
        </w:rPr>
        <w:t> </w:t>
      </w:r>
      <w:r>
        <w:rPr/>
        <w:t>seront</w:t>
      </w:r>
      <w:r>
        <w:rPr>
          <w:spacing w:val="-3"/>
        </w:rPr>
        <w:t> </w:t>
      </w:r>
      <w:r>
        <w:rPr/>
        <w:t>informés</w:t>
      </w:r>
      <w:r>
        <w:rPr>
          <w:spacing w:val="-3"/>
        </w:rPr>
        <w:t> </w:t>
      </w:r>
      <w:r>
        <w:rPr/>
        <w:t>du</w:t>
      </w:r>
      <w:r>
        <w:rPr>
          <w:spacing w:val="-3"/>
        </w:rPr>
        <w:t> </w:t>
      </w:r>
      <w:r>
        <w:rPr/>
        <w:t>suivi</w:t>
      </w:r>
      <w:r>
        <w:rPr>
          <w:spacing w:val="-3"/>
        </w:rPr>
        <w:t> </w:t>
      </w:r>
      <w:r>
        <w:rPr/>
        <w:t>de</w:t>
      </w:r>
      <w:r>
        <w:rPr>
          <w:spacing w:val="-5"/>
        </w:rPr>
        <w:t> </w:t>
      </w:r>
      <w:r>
        <w:rPr/>
        <w:t>leur</w:t>
      </w:r>
      <w:r>
        <w:rPr>
          <w:spacing w:val="-3"/>
        </w:rPr>
        <w:t> </w:t>
      </w:r>
      <w:r>
        <w:rPr/>
        <w:t>candidature</w:t>
      </w:r>
      <w:r>
        <w:rPr>
          <w:spacing w:val="-3"/>
        </w:rPr>
        <w:t> </w:t>
      </w:r>
      <w:r>
        <w:rPr/>
        <w:t>par</w:t>
      </w:r>
      <w:r>
        <w:rPr>
          <w:spacing w:val="-5"/>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4" w:after="0"/>
        <w:ind w:left="559" w:right="0" w:hanging="428"/>
        <w:jc w:val="both"/>
        <w:rPr>
          <w:b/>
          <w:sz w:val="24"/>
        </w:rPr>
      </w:pPr>
      <w:r>
        <w:rPr>
          <w:b/>
          <w:sz w:val="24"/>
          <w:u w:val="single"/>
        </w:rPr>
        <w:t>Conditions</w:t>
      </w:r>
      <w:r>
        <w:rPr>
          <w:b/>
          <w:spacing w:val="-2"/>
          <w:sz w:val="24"/>
          <w:u w:val="single"/>
        </w:rPr>
        <w:t> </w:t>
      </w:r>
      <w:r>
        <w:rPr>
          <w:b/>
          <w:sz w:val="24"/>
          <w:u w:val="single"/>
        </w:rPr>
        <w:t>du</w:t>
      </w:r>
      <w:r>
        <w:rPr>
          <w:b/>
          <w:spacing w:val="-2"/>
          <w:sz w:val="24"/>
          <w:u w:val="single"/>
        </w:rPr>
        <w:t> détachement</w:t>
      </w:r>
    </w:p>
    <w:p>
      <w:pPr>
        <w:pStyle w:val="BodyText"/>
        <w:spacing w:before="7"/>
        <w:rPr>
          <w:b/>
          <w:sz w:val="15"/>
        </w:rPr>
      </w:pPr>
    </w:p>
    <w:p>
      <w:pPr>
        <w:spacing w:before="91"/>
        <w:ind w:left="559" w:right="280"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3"/>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4"/>
        </w:rPr>
        <w:t> </w:t>
      </w:r>
      <w:r>
        <w:rPr/>
        <w:t>détachement.</w:t>
      </w:r>
      <w:r>
        <w:rPr>
          <w:spacing w:val="34"/>
        </w:rPr>
        <w:t> </w:t>
      </w:r>
      <w:r>
        <w:rPr/>
        <w:t>Il</w:t>
      </w:r>
      <w:r>
        <w:rPr>
          <w:spacing w:val="35"/>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2"/>
        </w:rPr>
        <w:t> </w:t>
      </w:r>
      <w:r>
        <w:rPr/>
        <w:t>aux</w:t>
      </w:r>
      <w:r>
        <w:rPr>
          <w:spacing w:val="31"/>
        </w:rPr>
        <w:t> </w:t>
      </w:r>
      <w:r>
        <w:rPr/>
        <w:t>obligations</w:t>
      </w:r>
      <w:r>
        <w:rPr>
          <w:spacing w:val="32"/>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ind w:left="559"/>
      </w:pPr>
      <w:r>
        <w:rPr/>
        <w:t>Toute</w:t>
      </w:r>
      <w:r>
        <w:rPr>
          <w:spacing w:val="-5"/>
        </w:rPr>
        <w:t> </w:t>
      </w:r>
      <w:r>
        <w:rPr/>
        <w:t>déclaration</w:t>
      </w:r>
      <w:r>
        <w:rPr>
          <w:spacing w:val="-6"/>
        </w:rPr>
        <w:t> </w:t>
      </w:r>
      <w:r>
        <w:rPr/>
        <w:t>incomplète</w:t>
      </w:r>
      <w:r>
        <w:rPr>
          <w:spacing w:val="-3"/>
        </w:rPr>
        <w:t> </w:t>
      </w:r>
      <w:r>
        <w:rPr/>
        <w:t>ou</w:t>
      </w:r>
      <w:r>
        <w:rPr>
          <w:spacing w:val="-6"/>
        </w:rPr>
        <w:t> </w:t>
      </w:r>
      <w:r>
        <w:rPr/>
        <w:t>fausse</w:t>
      </w:r>
      <w:r>
        <w:rPr>
          <w:spacing w:val="-3"/>
        </w:rPr>
        <w:t> </w:t>
      </w:r>
      <w:r>
        <w:rPr/>
        <w:t>pourra</w:t>
      </w:r>
      <w:r>
        <w:rPr>
          <w:spacing w:val="-3"/>
        </w:rPr>
        <w:t> </w:t>
      </w:r>
      <w:r>
        <w:rPr/>
        <w:t>entraîner</w:t>
      </w:r>
      <w:r>
        <w:rPr>
          <w:spacing w:val="-2"/>
        </w:rPr>
        <w:t> </w:t>
      </w:r>
      <w:r>
        <w:rPr/>
        <w:t>le</w:t>
      </w:r>
      <w:r>
        <w:rPr>
          <w:spacing w:val="-5"/>
        </w:rPr>
        <w:t> </w:t>
      </w:r>
      <w:r>
        <w:rPr/>
        <w:t>refus</w:t>
      </w:r>
      <w:r>
        <w:rPr>
          <w:spacing w:val="-3"/>
        </w:rPr>
        <w:t> </w:t>
      </w:r>
      <w:r>
        <w:rPr/>
        <w:t>de</w:t>
      </w:r>
      <w:r>
        <w:rPr>
          <w:spacing w:val="-3"/>
        </w:rPr>
        <w:t> </w:t>
      </w:r>
      <w:r>
        <w:rPr/>
        <w:t>la</w:t>
      </w:r>
      <w:r>
        <w:rPr>
          <w:spacing w:val="-2"/>
        </w:rPr>
        <w:t> candidature.</w:t>
      </w:r>
    </w:p>
    <w:p>
      <w:pPr>
        <w:pStyle w:val="BodyText"/>
        <w:spacing w:before="9"/>
        <w:rPr>
          <w:sz w:val="20"/>
        </w:rPr>
      </w:pPr>
    </w:p>
    <w:p>
      <w:pPr>
        <w:pStyle w:val="BodyText"/>
        <w:ind w:left="559" w:right="105"/>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spacing w:after="0"/>
        <w:jc w:val="both"/>
        <w:sectPr>
          <w:pgSz w:w="11910" w:h="16840"/>
          <w:pgMar w:header="0" w:footer="692" w:top="1320" w:bottom="880" w:left="720" w:right="740"/>
        </w:sectPr>
      </w:pPr>
    </w:p>
    <w:p>
      <w:pPr>
        <w:pStyle w:val="ListParagraph"/>
        <w:numPr>
          <w:ilvl w:val="0"/>
          <w:numId w:val="3"/>
        </w:numPr>
        <w:tabs>
          <w:tab w:pos="559" w:val="left" w:leader="none"/>
          <w:tab w:pos="560" w:val="left" w:leader="none"/>
        </w:tabs>
        <w:spacing w:line="240" w:lineRule="auto" w:before="69" w:after="0"/>
        <w:ind w:left="559" w:right="0" w:hanging="428"/>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7"/>
        <w:rPr>
          <w:b/>
          <w:sz w:val="15"/>
        </w:rPr>
      </w:pPr>
    </w:p>
    <w:p>
      <w:pPr>
        <w:pStyle w:val="BodyText"/>
        <w:spacing w:before="91"/>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3"/>
        <w:ind w:left="559" w:right="280"/>
        <w:jc w:val="both"/>
      </w:pPr>
      <w:r>
        <w:rPr/>
        <w:t>Les données des END seront conservées pendant 7 ans à compter de la fin du détachement (2 ans pour les END dont la candidature n'a pas été retenue).</w:t>
      </w:r>
    </w:p>
    <w:p>
      <w:pPr>
        <w:pStyle w:val="BodyText"/>
        <w:ind w:left="559" w:right="280"/>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77"/>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0"/>
        <w:ind w:left="559" w:firstLine="0"/>
        <w:rPr>
          <w:u w:val="none"/>
        </w:rPr>
      </w:pPr>
      <w:r>
        <w:rPr>
          <w:u w:val="single"/>
        </w:rPr>
        <w:t>Informations</w:t>
      </w:r>
      <w:r>
        <w:rPr>
          <w:spacing w:val="-5"/>
          <w:u w:val="single"/>
        </w:rPr>
        <w:t> </w:t>
      </w:r>
      <w:r>
        <w:rPr>
          <w:u w:val="single"/>
        </w:rPr>
        <w:t>de</w:t>
      </w:r>
      <w:r>
        <w:rPr>
          <w:spacing w:val="-4"/>
          <w:u w:val="single"/>
        </w:rPr>
        <w:t> </w:t>
      </w:r>
      <w:r>
        <w:rPr>
          <w:spacing w:val="-2"/>
          <w:u w:val="single"/>
        </w:rPr>
        <w:t>contact</w:t>
      </w:r>
    </w:p>
    <w:p>
      <w:pPr>
        <w:pStyle w:val="BodyText"/>
        <w:spacing w:before="6"/>
        <w:rPr>
          <w:b/>
          <w:sz w:val="13"/>
        </w:rPr>
      </w:pPr>
    </w:p>
    <w:p>
      <w:pPr>
        <w:pStyle w:val="ListParagraph"/>
        <w:numPr>
          <w:ilvl w:val="0"/>
          <w:numId w:val="6"/>
        </w:numPr>
        <w:tabs>
          <w:tab w:pos="841" w:val="left" w:leader="none"/>
        </w:tabs>
        <w:spacing w:line="240" w:lineRule="auto" w:before="91" w:after="0"/>
        <w:ind w:left="840" w:right="0" w:hanging="282"/>
        <w:jc w:val="both"/>
        <w:rPr>
          <w:sz w:val="22"/>
        </w:rPr>
      </w:pPr>
      <w:r>
        <w:rPr>
          <w:b/>
          <w:sz w:val="22"/>
        </w:rPr>
        <w:t>Le</w:t>
      </w:r>
      <w:r>
        <w:rPr>
          <w:b/>
          <w:spacing w:val="-3"/>
          <w:sz w:val="22"/>
        </w:rPr>
        <w:t> </w:t>
      </w:r>
      <w:r>
        <w:rPr>
          <w:b/>
          <w:sz w:val="22"/>
        </w:rPr>
        <w:t>contrôleur</w:t>
      </w:r>
      <w:r>
        <w:rPr>
          <w:b/>
          <w:spacing w:val="-3"/>
          <w:sz w:val="22"/>
        </w:rPr>
        <w:t> </w:t>
      </w:r>
      <w:r>
        <w:rPr>
          <w:b/>
          <w:sz w:val="22"/>
        </w:rPr>
        <w:t>de</w:t>
      </w:r>
      <w:r>
        <w:rPr>
          <w:b/>
          <w:spacing w:val="-2"/>
          <w:sz w:val="22"/>
        </w:rPr>
        <w:t> données</w:t>
      </w:r>
    </w:p>
    <w:p>
      <w:pPr>
        <w:pStyle w:val="BodyText"/>
        <w:spacing w:before="2"/>
        <w:ind w:left="559" w:right="27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6"/>
        </w:numPr>
        <w:tabs>
          <w:tab w:pos="841" w:val="left" w:leader="none"/>
        </w:tabs>
        <w:spacing w:line="252" w:lineRule="exact" w:before="91" w:after="0"/>
        <w:ind w:left="840" w:right="0" w:hanging="282"/>
        <w:jc w:val="both"/>
        <w:rPr>
          <w:b w:val="0"/>
          <w:u w:val="none"/>
        </w:rPr>
      </w:pPr>
      <w:r>
        <w:rPr>
          <w:u w:val="single"/>
        </w:rPr>
        <w:t>Le</w:t>
      </w:r>
      <w:r>
        <w:rPr>
          <w:spacing w:val="-5"/>
          <w:u w:val="single"/>
        </w:rPr>
        <w:t> </w:t>
      </w:r>
      <w:r>
        <w:rPr>
          <w:u w:val="single"/>
        </w:rPr>
        <w:t>délégué</w:t>
      </w:r>
      <w:r>
        <w:rPr>
          <w:spacing w:val="-2"/>
          <w:u w:val="single"/>
        </w:rPr>
        <w:t> </w:t>
      </w:r>
      <w:r>
        <w:rPr>
          <w:u w:val="single"/>
        </w:rPr>
        <w:t>à</w:t>
      </w:r>
      <w:r>
        <w:rPr>
          <w:spacing w:val="-5"/>
          <w:u w:val="single"/>
        </w:rPr>
        <w:t> </w:t>
      </w:r>
      <w:r>
        <w:rPr>
          <w:u w:val="single"/>
        </w:rPr>
        <w:t>la</w:t>
      </w:r>
      <w:r>
        <w:rPr>
          <w:spacing w:val="-2"/>
          <w:u w:val="single"/>
        </w:rPr>
        <w:t> </w:t>
      </w:r>
      <w:r>
        <w:rPr>
          <w:u w:val="single"/>
        </w:rPr>
        <w:t>protection</w:t>
      </w:r>
      <w:r>
        <w:rPr>
          <w:spacing w:val="-5"/>
          <w:u w:val="single"/>
        </w:rPr>
        <w:t> </w:t>
      </w:r>
      <w:r>
        <w:rPr>
          <w:u w:val="single"/>
        </w:rPr>
        <w:t>des</w:t>
      </w:r>
      <w:r>
        <w:rPr>
          <w:spacing w:val="-2"/>
          <w:u w:val="single"/>
        </w:rPr>
        <w:t> </w:t>
      </w:r>
      <w:r>
        <w:rPr>
          <w:u w:val="single"/>
        </w:rPr>
        <w:t>données</w:t>
      </w:r>
      <w:r>
        <w:rPr>
          <w:spacing w:val="-4"/>
          <w:u w:val="single"/>
        </w:rPr>
        <w:t> </w:t>
      </w:r>
      <w:r>
        <w:rPr>
          <w:u w:val="single"/>
        </w:rPr>
        <w:t>(DPD)</w:t>
      </w:r>
      <w:r>
        <w:rPr>
          <w:spacing w:val="-1"/>
          <w:u w:val="single"/>
        </w:rPr>
        <w:t> </w:t>
      </w:r>
      <w:r>
        <w:rPr>
          <w:u w:val="single"/>
        </w:rPr>
        <w:t>de</w:t>
      </w:r>
      <w:r>
        <w:rPr>
          <w:spacing w:val="-4"/>
          <w:u w:val="single"/>
        </w:rPr>
        <w:t> </w:t>
      </w:r>
      <w:r>
        <w:rPr>
          <w:u w:val="single"/>
        </w:rPr>
        <w:t>la</w:t>
      </w:r>
      <w:r>
        <w:rPr>
          <w:spacing w:val="-5"/>
          <w:u w:val="single"/>
        </w:rPr>
        <w:t> </w:t>
      </w:r>
      <w:r>
        <w:rPr>
          <w:spacing w:val="-2"/>
          <w:u w:val="single"/>
        </w:rPr>
        <w:t>Commission</w:t>
      </w:r>
    </w:p>
    <w:p>
      <w:pPr>
        <w:pStyle w:val="BodyText"/>
        <w:ind w:left="559" w:right="278"/>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6"/>
        </w:numPr>
        <w:tabs>
          <w:tab w:pos="841" w:val="left" w:leader="none"/>
        </w:tabs>
        <w:spacing w:line="240" w:lineRule="auto" w:before="1" w:after="0"/>
        <w:ind w:left="840" w:right="0" w:hanging="282"/>
        <w:jc w:val="both"/>
        <w:rPr>
          <w:u w:val="none"/>
        </w:rPr>
      </w:pPr>
      <w:r>
        <w:rPr>
          <w:u w:val="single"/>
        </w:rPr>
        <w:t>Le</w:t>
      </w:r>
      <w:r>
        <w:rPr>
          <w:spacing w:val="-7"/>
          <w:u w:val="single"/>
        </w:rPr>
        <w:t> </w:t>
      </w:r>
      <w:r>
        <w:rPr>
          <w:u w:val="single"/>
        </w:rPr>
        <w:t>contrôleur</w:t>
      </w:r>
      <w:r>
        <w:rPr>
          <w:spacing w:val="-4"/>
          <w:u w:val="single"/>
        </w:rPr>
        <w:t> </w:t>
      </w:r>
      <w:r>
        <w:rPr>
          <w:u w:val="single"/>
        </w:rPr>
        <w:t>européen</w:t>
      </w:r>
      <w:r>
        <w:rPr>
          <w:spacing w:val="-5"/>
          <w:u w:val="single"/>
        </w:rPr>
        <w:t> </w:t>
      </w:r>
      <w:r>
        <w:rPr>
          <w:u w:val="single"/>
        </w:rPr>
        <w:t>de</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4"/>
          <w:u w:val="single"/>
        </w:rPr>
        <w:t> </w:t>
      </w:r>
      <w:r>
        <w:rPr>
          <w:u w:val="single"/>
        </w:rPr>
        <w:t>données</w:t>
      </w:r>
      <w:r>
        <w:rPr>
          <w:spacing w:val="-4"/>
          <w:u w:val="single"/>
        </w:rPr>
        <w:t> </w:t>
      </w:r>
      <w:r>
        <w:rPr>
          <w:spacing w:val="-2"/>
          <w:u w:val="single"/>
        </w:rPr>
        <w:t>(CEPD)</w:t>
      </w:r>
    </w:p>
    <w:p>
      <w:pPr>
        <w:pStyle w:val="BodyText"/>
        <w:spacing w:before="7"/>
        <w:rPr>
          <w:b/>
          <w:sz w:val="13"/>
        </w:rPr>
      </w:pPr>
    </w:p>
    <w:p>
      <w:pPr>
        <w:pStyle w:val="BodyText"/>
        <w:spacing w:before="92"/>
        <w:ind w:left="558" w:right="281"/>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spacing w:before="1"/>
        <w:ind w:left="559"/>
      </w:pPr>
      <w:r>
        <w:rPr/>
        <w:t>À l'attention des candidats ressortissant de pays tiers: vos données personnelles peuvent être utilisées aux fins des vérifications de sécurité.</w:t>
      </w:r>
    </w:p>
    <w:sectPr>
      <w:pgSz w:w="11910" w:h="16840"/>
      <w:pgMar w:header="0" w:footer="692" w:top="132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31543pt;width:56.1pt;height:10.95pt;mso-position-horizontal-relative:page;mso-position-vertical-relative:page;z-index:-15825408"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7"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5"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0" w:hanging="252"/>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3">
    <w:multiLevelType w:val="hybridMultilevel"/>
    <w:lvl w:ilvl="0">
      <w:start w:val="0"/>
      <w:numFmt w:val="bullet"/>
      <w:lvlText w:val="-"/>
      <w:lvlJc w:val="left"/>
      <w:pPr>
        <w:ind w:left="851" w:hanging="118"/>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818" w:hanging="118"/>
      </w:pPr>
      <w:rPr>
        <w:rFonts w:hint="default"/>
        <w:lang w:val="fr-FR" w:eastAsia="en-US" w:bidi="ar-SA"/>
      </w:rPr>
    </w:lvl>
    <w:lvl w:ilvl="2">
      <w:start w:val="0"/>
      <w:numFmt w:val="bullet"/>
      <w:lvlText w:val="•"/>
      <w:lvlJc w:val="left"/>
      <w:pPr>
        <w:ind w:left="2777" w:hanging="118"/>
      </w:pPr>
      <w:rPr>
        <w:rFonts w:hint="default"/>
        <w:lang w:val="fr-FR" w:eastAsia="en-US" w:bidi="ar-SA"/>
      </w:rPr>
    </w:lvl>
    <w:lvl w:ilvl="3">
      <w:start w:val="0"/>
      <w:numFmt w:val="bullet"/>
      <w:lvlText w:val="•"/>
      <w:lvlJc w:val="left"/>
      <w:pPr>
        <w:ind w:left="3735" w:hanging="118"/>
      </w:pPr>
      <w:rPr>
        <w:rFonts w:hint="default"/>
        <w:lang w:val="fr-FR" w:eastAsia="en-US" w:bidi="ar-SA"/>
      </w:rPr>
    </w:lvl>
    <w:lvl w:ilvl="4">
      <w:start w:val="0"/>
      <w:numFmt w:val="bullet"/>
      <w:lvlText w:val="•"/>
      <w:lvlJc w:val="left"/>
      <w:pPr>
        <w:ind w:left="4694" w:hanging="118"/>
      </w:pPr>
      <w:rPr>
        <w:rFonts w:hint="default"/>
        <w:lang w:val="fr-FR" w:eastAsia="en-US" w:bidi="ar-SA"/>
      </w:rPr>
    </w:lvl>
    <w:lvl w:ilvl="5">
      <w:start w:val="0"/>
      <w:numFmt w:val="bullet"/>
      <w:lvlText w:val="•"/>
      <w:lvlJc w:val="left"/>
      <w:pPr>
        <w:ind w:left="5653" w:hanging="118"/>
      </w:pPr>
      <w:rPr>
        <w:rFonts w:hint="default"/>
        <w:lang w:val="fr-FR" w:eastAsia="en-US" w:bidi="ar-SA"/>
      </w:rPr>
    </w:lvl>
    <w:lvl w:ilvl="6">
      <w:start w:val="0"/>
      <w:numFmt w:val="bullet"/>
      <w:lvlText w:val="•"/>
      <w:lvlJc w:val="left"/>
      <w:pPr>
        <w:ind w:left="6611" w:hanging="118"/>
      </w:pPr>
      <w:rPr>
        <w:rFonts w:hint="default"/>
        <w:lang w:val="fr-FR" w:eastAsia="en-US" w:bidi="ar-SA"/>
      </w:rPr>
    </w:lvl>
    <w:lvl w:ilvl="7">
      <w:start w:val="0"/>
      <w:numFmt w:val="bullet"/>
      <w:lvlText w:val="•"/>
      <w:lvlJc w:val="left"/>
      <w:pPr>
        <w:ind w:left="7570" w:hanging="118"/>
      </w:pPr>
      <w:rPr>
        <w:rFonts w:hint="default"/>
        <w:lang w:val="fr-FR" w:eastAsia="en-US" w:bidi="ar-SA"/>
      </w:rPr>
    </w:lvl>
    <w:lvl w:ilvl="8">
      <w:start w:val="0"/>
      <w:numFmt w:val="bullet"/>
      <w:lvlText w:val="•"/>
      <w:lvlJc w:val="left"/>
      <w:pPr>
        <w:ind w:left="8529" w:hanging="118"/>
      </w:pPr>
      <w:rPr>
        <w:rFonts w:hint="default"/>
        <w:lang w:val="fr-FR" w:eastAsia="en-US" w:bidi="ar-SA"/>
      </w:rPr>
    </w:lvl>
  </w:abstractNum>
  <w:abstractNum w:abstractNumId="1">
    <w:multiLevelType w:val="hybridMultilevel"/>
    <w:lvl w:ilvl="0">
      <w:start w:val="0"/>
      <w:numFmt w:val="bullet"/>
      <w:lvlText w:val=""/>
      <w:lvlJc w:val="left"/>
      <w:pPr>
        <w:ind w:left="522"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0"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8" w:hanging="252"/>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1">
    <w:abstractNumId w:val="0"/>
  </w:num>
  <w:num w:numId="6">
    <w:abstractNumId w:val="5"/>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tin.koehl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2023-02-16T16:41:57Z</dcterms:created>
  <dcterms:modified xsi:type="dcterms:W3CDTF">2023-02-16T16:41:57Z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Creator">
    <vt:lpwstr>Acrobat PDFMaker 22 for Word</vt:lpwstr>
  </property>
  <property fmtid="{D5CDD505-2E9C-101B-9397-08002B2CF9AE}" pid="4" name="LastSaved">
    <vt:filetime>2023-02-16T00:00:00Z</vt:filetime>
  </property>
  <property fmtid="{D5CDD505-2E9C-101B-9397-08002B2CF9AE}" pid="5" name="MSIP_Label_6bd9ddd1-4d20-43f6-abfa-fc3c07406f94_ActionId">
    <vt:lpwstr>163b8ca8-cf9a-4f91-a2b3-85c8160edf41</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2023-02-09T13:41:25Z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22.3.86</vt:lpwstr>
  </property>
  <property fmtid="{D5CDD505-2E9C-101B-9397-08002B2CF9AE}" pid="13" name="SourceModified">
    <vt:lpwstr>D:20230209144820</vt:lpwstr>
  </property>
</Properties>
</file>