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spacing w:before="216"/>
        <w:ind w:left="4608" w:right="3599" w:firstLine="0"/>
        <w:jc w:val="center"/>
        <w:rPr>
          <w:rFonts w:ascii="Times New Roman"/>
          <w:b/>
          <w:sz w:val="24"/>
        </w:rPr>
      </w:pPr>
      <w:r>
        <w:rPr/>
        <w:drawing>
          <wp:anchor distT="0" distB="0" distL="0" distR="0" allowOverlap="1" layoutInCell="1" locked="0" behindDoc="0" simplePos="0" relativeHeight="15729152">
            <wp:simplePos x="0" y="0"/>
            <wp:positionH relativeFrom="page">
              <wp:posOffset>521334</wp:posOffset>
            </wp:positionH>
            <wp:positionV relativeFrom="paragraph">
              <wp:posOffset>-435824</wp:posOffset>
            </wp:positionV>
            <wp:extent cx="1371600" cy="676275"/>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anchor>
        </w:drawing>
      </w:r>
      <w:r>
        <w:rPr>
          <w:rFonts w:ascii="Times New Roman"/>
          <w:b/>
          <w:sz w:val="24"/>
        </w:rPr>
        <w:t>AVIS</w:t>
      </w:r>
      <w:r>
        <w:rPr>
          <w:rFonts w:ascii="Times New Roman"/>
          <w:b/>
          <w:spacing w:val="-6"/>
          <w:sz w:val="24"/>
        </w:rPr>
        <w:t> </w:t>
      </w:r>
      <w:r>
        <w:rPr>
          <w:rFonts w:ascii="Times New Roman"/>
          <w:b/>
          <w:sz w:val="24"/>
        </w:rPr>
        <w:t>DE</w:t>
      </w:r>
      <w:r>
        <w:rPr>
          <w:rFonts w:ascii="Times New Roman"/>
          <w:b/>
          <w:spacing w:val="-5"/>
          <w:sz w:val="24"/>
        </w:rPr>
        <w:t> </w:t>
      </w:r>
      <w:r>
        <w:rPr>
          <w:rFonts w:ascii="Times New Roman"/>
          <w:b/>
          <w:spacing w:val="-2"/>
          <w:sz w:val="24"/>
        </w:rPr>
        <w:t>VACANCE</w:t>
      </w:r>
    </w:p>
    <w:p>
      <w:pPr>
        <w:pStyle w:val="BodyText"/>
        <w:spacing w:before="2"/>
        <w:rPr>
          <w:rFonts w:ascii="Times New Roman"/>
          <w:b/>
          <w:sz w:val="16"/>
        </w:rPr>
      </w:pPr>
    </w:p>
    <w:p>
      <w:pPr>
        <w:spacing w:before="90"/>
        <w:ind w:left="1126" w:right="0" w:firstLine="0"/>
        <w:jc w:val="left"/>
        <w:rPr>
          <w:rFonts w:ascii="Times New Roman"/>
          <w:b/>
          <w:sz w:val="24"/>
        </w:rPr>
      </w:pPr>
      <w:r>
        <w:rPr>
          <w:rFonts w:ascii="Times New Roman"/>
          <w:b/>
          <w:sz w:val="24"/>
        </w:rPr>
        <w:t>EXPERT</w:t>
      </w:r>
      <w:r>
        <w:rPr>
          <w:rFonts w:ascii="Times New Roman"/>
          <w:b/>
          <w:spacing w:val="-8"/>
          <w:sz w:val="24"/>
        </w:rPr>
        <w:t> </w:t>
      </w:r>
      <w:r>
        <w:rPr>
          <w:rFonts w:ascii="Times New Roman"/>
          <w:b/>
          <w:sz w:val="24"/>
        </w:rPr>
        <w:t>NATIONAL</w:t>
      </w:r>
      <w:r>
        <w:rPr>
          <w:rFonts w:ascii="Times New Roman"/>
          <w:b/>
          <w:spacing w:val="-6"/>
          <w:sz w:val="24"/>
        </w:rPr>
        <w:t> </w:t>
      </w:r>
      <w:r>
        <w:rPr>
          <w:rFonts w:ascii="Times New Roman"/>
          <w:b/>
          <w:sz w:val="24"/>
        </w:rPr>
        <w:t>DETACHE</w:t>
      </w:r>
      <w:r>
        <w:rPr>
          <w:rFonts w:ascii="Times New Roman"/>
          <w:b/>
          <w:spacing w:val="-7"/>
          <w:sz w:val="24"/>
        </w:rPr>
        <w:t> </w:t>
      </w:r>
      <w:r>
        <w:rPr>
          <w:rFonts w:ascii="Times New Roman"/>
          <w:b/>
          <w:sz w:val="24"/>
        </w:rPr>
        <w:t>A</w:t>
      </w:r>
      <w:r>
        <w:rPr>
          <w:rFonts w:ascii="Times New Roman"/>
          <w:b/>
          <w:spacing w:val="-8"/>
          <w:sz w:val="24"/>
        </w:rPr>
        <w:t> </w:t>
      </w:r>
      <w:r>
        <w:rPr>
          <w:rFonts w:ascii="Times New Roman"/>
          <w:b/>
          <w:sz w:val="24"/>
        </w:rPr>
        <w:t>LA</w:t>
      </w:r>
      <w:r>
        <w:rPr>
          <w:rFonts w:ascii="Times New Roman"/>
          <w:b/>
          <w:spacing w:val="-7"/>
          <w:sz w:val="24"/>
        </w:rPr>
        <w:t> </w:t>
      </w:r>
      <w:r>
        <w:rPr>
          <w:rFonts w:ascii="Times New Roman"/>
          <w:b/>
          <w:sz w:val="24"/>
        </w:rPr>
        <w:t>COMMISSION</w:t>
      </w:r>
      <w:r>
        <w:rPr>
          <w:rFonts w:ascii="Times New Roman"/>
          <w:b/>
          <w:spacing w:val="-8"/>
          <w:sz w:val="24"/>
        </w:rPr>
        <w:t> </w:t>
      </w:r>
      <w:r>
        <w:rPr>
          <w:rFonts w:ascii="Times New Roman"/>
          <w:b/>
          <w:spacing w:val="-2"/>
          <w:sz w:val="24"/>
        </w:rPr>
        <w:t>EUROPEENNE</w:t>
      </w:r>
    </w:p>
    <w:p>
      <w:pPr>
        <w:pStyle w:val="BodyText"/>
        <w:spacing w:after="1"/>
        <w:rPr>
          <w:rFonts w:ascii="Times New Roman"/>
          <w:b/>
          <w:sz w:val="24"/>
        </w:rPr>
      </w:pPr>
    </w:p>
    <w:tbl>
      <w:tblPr>
        <w:tblW w:w="0" w:type="auto"/>
        <w:jc w:val="left"/>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74" w:lineRule="exact" w:before="1"/>
              <w:rPr>
                <w:b/>
                <w:sz w:val="24"/>
              </w:rPr>
            </w:pPr>
            <w:r>
              <w:rPr>
                <w:b/>
                <w:sz w:val="24"/>
              </w:rPr>
              <w:t>Intitulé</w:t>
            </w:r>
            <w:r>
              <w:rPr>
                <w:b/>
                <w:spacing w:val="-5"/>
                <w:sz w:val="24"/>
              </w:rPr>
              <w:t> </w:t>
            </w:r>
            <w:r>
              <w:rPr>
                <w:b/>
                <w:sz w:val="24"/>
              </w:rPr>
              <w:t>du</w:t>
            </w:r>
            <w:r>
              <w:rPr>
                <w:b/>
                <w:spacing w:val="-4"/>
                <w:sz w:val="24"/>
              </w:rPr>
              <w:t> </w:t>
            </w:r>
            <w:r>
              <w:rPr>
                <w:b/>
                <w:spacing w:val="-2"/>
                <w:sz w:val="24"/>
              </w:rPr>
              <w:t>poste:</w:t>
            </w:r>
          </w:p>
          <w:p>
            <w:pPr>
              <w:pStyle w:val="TableParagraph"/>
              <w:spacing w:line="274" w:lineRule="exact"/>
              <w:rPr>
                <w:sz w:val="24"/>
              </w:rPr>
            </w:pPr>
            <w:r>
              <w:rPr>
                <w:spacing w:val="-2"/>
                <w:sz w:val="24"/>
              </w:rPr>
              <w:t>(DG-DIR-UNITE)</w:t>
            </w:r>
          </w:p>
        </w:tc>
        <w:tc>
          <w:tcPr>
            <w:tcW w:w="5597" w:type="dxa"/>
          </w:tcPr>
          <w:p>
            <w:pPr>
              <w:pStyle w:val="TableParagraph"/>
              <w:spacing w:before="172"/>
              <w:rPr>
                <w:rFonts w:ascii="Calibri"/>
                <w:sz w:val="22"/>
              </w:rPr>
            </w:pPr>
            <w:r>
              <w:rPr>
                <w:rFonts w:ascii="Calibri"/>
                <w:spacing w:val="-2"/>
                <w:sz w:val="22"/>
              </w:rPr>
              <w:t>INTPA.F2</w:t>
            </w:r>
          </w:p>
        </w:tc>
      </w:tr>
      <w:tr>
        <w:trPr>
          <w:trHeight w:val="1977" w:hRule="atLeast"/>
        </w:trPr>
        <w:tc>
          <w:tcPr>
            <w:tcW w:w="4359" w:type="dxa"/>
            <w:vMerge w:val="restart"/>
          </w:tcPr>
          <w:p>
            <w:pPr>
              <w:pStyle w:val="TableParagraph"/>
              <w:spacing w:line="251" w:lineRule="exact"/>
              <w:rPr>
                <w:b/>
                <w:sz w:val="22"/>
              </w:rPr>
            </w:pPr>
            <w:r>
              <w:rPr>
                <w:b/>
                <w:sz w:val="22"/>
              </w:rPr>
              <w:t>Chef</w:t>
            </w:r>
            <w:r>
              <w:rPr>
                <w:b/>
                <w:spacing w:val="-5"/>
                <w:sz w:val="22"/>
              </w:rPr>
              <w:t> </w:t>
            </w:r>
            <w:r>
              <w:rPr>
                <w:b/>
                <w:sz w:val="22"/>
              </w:rPr>
              <w:t>d’unité</w:t>
            </w:r>
            <w:r>
              <w:rPr>
                <w:b/>
                <w:spacing w:val="-5"/>
                <w:sz w:val="22"/>
              </w:rPr>
              <w:t> </w:t>
            </w:r>
            <w:r>
              <w:rPr>
                <w:b/>
                <w:spacing w:val="-10"/>
                <w:sz w:val="22"/>
              </w:rPr>
              <w:t>:</w:t>
            </w:r>
          </w:p>
          <w:p>
            <w:pPr>
              <w:pStyle w:val="TableParagraph"/>
              <w:spacing w:before="1"/>
              <w:ind w:right="1799"/>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spacing w:before="1"/>
              <w:ind w:right="1050"/>
              <w:rPr>
                <w:b/>
                <w:sz w:val="22"/>
              </w:rPr>
            </w:pPr>
            <w:r>
              <w:rPr>
                <w:b/>
                <w:sz w:val="22"/>
              </w:rPr>
              <w:t>Nombre</w:t>
            </w:r>
            <w:r>
              <w:rPr>
                <w:b/>
                <w:spacing w:val="-13"/>
                <w:sz w:val="22"/>
              </w:rPr>
              <w:t> </w:t>
            </w:r>
            <w:r>
              <w:rPr>
                <w:b/>
                <w:sz w:val="22"/>
              </w:rPr>
              <w:t>de</w:t>
            </w:r>
            <w:r>
              <w:rPr>
                <w:b/>
                <w:spacing w:val="-13"/>
                <w:sz w:val="22"/>
              </w:rPr>
              <w:t> </w:t>
            </w:r>
            <w:r>
              <w:rPr>
                <w:b/>
                <w:sz w:val="22"/>
              </w:rPr>
              <w:t>postes</w:t>
            </w:r>
            <w:r>
              <w:rPr>
                <w:b/>
                <w:spacing w:val="-12"/>
                <w:sz w:val="22"/>
              </w:rPr>
              <w:t> </w:t>
            </w:r>
            <w:r>
              <w:rPr>
                <w:b/>
                <w:sz w:val="22"/>
              </w:rPr>
              <w:t>disponibles: Prise de fonction souhaitée : Durée initiale souhaitée :</w:t>
            </w:r>
          </w:p>
          <w:p>
            <w:pPr>
              <w:pStyle w:val="TableParagraph"/>
              <w:rPr>
                <w:b/>
                <w:sz w:val="22"/>
              </w:rPr>
            </w:pPr>
            <w:r>
              <w:rPr>
                <w:b/>
                <w:sz w:val="22"/>
              </w:rPr>
              <w:t>Lieu</w:t>
            </w:r>
            <w:r>
              <w:rPr>
                <w:b/>
                <w:spacing w:val="-6"/>
                <w:sz w:val="22"/>
              </w:rPr>
              <w:t> </w:t>
            </w:r>
            <w:r>
              <w:rPr>
                <w:b/>
                <w:sz w:val="22"/>
              </w:rPr>
              <w:t>d’affectation</w:t>
            </w:r>
            <w:r>
              <w:rPr>
                <w:b/>
                <w:spacing w:val="-6"/>
                <w:sz w:val="22"/>
              </w:rPr>
              <w:t> </w:t>
            </w:r>
            <w:r>
              <w:rPr>
                <w:b/>
                <w:spacing w:val="-10"/>
                <w:sz w:val="22"/>
              </w:rPr>
              <w:t>:</w:t>
            </w:r>
          </w:p>
        </w:tc>
        <w:tc>
          <w:tcPr>
            <w:tcW w:w="5597" w:type="dxa"/>
          </w:tcPr>
          <w:p>
            <w:pPr>
              <w:pStyle w:val="TableParagraph"/>
              <w:ind w:right="659"/>
              <w:rPr>
                <w:rFonts w:ascii="Calibri"/>
                <w:sz w:val="22"/>
              </w:rPr>
            </w:pPr>
            <w:r>
              <w:rPr>
                <w:rFonts w:ascii="Calibri"/>
                <w:sz w:val="22"/>
              </w:rPr>
              <w:t>Chantal Marijnissen </w:t>
            </w:r>
            <w:hyperlink r:id="rId7">
              <w:r>
                <w:rPr>
                  <w:rFonts w:ascii="Calibri"/>
                  <w:spacing w:val="-2"/>
                  <w:sz w:val="22"/>
                </w:rPr>
                <w:t>Chantal.marijnissen@ec.europa.eu</w:t>
              </w:r>
            </w:hyperlink>
          </w:p>
          <w:p>
            <w:pPr>
              <w:pStyle w:val="TableParagraph"/>
              <w:rPr>
                <w:rFonts w:ascii="Calibri"/>
                <w:sz w:val="22"/>
              </w:rPr>
            </w:pPr>
            <w:r>
              <w:rPr>
                <w:rFonts w:ascii="Calibri"/>
                <w:sz w:val="22"/>
              </w:rPr>
              <w:t>+32</w:t>
            </w:r>
            <w:r>
              <w:rPr>
                <w:rFonts w:ascii="Calibri"/>
                <w:spacing w:val="-2"/>
                <w:sz w:val="22"/>
              </w:rPr>
              <w:t> </w:t>
            </w:r>
            <w:r>
              <w:rPr>
                <w:rFonts w:ascii="Calibri"/>
                <w:sz w:val="22"/>
              </w:rPr>
              <w:t>2</w:t>
            </w:r>
            <w:r>
              <w:rPr>
                <w:rFonts w:ascii="Calibri"/>
                <w:spacing w:val="-1"/>
                <w:sz w:val="22"/>
              </w:rPr>
              <w:t> </w:t>
            </w:r>
            <w:r>
              <w:rPr>
                <w:rFonts w:ascii="Calibri"/>
                <w:spacing w:val="-2"/>
                <w:sz w:val="22"/>
              </w:rPr>
              <w:t>2986565</w:t>
            </w:r>
          </w:p>
          <w:p>
            <w:pPr>
              <w:pStyle w:val="TableParagraph"/>
              <w:rPr>
                <w:rFonts w:ascii="Calibri"/>
                <w:sz w:val="22"/>
              </w:rPr>
            </w:pPr>
            <w:r>
              <w:rPr>
                <w:rFonts w:ascii="Calibri"/>
                <w:w w:val="100"/>
                <w:sz w:val="22"/>
              </w:rPr>
              <w:t>1</w:t>
            </w:r>
          </w:p>
          <w:p>
            <w:pPr>
              <w:pStyle w:val="TableParagraph"/>
              <w:ind w:right="2624"/>
              <w:rPr>
                <w:b/>
                <w:sz w:val="22"/>
              </w:rPr>
            </w:pPr>
            <w:r>
              <w:rPr>
                <w:rFonts w:ascii="Calibri"/>
                <w:sz w:val="22"/>
              </w:rPr>
              <w:t>Aussi</w:t>
            </w:r>
            <w:r>
              <w:rPr>
                <w:rFonts w:ascii="Calibri"/>
                <w:spacing w:val="-13"/>
                <w:sz w:val="22"/>
              </w:rPr>
              <w:t> </w:t>
            </w:r>
            <w:r>
              <w:rPr>
                <w:rFonts w:ascii="Calibri"/>
                <w:sz w:val="22"/>
              </w:rPr>
              <w:t>rapidement</w:t>
            </w:r>
            <w:r>
              <w:rPr>
                <w:rFonts w:ascii="Calibri"/>
                <w:spacing w:val="-12"/>
                <w:sz w:val="22"/>
              </w:rPr>
              <w:t> </w:t>
            </w:r>
            <w:r>
              <w:rPr>
                <w:rFonts w:ascii="Calibri"/>
                <w:sz w:val="22"/>
              </w:rPr>
              <w:t>que</w:t>
            </w:r>
            <w:r>
              <w:rPr>
                <w:rFonts w:ascii="Calibri"/>
                <w:spacing w:val="-12"/>
                <w:sz w:val="22"/>
              </w:rPr>
              <w:t> </w:t>
            </w:r>
            <w:r>
              <w:rPr>
                <w:rFonts w:ascii="Calibri"/>
                <w:sz w:val="22"/>
              </w:rPr>
              <w:t>possible</w:t>
            </w:r>
            <w:r>
              <w:rPr>
                <w:b/>
                <w:sz w:val="22"/>
                <w:vertAlign w:val="superscript"/>
              </w:rPr>
              <w:t>1</w:t>
            </w:r>
            <w:r>
              <w:rPr>
                <w:b/>
                <w:sz w:val="22"/>
                <w:vertAlign w:val="baseline"/>
              </w:rPr>
              <w:t> </w:t>
            </w:r>
            <w:r>
              <w:rPr>
                <w:rFonts w:ascii="Calibri"/>
                <w:sz w:val="22"/>
                <w:vertAlign w:val="baseline"/>
              </w:rPr>
              <w:t>2 </w:t>
            </w:r>
            <w:r>
              <w:rPr>
                <w:b/>
                <w:sz w:val="22"/>
                <w:vertAlign w:val="baseline"/>
              </w:rPr>
              <w:t>an(s</w:t>
            </w:r>
            <w:r>
              <w:rPr>
                <w:b/>
                <w:sz w:val="22"/>
                <w:vertAlign w:val="superscript"/>
              </w:rPr>
              <w:t>)1</w:t>
            </w:r>
          </w:p>
          <w:p>
            <w:pPr>
              <w:pStyle w:val="TableParagraph"/>
              <w:spacing w:line="249" w:lineRule="exact"/>
              <w:rPr>
                <w:b/>
                <w:sz w:val="22"/>
              </w:rPr>
            </w:pPr>
            <w:r>
              <w:rPr>
                <w:rFonts w:ascii="Wingdings 2" w:hAnsi="Wingdings 2"/>
                <w:sz w:val="22"/>
              </w:rPr>
              <w:t></w:t>
            </w:r>
            <w:r>
              <w:rPr>
                <w:spacing w:val="-5"/>
                <w:sz w:val="22"/>
              </w:rPr>
              <w:t> </w:t>
            </w:r>
            <w:r>
              <w:rPr>
                <w:b/>
                <w:sz w:val="22"/>
              </w:rPr>
              <w:t>Bruxelles</w:t>
            </w:r>
            <w:r>
              <w:rPr>
                <w:b/>
                <w:spacing w:val="52"/>
                <w:sz w:val="22"/>
              </w:rPr>
              <w:t> </w:t>
            </w:r>
            <w:r>
              <w:rPr>
                <w:rFonts w:ascii="Wingdings 2" w:hAnsi="Wingdings 2"/>
                <w:sz w:val="22"/>
              </w:rPr>
              <w:t></w:t>
            </w:r>
            <w:r>
              <w:rPr>
                <w:spacing w:val="-2"/>
                <w:sz w:val="22"/>
              </w:rPr>
              <w:t> </w:t>
            </w:r>
            <w:r>
              <w:rPr>
                <w:b/>
                <w:sz w:val="22"/>
              </w:rPr>
              <w:t>Luxembourg</w:t>
            </w:r>
            <w:r>
              <w:rPr>
                <w:b/>
                <w:spacing w:val="51"/>
                <w:sz w:val="22"/>
              </w:rPr>
              <w:t> </w:t>
            </w:r>
            <w:r>
              <w:rPr>
                <w:rFonts w:ascii="Wingdings 2" w:hAnsi="Wingdings 2"/>
                <w:sz w:val="22"/>
              </w:rPr>
              <w:t></w:t>
            </w:r>
            <w:r>
              <w:rPr>
                <w:spacing w:val="-2"/>
                <w:sz w:val="22"/>
              </w:rPr>
              <w:t> </w:t>
            </w:r>
            <w:r>
              <w:rPr>
                <w:sz w:val="22"/>
              </w:rPr>
              <w:t>A</w:t>
            </w:r>
            <w:r>
              <w:rPr>
                <w:b/>
                <w:sz w:val="22"/>
              </w:rPr>
              <w:t>utre:</w:t>
            </w:r>
            <w:r>
              <w:rPr>
                <w:b/>
                <w:spacing w:val="-4"/>
                <w:sz w:val="22"/>
              </w:rPr>
              <w:t> </w:t>
            </w:r>
            <w:r>
              <w:rPr>
                <w:b/>
                <w:spacing w:val="-2"/>
                <w:sz w:val="22"/>
              </w:rPr>
              <w:t>……………..</w:t>
            </w:r>
          </w:p>
        </w:tc>
      </w:tr>
      <w:tr>
        <w:trPr>
          <w:trHeight w:val="544" w:hRule="atLeast"/>
        </w:trPr>
        <w:tc>
          <w:tcPr>
            <w:tcW w:w="4359" w:type="dxa"/>
            <w:vMerge/>
            <w:tcBorders>
              <w:top w:val="nil"/>
            </w:tcBorders>
          </w:tcPr>
          <w:p>
            <w:pPr>
              <w:rPr>
                <w:sz w:val="2"/>
                <w:szCs w:val="2"/>
              </w:rPr>
            </w:pPr>
          </w:p>
        </w:tc>
        <w:tc>
          <w:tcPr>
            <w:tcW w:w="5597" w:type="dxa"/>
          </w:tcPr>
          <w:p>
            <w:pPr>
              <w:pStyle w:val="TableParagraph"/>
              <w:numPr>
                <w:ilvl w:val="0"/>
                <w:numId w:val="1"/>
              </w:numPr>
              <w:tabs>
                <w:tab w:pos="523" w:val="left" w:leader="none"/>
                <w:tab w:pos="524" w:val="left" w:leader="none"/>
                <w:tab w:pos="2950" w:val="left" w:leader="none"/>
                <w:tab w:pos="3422" w:val="left" w:leader="none"/>
              </w:tabs>
              <w:spacing w:line="240" w:lineRule="auto" w:before="145" w:after="0"/>
              <w:ind w:left="523" w:right="0" w:hanging="419"/>
              <w:jc w:val="left"/>
              <w:rPr>
                <w:b/>
                <w:sz w:val="22"/>
              </w:rPr>
            </w:pPr>
            <w:r>
              <w:rPr>
                <w:b/>
                <w:sz w:val="22"/>
              </w:rPr>
              <w:t>Avec</w:t>
            </w:r>
            <w:r>
              <w:rPr>
                <w:b/>
                <w:spacing w:val="-6"/>
                <w:sz w:val="22"/>
              </w:rPr>
              <w:t> </w:t>
            </w:r>
            <w:r>
              <w:rPr>
                <w:b/>
                <w:spacing w:val="-2"/>
                <w:sz w:val="22"/>
              </w:rPr>
              <w:t>indemnités</w:t>
            </w:r>
            <w:r>
              <w:rPr>
                <w:b/>
                <w:sz w:val="22"/>
              </w:rPr>
              <w:tab/>
            </w:r>
            <w:r>
              <w:rPr>
                <w:rFonts w:ascii="Wingdings 2" w:hAnsi="Wingdings 2"/>
                <w:spacing w:val="-10"/>
                <w:sz w:val="22"/>
              </w:rPr>
              <w:t></w:t>
            </w:r>
            <w:r>
              <w:rPr>
                <w:sz w:val="22"/>
              </w:rPr>
              <w:tab/>
            </w:r>
            <w:r>
              <w:rPr>
                <w:b/>
                <w:sz w:val="22"/>
              </w:rPr>
              <w:t>Sans</w:t>
            </w:r>
            <w:r>
              <w:rPr>
                <w:b/>
                <w:spacing w:val="-5"/>
                <w:sz w:val="22"/>
              </w:rPr>
              <w:t> </w:t>
            </w:r>
            <w:r>
              <w:rPr>
                <w:b/>
                <w:spacing w:val="-2"/>
                <w:sz w:val="22"/>
              </w:rPr>
              <w:t>frais</w:t>
            </w:r>
          </w:p>
        </w:tc>
      </w:tr>
      <w:tr>
        <w:trPr>
          <w:trHeight w:val="2114" w:hRule="atLeast"/>
        </w:trPr>
        <w:tc>
          <w:tcPr>
            <w:tcW w:w="9956" w:type="dxa"/>
            <w:gridSpan w:val="2"/>
          </w:tcPr>
          <w:p>
            <w:pPr>
              <w:pStyle w:val="TableParagraph"/>
              <w:spacing w:before="171"/>
              <w:rPr>
                <w:b/>
                <w:sz w:val="22"/>
              </w:rPr>
            </w:pPr>
            <w:r>
              <w:rPr>
                <w:b/>
                <w:sz w:val="22"/>
              </w:rPr>
              <w:t>Cet</w:t>
            </w:r>
            <w:r>
              <w:rPr>
                <w:b/>
                <w:spacing w:val="-3"/>
                <w:sz w:val="22"/>
              </w:rPr>
              <w:t> </w:t>
            </w:r>
            <w:r>
              <w:rPr>
                <w:b/>
                <w:sz w:val="22"/>
              </w:rPr>
              <w:t>avis</w:t>
            </w:r>
            <w:r>
              <w:rPr>
                <w:b/>
                <w:spacing w:val="-3"/>
                <w:sz w:val="22"/>
              </w:rPr>
              <w:t> </w:t>
            </w:r>
            <w:r>
              <w:rPr>
                <w:b/>
                <w:sz w:val="22"/>
              </w:rPr>
              <w:t>est</w:t>
            </w:r>
            <w:r>
              <w:rPr>
                <w:b/>
                <w:spacing w:val="-2"/>
                <w:sz w:val="22"/>
              </w:rPr>
              <w:t> </w:t>
            </w:r>
            <w:r>
              <w:rPr>
                <w:b/>
                <w:sz w:val="22"/>
              </w:rPr>
              <w:t>également</w:t>
            </w:r>
            <w:r>
              <w:rPr>
                <w:b/>
                <w:spacing w:val="-3"/>
                <w:sz w:val="22"/>
              </w:rPr>
              <w:t> </w:t>
            </w:r>
            <w:r>
              <w:rPr>
                <w:b/>
                <w:spacing w:val="-2"/>
                <w:sz w:val="22"/>
              </w:rPr>
              <w:t>ouvert</w:t>
            </w:r>
          </w:p>
          <w:p>
            <w:pPr>
              <w:pStyle w:val="TableParagraph"/>
              <w:spacing w:before="9"/>
              <w:ind w:left="0"/>
              <w:rPr>
                <w:b/>
                <w:sz w:val="21"/>
              </w:rPr>
            </w:pPr>
          </w:p>
          <w:p>
            <w:pPr>
              <w:pStyle w:val="TableParagraph"/>
              <w:numPr>
                <w:ilvl w:val="0"/>
                <w:numId w:val="2"/>
              </w:numPr>
              <w:tabs>
                <w:tab w:pos="523" w:val="left" w:leader="none"/>
                <w:tab w:pos="524" w:val="left" w:leader="none"/>
              </w:tabs>
              <w:spacing w:line="240" w:lineRule="auto" w:before="0"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AELE</w:t>
            </w:r>
            <w:r>
              <w:rPr>
                <w:b/>
                <w:spacing w:val="-3"/>
                <w:sz w:val="22"/>
              </w:rPr>
              <w:t> </w:t>
            </w:r>
            <w:r>
              <w:rPr>
                <w:b/>
                <w:sz w:val="22"/>
              </w:rPr>
              <w:t>suivants </w:t>
            </w:r>
            <w:r>
              <w:rPr>
                <w:b/>
                <w:spacing w:val="-10"/>
                <w:sz w:val="22"/>
              </w:rPr>
              <w:t>:</w:t>
            </w:r>
          </w:p>
          <w:p>
            <w:pPr>
              <w:pStyle w:val="TableParagraph"/>
              <w:numPr>
                <w:ilvl w:val="1"/>
                <w:numId w:val="2"/>
              </w:numPr>
              <w:tabs>
                <w:tab w:pos="1102" w:val="left" w:leader="none"/>
              </w:tabs>
              <w:spacing w:line="252" w:lineRule="exact" w:before="2" w:after="0"/>
              <w:ind w:left="1101" w:right="0" w:hanging="253"/>
              <w:jc w:val="left"/>
              <w:rPr>
                <w:b/>
                <w:sz w:val="22"/>
              </w:rPr>
            </w:pPr>
            <w:r>
              <w:rPr>
                <w:b/>
                <w:sz w:val="22"/>
              </w:rPr>
              <w:t>Islande</w:t>
            </w:r>
            <w:r>
              <w:rPr>
                <w:b/>
                <w:spacing w:val="-3"/>
                <w:sz w:val="22"/>
              </w:rPr>
              <w:t> </w:t>
            </w:r>
            <w:r>
              <w:rPr>
                <w:rFonts w:ascii="Wingdings 2" w:hAnsi="Wingdings 2"/>
                <w:sz w:val="22"/>
              </w:rPr>
              <w:t></w:t>
            </w:r>
            <w:r>
              <w:rPr>
                <w:spacing w:val="-6"/>
                <w:sz w:val="22"/>
              </w:rPr>
              <w:t> </w:t>
            </w:r>
            <w:r>
              <w:rPr>
                <w:b/>
                <w:sz w:val="22"/>
              </w:rPr>
              <w:t>Liechtenstein</w:t>
            </w:r>
            <w:r>
              <w:rPr>
                <w:b/>
                <w:spacing w:val="-2"/>
                <w:sz w:val="22"/>
              </w:rPr>
              <w:t> </w:t>
            </w:r>
            <w:r>
              <w:rPr>
                <w:rFonts w:ascii="Wingdings 2" w:hAnsi="Wingdings 2"/>
                <w:sz w:val="22"/>
              </w:rPr>
              <w:t></w:t>
            </w:r>
            <w:r>
              <w:rPr>
                <w:spacing w:val="-3"/>
                <w:sz w:val="22"/>
              </w:rPr>
              <w:t> </w:t>
            </w:r>
            <w:r>
              <w:rPr>
                <w:b/>
                <w:sz w:val="22"/>
              </w:rPr>
              <w:t>Norvège</w:t>
            </w:r>
            <w:r>
              <w:rPr>
                <w:b/>
                <w:spacing w:val="-2"/>
                <w:sz w:val="22"/>
              </w:rPr>
              <w:t> </w:t>
            </w:r>
            <w:r>
              <w:rPr>
                <w:rFonts w:ascii="Wingdings 2" w:hAnsi="Wingdings 2"/>
                <w:sz w:val="22"/>
              </w:rPr>
              <w:t></w:t>
            </w:r>
            <w:r>
              <w:rPr>
                <w:spacing w:val="-2"/>
                <w:sz w:val="22"/>
              </w:rPr>
              <w:t> </w:t>
            </w:r>
            <w:r>
              <w:rPr>
                <w:b/>
                <w:spacing w:val="-2"/>
                <w:sz w:val="22"/>
              </w:rPr>
              <w:t>Suisse</w:t>
            </w:r>
          </w:p>
          <w:p>
            <w:pPr>
              <w:pStyle w:val="TableParagraph"/>
              <w:numPr>
                <w:ilvl w:val="1"/>
                <w:numId w:val="2"/>
              </w:numPr>
              <w:tabs>
                <w:tab w:pos="1102" w:val="left" w:leader="none"/>
              </w:tabs>
              <w:spacing w:line="252" w:lineRule="exact" w:before="0" w:after="0"/>
              <w:ind w:left="1101" w:right="0" w:hanging="253"/>
              <w:jc w:val="left"/>
              <w:rPr>
                <w:b/>
                <w:sz w:val="22"/>
              </w:rPr>
            </w:pPr>
            <w:r>
              <w:rPr>
                <w:b/>
                <w:sz w:val="22"/>
              </w:rPr>
              <w:t>Accord</w:t>
            </w:r>
            <w:r>
              <w:rPr>
                <w:b/>
                <w:spacing w:val="-8"/>
                <w:sz w:val="22"/>
              </w:rPr>
              <w:t> </w:t>
            </w:r>
            <w:r>
              <w:rPr>
                <w:b/>
                <w:sz w:val="22"/>
              </w:rPr>
              <w:t>AELE-EEE</w:t>
            </w:r>
            <w:r>
              <w:rPr>
                <w:b/>
                <w:spacing w:val="-6"/>
                <w:sz w:val="22"/>
              </w:rPr>
              <w:t> </w:t>
            </w:r>
            <w:r>
              <w:rPr>
                <w:b/>
                <w:sz w:val="22"/>
              </w:rPr>
              <w:t>in-Kind</w:t>
            </w:r>
            <w:r>
              <w:rPr>
                <w:b/>
                <w:spacing w:val="-7"/>
                <w:sz w:val="22"/>
              </w:rPr>
              <w:t> </w:t>
            </w:r>
            <w:r>
              <w:rPr>
                <w:b/>
                <w:sz w:val="22"/>
              </w:rPr>
              <w:t>(Islande,</w:t>
            </w:r>
            <w:r>
              <w:rPr>
                <w:b/>
                <w:spacing w:val="-5"/>
                <w:sz w:val="22"/>
              </w:rPr>
              <w:t> </w:t>
            </w:r>
            <w:r>
              <w:rPr>
                <w:b/>
                <w:sz w:val="22"/>
              </w:rPr>
              <w:t>Liechtenstein,</w:t>
            </w:r>
            <w:r>
              <w:rPr>
                <w:b/>
                <w:spacing w:val="-5"/>
                <w:sz w:val="22"/>
              </w:rPr>
              <w:t> </w:t>
            </w:r>
            <w:r>
              <w:rPr>
                <w:b/>
                <w:spacing w:val="-2"/>
                <w:sz w:val="22"/>
              </w:rPr>
              <w:t>Norvège)</w:t>
            </w:r>
          </w:p>
          <w:p>
            <w:pPr>
              <w:pStyle w:val="TableParagraph"/>
              <w:numPr>
                <w:ilvl w:val="0"/>
                <w:numId w:val="2"/>
              </w:numPr>
              <w:tabs>
                <w:tab w:pos="523" w:val="left" w:leader="none"/>
                <w:tab w:pos="524" w:val="left" w:leader="none"/>
              </w:tabs>
              <w:spacing w:line="252" w:lineRule="exact" w:before="1"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tiers</w:t>
            </w:r>
            <w:r>
              <w:rPr>
                <w:b/>
                <w:spacing w:val="-1"/>
                <w:sz w:val="22"/>
              </w:rPr>
              <w:t> </w:t>
            </w:r>
            <w:r>
              <w:rPr>
                <w:b/>
                <w:spacing w:val="-2"/>
                <w:sz w:val="22"/>
              </w:rPr>
              <w:t>suivants:</w:t>
            </w:r>
          </w:p>
          <w:p>
            <w:pPr>
              <w:pStyle w:val="TableParagraph"/>
              <w:numPr>
                <w:ilvl w:val="0"/>
                <w:numId w:val="2"/>
              </w:numPr>
              <w:tabs>
                <w:tab w:pos="523" w:val="left" w:leader="none"/>
                <w:tab w:pos="524" w:val="left" w:leader="none"/>
              </w:tabs>
              <w:spacing w:line="252" w:lineRule="exact" w:before="0" w:after="0"/>
              <w:ind w:left="523" w:right="0" w:hanging="419"/>
              <w:jc w:val="left"/>
              <w:rPr>
                <w:b/>
                <w:sz w:val="22"/>
              </w:rPr>
            </w:pPr>
            <w:r>
              <w:rPr>
                <w:b/>
                <w:sz w:val="22"/>
              </w:rPr>
              <w:t>aux</w:t>
            </w:r>
            <w:r>
              <w:rPr>
                <w:b/>
                <w:spacing w:val="-9"/>
                <w:sz w:val="22"/>
              </w:rPr>
              <w:t> </w:t>
            </w:r>
            <w:r>
              <w:rPr>
                <w:b/>
                <w:sz w:val="22"/>
              </w:rPr>
              <w:t>organisations</w:t>
            </w:r>
            <w:r>
              <w:rPr>
                <w:b/>
                <w:spacing w:val="-7"/>
                <w:sz w:val="22"/>
              </w:rPr>
              <w:t> </w:t>
            </w:r>
            <w:r>
              <w:rPr>
                <w:b/>
                <w:sz w:val="22"/>
              </w:rPr>
              <w:t>intergouvernementales</w:t>
            </w:r>
            <w:r>
              <w:rPr>
                <w:b/>
                <w:spacing w:val="-5"/>
                <w:sz w:val="22"/>
              </w:rPr>
              <w:t> </w:t>
            </w:r>
            <w:r>
              <w:rPr>
                <w:b/>
                <w:spacing w:val="-2"/>
                <w:sz w:val="22"/>
              </w:rPr>
              <w:t>suivantes:</w:t>
            </w:r>
          </w:p>
        </w:tc>
      </w:tr>
    </w:tbl>
    <w:p>
      <w:pPr>
        <w:pStyle w:val="BodyText"/>
        <w:rPr>
          <w:rFonts w:ascii="Times New Roman"/>
          <w:b/>
          <w:sz w:val="24"/>
        </w:rPr>
      </w:pPr>
    </w:p>
    <w:p>
      <w:pPr>
        <w:pStyle w:val="ListParagraph"/>
        <w:numPr>
          <w:ilvl w:val="0"/>
          <w:numId w:val="3"/>
        </w:numPr>
        <w:tabs>
          <w:tab w:pos="559" w:val="left" w:leader="none"/>
          <w:tab w:pos="560" w:val="left" w:leader="none"/>
        </w:tabs>
        <w:spacing w:line="240" w:lineRule="auto" w:before="1" w:after="0"/>
        <w:ind w:left="559" w:right="0" w:hanging="428"/>
        <w:jc w:val="left"/>
        <w:rPr>
          <w:rFonts w:ascii="Times New Roman"/>
          <w:b/>
          <w:sz w:val="24"/>
        </w:rPr>
      </w:pPr>
      <w:r>
        <w:rPr>
          <w:rFonts w:ascii="Times New Roman"/>
          <w:b/>
          <w:sz w:val="24"/>
          <w:u w:val="single"/>
        </w:rPr>
        <w:t>Nature</w:t>
      </w:r>
      <w:r>
        <w:rPr>
          <w:rFonts w:ascii="Times New Roman"/>
          <w:b/>
          <w:spacing w:val="-7"/>
          <w:sz w:val="24"/>
          <w:u w:val="single"/>
        </w:rPr>
        <w:t> </w:t>
      </w:r>
      <w:r>
        <w:rPr>
          <w:rFonts w:ascii="Times New Roman"/>
          <w:b/>
          <w:sz w:val="24"/>
          <w:u w:val="single"/>
        </w:rPr>
        <w:t>des</w:t>
      </w:r>
      <w:r>
        <w:rPr>
          <w:rFonts w:ascii="Times New Roman"/>
          <w:b/>
          <w:spacing w:val="-6"/>
          <w:sz w:val="24"/>
          <w:u w:val="single"/>
        </w:rPr>
        <w:t> </w:t>
      </w:r>
      <w:r>
        <w:rPr>
          <w:rFonts w:ascii="Times New Roman"/>
          <w:b/>
          <w:spacing w:val="-2"/>
          <w:sz w:val="24"/>
          <w:u w:val="single"/>
        </w:rPr>
        <w:t>fonctions</w:t>
      </w:r>
    </w:p>
    <w:p>
      <w:pPr>
        <w:pStyle w:val="BodyText"/>
        <w:spacing w:before="1"/>
        <w:rPr>
          <w:rFonts w:ascii="Times New Roman"/>
          <w:b/>
          <w:sz w:val="19"/>
        </w:rPr>
      </w:pPr>
    </w:p>
    <w:p>
      <w:pPr>
        <w:pStyle w:val="BodyText"/>
        <w:spacing w:line="273" w:lineRule="auto" w:before="56"/>
        <w:ind w:left="132"/>
      </w:pPr>
      <w:r>
        <w:rPr/>
        <w:t>L’unité</w:t>
      </w:r>
      <w:r>
        <w:rPr>
          <w:spacing w:val="-2"/>
        </w:rPr>
        <w:t> </w:t>
      </w:r>
      <w:r>
        <w:rPr/>
        <w:t>F2</w:t>
      </w:r>
      <w:r>
        <w:rPr>
          <w:spacing w:val="-2"/>
        </w:rPr>
        <w:t> </w:t>
      </w:r>
      <w:r>
        <w:rPr/>
        <w:t>—</w:t>
      </w:r>
      <w:r>
        <w:rPr>
          <w:spacing w:val="-4"/>
        </w:rPr>
        <w:t> </w:t>
      </w:r>
      <w:r>
        <w:rPr/>
        <w:t>Environnement,</w:t>
      </w:r>
      <w:r>
        <w:rPr>
          <w:spacing w:val="-3"/>
        </w:rPr>
        <w:t> </w:t>
      </w:r>
      <w:r>
        <w:rPr/>
        <w:t>ressources</w:t>
      </w:r>
      <w:r>
        <w:rPr>
          <w:spacing w:val="-3"/>
        </w:rPr>
        <w:t> </w:t>
      </w:r>
      <w:r>
        <w:rPr/>
        <w:t>naturelles</w:t>
      </w:r>
      <w:r>
        <w:rPr>
          <w:spacing w:val="-2"/>
        </w:rPr>
        <w:t> </w:t>
      </w:r>
      <w:r>
        <w:rPr/>
        <w:t>durables</w:t>
      </w:r>
      <w:r>
        <w:rPr>
          <w:spacing w:val="-3"/>
        </w:rPr>
        <w:t> </w:t>
      </w:r>
      <w:r>
        <w:rPr/>
        <w:t>offre</w:t>
      </w:r>
      <w:r>
        <w:rPr>
          <w:spacing w:val="-2"/>
        </w:rPr>
        <w:t> </w:t>
      </w:r>
      <w:r>
        <w:rPr/>
        <w:t>un</w:t>
      </w:r>
      <w:r>
        <w:rPr>
          <w:spacing w:val="-4"/>
        </w:rPr>
        <w:t> </w:t>
      </w:r>
      <w:r>
        <w:rPr/>
        <w:t>poste</w:t>
      </w:r>
      <w:r>
        <w:rPr>
          <w:spacing w:val="-5"/>
        </w:rPr>
        <w:t> </w:t>
      </w:r>
      <w:r>
        <w:rPr/>
        <w:t>d’expert</w:t>
      </w:r>
      <w:r>
        <w:rPr>
          <w:spacing w:val="-2"/>
        </w:rPr>
        <w:t> </w:t>
      </w:r>
      <w:r>
        <w:rPr/>
        <w:t>national</w:t>
      </w:r>
      <w:r>
        <w:rPr>
          <w:spacing w:val="-3"/>
        </w:rPr>
        <w:t> </w:t>
      </w:r>
      <w:r>
        <w:rPr/>
        <w:t>détaché</w:t>
      </w:r>
      <w:r>
        <w:rPr>
          <w:spacing w:val="-3"/>
        </w:rPr>
        <w:t> </w:t>
      </w:r>
      <w:r>
        <w:rPr/>
        <w:t>sous</w:t>
      </w:r>
      <w:r>
        <w:rPr>
          <w:spacing w:val="-5"/>
        </w:rPr>
        <w:t> </w:t>
      </w:r>
      <w:r>
        <w:rPr/>
        <w:t>la responsabilité du chef d’unité.</w:t>
      </w:r>
    </w:p>
    <w:p>
      <w:pPr>
        <w:pStyle w:val="BodyText"/>
        <w:spacing w:before="9"/>
        <w:rPr>
          <w:sz w:val="16"/>
        </w:rPr>
      </w:pPr>
    </w:p>
    <w:p>
      <w:pPr>
        <w:pStyle w:val="BodyText"/>
        <w:ind w:left="132"/>
      </w:pPr>
      <w:r>
        <w:rPr/>
        <w:t>L’UE</w:t>
      </w:r>
      <w:r>
        <w:rPr>
          <w:spacing w:val="-6"/>
        </w:rPr>
        <w:t> </w:t>
      </w:r>
      <w:r>
        <w:rPr/>
        <w:t>se</w:t>
      </w:r>
      <w:r>
        <w:rPr>
          <w:spacing w:val="-2"/>
        </w:rPr>
        <w:t> </w:t>
      </w:r>
      <w:r>
        <w:rPr/>
        <w:t>trouve</w:t>
      </w:r>
      <w:r>
        <w:rPr>
          <w:spacing w:val="-2"/>
        </w:rPr>
        <w:t> </w:t>
      </w:r>
      <w:r>
        <w:rPr/>
        <w:t>à</w:t>
      </w:r>
      <w:r>
        <w:rPr>
          <w:spacing w:val="-6"/>
        </w:rPr>
        <w:t> </w:t>
      </w:r>
      <w:r>
        <w:rPr/>
        <w:t>un</w:t>
      </w:r>
      <w:r>
        <w:rPr>
          <w:spacing w:val="-4"/>
        </w:rPr>
        <w:t> </w:t>
      </w:r>
      <w:r>
        <w:rPr/>
        <w:t>moment</w:t>
      </w:r>
      <w:r>
        <w:rPr>
          <w:spacing w:val="-3"/>
        </w:rPr>
        <w:t> </w:t>
      </w:r>
      <w:r>
        <w:rPr/>
        <w:t>crucial,</w:t>
      </w:r>
      <w:r>
        <w:rPr>
          <w:spacing w:val="-3"/>
        </w:rPr>
        <w:t> </w:t>
      </w:r>
      <w:r>
        <w:rPr/>
        <w:t>avec</w:t>
      </w:r>
      <w:r>
        <w:rPr>
          <w:spacing w:val="-5"/>
        </w:rPr>
        <w:t> </w:t>
      </w:r>
      <w:r>
        <w:rPr/>
        <w:t>une</w:t>
      </w:r>
      <w:r>
        <w:rPr>
          <w:spacing w:val="-2"/>
        </w:rPr>
        <w:t> </w:t>
      </w:r>
      <w:r>
        <w:rPr/>
        <w:t>nouvelle</w:t>
      </w:r>
      <w:r>
        <w:rPr>
          <w:spacing w:val="-2"/>
        </w:rPr>
        <w:t> </w:t>
      </w:r>
      <w:r>
        <w:rPr/>
        <w:t>Commission,</w:t>
      </w:r>
      <w:r>
        <w:rPr>
          <w:spacing w:val="-3"/>
        </w:rPr>
        <w:t> </w:t>
      </w:r>
      <w:r>
        <w:rPr/>
        <w:t>un</w:t>
      </w:r>
      <w:r>
        <w:rPr>
          <w:spacing w:val="-4"/>
        </w:rPr>
        <w:t> </w:t>
      </w:r>
      <w:r>
        <w:rPr/>
        <w:t>nouveau</w:t>
      </w:r>
      <w:r>
        <w:rPr>
          <w:spacing w:val="-6"/>
        </w:rPr>
        <w:t> </w:t>
      </w:r>
      <w:r>
        <w:rPr/>
        <w:t>pacte</w:t>
      </w:r>
      <w:r>
        <w:rPr>
          <w:spacing w:val="-5"/>
        </w:rPr>
        <w:t> </w:t>
      </w:r>
      <w:r>
        <w:rPr/>
        <w:t>vert</w:t>
      </w:r>
      <w:r>
        <w:rPr>
          <w:spacing w:val="-3"/>
        </w:rPr>
        <w:t> </w:t>
      </w:r>
      <w:r>
        <w:rPr/>
        <w:t>pour</w:t>
      </w:r>
      <w:r>
        <w:rPr>
          <w:spacing w:val="-5"/>
        </w:rPr>
        <w:t> </w:t>
      </w:r>
      <w:r>
        <w:rPr>
          <w:spacing w:val="-2"/>
        </w:rPr>
        <w:t>l’Europe</w:t>
      </w:r>
    </w:p>
    <w:p>
      <w:pPr>
        <w:pStyle w:val="BodyText"/>
        <w:spacing w:line="276" w:lineRule="auto" w:before="41"/>
        <w:ind w:left="132"/>
      </w:pPr>
      <w:r>
        <w:rPr/>
        <w:t>ambitieux,</w:t>
      </w:r>
      <w:r>
        <w:rPr>
          <w:spacing w:val="-2"/>
        </w:rPr>
        <w:t> </w:t>
      </w:r>
      <w:r>
        <w:rPr/>
        <w:t>un</w:t>
      </w:r>
      <w:r>
        <w:rPr>
          <w:spacing w:val="-3"/>
        </w:rPr>
        <w:t> </w:t>
      </w:r>
      <w:r>
        <w:rPr/>
        <w:t>nouveau</w:t>
      </w:r>
      <w:r>
        <w:rPr>
          <w:spacing w:val="-5"/>
        </w:rPr>
        <w:t> </w:t>
      </w:r>
      <w:r>
        <w:rPr/>
        <w:t>cadre</w:t>
      </w:r>
      <w:r>
        <w:rPr>
          <w:spacing w:val="-2"/>
        </w:rPr>
        <w:t> </w:t>
      </w:r>
      <w:r>
        <w:rPr/>
        <w:t>financier</w:t>
      </w:r>
      <w:r>
        <w:rPr>
          <w:spacing w:val="-2"/>
        </w:rPr>
        <w:t> </w:t>
      </w:r>
      <w:r>
        <w:rPr/>
        <w:t>pluriannuel,</w:t>
      </w:r>
      <w:r>
        <w:rPr>
          <w:spacing w:val="-2"/>
        </w:rPr>
        <w:t> </w:t>
      </w:r>
      <w:r>
        <w:rPr/>
        <w:t>une</w:t>
      </w:r>
      <w:r>
        <w:rPr>
          <w:spacing w:val="-1"/>
        </w:rPr>
        <w:t> </w:t>
      </w:r>
      <w:r>
        <w:rPr/>
        <w:t>programmation</w:t>
      </w:r>
      <w:r>
        <w:rPr>
          <w:spacing w:val="-3"/>
        </w:rPr>
        <w:t> </w:t>
      </w:r>
      <w:r>
        <w:rPr/>
        <w:t>et</w:t>
      </w:r>
      <w:r>
        <w:rPr>
          <w:spacing w:val="-4"/>
        </w:rPr>
        <w:t> </w:t>
      </w:r>
      <w:r>
        <w:rPr/>
        <w:t>une</w:t>
      </w:r>
      <w:r>
        <w:rPr>
          <w:spacing w:val="-4"/>
        </w:rPr>
        <w:t> </w:t>
      </w:r>
      <w:r>
        <w:rPr/>
        <w:t>mise</w:t>
      </w:r>
      <w:r>
        <w:rPr>
          <w:spacing w:val="-2"/>
        </w:rPr>
        <w:t> </w:t>
      </w:r>
      <w:r>
        <w:rPr/>
        <w:t>en</w:t>
      </w:r>
      <w:r>
        <w:rPr>
          <w:spacing w:val="-3"/>
        </w:rPr>
        <w:t> </w:t>
      </w:r>
      <w:r>
        <w:rPr/>
        <w:t>œuvre</w:t>
      </w:r>
      <w:r>
        <w:rPr>
          <w:spacing w:val="-4"/>
        </w:rPr>
        <w:t> </w:t>
      </w:r>
      <w:r>
        <w:rPr/>
        <w:t>du</w:t>
      </w:r>
      <w:r>
        <w:rPr>
          <w:spacing w:val="-3"/>
        </w:rPr>
        <w:t> </w:t>
      </w:r>
      <w:r>
        <w:rPr/>
        <w:t>nouveau</w:t>
      </w:r>
      <w:r>
        <w:rPr>
          <w:spacing w:val="-2"/>
        </w:rPr>
        <w:t> </w:t>
      </w:r>
      <w:r>
        <w:rPr/>
        <w:t>cadre financier pluriannuel de l’UE dans le domaine de la coopération pour les années 2021 à 2027.</w:t>
      </w:r>
    </w:p>
    <w:p>
      <w:pPr>
        <w:pStyle w:val="BodyText"/>
        <w:spacing w:before="5"/>
        <w:rPr>
          <w:sz w:val="16"/>
        </w:rPr>
      </w:pPr>
    </w:p>
    <w:p>
      <w:pPr>
        <w:pStyle w:val="BodyText"/>
        <w:ind w:left="132"/>
      </w:pPr>
      <w:r>
        <w:rPr/>
        <w:t>L’unité</w:t>
      </w:r>
      <w:r>
        <w:rPr>
          <w:spacing w:val="-1"/>
        </w:rPr>
        <w:t> </w:t>
      </w:r>
      <w:r>
        <w:rPr/>
        <w:t>F2</w:t>
      </w:r>
      <w:r>
        <w:rPr>
          <w:spacing w:val="-2"/>
        </w:rPr>
        <w:t> </w:t>
      </w:r>
      <w:r>
        <w:rPr/>
        <w:t>de</w:t>
      </w:r>
      <w:r>
        <w:rPr>
          <w:spacing w:val="-2"/>
        </w:rPr>
        <w:t> </w:t>
      </w:r>
      <w:r>
        <w:rPr/>
        <w:t>la</w:t>
      </w:r>
      <w:r>
        <w:rPr>
          <w:spacing w:val="-5"/>
        </w:rPr>
        <w:t> </w:t>
      </w:r>
      <w:r>
        <w:rPr/>
        <w:t>DG</w:t>
      </w:r>
      <w:r>
        <w:rPr>
          <w:spacing w:val="-4"/>
        </w:rPr>
        <w:t> </w:t>
      </w:r>
      <w:r>
        <w:rPr/>
        <w:t>INTPA</w:t>
      </w:r>
      <w:r>
        <w:rPr>
          <w:spacing w:val="-5"/>
        </w:rPr>
        <w:t> </w:t>
      </w:r>
      <w:r>
        <w:rPr/>
        <w:t>a</w:t>
      </w:r>
      <w:r>
        <w:rPr>
          <w:spacing w:val="-4"/>
        </w:rPr>
        <w:t> </w:t>
      </w:r>
      <w:r>
        <w:rPr/>
        <w:t>pour</w:t>
      </w:r>
      <w:r>
        <w:rPr>
          <w:spacing w:val="-4"/>
        </w:rPr>
        <w:t> </w:t>
      </w:r>
      <w:r>
        <w:rPr/>
        <w:t>mandat</w:t>
      </w:r>
      <w:r>
        <w:rPr>
          <w:spacing w:val="-2"/>
        </w:rPr>
        <w:t> </w:t>
      </w:r>
      <w:r>
        <w:rPr/>
        <w:t>d’aider</w:t>
      </w:r>
      <w:r>
        <w:rPr>
          <w:spacing w:val="-3"/>
        </w:rPr>
        <w:t> </w:t>
      </w:r>
      <w:r>
        <w:rPr/>
        <w:t>les</w:t>
      </w:r>
      <w:r>
        <w:rPr>
          <w:spacing w:val="-1"/>
        </w:rPr>
        <w:t> </w:t>
      </w:r>
      <w:r>
        <w:rPr/>
        <w:t>pays</w:t>
      </w:r>
      <w:r>
        <w:rPr>
          <w:spacing w:val="-2"/>
        </w:rPr>
        <w:t> </w:t>
      </w:r>
      <w:r>
        <w:rPr/>
        <w:t>en</w:t>
      </w:r>
      <w:r>
        <w:rPr>
          <w:spacing w:val="-6"/>
        </w:rPr>
        <w:t> </w:t>
      </w:r>
      <w:r>
        <w:rPr/>
        <w:t>développement</w:t>
      </w:r>
      <w:r>
        <w:rPr>
          <w:spacing w:val="-1"/>
        </w:rPr>
        <w:t> </w:t>
      </w:r>
      <w:r>
        <w:rPr/>
        <w:t>à</w:t>
      </w:r>
      <w:r>
        <w:rPr>
          <w:spacing w:val="-2"/>
        </w:rPr>
        <w:t> </w:t>
      </w:r>
      <w:r>
        <w:rPr/>
        <w:t>relever</w:t>
      </w:r>
      <w:r>
        <w:rPr>
          <w:spacing w:val="-4"/>
        </w:rPr>
        <w:t> </w:t>
      </w:r>
      <w:r>
        <w:rPr/>
        <w:t>les</w:t>
      </w:r>
      <w:r>
        <w:rPr>
          <w:spacing w:val="-1"/>
        </w:rPr>
        <w:t> </w:t>
      </w:r>
      <w:r>
        <w:rPr/>
        <w:t>défis</w:t>
      </w:r>
      <w:r>
        <w:rPr>
          <w:spacing w:val="-2"/>
        </w:rPr>
        <w:t> </w:t>
      </w:r>
      <w:r>
        <w:rPr/>
        <w:t>liés</w:t>
      </w:r>
      <w:r>
        <w:rPr>
          <w:spacing w:val="-3"/>
        </w:rPr>
        <w:t> </w:t>
      </w:r>
      <w:r>
        <w:rPr>
          <w:spacing w:val="-10"/>
        </w:rPr>
        <w:t>à</w:t>
      </w:r>
    </w:p>
    <w:p>
      <w:pPr>
        <w:pStyle w:val="BodyText"/>
        <w:spacing w:line="276" w:lineRule="auto" w:before="39"/>
        <w:ind w:left="132"/>
      </w:pPr>
      <w:r>
        <w:rPr/>
        <w:t>l’environnement,</w:t>
      </w:r>
      <w:r>
        <w:rPr>
          <w:spacing w:val="-2"/>
        </w:rPr>
        <w:t> </w:t>
      </w:r>
      <w:r>
        <w:rPr/>
        <w:t>aux</w:t>
      </w:r>
      <w:r>
        <w:rPr>
          <w:spacing w:val="-2"/>
        </w:rPr>
        <w:t> </w:t>
      </w:r>
      <w:r>
        <w:rPr/>
        <w:t>forêts</w:t>
      </w:r>
      <w:r>
        <w:rPr>
          <w:spacing w:val="-2"/>
        </w:rPr>
        <w:t> </w:t>
      </w:r>
      <w:r>
        <w:rPr/>
        <w:t>(biodiversité,</w:t>
      </w:r>
      <w:r>
        <w:rPr>
          <w:spacing w:val="-1"/>
        </w:rPr>
        <w:t> </w:t>
      </w:r>
      <w:r>
        <w:rPr/>
        <w:t>changement</w:t>
      </w:r>
      <w:r>
        <w:rPr>
          <w:spacing w:val="-2"/>
        </w:rPr>
        <w:t> </w:t>
      </w:r>
      <w:r>
        <w:rPr/>
        <w:t>climatique</w:t>
      </w:r>
      <w:r>
        <w:rPr>
          <w:spacing w:val="-4"/>
        </w:rPr>
        <w:t> </w:t>
      </w:r>
      <w:r>
        <w:rPr/>
        <w:t>et</w:t>
      </w:r>
      <w:r>
        <w:rPr>
          <w:spacing w:val="-2"/>
        </w:rPr>
        <w:t> </w:t>
      </w:r>
      <w:r>
        <w:rPr/>
        <w:t>gestion</w:t>
      </w:r>
      <w:r>
        <w:rPr>
          <w:spacing w:val="-6"/>
        </w:rPr>
        <w:t> </w:t>
      </w:r>
      <w:r>
        <w:rPr/>
        <w:t>et</w:t>
      </w:r>
      <w:r>
        <w:rPr>
          <w:spacing w:val="-2"/>
        </w:rPr>
        <w:t> </w:t>
      </w:r>
      <w:r>
        <w:rPr/>
        <w:t>utilisation</w:t>
      </w:r>
      <w:r>
        <w:rPr>
          <w:spacing w:val="-3"/>
        </w:rPr>
        <w:t> </w:t>
      </w:r>
      <w:r>
        <w:rPr/>
        <w:t>durables),</w:t>
      </w:r>
      <w:r>
        <w:rPr>
          <w:spacing w:val="-2"/>
        </w:rPr>
        <w:t> </w:t>
      </w:r>
      <w:r>
        <w:rPr/>
        <w:t>à</w:t>
      </w:r>
      <w:r>
        <w:rPr>
          <w:spacing w:val="-5"/>
        </w:rPr>
        <w:t> </w:t>
      </w:r>
      <w:r>
        <w:rPr/>
        <w:t>l’eau,</w:t>
      </w:r>
      <w:r>
        <w:rPr>
          <w:spacing w:val="-4"/>
        </w:rPr>
        <w:t> </w:t>
      </w:r>
      <w:r>
        <w:rPr/>
        <w:t>ainsi qu’à la transition vers une économie verte.</w:t>
      </w:r>
    </w:p>
    <w:p>
      <w:pPr>
        <w:pStyle w:val="BodyText"/>
        <w:spacing w:before="6"/>
        <w:rPr>
          <w:sz w:val="16"/>
        </w:rPr>
      </w:pPr>
    </w:p>
    <w:p>
      <w:pPr>
        <w:pStyle w:val="BodyText"/>
        <w:spacing w:line="276" w:lineRule="auto"/>
        <w:ind w:left="132"/>
      </w:pPr>
      <w:r>
        <w:rPr/>
        <w:t>À</w:t>
      </w:r>
      <w:r>
        <w:rPr>
          <w:spacing w:val="-2"/>
        </w:rPr>
        <w:t> </w:t>
      </w:r>
      <w:r>
        <w:rPr/>
        <w:t>cette</w:t>
      </w:r>
      <w:r>
        <w:rPr>
          <w:spacing w:val="-1"/>
        </w:rPr>
        <w:t> </w:t>
      </w:r>
      <w:r>
        <w:rPr/>
        <w:t>fin,</w:t>
      </w:r>
      <w:r>
        <w:rPr>
          <w:spacing w:val="-2"/>
        </w:rPr>
        <w:t> </w:t>
      </w:r>
      <w:r>
        <w:rPr/>
        <w:t>la</w:t>
      </w:r>
      <w:r>
        <w:rPr>
          <w:spacing w:val="-5"/>
        </w:rPr>
        <w:t> </w:t>
      </w:r>
      <w:r>
        <w:rPr/>
        <w:t>DG</w:t>
      </w:r>
      <w:r>
        <w:rPr>
          <w:spacing w:val="-5"/>
        </w:rPr>
        <w:t> </w:t>
      </w:r>
      <w:r>
        <w:rPr/>
        <w:t>INTPA</w:t>
      </w:r>
      <w:r>
        <w:rPr>
          <w:spacing w:val="-5"/>
        </w:rPr>
        <w:t> </w:t>
      </w:r>
      <w:r>
        <w:rPr/>
        <w:t>F2</w:t>
      </w:r>
      <w:r>
        <w:rPr>
          <w:spacing w:val="-4"/>
        </w:rPr>
        <w:t> </w:t>
      </w:r>
      <w:r>
        <w:rPr/>
        <w:t>développe</w:t>
      </w:r>
      <w:r>
        <w:rPr>
          <w:spacing w:val="-1"/>
        </w:rPr>
        <w:t> </w:t>
      </w:r>
      <w:r>
        <w:rPr/>
        <w:t>trois</w:t>
      </w:r>
      <w:r>
        <w:rPr>
          <w:spacing w:val="-5"/>
        </w:rPr>
        <w:t> </w:t>
      </w:r>
      <w:r>
        <w:rPr/>
        <w:t>grands</w:t>
      </w:r>
      <w:r>
        <w:rPr>
          <w:spacing w:val="-2"/>
        </w:rPr>
        <w:t> </w:t>
      </w:r>
      <w:r>
        <w:rPr/>
        <w:t>domaines</w:t>
      </w:r>
      <w:r>
        <w:rPr>
          <w:spacing w:val="-1"/>
        </w:rPr>
        <w:t> </w:t>
      </w:r>
      <w:r>
        <w:rPr/>
        <w:t>de</w:t>
      </w:r>
      <w:r>
        <w:rPr>
          <w:spacing w:val="-1"/>
        </w:rPr>
        <w:t> </w:t>
      </w:r>
      <w:r>
        <w:rPr/>
        <w:t>travail:</w:t>
      </w:r>
      <w:r>
        <w:rPr>
          <w:spacing w:val="-4"/>
        </w:rPr>
        <w:t> </w:t>
      </w:r>
      <w:r>
        <w:rPr/>
        <w:t>le</w:t>
      </w:r>
      <w:r>
        <w:rPr>
          <w:spacing w:val="-1"/>
        </w:rPr>
        <w:t> </w:t>
      </w:r>
      <w:r>
        <w:rPr/>
        <w:t>développement</w:t>
      </w:r>
      <w:r>
        <w:rPr>
          <w:spacing w:val="-4"/>
        </w:rPr>
        <w:t> </w:t>
      </w:r>
      <w:r>
        <w:rPr/>
        <w:t>des</w:t>
      </w:r>
      <w:r>
        <w:rPr>
          <w:spacing w:val="-2"/>
        </w:rPr>
        <w:t> </w:t>
      </w:r>
      <w:r>
        <w:rPr/>
        <w:t>politiques;</w:t>
      </w:r>
      <w:r>
        <w:rPr>
          <w:spacing w:val="-2"/>
        </w:rPr>
        <w:t> </w:t>
      </w:r>
      <w:r>
        <w:rPr/>
        <w:t>l’appui thématique et méthodologique aux délégations et aux partenaires de l’UE, la programmation et la mise en</w:t>
      </w:r>
    </w:p>
    <w:p>
      <w:pPr>
        <w:pStyle w:val="BodyText"/>
        <w:spacing w:line="276" w:lineRule="auto"/>
        <w:ind w:left="132" w:right="102"/>
      </w:pPr>
      <w:r>
        <w:rPr/>
        <w:t>œuvre.</w:t>
      </w:r>
      <w:r>
        <w:rPr>
          <w:spacing w:val="-2"/>
        </w:rPr>
        <w:t> </w:t>
      </w:r>
      <w:r>
        <w:rPr/>
        <w:t>Cela</w:t>
      </w:r>
      <w:r>
        <w:rPr>
          <w:spacing w:val="-2"/>
        </w:rPr>
        <w:t> </w:t>
      </w:r>
      <w:r>
        <w:rPr/>
        <w:t>inclut</w:t>
      </w:r>
      <w:r>
        <w:rPr>
          <w:spacing w:val="-4"/>
        </w:rPr>
        <w:t> </w:t>
      </w:r>
      <w:r>
        <w:rPr/>
        <w:t>également</w:t>
      </w:r>
      <w:r>
        <w:rPr>
          <w:spacing w:val="-2"/>
        </w:rPr>
        <w:t> </w:t>
      </w:r>
      <w:r>
        <w:rPr/>
        <w:t>la</w:t>
      </w:r>
      <w:r>
        <w:rPr>
          <w:spacing w:val="-2"/>
        </w:rPr>
        <w:t> </w:t>
      </w:r>
      <w:r>
        <w:rPr/>
        <w:t>mise</w:t>
      </w:r>
      <w:r>
        <w:rPr>
          <w:spacing w:val="-4"/>
        </w:rPr>
        <w:t> </w:t>
      </w:r>
      <w:r>
        <w:rPr/>
        <w:t>en</w:t>
      </w:r>
      <w:r>
        <w:rPr>
          <w:spacing w:val="-2"/>
        </w:rPr>
        <w:t> </w:t>
      </w:r>
      <w:r>
        <w:rPr/>
        <w:t>réseau,</w:t>
      </w:r>
      <w:r>
        <w:rPr>
          <w:spacing w:val="-2"/>
        </w:rPr>
        <w:t> </w:t>
      </w:r>
      <w:r>
        <w:rPr/>
        <w:t>la</w:t>
      </w:r>
      <w:r>
        <w:rPr>
          <w:spacing w:val="-5"/>
        </w:rPr>
        <w:t> </w:t>
      </w:r>
      <w:r>
        <w:rPr/>
        <w:t>collaboration,</w:t>
      </w:r>
      <w:r>
        <w:rPr>
          <w:spacing w:val="-2"/>
        </w:rPr>
        <w:t> </w:t>
      </w:r>
      <w:r>
        <w:rPr/>
        <w:t>le</w:t>
      </w:r>
      <w:r>
        <w:rPr>
          <w:spacing w:val="-1"/>
        </w:rPr>
        <w:t> </w:t>
      </w:r>
      <w:r>
        <w:rPr/>
        <w:t>dialogue</w:t>
      </w:r>
      <w:r>
        <w:rPr>
          <w:spacing w:val="-1"/>
        </w:rPr>
        <w:t> </w:t>
      </w:r>
      <w:r>
        <w:rPr/>
        <w:t>politique</w:t>
      </w:r>
      <w:r>
        <w:rPr>
          <w:spacing w:val="-1"/>
        </w:rPr>
        <w:t> </w:t>
      </w:r>
      <w:r>
        <w:rPr/>
        <w:t>et</w:t>
      </w:r>
      <w:r>
        <w:rPr>
          <w:spacing w:val="-2"/>
        </w:rPr>
        <w:t> </w:t>
      </w:r>
      <w:r>
        <w:rPr/>
        <w:t>l’échange</w:t>
      </w:r>
      <w:r>
        <w:rPr>
          <w:spacing w:val="-1"/>
        </w:rPr>
        <w:t> </w:t>
      </w:r>
      <w:r>
        <w:rPr/>
        <w:t>d’expériences et d’informations.</w:t>
      </w:r>
    </w:p>
    <w:p>
      <w:pPr>
        <w:pStyle w:val="BodyText"/>
        <w:spacing w:before="4"/>
        <w:rPr>
          <w:sz w:val="16"/>
        </w:rPr>
      </w:pPr>
    </w:p>
    <w:p>
      <w:pPr>
        <w:pStyle w:val="BodyText"/>
        <w:spacing w:line="276" w:lineRule="auto"/>
        <w:ind w:left="132"/>
      </w:pPr>
      <w:r>
        <w:rPr/>
        <w:t>L’unité F2</w:t>
      </w:r>
      <w:r>
        <w:rPr>
          <w:spacing w:val="-1"/>
        </w:rPr>
        <w:t> </w:t>
      </w:r>
      <w:r>
        <w:rPr/>
        <w:t>promeut</w:t>
      </w:r>
      <w:r>
        <w:rPr>
          <w:spacing w:val="-1"/>
        </w:rPr>
        <w:t> </w:t>
      </w:r>
      <w:r>
        <w:rPr/>
        <w:t>la</w:t>
      </w:r>
      <w:r>
        <w:rPr>
          <w:spacing w:val="-3"/>
        </w:rPr>
        <w:t> </w:t>
      </w:r>
      <w:r>
        <w:rPr/>
        <w:t>conception</w:t>
      </w:r>
      <w:r>
        <w:rPr>
          <w:spacing w:val="-4"/>
        </w:rPr>
        <w:t> </w:t>
      </w:r>
      <w:r>
        <w:rPr/>
        <w:t>et</w:t>
      </w:r>
      <w:r>
        <w:rPr>
          <w:spacing w:val="-1"/>
        </w:rPr>
        <w:t> </w:t>
      </w:r>
      <w:r>
        <w:rPr/>
        <w:t>la</w:t>
      </w:r>
      <w:r>
        <w:rPr>
          <w:spacing w:val="-4"/>
        </w:rPr>
        <w:t> </w:t>
      </w:r>
      <w:r>
        <w:rPr/>
        <w:t>mise en</w:t>
      </w:r>
      <w:r>
        <w:rPr>
          <w:spacing w:val="-4"/>
        </w:rPr>
        <w:t> </w:t>
      </w:r>
      <w:r>
        <w:rPr/>
        <w:t>œuvre</w:t>
      </w:r>
      <w:r>
        <w:rPr>
          <w:spacing w:val="-3"/>
        </w:rPr>
        <w:t> </w:t>
      </w:r>
      <w:r>
        <w:rPr/>
        <w:t>de la</w:t>
      </w:r>
      <w:r>
        <w:rPr>
          <w:spacing w:val="-1"/>
        </w:rPr>
        <w:t> </w:t>
      </w:r>
      <w:r>
        <w:rPr/>
        <w:t>dimension</w:t>
      </w:r>
      <w:r>
        <w:rPr>
          <w:spacing w:val="-3"/>
        </w:rPr>
        <w:t> </w:t>
      </w:r>
      <w:r>
        <w:rPr/>
        <w:t>extérieure</w:t>
      </w:r>
      <w:r>
        <w:rPr>
          <w:spacing w:val="-5"/>
        </w:rPr>
        <w:t> </w:t>
      </w:r>
      <w:r>
        <w:rPr/>
        <w:t>du</w:t>
      </w:r>
      <w:r>
        <w:rPr>
          <w:spacing w:val="-2"/>
        </w:rPr>
        <w:t> </w:t>
      </w:r>
      <w:r>
        <w:rPr/>
        <w:t>pacte</w:t>
      </w:r>
      <w:r>
        <w:rPr>
          <w:spacing w:val="-3"/>
        </w:rPr>
        <w:t> </w:t>
      </w:r>
      <w:r>
        <w:rPr/>
        <w:t>vert</w:t>
      </w:r>
      <w:r>
        <w:rPr>
          <w:spacing w:val="-3"/>
        </w:rPr>
        <w:t> </w:t>
      </w:r>
      <w:r>
        <w:rPr/>
        <w:t>pour</w:t>
      </w:r>
      <w:r>
        <w:rPr>
          <w:spacing w:val="-1"/>
        </w:rPr>
        <w:t> </w:t>
      </w:r>
      <w:r>
        <w:rPr/>
        <w:t>l’Europe.</w:t>
      </w:r>
      <w:r>
        <w:rPr>
          <w:spacing w:val="-1"/>
        </w:rPr>
        <w:t> </w:t>
      </w:r>
      <w:r>
        <w:rPr/>
        <w:t>Afin d’améliorer l’impact de son soutien aux forêts et de contribuer efficacement à la mise en œuvre du pacte vert,</w:t>
      </w:r>
    </w:p>
    <w:p>
      <w:pPr>
        <w:pStyle w:val="BodyText"/>
        <w:spacing w:line="276" w:lineRule="auto" w:before="2"/>
        <w:ind w:left="132"/>
      </w:pPr>
      <w:r>
        <w:rPr/>
        <w:t>l’unité</w:t>
      </w:r>
      <w:r>
        <w:rPr>
          <w:spacing w:val="-1"/>
        </w:rPr>
        <w:t> </w:t>
      </w:r>
      <w:r>
        <w:rPr/>
        <w:t>F2</w:t>
      </w:r>
      <w:r>
        <w:rPr>
          <w:spacing w:val="-2"/>
        </w:rPr>
        <w:t> </w:t>
      </w:r>
      <w:r>
        <w:rPr/>
        <w:t>propose</w:t>
      </w:r>
      <w:r>
        <w:rPr>
          <w:spacing w:val="-1"/>
        </w:rPr>
        <w:t> </w:t>
      </w:r>
      <w:r>
        <w:rPr/>
        <w:t>d’élaborer</w:t>
      </w:r>
      <w:r>
        <w:rPr>
          <w:spacing w:val="-2"/>
        </w:rPr>
        <w:t> </w:t>
      </w:r>
      <w:r>
        <w:rPr/>
        <w:t>et</w:t>
      </w:r>
      <w:r>
        <w:rPr>
          <w:spacing w:val="-4"/>
        </w:rPr>
        <w:t> </w:t>
      </w:r>
      <w:r>
        <w:rPr/>
        <w:t>de</w:t>
      </w:r>
      <w:r>
        <w:rPr>
          <w:spacing w:val="-4"/>
        </w:rPr>
        <w:t> </w:t>
      </w:r>
      <w:r>
        <w:rPr/>
        <w:t>mettre</w:t>
      </w:r>
      <w:r>
        <w:rPr>
          <w:spacing w:val="-4"/>
        </w:rPr>
        <w:t> </w:t>
      </w:r>
      <w:r>
        <w:rPr/>
        <w:t>en</w:t>
      </w:r>
      <w:r>
        <w:rPr>
          <w:spacing w:val="-3"/>
        </w:rPr>
        <w:t> </w:t>
      </w:r>
      <w:r>
        <w:rPr/>
        <w:t>œuvre</w:t>
      </w:r>
      <w:r>
        <w:rPr>
          <w:spacing w:val="-2"/>
        </w:rPr>
        <w:t> </w:t>
      </w:r>
      <w:r>
        <w:rPr/>
        <w:t>des</w:t>
      </w:r>
      <w:r>
        <w:rPr>
          <w:spacing w:val="-1"/>
        </w:rPr>
        <w:t> </w:t>
      </w:r>
      <w:r>
        <w:rPr/>
        <w:t>partenariats</w:t>
      </w:r>
      <w:r>
        <w:rPr>
          <w:spacing w:val="-1"/>
        </w:rPr>
        <w:t> </w:t>
      </w:r>
      <w:r>
        <w:rPr/>
        <w:t>forêt</w:t>
      </w:r>
      <w:r>
        <w:rPr>
          <w:spacing w:val="-1"/>
        </w:rPr>
        <w:t> </w:t>
      </w:r>
      <w:r>
        <w:rPr/>
        <w:t>de</w:t>
      </w:r>
      <w:r>
        <w:rPr>
          <w:spacing w:val="-1"/>
        </w:rPr>
        <w:t> </w:t>
      </w:r>
      <w:r>
        <w:rPr/>
        <w:t>l’UE</w:t>
      </w:r>
      <w:r>
        <w:rPr>
          <w:spacing w:val="-2"/>
        </w:rPr>
        <w:t> </w:t>
      </w:r>
      <w:r>
        <w:rPr/>
        <w:t>avec</w:t>
      </w:r>
      <w:r>
        <w:rPr>
          <w:spacing w:val="-1"/>
        </w:rPr>
        <w:t> </w:t>
      </w:r>
      <w:r>
        <w:rPr/>
        <w:t>les</w:t>
      </w:r>
      <w:r>
        <w:rPr>
          <w:spacing w:val="-2"/>
        </w:rPr>
        <w:t> </w:t>
      </w:r>
      <w:r>
        <w:rPr/>
        <w:t>pays</w:t>
      </w:r>
      <w:r>
        <w:rPr>
          <w:spacing w:val="-4"/>
        </w:rPr>
        <w:t> </w:t>
      </w:r>
      <w:r>
        <w:rPr/>
        <w:t>ou</w:t>
      </w:r>
      <w:r>
        <w:rPr>
          <w:spacing w:val="-5"/>
        </w:rPr>
        <w:t> </w:t>
      </w:r>
      <w:r>
        <w:rPr/>
        <w:t>régions partenaires dans le cadre d’une approche "Equipe Europe". Cette nouvelle approche globale et intégrée</w:t>
      </w:r>
    </w:p>
    <w:p>
      <w:pPr>
        <w:pStyle w:val="BodyText"/>
        <w:spacing w:line="268" w:lineRule="exact"/>
        <w:ind w:left="132"/>
      </w:pPr>
      <w:r>
        <w:rPr/>
        <w:t>permettra</w:t>
      </w:r>
      <w:r>
        <w:rPr>
          <w:spacing w:val="-5"/>
        </w:rPr>
        <w:t> </w:t>
      </w:r>
      <w:r>
        <w:rPr/>
        <w:t>de</w:t>
      </w:r>
      <w:r>
        <w:rPr>
          <w:spacing w:val="-2"/>
        </w:rPr>
        <w:t> </w:t>
      </w:r>
      <w:r>
        <w:rPr/>
        <w:t>tenir</w:t>
      </w:r>
      <w:r>
        <w:rPr>
          <w:spacing w:val="-3"/>
        </w:rPr>
        <w:t> </w:t>
      </w:r>
      <w:r>
        <w:rPr/>
        <w:t>les</w:t>
      </w:r>
      <w:r>
        <w:rPr>
          <w:spacing w:val="-5"/>
        </w:rPr>
        <w:t> </w:t>
      </w:r>
      <w:r>
        <w:rPr/>
        <w:t>engagements</w:t>
      </w:r>
      <w:r>
        <w:rPr>
          <w:spacing w:val="-2"/>
        </w:rPr>
        <w:t> </w:t>
      </w:r>
      <w:r>
        <w:rPr/>
        <w:t>de</w:t>
      </w:r>
      <w:r>
        <w:rPr>
          <w:spacing w:val="-2"/>
        </w:rPr>
        <w:t> </w:t>
      </w:r>
      <w:r>
        <w:rPr/>
        <w:t>l’UE,</w:t>
      </w:r>
      <w:r>
        <w:rPr>
          <w:spacing w:val="-3"/>
        </w:rPr>
        <w:t> </w:t>
      </w:r>
      <w:r>
        <w:rPr/>
        <w:t>notamment</w:t>
      </w:r>
      <w:r>
        <w:rPr>
          <w:spacing w:val="-3"/>
        </w:rPr>
        <w:t> </w:t>
      </w:r>
      <w:r>
        <w:rPr/>
        <w:t>en</w:t>
      </w:r>
      <w:r>
        <w:rPr>
          <w:spacing w:val="-5"/>
        </w:rPr>
        <w:t> </w:t>
      </w:r>
      <w:r>
        <w:rPr/>
        <w:t>matière</w:t>
      </w:r>
      <w:r>
        <w:rPr>
          <w:spacing w:val="-2"/>
        </w:rPr>
        <w:t> </w:t>
      </w:r>
      <w:r>
        <w:rPr/>
        <w:t>de</w:t>
      </w:r>
      <w:r>
        <w:rPr>
          <w:spacing w:val="-5"/>
        </w:rPr>
        <w:t> </w:t>
      </w:r>
      <w:r>
        <w:rPr/>
        <w:t>climat</w:t>
      </w:r>
      <w:r>
        <w:rPr>
          <w:spacing w:val="-5"/>
        </w:rPr>
        <w:t> </w:t>
      </w:r>
      <w:r>
        <w:rPr/>
        <w:t>et</w:t>
      </w:r>
      <w:r>
        <w:rPr>
          <w:spacing w:val="-5"/>
        </w:rPr>
        <w:t> </w:t>
      </w:r>
      <w:r>
        <w:rPr/>
        <w:t>de</w:t>
      </w:r>
      <w:r>
        <w:rPr>
          <w:spacing w:val="-2"/>
        </w:rPr>
        <w:t> </w:t>
      </w:r>
      <w:r>
        <w:rPr/>
        <w:t>biodiversité,</w:t>
      </w:r>
      <w:r>
        <w:rPr>
          <w:spacing w:val="-2"/>
        </w:rPr>
        <w:t> </w:t>
      </w:r>
      <w:r>
        <w:rPr/>
        <w:t>tout</w:t>
      </w:r>
      <w:r>
        <w:rPr>
          <w:spacing w:val="-4"/>
        </w:rPr>
        <w:t> </w:t>
      </w:r>
      <w:r>
        <w:rPr>
          <w:spacing w:val="-5"/>
        </w:rPr>
        <w:t>en</w:t>
      </w:r>
    </w:p>
    <w:p>
      <w:pPr>
        <w:pStyle w:val="BodyText"/>
        <w:rPr>
          <w:sz w:val="15"/>
        </w:rPr>
      </w:pPr>
      <w:r>
        <w:rPr/>
        <w:pict>
          <v:rect style="position:absolute;margin-left:42.599998pt;margin-top:10.378418pt;width:144.020pt;height:.71997pt;mso-position-horizontal-relative:page;mso-position-vertical-relative:paragraph;z-index:-15728640;mso-wrap-distance-left:0;mso-wrap-distance-right:0" id="docshape2" filled="true" fillcolor="#000000" stroked="false">
            <v:fill type="solid"/>
            <w10:wrap type="topAndBottom"/>
          </v:rect>
        </w:pict>
      </w:r>
    </w:p>
    <w:p>
      <w:pPr>
        <w:spacing w:before="96"/>
        <w:ind w:left="132" w:right="637" w:firstLine="0"/>
        <w:jc w:val="left"/>
        <w:rPr>
          <w:rFonts w:ascii="Times New Roman" w:hAnsi="Times New Roman"/>
          <w:sz w:val="20"/>
        </w:rPr>
      </w:pPr>
      <w:r>
        <w:rPr>
          <w:rFonts w:ascii="Times New Roman" w:hAnsi="Times New Roman"/>
          <w:sz w:val="20"/>
          <w:vertAlign w:val="superscript"/>
        </w:rPr>
        <w:t>1</w:t>
      </w:r>
      <w:r>
        <w:rPr>
          <w:rFonts w:ascii="Times New Roman" w:hAnsi="Times New Roman"/>
          <w:sz w:val="20"/>
          <w:vertAlign w:val="baseline"/>
        </w:rPr>
        <w:t> Les précisions liées à la date de prise de fonctions et à la durée du détachement sont données à titre indicatif</w:t>
      </w:r>
      <w:r>
        <w:rPr>
          <w:rFonts w:ascii="Times New Roman" w:hAnsi="Times New Roman"/>
          <w:spacing w:val="40"/>
          <w:sz w:val="20"/>
          <w:vertAlign w:val="baseline"/>
        </w:rPr>
        <w:t> </w:t>
      </w:r>
      <w:r>
        <w:rPr>
          <w:rFonts w:ascii="Times New Roman" w:hAnsi="Times New Roman"/>
          <w:sz w:val="20"/>
          <w:vertAlign w:val="baseline"/>
        </w:rPr>
        <w:t>uniquement (article 4 de la décision END).</w:t>
      </w:r>
    </w:p>
    <w:p>
      <w:pPr>
        <w:spacing w:after="0"/>
        <w:jc w:val="left"/>
        <w:rPr>
          <w:rFonts w:ascii="Times New Roman" w:hAnsi="Times New Roman"/>
          <w:sz w:val="20"/>
        </w:rPr>
        <w:sectPr>
          <w:footerReference w:type="default" r:id="rId5"/>
          <w:type w:val="continuous"/>
          <w:pgSz w:w="11910" w:h="16840"/>
          <w:pgMar w:footer="690" w:header="0" w:top="760" w:bottom="880" w:left="720" w:right="740"/>
          <w:pgNumType w:start="1"/>
        </w:sectPr>
      </w:pPr>
    </w:p>
    <w:p>
      <w:pPr>
        <w:pStyle w:val="BodyText"/>
        <w:spacing w:line="276" w:lineRule="auto" w:before="33"/>
        <w:ind w:left="132"/>
      </w:pPr>
      <w:r>
        <w:rPr/>
        <w:t>permettant</w:t>
      </w:r>
      <w:r>
        <w:rPr>
          <w:spacing w:val="-4"/>
        </w:rPr>
        <w:t> </w:t>
      </w:r>
      <w:r>
        <w:rPr/>
        <w:t>aux</w:t>
      </w:r>
      <w:r>
        <w:rPr>
          <w:spacing w:val="-2"/>
        </w:rPr>
        <w:t> </w:t>
      </w:r>
      <w:r>
        <w:rPr/>
        <w:t>partenaires</w:t>
      </w:r>
      <w:r>
        <w:rPr>
          <w:spacing w:val="-2"/>
        </w:rPr>
        <w:t> </w:t>
      </w:r>
      <w:r>
        <w:rPr/>
        <w:t>d’atteindre</w:t>
      </w:r>
      <w:r>
        <w:rPr>
          <w:spacing w:val="-1"/>
        </w:rPr>
        <w:t> </w:t>
      </w:r>
      <w:r>
        <w:rPr/>
        <w:t>leurs</w:t>
      </w:r>
      <w:r>
        <w:rPr>
          <w:spacing w:val="-4"/>
        </w:rPr>
        <w:t> </w:t>
      </w:r>
      <w:r>
        <w:rPr/>
        <w:t>objectifs</w:t>
      </w:r>
      <w:r>
        <w:rPr>
          <w:spacing w:val="-5"/>
        </w:rPr>
        <w:t> </w:t>
      </w:r>
      <w:r>
        <w:rPr/>
        <w:t>de</w:t>
      </w:r>
      <w:r>
        <w:rPr>
          <w:spacing w:val="-2"/>
        </w:rPr>
        <w:t> </w:t>
      </w:r>
      <w:r>
        <w:rPr/>
        <w:t>développement</w:t>
      </w:r>
      <w:r>
        <w:rPr>
          <w:spacing w:val="-2"/>
        </w:rPr>
        <w:t> </w:t>
      </w:r>
      <w:r>
        <w:rPr/>
        <w:t>socio-économique</w:t>
      </w:r>
      <w:r>
        <w:rPr>
          <w:spacing w:val="-1"/>
        </w:rPr>
        <w:t> </w:t>
      </w:r>
      <w:r>
        <w:rPr/>
        <w:t>grâce</w:t>
      </w:r>
      <w:r>
        <w:rPr>
          <w:spacing w:val="-1"/>
        </w:rPr>
        <w:t> </w:t>
      </w:r>
      <w:r>
        <w:rPr/>
        <w:t>à</w:t>
      </w:r>
      <w:r>
        <w:rPr>
          <w:spacing w:val="-5"/>
        </w:rPr>
        <w:t> </w:t>
      </w:r>
      <w:r>
        <w:rPr/>
        <w:t>la</w:t>
      </w:r>
      <w:r>
        <w:rPr>
          <w:spacing w:val="-2"/>
        </w:rPr>
        <w:t> </w:t>
      </w:r>
      <w:r>
        <w:rPr/>
        <w:t>transition vers une économie plus verte.</w:t>
      </w:r>
    </w:p>
    <w:p>
      <w:pPr>
        <w:pStyle w:val="BodyText"/>
        <w:spacing w:before="6"/>
        <w:rPr>
          <w:sz w:val="16"/>
        </w:rPr>
      </w:pPr>
    </w:p>
    <w:p>
      <w:pPr>
        <w:pStyle w:val="BodyText"/>
        <w:ind w:left="132"/>
      </w:pPr>
      <w:r>
        <w:rPr/>
        <w:t>Les partenariats forêt constitueront le cadre général pour la mise en œuvre du cadre de la politique forestière de l’UE sous la responsabilité</w:t>
      </w:r>
      <w:r>
        <w:rPr>
          <w:spacing w:val="-2"/>
        </w:rPr>
        <w:t> </w:t>
      </w:r>
      <w:r>
        <w:rPr/>
        <w:t>de l’unité F2, notamment le plan</w:t>
      </w:r>
      <w:r>
        <w:rPr>
          <w:spacing w:val="-2"/>
        </w:rPr>
        <w:t> </w:t>
      </w:r>
      <w:r>
        <w:rPr/>
        <w:t>d’action</w:t>
      </w:r>
      <w:r>
        <w:rPr>
          <w:spacing w:val="-1"/>
        </w:rPr>
        <w:t> </w:t>
      </w:r>
      <w:r>
        <w:rPr/>
        <w:t>(Application</w:t>
      </w:r>
      <w:r>
        <w:rPr>
          <w:spacing w:val="-4"/>
        </w:rPr>
        <w:t> </w:t>
      </w:r>
      <w:r>
        <w:rPr/>
        <w:t>des réglementations forestières, gouvernance</w:t>
      </w:r>
      <w:r>
        <w:rPr>
          <w:spacing w:val="-2"/>
        </w:rPr>
        <w:t> </w:t>
      </w:r>
      <w:r>
        <w:rPr/>
        <w:t>et</w:t>
      </w:r>
      <w:r>
        <w:rPr>
          <w:spacing w:val="-3"/>
        </w:rPr>
        <w:t> </w:t>
      </w:r>
      <w:r>
        <w:rPr/>
        <w:t>échanges</w:t>
      </w:r>
      <w:r>
        <w:rPr>
          <w:spacing w:val="-2"/>
        </w:rPr>
        <w:t> </w:t>
      </w:r>
      <w:r>
        <w:rPr/>
        <w:t>commerciaux)</w:t>
      </w:r>
      <w:r>
        <w:rPr>
          <w:spacing w:val="-5"/>
        </w:rPr>
        <w:t> </w:t>
      </w:r>
      <w:r>
        <w:rPr/>
        <w:t>et</w:t>
      </w:r>
      <w:r>
        <w:rPr>
          <w:spacing w:val="-3"/>
        </w:rPr>
        <w:t> </w:t>
      </w:r>
      <w:r>
        <w:rPr/>
        <w:t>la</w:t>
      </w:r>
      <w:r>
        <w:rPr>
          <w:spacing w:val="-3"/>
        </w:rPr>
        <w:t> </w:t>
      </w:r>
      <w:r>
        <w:rPr/>
        <w:t>communication</w:t>
      </w:r>
      <w:r>
        <w:rPr>
          <w:spacing w:val="-4"/>
        </w:rPr>
        <w:t> </w:t>
      </w:r>
      <w:r>
        <w:rPr/>
        <w:t>COM/2019/352</w:t>
      </w:r>
      <w:r>
        <w:rPr>
          <w:spacing w:val="-3"/>
        </w:rPr>
        <w:t> </w:t>
      </w:r>
      <w:r>
        <w:rPr/>
        <w:t>intitulée</w:t>
      </w:r>
      <w:r>
        <w:rPr>
          <w:spacing w:val="-3"/>
        </w:rPr>
        <w:t> </w:t>
      </w:r>
      <w:r>
        <w:rPr/>
        <w:t>«Renforcer</w:t>
      </w:r>
      <w:r>
        <w:rPr>
          <w:spacing w:val="-5"/>
        </w:rPr>
        <w:t> </w:t>
      </w:r>
      <w:r>
        <w:rPr/>
        <w:t>l’action</w:t>
      </w:r>
      <w:r>
        <w:rPr>
          <w:spacing w:val="-6"/>
        </w:rPr>
        <w:t> </w:t>
      </w:r>
      <w:r>
        <w:rPr/>
        <w:t>de</w:t>
      </w:r>
      <w:r>
        <w:rPr>
          <w:spacing w:val="-2"/>
        </w:rPr>
        <w:t> </w:t>
      </w:r>
      <w:r>
        <w:rPr/>
        <w:t>l’UE pour protéger et restaurer les forêts de la planète», et pour promouvoir les investissements du secteur privé au moyen de chaînes de valeur forestières durables. L’unité F2 contribuera également à lutter contre la</w:t>
      </w:r>
    </w:p>
    <w:p>
      <w:pPr>
        <w:pStyle w:val="BodyText"/>
        <w:spacing w:before="1"/>
        <w:ind w:left="132" w:right="102"/>
      </w:pPr>
      <w:r>
        <w:rPr/>
        <w:t>déforestation</w:t>
      </w:r>
      <w:r>
        <w:rPr>
          <w:spacing w:val="-2"/>
        </w:rPr>
        <w:t> </w:t>
      </w:r>
      <w:r>
        <w:rPr/>
        <w:t>et</w:t>
      </w:r>
      <w:r>
        <w:rPr>
          <w:spacing w:val="-1"/>
        </w:rPr>
        <w:t> </w:t>
      </w:r>
      <w:r>
        <w:rPr/>
        <w:t>la</w:t>
      </w:r>
      <w:r>
        <w:rPr>
          <w:spacing w:val="-1"/>
        </w:rPr>
        <w:t> </w:t>
      </w:r>
      <w:r>
        <w:rPr/>
        <w:t>dégradation</w:t>
      </w:r>
      <w:r>
        <w:rPr>
          <w:spacing w:val="-2"/>
        </w:rPr>
        <w:t> </w:t>
      </w:r>
      <w:r>
        <w:rPr/>
        <w:t>des</w:t>
      </w:r>
      <w:r>
        <w:rPr>
          <w:spacing w:val="-4"/>
        </w:rPr>
        <w:t> </w:t>
      </w:r>
      <w:r>
        <w:rPr/>
        <w:t>forêts</w:t>
      </w:r>
      <w:r>
        <w:rPr>
          <w:spacing w:val="-1"/>
        </w:rPr>
        <w:t> </w:t>
      </w:r>
      <w:r>
        <w:rPr/>
        <w:t>dans</w:t>
      </w:r>
      <w:r>
        <w:rPr>
          <w:spacing w:val="-4"/>
        </w:rPr>
        <w:t> </w:t>
      </w:r>
      <w:r>
        <w:rPr/>
        <w:t>les pays</w:t>
      </w:r>
      <w:r>
        <w:rPr>
          <w:spacing w:val="-1"/>
        </w:rPr>
        <w:t> </w:t>
      </w:r>
      <w:r>
        <w:rPr/>
        <w:t>partenaires,</w:t>
      </w:r>
      <w:r>
        <w:rPr>
          <w:spacing w:val="-1"/>
        </w:rPr>
        <w:t> </w:t>
      </w:r>
      <w:r>
        <w:rPr/>
        <w:t>au</w:t>
      </w:r>
      <w:r>
        <w:rPr>
          <w:spacing w:val="-4"/>
        </w:rPr>
        <w:t> </w:t>
      </w:r>
      <w:r>
        <w:rPr/>
        <w:t>moyen</w:t>
      </w:r>
      <w:r>
        <w:rPr>
          <w:spacing w:val="-4"/>
        </w:rPr>
        <w:t> </w:t>
      </w:r>
      <w:r>
        <w:rPr/>
        <w:t>de</w:t>
      </w:r>
      <w:r>
        <w:rPr>
          <w:spacing w:val="-4"/>
        </w:rPr>
        <w:t> </w:t>
      </w:r>
      <w:r>
        <w:rPr/>
        <w:t>mécanismes au</w:t>
      </w:r>
      <w:r>
        <w:rPr>
          <w:spacing w:val="-4"/>
        </w:rPr>
        <w:t> </w:t>
      </w:r>
      <w:r>
        <w:rPr/>
        <w:t>titre</w:t>
      </w:r>
      <w:r>
        <w:rPr>
          <w:spacing w:val="-3"/>
        </w:rPr>
        <w:t> </w:t>
      </w:r>
      <w:r>
        <w:rPr/>
        <w:t>de</w:t>
      </w:r>
      <w:r>
        <w:rPr>
          <w:spacing w:val="-1"/>
        </w:rPr>
        <w:t> </w:t>
      </w:r>
      <w:r>
        <w:rPr/>
        <w:t>l’accord de Paris sur le climat, y compris en ce qui concerne les financements innovants. L’unité F2 contribue également à la conception</w:t>
      </w:r>
      <w:r>
        <w:rPr>
          <w:spacing w:val="-1"/>
        </w:rPr>
        <w:t> </w:t>
      </w:r>
      <w:r>
        <w:rPr/>
        <w:t>et à la mise en œuvre du règlement de l’UE sur les produits sans déforestation, en mettant l’accent sur l’article 27 «benchmarking» et l’article 28 «Coopération avec les pays tiers».</w:t>
      </w:r>
    </w:p>
    <w:p>
      <w:pPr>
        <w:pStyle w:val="BodyText"/>
        <w:spacing w:before="10"/>
        <w:rPr>
          <w:sz w:val="20"/>
        </w:rPr>
      </w:pPr>
    </w:p>
    <w:p>
      <w:pPr>
        <w:pStyle w:val="BodyText"/>
        <w:ind w:left="132"/>
      </w:pPr>
      <w:r>
        <w:rPr/>
        <w:t>Description</w:t>
      </w:r>
      <w:r>
        <w:rPr>
          <w:spacing w:val="-6"/>
        </w:rPr>
        <w:t> </w:t>
      </w:r>
      <w:r>
        <w:rPr/>
        <w:t>de</w:t>
      </w:r>
      <w:r>
        <w:rPr>
          <w:spacing w:val="-5"/>
        </w:rPr>
        <w:t> </w:t>
      </w:r>
      <w:r>
        <w:rPr>
          <w:spacing w:val="-4"/>
        </w:rPr>
        <w:t>poste</w:t>
      </w:r>
    </w:p>
    <w:p>
      <w:pPr>
        <w:pStyle w:val="BodyText"/>
        <w:spacing w:before="8"/>
        <w:rPr>
          <w:sz w:val="19"/>
        </w:rPr>
      </w:pPr>
    </w:p>
    <w:p>
      <w:pPr>
        <w:pStyle w:val="BodyText"/>
        <w:spacing w:line="276" w:lineRule="auto"/>
        <w:ind w:left="132" w:right="281"/>
        <w:jc w:val="both"/>
      </w:pPr>
      <w:r>
        <w:rPr/>
        <w:t>Sous</w:t>
      </w:r>
      <w:r>
        <w:rPr>
          <w:spacing w:val="-2"/>
        </w:rPr>
        <w:t> </w:t>
      </w:r>
      <w:r>
        <w:rPr/>
        <w:t>la</w:t>
      </w:r>
      <w:r>
        <w:rPr>
          <w:spacing w:val="-2"/>
        </w:rPr>
        <w:t> </w:t>
      </w:r>
      <w:r>
        <w:rPr/>
        <w:t>responsabilité</w:t>
      </w:r>
      <w:r>
        <w:rPr>
          <w:spacing w:val="-1"/>
        </w:rPr>
        <w:t> </w:t>
      </w:r>
      <w:r>
        <w:rPr/>
        <w:t>du</w:t>
      </w:r>
      <w:r>
        <w:rPr>
          <w:spacing w:val="-3"/>
        </w:rPr>
        <w:t> </w:t>
      </w:r>
      <w:r>
        <w:rPr/>
        <w:t>chef</w:t>
      </w:r>
      <w:r>
        <w:rPr>
          <w:spacing w:val="-1"/>
        </w:rPr>
        <w:t> </w:t>
      </w:r>
      <w:r>
        <w:rPr/>
        <w:t>d’unité,</w:t>
      </w:r>
      <w:r>
        <w:rPr>
          <w:spacing w:val="-1"/>
        </w:rPr>
        <w:t> </w:t>
      </w:r>
      <w:r>
        <w:rPr/>
        <w:t>le</w:t>
      </w:r>
      <w:r>
        <w:rPr>
          <w:spacing w:val="-1"/>
        </w:rPr>
        <w:t> </w:t>
      </w:r>
      <w:r>
        <w:rPr/>
        <w:t>candidat</w:t>
      </w:r>
      <w:r>
        <w:rPr>
          <w:spacing w:val="-2"/>
        </w:rPr>
        <w:t> </w:t>
      </w:r>
      <w:r>
        <w:rPr/>
        <w:t>retenu</w:t>
      </w:r>
      <w:r>
        <w:rPr>
          <w:spacing w:val="-3"/>
        </w:rPr>
        <w:t> </w:t>
      </w:r>
      <w:r>
        <w:rPr/>
        <w:t>soutiendra</w:t>
      </w:r>
      <w:r>
        <w:rPr>
          <w:spacing w:val="-2"/>
        </w:rPr>
        <w:t> </w:t>
      </w:r>
      <w:r>
        <w:rPr/>
        <w:t>les</w:t>
      </w:r>
      <w:r>
        <w:rPr>
          <w:spacing w:val="-4"/>
        </w:rPr>
        <w:t> </w:t>
      </w:r>
      <w:r>
        <w:rPr/>
        <w:t>travaux</w:t>
      </w:r>
      <w:r>
        <w:rPr>
          <w:spacing w:val="-4"/>
        </w:rPr>
        <w:t> </w:t>
      </w:r>
      <w:r>
        <w:rPr/>
        <w:t>de</w:t>
      </w:r>
      <w:r>
        <w:rPr>
          <w:spacing w:val="-1"/>
        </w:rPr>
        <w:t> </w:t>
      </w:r>
      <w:r>
        <w:rPr/>
        <w:t>la</w:t>
      </w:r>
      <w:r>
        <w:rPr>
          <w:spacing w:val="-2"/>
        </w:rPr>
        <w:t> </w:t>
      </w:r>
      <w:r>
        <w:rPr/>
        <w:t>DG</w:t>
      </w:r>
      <w:r>
        <w:rPr>
          <w:spacing w:val="-2"/>
        </w:rPr>
        <w:t> </w:t>
      </w:r>
      <w:r>
        <w:rPr/>
        <w:t>INTPA</w:t>
      </w:r>
      <w:r>
        <w:rPr>
          <w:spacing w:val="-2"/>
        </w:rPr>
        <w:t> </w:t>
      </w:r>
      <w:r>
        <w:rPr/>
        <w:t>dans</w:t>
      </w:r>
      <w:r>
        <w:rPr>
          <w:spacing w:val="-2"/>
        </w:rPr>
        <w:t> </w:t>
      </w:r>
      <w:r>
        <w:rPr/>
        <w:t>le</w:t>
      </w:r>
      <w:r>
        <w:rPr>
          <w:spacing w:val="-4"/>
        </w:rPr>
        <w:t> </w:t>
      </w:r>
      <w:r>
        <w:rPr/>
        <w:t>domaine de la gestion</w:t>
      </w:r>
      <w:r>
        <w:rPr>
          <w:spacing w:val="-1"/>
        </w:rPr>
        <w:t> </w:t>
      </w:r>
      <w:r>
        <w:rPr/>
        <w:t>durable des forêts. Les zones géographiques seraient principalement l’Afrique, l’Asie</w:t>
      </w:r>
      <w:r>
        <w:rPr>
          <w:spacing w:val="-3"/>
        </w:rPr>
        <w:t> </w:t>
      </w:r>
      <w:r>
        <w:rPr/>
        <w:t>du</w:t>
      </w:r>
      <w:r>
        <w:rPr>
          <w:spacing w:val="-1"/>
        </w:rPr>
        <w:t> </w:t>
      </w:r>
      <w:r>
        <w:rPr/>
        <w:t>Sud-Est, le Pacifique et l’Amérique du Sud/centrale.</w:t>
      </w:r>
    </w:p>
    <w:p>
      <w:pPr>
        <w:pStyle w:val="BodyText"/>
        <w:spacing w:before="4"/>
        <w:rPr>
          <w:sz w:val="16"/>
        </w:rPr>
      </w:pPr>
    </w:p>
    <w:p>
      <w:pPr>
        <w:pStyle w:val="BodyText"/>
        <w:ind w:left="132"/>
      </w:pPr>
      <w:r>
        <w:rPr/>
        <w:t>Dans</w:t>
      </w:r>
      <w:r>
        <w:rPr>
          <w:spacing w:val="-5"/>
        </w:rPr>
        <w:t> </w:t>
      </w:r>
      <w:r>
        <w:rPr/>
        <w:t>ce</w:t>
      </w:r>
      <w:r>
        <w:rPr>
          <w:spacing w:val="-2"/>
        </w:rPr>
        <w:t> </w:t>
      </w:r>
      <w:r>
        <w:rPr/>
        <w:t>contexte,</w:t>
      </w:r>
      <w:r>
        <w:rPr>
          <w:spacing w:val="-5"/>
        </w:rPr>
        <w:t> </w:t>
      </w:r>
      <w:r>
        <w:rPr/>
        <w:t>le</w:t>
      </w:r>
      <w:r>
        <w:rPr>
          <w:spacing w:val="-2"/>
        </w:rPr>
        <w:t> </w:t>
      </w:r>
      <w:r>
        <w:rPr/>
        <w:t>candidat</w:t>
      </w:r>
      <w:r>
        <w:rPr>
          <w:spacing w:val="-3"/>
        </w:rPr>
        <w:t> </w:t>
      </w:r>
      <w:r>
        <w:rPr/>
        <w:t>retenu</w:t>
      </w:r>
      <w:r>
        <w:rPr>
          <w:spacing w:val="-3"/>
        </w:rPr>
        <w:t> </w:t>
      </w:r>
      <w:r>
        <w:rPr/>
        <w:t>sera</w:t>
      </w:r>
      <w:r>
        <w:rPr>
          <w:spacing w:val="-6"/>
        </w:rPr>
        <w:t> </w:t>
      </w:r>
      <w:r>
        <w:rPr/>
        <w:t>chargé</w:t>
      </w:r>
      <w:r>
        <w:rPr>
          <w:spacing w:val="-2"/>
        </w:rPr>
        <w:t> </w:t>
      </w:r>
      <w:r>
        <w:rPr/>
        <w:t>des</w:t>
      </w:r>
      <w:r>
        <w:rPr>
          <w:spacing w:val="-2"/>
        </w:rPr>
        <w:t> </w:t>
      </w:r>
      <w:r>
        <w:rPr/>
        <w:t>tâches</w:t>
      </w:r>
      <w:r>
        <w:rPr>
          <w:spacing w:val="-1"/>
        </w:rPr>
        <w:t> </w:t>
      </w:r>
      <w:r>
        <w:rPr>
          <w:spacing w:val="-2"/>
        </w:rPr>
        <w:t>suivantes:</w:t>
      </w:r>
    </w:p>
    <w:p>
      <w:pPr>
        <w:pStyle w:val="BodyText"/>
        <w:spacing w:before="8"/>
        <w:rPr>
          <w:sz w:val="19"/>
        </w:rPr>
      </w:pPr>
    </w:p>
    <w:p>
      <w:pPr>
        <w:pStyle w:val="ListParagraph"/>
        <w:numPr>
          <w:ilvl w:val="0"/>
          <w:numId w:val="4"/>
        </w:numPr>
        <w:tabs>
          <w:tab w:pos="351" w:val="left" w:leader="none"/>
        </w:tabs>
        <w:spacing w:line="276" w:lineRule="auto" w:before="0" w:after="0"/>
        <w:ind w:left="132" w:right="597" w:firstLine="0"/>
        <w:jc w:val="both"/>
        <w:rPr>
          <w:sz w:val="22"/>
        </w:rPr>
      </w:pPr>
      <w:r>
        <w:rPr>
          <w:sz w:val="22"/>
        </w:rPr>
        <w:t>Soutenir</w:t>
      </w:r>
      <w:r>
        <w:rPr>
          <w:spacing w:val="-2"/>
          <w:sz w:val="22"/>
        </w:rPr>
        <w:t> </w:t>
      </w:r>
      <w:r>
        <w:rPr>
          <w:sz w:val="22"/>
        </w:rPr>
        <w:t>la</w:t>
      </w:r>
      <w:r>
        <w:rPr>
          <w:spacing w:val="-2"/>
          <w:sz w:val="22"/>
        </w:rPr>
        <w:t> </w:t>
      </w:r>
      <w:r>
        <w:rPr>
          <w:sz w:val="22"/>
        </w:rPr>
        <w:t>programmation</w:t>
      </w:r>
      <w:r>
        <w:rPr>
          <w:spacing w:val="-3"/>
          <w:sz w:val="22"/>
        </w:rPr>
        <w:t> </w:t>
      </w:r>
      <w:r>
        <w:rPr>
          <w:sz w:val="22"/>
        </w:rPr>
        <w:t>et</w:t>
      </w:r>
      <w:r>
        <w:rPr>
          <w:spacing w:val="-4"/>
          <w:sz w:val="22"/>
        </w:rPr>
        <w:t> </w:t>
      </w:r>
      <w:r>
        <w:rPr>
          <w:sz w:val="22"/>
        </w:rPr>
        <w:t>la</w:t>
      </w:r>
      <w:r>
        <w:rPr>
          <w:spacing w:val="-4"/>
          <w:sz w:val="22"/>
        </w:rPr>
        <w:t> </w:t>
      </w:r>
      <w:r>
        <w:rPr>
          <w:sz w:val="22"/>
        </w:rPr>
        <w:t>mise</w:t>
      </w:r>
      <w:r>
        <w:rPr>
          <w:spacing w:val="-4"/>
          <w:sz w:val="22"/>
        </w:rPr>
        <w:t> </w:t>
      </w:r>
      <w:r>
        <w:rPr>
          <w:sz w:val="22"/>
        </w:rPr>
        <w:t>en</w:t>
      </w:r>
      <w:r>
        <w:rPr>
          <w:spacing w:val="-3"/>
          <w:sz w:val="22"/>
        </w:rPr>
        <w:t> </w:t>
      </w:r>
      <w:r>
        <w:rPr>
          <w:sz w:val="22"/>
        </w:rPr>
        <w:t>œuvre</w:t>
      </w:r>
      <w:r>
        <w:rPr>
          <w:spacing w:val="-2"/>
          <w:sz w:val="22"/>
        </w:rPr>
        <w:t> </w:t>
      </w:r>
      <w:r>
        <w:rPr>
          <w:sz w:val="22"/>
        </w:rPr>
        <w:t>des</w:t>
      </w:r>
      <w:r>
        <w:rPr>
          <w:spacing w:val="-4"/>
          <w:sz w:val="22"/>
        </w:rPr>
        <w:t> </w:t>
      </w:r>
      <w:r>
        <w:rPr>
          <w:sz w:val="22"/>
        </w:rPr>
        <w:t>futurs</w:t>
      </w:r>
      <w:r>
        <w:rPr>
          <w:spacing w:val="-2"/>
          <w:sz w:val="22"/>
        </w:rPr>
        <w:t> </w:t>
      </w:r>
      <w:r>
        <w:rPr>
          <w:sz w:val="22"/>
        </w:rPr>
        <w:t>programmes</w:t>
      </w:r>
      <w:r>
        <w:rPr>
          <w:spacing w:val="-4"/>
          <w:sz w:val="22"/>
        </w:rPr>
        <w:t> </w:t>
      </w:r>
      <w:r>
        <w:rPr>
          <w:sz w:val="22"/>
        </w:rPr>
        <w:t>nationaux</w:t>
      </w:r>
      <w:r>
        <w:rPr>
          <w:spacing w:val="-2"/>
          <w:sz w:val="22"/>
        </w:rPr>
        <w:t> </w:t>
      </w:r>
      <w:r>
        <w:rPr>
          <w:sz w:val="22"/>
        </w:rPr>
        <w:t>et</w:t>
      </w:r>
      <w:r>
        <w:rPr>
          <w:spacing w:val="-2"/>
          <w:sz w:val="22"/>
        </w:rPr>
        <w:t> </w:t>
      </w:r>
      <w:r>
        <w:rPr>
          <w:sz w:val="22"/>
        </w:rPr>
        <w:t>régionaux</w:t>
      </w:r>
      <w:r>
        <w:rPr>
          <w:spacing w:val="-4"/>
          <w:sz w:val="22"/>
        </w:rPr>
        <w:t> </w:t>
      </w:r>
      <w:r>
        <w:rPr>
          <w:sz w:val="22"/>
        </w:rPr>
        <w:t>de</w:t>
      </w:r>
      <w:r>
        <w:rPr>
          <w:spacing w:val="-2"/>
          <w:sz w:val="22"/>
        </w:rPr>
        <w:t> </w:t>
      </w:r>
      <w:r>
        <w:rPr>
          <w:sz w:val="22"/>
        </w:rPr>
        <w:t>l’UE,</w:t>
      </w:r>
      <w:r>
        <w:rPr>
          <w:spacing w:val="-2"/>
          <w:sz w:val="22"/>
        </w:rPr>
        <w:t> </w:t>
      </w:r>
      <w:r>
        <w:rPr>
          <w:sz w:val="22"/>
        </w:rPr>
        <w:t>en mettant particulièrement l’accent sur</w:t>
      </w:r>
      <w:r>
        <w:rPr>
          <w:spacing w:val="-4"/>
          <w:sz w:val="22"/>
        </w:rPr>
        <w:t> </w:t>
      </w:r>
      <w:r>
        <w:rPr>
          <w:sz w:val="22"/>
        </w:rPr>
        <w:t>la dimension</w:t>
      </w:r>
      <w:r>
        <w:rPr>
          <w:spacing w:val="-1"/>
          <w:sz w:val="22"/>
        </w:rPr>
        <w:t> </w:t>
      </w:r>
      <w:r>
        <w:rPr>
          <w:sz w:val="22"/>
        </w:rPr>
        <w:t>extérieure du</w:t>
      </w:r>
      <w:r>
        <w:rPr>
          <w:spacing w:val="-1"/>
          <w:sz w:val="22"/>
        </w:rPr>
        <w:t> </w:t>
      </w:r>
      <w:r>
        <w:rPr>
          <w:sz w:val="22"/>
        </w:rPr>
        <w:t>pacte</w:t>
      </w:r>
      <w:r>
        <w:rPr>
          <w:spacing w:val="-2"/>
          <w:sz w:val="22"/>
        </w:rPr>
        <w:t> </w:t>
      </w:r>
      <w:r>
        <w:rPr>
          <w:sz w:val="22"/>
        </w:rPr>
        <w:t>vert et sur</w:t>
      </w:r>
      <w:r>
        <w:rPr>
          <w:spacing w:val="-4"/>
          <w:sz w:val="22"/>
        </w:rPr>
        <w:t> </w:t>
      </w:r>
      <w:r>
        <w:rPr>
          <w:sz w:val="22"/>
        </w:rPr>
        <w:t>l’élaboration</w:t>
      </w:r>
      <w:r>
        <w:rPr>
          <w:spacing w:val="-3"/>
          <w:sz w:val="22"/>
        </w:rPr>
        <w:t> </w:t>
      </w:r>
      <w:r>
        <w:rPr>
          <w:sz w:val="22"/>
        </w:rPr>
        <w:t>et la</w:t>
      </w:r>
      <w:r>
        <w:rPr>
          <w:spacing w:val="-3"/>
          <w:sz w:val="22"/>
        </w:rPr>
        <w:t> </w:t>
      </w:r>
      <w:r>
        <w:rPr>
          <w:sz w:val="22"/>
        </w:rPr>
        <w:t>mise</w:t>
      </w:r>
      <w:r>
        <w:rPr>
          <w:spacing w:val="-2"/>
          <w:sz w:val="22"/>
        </w:rPr>
        <w:t> </w:t>
      </w:r>
      <w:r>
        <w:rPr>
          <w:sz w:val="22"/>
        </w:rPr>
        <w:t>en œuvre des partenariats forêt de l’UE, depuis le dialogue politique jusqu’aux programmes;</w:t>
      </w:r>
    </w:p>
    <w:p>
      <w:pPr>
        <w:pStyle w:val="BodyText"/>
        <w:spacing w:before="4"/>
        <w:rPr>
          <w:sz w:val="16"/>
        </w:rPr>
      </w:pPr>
    </w:p>
    <w:p>
      <w:pPr>
        <w:pStyle w:val="ListParagraph"/>
        <w:numPr>
          <w:ilvl w:val="0"/>
          <w:numId w:val="4"/>
        </w:numPr>
        <w:tabs>
          <w:tab w:pos="351" w:val="left" w:leader="none"/>
        </w:tabs>
        <w:spacing w:line="276" w:lineRule="auto" w:before="0" w:after="0"/>
        <w:ind w:left="132" w:right="442" w:firstLine="0"/>
        <w:jc w:val="left"/>
        <w:rPr>
          <w:sz w:val="22"/>
        </w:rPr>
      </w:pPr>
      <w:r>
        <w:rPr>
          <w:sz w:val="22"/>
        </w:rPr>
        <w:t>contribuer</w:t>
      </w:r>
      <w:r>
        <w:rPr>
          <w:spacing w:val="-2"/>
          <w:sz w:val="22"/>
        </w:rPr>
        <w:t> </w:t>
      </w:r>
      <w:r>
        <w:rPr>
          <w:sz w:val="22"/>
        </w:rPr>
        <w:t>aux</w:t>
      </w:r>
      <w:r>
        <w:rPr>
          <w:spacing w:val="-4"/>
          <w:sz w:val="22"/>
        </w:rPr>
        <w:t> </w:t>
      </w:r>
      <w:r>
        <w:rPr>
          <w:sz w:val="22"/>
        </w:rPr>
        <w:t>travaux</w:t>
      </w:r>
      <w:r>
        <w:rPr>
          <w:spacing w:val="-2"/>
          <w:sz w:val="22"/>
        </w:rPr>
        <w:t> </w:t>
      </w:r>
      <w:r>
        <w:rPr>
          <w:sz w:val="22"/>
        </w:rPr>
        <w:t>d’analyse</w:t>
      </w:r>
      <w:r>
        <w:rPr>
          <w:spacing w:val="-4"/>
          <w:sz w:val="22"/>
        </w:rPr>
        <w:t> </w:t>
      </w:r>
      <w:r>
        <w:rPr>
          <w:sz w:val="22"/>
        </w:rPr>
        <w:t>et</w:t>
      </w:r>
      <w:r>
        <w:rPr>
          <w:spacing w:val="-2"/>
          <w:sz w:val="22"/>
        </w:rPr>
        <w:t> </w:t>
      </w:r>
      <w:r>
        <w:rPr>
          <w:sz w:val="22"/>
        </w:rPr>
        <w:t>au</w:t>
      </w:r>
      <w:r>
        <w:rPr>
          <w:spacing w:val="-5"/>
          <w:sz w:val="22"/>
        </w:rPr>
        <w:t> </w:t>
      </w:r>
      <w:r>
        <w:rPr>
          <w:sz w:val="22"/>
        </w:rPr>
        <w:t>développement</w:t>
      </w:r>
      <w:r>
        <w:rPr>
          <w:spacing w:val="-2"/>
          <w:sz w:val="22"/>
        </w:rPr>
        <w:t> </w:t>
      </w:r>
      <w:r>
        <w:rPr>
          <w:sz w:val="22"/>
        </w:rPr>
        <w:t>de</w:t>
      </w:r>
      <w:r>
        <w:rPr>
          <w:spacing w:val="-4"/>
          <w:sz w:val="22"/>
        </w:rPr>
        <w:t> </w:t>
      </w:r>
      <w:r>
        <w:rPr>
          <w:sz w:val="22"/>
        </w:rPr>
        <w:t>connaissances,</w:t>
      </w:r>
      <w:r>
        <w:rPr>
          <w:spacing w:val="-1"/>
          <w:sz w:val="22"/>
        </w:rPr>
        <w:t> </w:t>
      </w:r>
      <w:r>
        <w:rPr>
          <w:sz w:val="22"/>
        </w:rPr>
        <w:t>d’outils</w:t>
      </w:r>
      <w:r>
        <w:rPr>
          <w:spacing w:val="-2"/>
          <w:sz w:val="22"/>
        </w:rPr>
        <w:t> </w:t>
      </w:r>
      <w:r>
        <w:rPr>
          <w:sz w:val="22"/>
        </w:rPr>
        <w:t>et</w:t>
      </w:r>
      <w:r>
        <w:rPr>
          <w:spacing w:val="-4"/>
          <w:sz w:val="22"/>
        </w:rPr>
        <w:t> </w:t>
      </w:r>
      <w:r>
        <w:rPr>
          <w:sz w:val="22"/>
        </w:rPr>
        <w:t>d’approches</w:t>
      </w:r>
      <w:r>
        <w:rPr>
          <w:spacing w:val="-2"/>
          <w:sz w:val="22"/>
        </w:rPr>
        <w:t> </w:t>
      </w:r>
      <w:r>
        <w:rPr>
          <w:sz w:val="22"/>
        </w:rPr>
        <w:t>en</w:t>
      </w:r>
      <w:r>
        <w:rPr>
          <w:spacing w:val="-3"/>
          <w:sz w:val="22"/>
        </w:rPr>
        <w:t> </w:t>
      </w:r>
      <w:r>
        <w:rPr>
          <w:sz w:val="22"/>
        </w:rPr>
        <w:t>rapport avec les politiques, stratégies et méthodologies en matière de gestion durable des forêts et de lutte contre la </w:t>
      </w:r>
      <w:r>
        <w:rPr>
          <w:spacing w:val="-2"/>
          <w:sz w:val="22"/>
        </w:rPr>
        <w:t>déforestation;</w:t>
      </w:r>
    </w:p>
    <w:p>
      <w:pPr>
        <w:pStyle w:val="BodyText"/>
        <w:spacing w:before="6"/>
        <w:rPr>
          <w:sz w:val="16"/>
        </w:rPr>
      </w:pPr>
    </w:p>
    <w:p>
      <w:pPr>
        <w:pStyle w:val="ListParagraph"/>
        <w:numPr>
          <w:ilvl w:val="0"/>
          <w:numId w:val="4"/>
        </w:numPr>
        <w:tabs>
          <w:tab w:pos="351" w:val="left" w:leader="none"/>
        </w:tabs>
        <w:spacing w:line="240" w:lineRule="auto" w:before="1" w:after="0"/>
        <w:ind w:left="350" w:right="0" w:hanging="219"/>
        <w:jc w:val="left"/>
        <w:rPr>
          <w:sz w:val="22"/>
        </w:rPr>
      </w:pPr>
      <w:r>
        <w:rPr>
          <w:sz w:val="22"/>
        </w:rPr>
        <w:t>analyser</w:t>
      </w:r>
      <w:r>
        <w:rPr>
          <w:spacing w:val="-6"/>
          <w:sz w:val="22"/>
        </w:rPr>
        <w:t> </w:t>
      </w:r>
      <w:r>
        <w:rPr>
          <w:sz w:val="22"/>
        </w:rPr>
        <w:t>et</w:t>
      </w:r>
      <w:r>
        <w:rPr>
          <w:spacing w:val="-3"/>
          <w:sz w:val="22"/>
        </w:rPr>
        <w:t> </w:t>
      </w:r>
      <w:r>
        <w:rPr>
          <w:sz w:val="22"/>
        </w:rPr>
        <w:t>développer</w:t>
      </w:r>
      <w:r>
        <w:rPr>
          <w:spacing w:val="-3"/>
          <w:sz w:val="22"/>
        </w:rPr>
        <w:t> </w:t>
      </w:r>
      <w:r>
        <w:rPr>
          <w:sz w:val="22"/>
        </w:rPr>
        <w:t>des</w:t>
      </w:r>
      <w:r>
        <w:rPr>
          <w:spacing w:val="-3"/>
          <w:sz w:val="22"/>
        </w:rPr>
        <w:t> </w:t>
      </w:r>
      <w:r>
        <w:rPr>
          <w:sz w:val="22"/>
        </w:rPr>
        <w:t>chaînes</w:t>
      </w:r>
      <w:r>
        <w:rPr>
          <w:spacing w:val="-5"/>
          <w:sz w:val="22"/>
        </w:rPr>
        <w:t> </w:t>
      </w:r>
      <w:r>
        <w:rPr>
          <w:sz w:val="22"/>
        </w:rPr>
        <w:t>de</w:t>
      </w:r>
      <w:r>
        <w:rPr>
          <w:spacing w:val="-5"/>
          <w:sz w:val="22"/>
        </w:rPr>
        <w:t> </w:t>
      </w:r>
      <w:r>
        <w:rPr>
          <w:sz w:val="22"/>
        </w:rPr>
        <w:t>valeur</w:t>
      </w:r>
      <w:r>
        <w:rPr>
          <w:spacing w:val="-3"/>
          <w:sz w:val="22"/>
        </w:rPr>
        <w:t> </w:t>
      </w:r>
      <w:r>
        <w:rPr>
          <w:sz w:val="22"/>
        </w:rPr>
        <w:t>durables</w:t>
      </w:r>
      <w:r>
        <w:rPr>
          <w:spacing w:val="-3"/>
          <w:sz w:val="22"/>
        </w:rPr>
        <w:t> </w:t>
      </w:r>
      <w:r>
        <w:rPr>
          <w:sz w:val="22"/>
        </w:rPr>
        <w:t>liées</w:t>
      </w:r>
      <w:r>
        <w:rPr>
          <w:spacing w:val="-2"/>
          <w:sz w:val="22"/>
        </w:rPr>
        <w:t> </w:t>
      </w:r>
      <w:r>
        <w:rPr>
          <w:sz w:val="22"/>
        </w:rPr>
        <w:t>aux</w:t>
      </w:r>
      <w:r>
        <w:rPr>
          <w:spacing w:val="-3"/>
          <w:sz w:val="22"/>
        </w:rPr>
        <w:t> </w:t>
      </w:r>
      <w:r>
        <w:rPr>
          <w:sz w:val="22"/>
        </w:rPr>
        <w:t>forêts</w:t>
      </w:r>
      <w:r>
        <w:rPr>
          <w:spacing w:val="-3"/>
          <w:sz w:val="22"/>
        </w:rPr>
        <w:t> </w:t>
      </w:r>
      <w:r>
        <w:rPr>
          <w:sz w:val="22"/>
        </w:rPr>
        <w:t>(bois</w:t>
      </w:r>
      <w:r>
        <w:rPr>
          <w:spacing w:val="-6"/>
          <w:sz w:val="22"/>
        </w:rPr>
        <w:t> </w:t>
      </w:r>
      <w:r>
        <w:rPr>
          <w:sz w:val="22"/>
        </w:rPr>
        <w:t>et</w:t>
      </w:r>
      <w:r>
        <w:rPr>
          <w:spacing w:val="-5"/>
          <w:sz w:val="22"/>
        </w:rPr>
        <w:t> </w:t>
      </w:r>
      <w:r>
        <w:rPr>
          <w:sz w:val="22"/>
        </w:rPr>
        <w:t>produits</w:t>
      </w:r>
      <w:r>
        <w:rPr>
          <w:spacing w:val="-3"/>
          <w:sz w:val="22"/>
        </w:rPr>
        <w:t> </w:t>
      </w:r>
      <w:r>
        <w:rPr>
          <w:sz w:val="22"/>
        </w:rPr>
        <w:t>forestiers</w:t>
      </w:r>
      <w:r>
        <w:rPr>
          <w:spacing w:val="-3"/>
          <w:sz w:val="22"/>
        </w:rPr>
        <w:t> </w:t>
      </w:r>
      <w:r>
        <w:rPr>
          <w:sz w:val="22"/>
        </w:rPr>
        <w:t>non</w:t>
      </w:r>
      <w:r>
        <w:rPr>
          <w:spacing w:val="-4"/>
          <w:sz w:val="22"/>
        </w:rPr>
        <w:t> </w:t>
      </w:r>
      <w:r>
        <w:rPr>
          <w:spacing w:val="-2"/>
          <w:sz w:val="22"/>
        </w:rPr>
        <w:t>ligneux);</w:t>
      </w:r>
    </w:p>
    <w:p>
      <w:pPr>
        <w:pStyle w:val="BodyText"/>
        <w:spacing w:before="8"/>
        <w:rPr>
          <w:sz w:val="19"/>
        </w:rPr>
      </w:pPr>
    </w:p>
    <w:p>
      <w:pPr>
        <w:pStyle w:val="ListParagraph"/>
        <w:numPr>
          <w:ilvl w:val="0"/>
          <w:numId w:val="4"/>
        </w:numPr>
        <w:tabs>
          <w:tab w:pos="351" w:val="left" w:leader="none"/>
        </w:tabs>
        <w:spacing w:line="276" w:lineRule="auto" w:before="0" w:after="0"/>
        <w:ind w:left="132" w:right="251" w:firstLine="0"/>
        <w:jc w:val="left"/>
        <w:rPr>
          <w:sz w:val="22"/>
        </w:rPr>
      </w:pPr>
      <w:r>
        <w:rPr>
          <w:sz w:val="22"/>
        </w:rPr>
        <w:t>contribuer</w:t>
      </w:r>
      <w:r>
        <w:rPr>
          <w:spacing w:val="-2"/>
          <w:sz w:val="22"/>
        </w:rPr>
        <w:t> </w:t>
      </w:r>
      <w:r>
        <w:rPr>
          <w:sz w:val="22"/>
        </w:rPr>
        <w:t>à</w:t>
      </w:r>
      <w:r>
        <w:rPr>
          <w:spacing w:val="-2"/>
          <w:sz w:val="22"/>
        </w:rPr>
        <w:t> </w:t>
      </w:r>
      <w:r>
        <w:rPr>
          <w:sz w:val="22"/>
        </w:rPr>
        <w:t>la</w:t>
      </w:r>
      <w:r>
        <w:rPr>
          <w:spacing w:val="-6"/>
          <w:sz w:val="22"/>
        </w:rPr>
        <w:t> </w:t>
      </w:r>
      <w:r>
        <w:rPr>
          <w:sz w:val="22"/>
        </w:rPr>
        <w:t>mise</w:t>
      </w:r>
      <w:r>
        <w:rPr>
          <w:spacing w:val="-3"/>
          <w:sz w:val="22"/>
        </w:rPr>
        <w:t> </w:t>
      </w:r>
      <w:r>
        <w:rPr>
          <w:sz w:val="22"/>
        </w:rPr>
        <w:t>en</w:t>
      </w:r>
      <w:r>
        <w:rPr>
          <w:spacing w:val="-3"/>
          <w:sz w:val="22"/>
        </w:rPr>
        <w:t> </w:t>
      </w:r>
      <w:r>
        <w:rPr>
          <w:sz w:val="22"/>
        </w:rPr>
        <w:t>œuvre</w:t>
      </w:r>
      <w:r>
        <w:rPr>
          <w:spacing w:val="-2"/>
          <w:sz w:val="22"/>
        </w:rPr>
        <w:t> </w:t>
      </w:r>
      <w:r>
        <w:rPr>
          <w:sz w:val="22"/>
        </w:rPr>
        <w:t>du</w:t>
      </w:r>
      <w:r>
        <w:rPr>
          <w:spacing w:val="-3"/>
          <w:sz w:val="22"/>
        </w:rPr>
        <w:t> </w:t>
      </w:r>
      <w:r>
        <w:rPr>
          <w:sz w:val="22"/>
        </w:rPr>
        <w:t>règlement</w:t>
      </w:r>
      <w:r>
        <w:rPr>
          <w:spacing w:val="-2"/>
          <w:sz w:val="22"/>
        </w:rPr>
        <w:t> </w:t>
      </w:r>
      <w:r>
        <w:rPr>
          <w:sz w:val="22"/>
        </w:rPr>
        <w:t>de</w:t>
      </w:r>
      <w:r>
        <w:rPr>
          <w:spacing w:val="-1"/>
          <w:sz w:val="22"/>
        </w:rPr>
        <w:t> </w:t>
      </w:r>
      <w:r>
        <w:rPr>
          <w:sz w:val="22"/>
        </w:rPr>
        <w:t>l’UE</w:t>
      </w:r>
      <w:r>
        <w:rPr>
          <w:spacing w:val="-2"/>
          <w:sz w:val="22"/>
        </w:rPr>
        <w:t> </w:t>
      </w:r>
      <w:r>
        <w:rPr>
          <w:sz w:val="22"/>
        </w:rPr>
        <w:t>sur</w:t>
      </w:r>
      <w:r>
        <w:rPr>
          <w:spacing w:val="-3"/>
          <w:sz w:val="22"/>
        </w:rPr>
        <w:t> </w:t>
      </w:r>
      <w:r>
        <w:rPr>
          <w:sz w:val="22"/>
        </w:rPr>
        <w:t>les</w:t>
      </w:r>
      <w:r>
        <w:rPr>
          <w:spacing w:val="-3"/>
          <w:sz w:val="22"/>
        </w:rPr>
        <w:t> </w:t>
      </w:r>
      <w:r>
        <w:rPr>
          <w:sz w:val="22"/>
        </w:rPr>
        <w:t>produits</w:t>
      </w:r>
      <w:r>
        <w:rPr>
          <w:spacing w:val="-3"/>
          <w:sz w:val="22"/>
        </w:rPr>
        <w:t> </w:t>
      </w:r>
      <w:r>
        <w:rPr>
          <w:sz w:val="22"/>
        </w:rPr>
        <w:t>sans</w:t>
      </w:r>
      <w:r>
        <w:rPr>
          <w:spacing w:val="-2"/>
          <w:sz w:val="22"/>
        </w:rPr>
        <w:t> </w:t>
      </w:r>
      <w:r>
        <w:rPr>
          <w:sz w:val="22"/>
        </w:rPr>
        <w:t>déforestation,</w:t>
      </w:r>
      <w:r>
        <w:rPr>
          <w:spacing w:val="-2"/>
          <w:sz w:val="22"/>
        </w:rPr>
        <w:t> </w:t>
      </w:r>
      <w:r>
        <w:rPr>
          <w:sz w:val="22"/>
        </w:rPr>
        <w:t>notamment</w:t>
      </w:r>
      <w:r>
        <w:rPr>
          <w:spacing w:val="-3"/>
          <w:sz w:val="22"/>
        </w:rPr>
        <w:t> </w:t>
      </w:r>
      <w:r>
        <w:rPr>
          <w:sz w:val="22"/>
        </w:rPr>
        <w:t>en</w:t>
      </w:r>
      <w:r>
        <w:rPr>
          <w:spacing w:val="-2"/>
          <w:sz w:val="22"/>
        </w:rPr>
        <w:t> </w:t>
      </w:r>
      <w:r>
        <w:rPr>
          <w:sz w:val="22"/>
        </w:rPr>
        <w:t>vue</w:t>
      </w:r>
      <w:r>
        <w:rPr>
          <w:spacing w:val="-1"/>
          <w:sz w:val="22"/>
        </w:rPr>
        <w:t> </w:t>
      </w:r>
      <w:r>
        <w:rPr>
          <w:sz w:val="22"/>
        </w:rPr>
        <w:t>de faciliter le commerce légal et durable de bois et de produits du bois entre les pays partenaires et l’UE;</w:t>
      </w:r>
    </w:p>
    <w:p>
      <w:pPr>
        <w:pStyle w:val="BodyText"/>
        <w:spacing w:before="5"/>
        <w:rPr>
          <w:sz w:val="16"/>
        </w:rPr>
      </w:pPr>
    </w:p>
    <w:p>
      <w:pPr>
        <w:pStyle w:val="ListParagraph"/>
        <w:numPr>
          <w:ilvl w:val="0"/>
          <w:numId w:val="4"/>
        </w:numPr>
        <w:tabs>
          <w:tab w:pos="351" w:val="left" w:leader="none"/>
        </w:tabs>
        <w:spacing w:line="276" w:lineRule="auto" w:before="0" w:after="0"/>
        <w:ind w:left="132" w:right="520" w:firstLine="0"/>
        <w:jc w:val="left"/>
        <w:rPr>
          <w:sz w:val="22"/>
        </w:rPr>
      </w:pPr>
      <w:r>
        <w:rPr>
          <w:sz w:val="22"/>
        </w:rPr>
        <w:t>soutenir les opérations d’investissement (financements mixtes, garanties, financement vert/climatique, marchés</w:t>
      </w:r>
      <w:r>
        <w:rPr>
          <w:spacing w:val="-4"/>
          <w:sz w:val="22"/>
        </w:rPr>
        <w:t> </w:t>
      </w:r>
      <w:r>
        <w:rPr>
          <w:sz w:val="22"/>
        </w:rPr>
        <w:t>du</w:t>
      </w:r>
      <w:r>
        <w:rPr>
          <w:spacing w:val="-3"/>
          <w:sz w:val="22"/>
        </w:rPr>
        <w:t> </w:t>
      </w:r>
      <w:r>
        <w:rPr>
          <w:sz w:val="22"/>
        </w:rPr>
        <w:t>carbone),</w:t>
      </w:r>
      <w:r>
        <w:rPr>
          <w:spacing w:val="-2"/>
          <w:sz w:val="22"/>
        </w:rPr>
        <w:t> </w:t>
      </w:r>
      <w:r>
        <w:rPr>
          <w:sz w:val="22"/>
        </w:rPr>
        <w:t>les</w:t>
      </w:r>
      <w:r>
        <w:rPr>
          <w:spacing w:val="-1"/>
          <w:sz w:val="22"/>
        </w:rPr>
        <w:t> </w:t>
      </w:r>
      <w:r>
        <w:rPr>
          <w:sz w:val="22"/>
        </w:rPr>
        <w:t>partenariats</w:t>
      </w:r>
      <w:r>
        <w:rPr>
          <w:spacing w:val="-5"/>
          <w:sz w:val="22"/>
        </w:rPr>
        <w:t> </w:t>
      </w:r>
      <w:r>
        <w:rPr>
          <w:sz w:val="22"/>
        </w:rPr>
        <w:t>public-privé</w:t>
      </w:r>
      <w:r>
        <w:rPr>
          <w:spacing w:val="-4"/>
          <w:sz w:val="22"/>
        </w:rPr>
        <w:t> </w:t>
      </w:r>
      <w:r>
        <w:rPr>
          <w:sz w:val="22"/>
        </w:rPr>
        <w:t>et</w:t>
      </w:r>
      <w:r>
        <w:rPr>
          <w:spacing w:val="-2"/>
          <w:sz w:val="22"/>
        </w:rPr>
        <w:t> </w:t>
      </w:r>
      <w:r>
        <w:rPr>
          <w:sz w:val="22"/>
        </w:rPr>
        <w:t>la</w:t>
      </w:r>
      <w:r>
        <w:rPr>
          <w:spacing w:val="-2"/>
          <w:sz w:val="22"/>
        </w:rPr>
        <w:t> </w:t>
      </w:r>
      <w:r>
        <w:rPr>
          <w:sz w:val="22"/>
        </w:rPr>
        <w:t>participation</w:t>
      </w:r>
      <w:r>
        <w:rPr>
          <w:spacing w:val="-3"/>
          <w:sz w:val="22"/>
        </w:rPr>
        <w:t> </w:t>
      </w:r>
      <w:r>
        <w:rPr>
          <w:sz w:val="22"/>
        </w:rPr>
        <w:t>du</w:t>
      </w:r>
      <w:r>
        <w:rPr>
          <w:spacing w:val="-3"/>
          <w:sz w:val="22"/>
        </w:rPr>
        <w:t> </w:t>
      </w:r>
      <w:r>
        <w:rPr>
          <w:sz w:val="22"/>
        </w:rPr>
        <w:t>secteur</w:t>
      </w:r>
      <w:r>
        <w:rPr>
          <w:spacing w:val="-4"/>
          <w:sz w:val="22"/>
        </w:rPr>
        <w:t> </w:t>
      </w:r>
      <w:r>
        <w:rPr>
          <w:sz w:val="22"/>
        </w:rPr>
        <w:t>privé</w:t>
      </w:r>
      <w:r>
        <w:rPr>
          <w:spacing w:val="-2"/>
          <w:sz w:val="22"/>
        </w:rPr>
        <w:t> </w:t>
      </w:r>
      <w:r>
        <w:rPr>
          <w:sz w:val="22"/>
        </w:rPr>
        <w:t>à</w:t>
      </w:r>
      <w:r>
        <w:rPr>
          <w:spacing w:val="-2"/>
          <w:sz w:val="22"/>
        </w:rPr>
        <w:t> </w:t>
      </w:r>
      <w:r>
        <w:rPr>
          <w:sz w:val="22"/>
        </w:rPr>
        <w:t>la gestion</w:t>
      </w:r>
      <w:r>
        <w:rPr>
          <w:spacing w:val="-3"/>
          <w:sz w:val="22"/>
        </w:rPr>
        <w:t> </w:t>
      </w:r>
      <w:r>
        <w:rPr>
          <w:sz w:val="22"/>
        </w:rPr>
        <w:t>durable</w:t>
      </w:r>
      <w:r>
        <w:rPr>
          <w:spacing w:val="-2"/>
          <w:sz w:val="22"/>
        </w:rPr>
        <w:t> </w:t>
      </w:r>
      <w:r>
        <w:rPr>
          <w:sz w:val="22"/>
        </w:rPr>
        <w:t>des forêts et au reboisement, y compris le boisement et la restauration des écosystèmes forestiers;</w:t>
      </w:r>
    </w:p>
    <w:p>
      <w:pPr>
        <w:pStyle w:val="BodyText"/>
        <w:spacing w:before="5"/>
        <w:rPr>
          <w:sz w:val="16"/>
        </w:rPr>
      </w:pPr>
    </w:p>
    <w:p>
      <w:pPr>
        <w:pStyle w:val="ListParagraph"/>
        <w:numPr>
          <w:ilvl w:val="0"/>
          <w:numId w:val="4"/>
        </w:numPr>
        <w:tabs>
          <w:tab w:pos="351" w:val="left" w:leader="none"/>
        </w:tabs>
        <w:spacing w:line="276" w:lineRule="auto" w:before="0" w:after="0"/>
        <w:ind w:left="132" w:right="191" w:firstLine="0"/>
        <w:jc w:val="left"/>
        <w:rPr>
          <w:sz w:val="22"/>
        </w:rPr>
      </w:pPr>
      <w:r>
        <w:rPr>
          <w:sz w:val="22"/>
        </w:rPr>
        <w:t>soutenir les activités de développement des capacités visant à renforcer les capacités du personnel de l’UE dans</w:t>
      </w:r>
      <w:r>
        <w:rPr>
          <w:spacing w:val="-1"/>
          <w:sz w:val="22"/>
        </w:rPr>
        <w:t> </w:t>
      </w:r>
      <w:r>
        <w:rPr>
          <w:sz w:val="22"/>
        </w:rPr>
        <w:t>le domaine</w:t>
      </w:r>
      <w:r>
        <w:rPr>
          <w:spacing w:val="-3"/>
          <w:sz w:val="22"/>
        </w:rPr>
        <w:t> </w:t>
      </w:r>
      <w:r>
        <w:rPr>
          <w:sz w:val="22"/>
        </w:rPr>
        <w:t>des</w:t>
      </w:r>
      <w:r>
        <w:rPr>
          <w:spacing w:val="-1"/>
          <w:sz w:val="22"/>
        </w:rPr>
        <w:t> </w:t>
      </w:r>
      <w:r>
        <w:rPr>
          <w:sz w:val="22"/>
        </w:rPr>
        <w:t>forêts, d’un</w:t>
      </w:r>
      <w:r>
        <w:rPr>
          <w:spacing w:val="-2"/>
          <w:sz w:val="22"/>
        </w:rPr>
        <w:t> </w:t>
      </w:r>
      <w:r>
        <w:rPr>
          <w:sz w:val="22"/>
        </w:rPr>
        <w:t>point</w:t>
      </w:r>
      <w:r>
        <w:rPr>
          <w:spacing w:val="-1"/>
          <w:sz w:val="22"/>
        </w:rPr>
        <w:t> </w:t>
      </w:r>
      <w:r>
        <w:rPr>
          <w:sz w:val="22"/>
        </w:rPr>
        <w:t>de</w:t>
      </w:r>
      <w:r>
        <w:rPr>
          <w:spacing w:val="-3"/>
          <w:sz w:val="22"/>
        </w:rPr>
        <w:t> </w:t>
      </w:r>
      <w:r>
        <w:rPr>
          <w:sz w:val="22"/>
        </w:rPr>
        <w:t>vue</w:t>
      </w:r>
      <w:r>
        <w:rPr>
          <w:spacing w:val="-3"/>
          <w:sz w:val="22"/>
        </w:rPr>
        <w:t> </w:t>
      </w:r>
      <w:r>
        <w:rPr>
          <w:sz w:val="22"/>
        </w:rPr>
        <w:t>global,</w:t>
      </w:r>
      <w:r>
        <w:rPr>
          <w:spacing w:val="-6"/>
          <w:sz w:val="22"/>
        </w:rPr>
        <w:t> </w:t>
      </w:r>
      <w:r>
        <w:rPr>
          <w:sz w:val="22"/>
        </w:rPr>
        <w:t>en</w:t>
      </w:r>
      <w:r>
        <w:rPr>
          <w:spacing w:val="-1"/>
          <w:sz w:val="22"/>
        </w:rPr>
        <w:t> </w:t>
      </w:r>
      <w:r>
        <w:rPr>
          <w:sz w:val="22"/>
        </w:rPr>
        <w:t>tant</w:t>
      </w:r>
      <w:r>
        <w:rPr>
          <w:spacing w:val="-1"/>
          <w:sz w:val="22"/>
        </w:rPr>
        <w:t> </w:t>
      </w:r>
      <w:r>
        <w:rPr>
          <w:sz w:val="22"/>
        </w:rPr>
        <w:t>que</w:t>
      </w:r>
      <w:r>
        <w:rPr>
          <w:spacing w:val="-3"/>
          <w:sz w:val="22"/>
        </w:rPr>
        <w:t> </w:t>
      </w:r>
      <w:r>
        <w:rPr>
          <w:sz w:val="22"/>
        </w:rPr>
        <w:t>moteur</w:t>
      </w:r>
      <w:r>
        <w:rPr>
          <w:spacing w:val="-1"/>
          <w:sz w:val="22"/>
        </w:rPr>
        <w:t> </w:t>
      </w:r>
      <w:r>
        <w:rPr>
          <w:sz w:val="22"/>
        </w:rPr>
        <w:t>socio-économique,</w:t>
      </w:r>
      <w:r>
        <w:rPr>
          <w:spacing w:val="-3"/>
          <w:sz w:val="22"/>
        </w:rPr>
        <w:t> </w:t>
      </w:r>
      <w:r>
        <w:rPr>
          <w:sz w:val="22"/>
        </w:rPr>
        <w:t>mais</w:t>
      </w:r>
      <w:r>
        <w:rPr>
          <w:spacing w:val="-1"/>
          <w:sz w:val="22"/>
        </w:rPr>
        <w:t> </w:t>
      </w:r>
      <w:r>
        <w:rPr>
          <w:sz w:val="22"/>
        </w:rPr>
        <w:t>aussi</w:t>
      </w:r>
      <w:r>
        <w:rPr>
          <w:spacing w:val="-4"/>
          <w:sz w:val="22"/>
        </w:rPr>
        <w:t> </w:t>
      </w:r>
      <w:r>
        <w:rPr>
          <w:sz w:val="22"/>
        </w:rPr>
        <w:t>en</w:t>
      </w:r>
      <w:r>
        <w:rPr>
          <w:spacing w:val="-1"/>
          <w:sz w:val="22"/>
        </w:rPr>
        <w:t> </w:t>
      </w:r>
      <w:r>
        <w:rPr>
          <w:sz w:val="22"/>
        </w:rPr>
        <w:t>raison de leur rôle de valeur pour la biodiversité et le changement climatique;</w:t>
      </w:r>
    </w:p>
    <w:p>
      <w:pPr>
        <w:pStyle w:val="BodyText"/>
        <w:spacing w:before="3"/>
        <w:rPr>
          <w:sz w:val="16"/>
        </w:rPr>
      </w:pPr>
    </w:p>
    <w:p>
      <w:pPr>
        <w:pStyle w:val="ListParagraph"/>
        <w:numPr>
          <w:ilvl w:val="0"/>
          <w:numId w:val="4"/>
        </w:numPr>
        <w:tabs>
          <w:tab w:pos="351" w:val="left" w:leader="none"/>
        </w:tabs>
        <w:spacing w:line="276" w:lineRule="auto" w:before="1" w:after="0"/>
        <w:ind w:left="132" w:right="186" w:firstLine="0"/>
        <w:jc w:val="left"/>
        <w:rPr>
          <w:sz w:val="22"/>
        </w:rPr>
      </w:pPr>
      <w:r>
        <w:rPr>
          <w:sz w:val="22"/>
        </w:rPr>
        <w:t>mener</w:t>
      </w:r>
      <w:r>
        <w:rPr>
          <w:spacing w:val="-3"/>
          <w:sz w:val="22"/>
        </w:rPr>
        <w:t> </w:t>
      </w:r>
      <w:r>
        <w:rPr>
          <w:sz w:val="22"/>
        </w:rPr>
        <w:t>des</w:t>
      </w:r>
      <w:r>
        <w:rPr>
          <w:spacing w:val="-3"/>
          <w:sz w:val="22"/>
        </w:rPr>
        <w:t> </w:t>
      </w:r>
      <w:r>
        <w:rPr>
          <w:sz w:val="22"/>
        </w:rPr>
        <w:t>missions</w:t>
      </w:r>
      <w:r>
        <w:rPr>
          <w:spacing w:val="-3"/>
          <w:sz w:val="22"/>
        </w:rPr>
        <w:t> </w:t>
      </w:r>
      <w:r>
        <w:rPr>
          <w:sz w:val="22"/>
        </w:rPr>
        <w:t>d’appui</w:t>
      </w:r>
      <w:r>
        <w:rPr>
          <w:spacing w:val="-3"/>
          <w:sz w:val="22"/>
        </w:rPr>
        <w:t> </w:t>
      </w:r>
      <w:r>
        <w:rPr>
          <w:sz w:val="22"/>
        </w:rPr>
        <w:t>dans</w:t>
      </w:r>
      <w:r>
        <w:rPr>
          <w:spacing w:val="-3"/>
          <w:sz w:val="22"/>
        </w:rPr>
        <w:t> </w:t>
      </w:r>
      <w:r>
        <w:rPr>
          <w:sz w:val="22"/>
        </w:rPr>
        <w:t>les</w:t>
      </w:r>
      <w:r>
        <w:rPr>
          <w:spacing w:val="-3"/>
          <w:sz w:val="22"/>
        </w:rPr>
        <w:t> </w:t>
      </w:r>
      <w:r>
        <w:rPr>
          <w:sz w:val="22"/>
        </w:rPr>
        <w:t>pays</w:t>
      </w:r>
      <w:r>
        <w:rPr>
          <w:spacing w:val="-4"/>
          <w:sz w:val="22"/>
        </w:rPr>
        <w:t> </w:t>
      </w:r>
      <w:r>
        <w:rPr>
          <w:sz w:val="22"/>
        </w:rPr>
        <w:t>partenaires</w:t>
      </w:r>
      <w:r>
        <w:rPr>
          <w:spacing w:val="-2"/>
          <w:sz w:val="22"/>
        </w:rPr>
        <w:t> </w:t>
      </w:r>
      <w:r>
        <w:rPr>
          <w:sz w:val="22"/>
        </w:rPr>
        <w:t>afin</w:t>
      </w:r>
      <w:r>
        <w:rPr>
          <w:spacing w:val="-3"/>
          <w:sz w:val="22"/>
        </w:rPr>
        <w:t> </w:t>
      </w:r>
      <w:r>
        <w:rPr>
          <w:sz w:val="22"/>
        </w:rPr>
        <w:t>d’apporter</w:t>
      </w:r>
      <w:r>
        <w:rPr>
          <w:spacing w:val="-3"/>
          <w:sz w:val="22"/>
        </w:rPr>
        <w:t> </w:t>
      </w:r>
      <w:r>
        <w:rPr>
          <w:sz w:val="22"/>
        </w:rPr>
        <w:t>un</w:t>
      </w:r>
      <w:r>
        <w:rPr>
          <w:spacing w:val="-4"/>
          <w:sz w:val="22"/>
        </w:rPr>
        <w:t> </w:t>
      </w:r>
      <w:r>
        <w:rPr>
          <w:sz w:val="22"/>
        </w:rPr>
        <w:t>soutien</w:t>
      </w:r>
      <w:r>
        <w:rPr>
          <w:spacing w:val="-3"/>
          <w:sz w:val="22"/>
        </w:rPr>
        <w:t> </w:t>
      </w:r>
      <w:r>
        <w:rPr>
          <w:sz w:val="22"/>
        </w:rPr>
        <w:t>stratégique</w:t>
      </w:r>
      <w:r>
        <w:rPr>
          <w:spacing w:val="-2"/>
          <w:sz w:val="22"/>
        </w:rPr>
        <w:t> </w:t>
      </w:r>
      <w:r>
        <w:rPr>
          <w:sz w:val="22"/>
        </w:rPr>
        <w:t>et technique</w:t>
      </w:r>
      <w:r>
        <w:rPr>
          <w:spacing w:val="-2"/>
          <w:sz w:val="22"/>
        </w:rPr>
        <w:t> </w:t>
      </w:r>
      <w:r>
        <w:rPr>
          <w:sz w:val="22"/>
        </w:rPr>
        <w:t>dans le domaine des forêts;</w:t>
      </w:r>
    </w:p>
    <w:p>
      <w:pPr>
        <w:pStyle w:val="BodyText"/>
        <w:spacing w:before="5"/>
        <w:rPr>
          <w:sz w:val="16"/>
        </w:rPr>
      </w:pPr>
    </w:p>
    <w:p>
      <w:pPr>
        <w:pStyle w:val="ListParagraph"/>
        <w:numPr>
          <w:ilvl w:val="0"/>
          <w:numId w:val="4"/>
        </w:numPr>
        <w:tabs>
          <w:tab w:pos="351" w:val="left" w:leader="none"/>
        </w:tabs>
        <w:spacing w:line="276" w:lineRule="auto" w:before="0" w:after="0"/>
        <w:ind w:left="132" w:right="525" w:firstLine="0"/>
        <w:jc w:val="left"/>
        <w:rPr>
          <w:sz w:val="22"/>
        </w:rPr>
      </w:pPr>
      <w:r>
        <w:rPr>
          <w:sz w:val="22"/>
        </w:rPr>
        <w:t>fournir</w:t>
      </w:r>
      <w:r>
        <w:rPr>
          <w:spacing w:val="-2"/>
          <w:sz w:val="22"/>
        </w:rPr>
        <w:t> </w:t>
      </w:r>
      <w:r>
        <w:rPr>
          <w:sz w:val="22"/>
        </w:rPr>
        <w:t>un</w:t>
      </w:r>
      <w:r>
        <w:rPr>
          <w:spacing w:val="-3"/>
          <w:sz w:val="22"/>
        </w:rPr>
        <w:t> </w:t>
      </w:r>
      <w:r>
        <w:rPr>
          <w:sz w:val="22"/>
        </w:rPr>
        <w:t>soutien</w:t>
      </w:r>
      <w:r>
        <w:rPr>
          <w:spacing w:val="-2"/>
          <w:sz w:val="22"/>
        </w:rPr>
        <w:t> </w:t>
      </w:r>
      <w:r>
        <w:rPr>
          <w:sz w:val="22"/>
        </w:rPr>
        <w:t>technique</w:t>
      </w:r>
      <w:r>
        <w:rPr>
          <w:spacing w:val="-1"/>
          <w:sz w:val="22"/>
        </w:rPr>
        <w:t> </w:t>
      </w:r>
      <w:r>
        <w:rPr>
          <w:sz w:val="22"/>
        </w:rPr>
        <w:t>aux</w:t>
      </w:r>
      <w:r>
        <w:rPr>
          <w:spacing w:val="-2"/>
          <w:sz w:val="22"/>
        </w:rPr>
        <w:t> </w:t>
      </w:r>
      <w:r>
        <w:rPr>
          <w:sz w:val="22"/>
        </w:rPr>
        <w:t>collègues</w:t>
      </w:r>
      <w:r>
        <w:rPr>
          <w:spacing w:val="-4"/>
          <w:sz w:val="22"/>
        </w:rPr>
        <w:t> </w:t>
      </w:r>
      <w:r>
        <w:rPr>
          <w:sz w:val="22"/>
        </w:rPr>
        <w:t>de</w:t>
      </w:r>
      <w:r>
        <w:rPr>
          <w:spacing w:val="-2"/>
          <w:sz w:val="22"/>
        </w:rPr>
        <w:t> </w:t>
      </w:r>
      <w:r>
        <w:rPr>
          <w:sz w:val="22"/>
        </w:rPr>
        <w:t>la</w:t>
      </w:r>
      <w:r>
        <w:rPr>
          <w:spacing w:val="-5"/>
          <w:sz w:val="22"/>
        </w:rPr>
        <w:t> </w:t>
      </w:r>
      <w:r>
        <w:rPr>
          <w:sz w:val="22"/>
        </w:rPr>
        <w:t>DG</w:t>
      </w:r>
      <w:r>
        <w:rPr>
          <w:spacing w:val="-4"/>
          <w:sz w:val="22"/>
        </w:rPr>
        <w:t> </w:t>
      </w:r>
      <w:r>
        <w:rPr>
          <w:sz w:val="22"/>
        </w:rPr>
        <w:t>INTPA</w:t>
      </w:r>
      <w:r>
        <w:rPr>
          <w:spacing w:val="-2"/>
          <w:sz w:val="22"/>
        </w:rPr>
        <w:t> </w:t>
      </w:r>
      <w:r>
        <w:rPr>
          <w:sz w:val="22"/>
        </w:rPr>
        <w:t>et</w:t>
      </w:r>
      <w:r>
        <w:rPr>
          <w:spacing w:val="-2"/>
          <w:sz w:val="22"/>
        </w:rPr>
        <w:t> </w:t>
      </w:r>
      <w:r>
        <w:rPr>
          <w:sz w:val="22"/>
        </w:rPr>
        <w:t>des</w:t>
      </w:r>
      <w:r>
        <w:rPr>
          <w:spacing w:val="-4"/>
          <w:sz w:val="22"/>
        </w:rPr>
        <w:t> </w:t>
      </w:r>
      <w:r>
        <w:rPr>
          <w:sz w:val="22"/>
        </w:rPr>
        <w:t>délégations</w:t>
      </w:r>
      <w:r>
        <w:rPr>
          <w:spacing w:val="-2"/>
          <w:sz w:val="22"/>
        </w:rPr>
        <w:t> </w:t>
      </w:r>
      <w:r>
        <w:rPr>
          <w:sz w:val="22"/>
        </w:rPr>
        <w:t>de</w:t>
      </w:r>
      <w:r>
        <w:rPr>
          <w:spacing w:val="-1"/>
          <w:sz w:val="22"/>
        </w:rPr>
        <w:t> </w:t>
      </w:r>
      <w:r>
        <w:rPr>
          <w:sz w:val="22"/>
        </w:rPr>
        <w:t>l’UE</w:t>
      </w:r>
      <w:r>
        <w:rPr>
          <w:spacing w:val="-2"/>
          <w:sz w:val="22"/>
        </w:rPr>
        <w:t> </w:t>
      </w:r>
      <w:r>
        <w:rPr>
          <w:sz w:val="22"/>
        </w:rPr>
        <w:t>dans</w:t>
      </w:r>
      <w:r>
        <w:rPr>
          <w:spacing w:val="-5"/>
          <w:sz w:val="22"/>
        </w:rPr>
        <w:t> </w:t>
      </w:r>
      <w:r>
        <w:rPr>
          <w:sz w:val="22"/>
        </w:rPr>
        <w:t>le</w:t>
      </w:r>
      <w:r>
        <w:rPr>
          <w:spacing w:val="-1"/>
          <w:sz w:val="22"/>
        </w:rPr>
        <w:t> </w:t>
      </w:r>
      <w:r>
        <w:rPr>
          <w:sz w:val="22"/>
        </w:rPr>
        <w:t>domaine</w:t>
      </w:r>
      <w:r>
        <w:rPr>
          <w:spacing w:val="-1"/>
          <w:sz w:val="22"/>
        </w:rPr>
        <w:t> </w:t>
      </w:r>
      <w:r>
        <w:rPr>
          <w:sz w:val="22"/>
        </w:rPr>
        <w:t>de</w:t>
      </w:r>
      <w:r>
        <w:rPr>
          <w:spacing w:val="-4"/>
          <w:sz w:val="22"/>
        </w:rPr>
        <w:t> </w:t>
      </w:r>
      <w:r>
        <w:rPr>
          <w:sz w:val="22"/>
        </w:rPr>
        <w:t>la gestion durable des forêts, de la conservation et de la restauration des forêts;</w:t>
      </w:r>
    </w:p>
    <w:p>
      <w:pPr>
        <w:pStyle w:val="BodyText"/>
        <w:spacing w:before="6"/>
        <w:rPr>
          <w:sz w:val="16"/>
        </w:rPr>
      </w:pPr>
    </w:p>
    <w:p>
      <w:pPr>
        <w:pStyle w:val="ListParagraph"/>
        <w:numPr>
          <w:ilvl w:val="0"/>
          <w:numId w:val="4"/>
        </w:numPr>
        <w:tabs>
          <w:tab w:pos="351" w:val="left" w:leader="none"/>
        </w:tabs>
        <w:spacing w:line="240" w:lineRule="auto" w:before="0" w:after="0"/>
        <w:ind w:left="132" w:right="672" w:firstLine="0"/>
        <w:jc w:val="left"/>
        <w:rPr>
          <w:sz w:val="22"/>
        </w:rPr>
      </w:pPr>
      <w:r>
        <w:rPr>
          <w:sz w:val="22"/>
        </w:rPr>
        <w:t>participer</w:t>
      </w:r>
      <w:r>
        <w:rPr>
          <w:spacing w:val="-3"/>
          <w:sz w:val="22"/>
        </w:rPr>
        <w:t> </w:t>
      </w:r>
      <w:r>
        <w:rPr>
          <w:sz w:val="22"/>
        </w:rPr>
        <w:t>et</w:t>
      </w:r>
      <w:r>
        <w:rPr>
          <w:spacing w:val="-3"/>
          <w:sz w:val="22"/>
        </w:rPr>
        <w:t> </w:t>
      </w:r>
      <w:r>
        <w:rPr>
          <w:sz w:val="22"/>
        </w:rPr>
        <w:t>promouvoir</w:t>
      </w:r>
      <w:r>
        <w:rPr>
          <w:spacing w:val="-4"/>
          <w:sz w:val="22"/>
        </w:rPr>
        <w:t> </w:t>
      </w:r>
      <w:r>
        <w:rPr>
          <w:sz w:val="22"/>
        </w:rPr>
        <w:t>la</w:t>
      </w:r>
      <w:r>
        <w:rPr>
          <w:spacing w:val="-1"/>
          <w:sz w:val="22"/>
        </w:rPr>
        <w:t> </w:t>
      </w:r>
      <w:r>
        <w:rPr>
          <w:sz w:val="22"/>
        </w:rPr>
        <w:t>coordination</w:t>
      </w:r>
      <w:r>
        <w:rPr>
          <w:spacing w:val="-2"/>
          <w:sz w:val="22"/>
        </w:rPr>
        <w:t> </w:t>
      </w:r>
      <w:r>
        <w:rPr>
          <w:sz w:val="22"/>
        </w:rPr>
        <w:t>sectorielle</w:t>
      </w:r>
      <w:r>
        <w:rPr>
          <w:spacing w:val="-5"/>
          <w:sz w:val="22"/>
        </w:rPr>
        <w:t> </w:t>
      </w:r>
      <w:r>
        <w:rPr>
          <w:sz w:val="22"/>
        </w:rPr>
        <w:t>et</w:t>
      </w:r>
      <w:r>
        <w:rPr>
          <w:spacing w:val="-1"/>
          <w:sz w:val="22"/>
        </w:rPr>
        <w:t> </w:t>
      </w:r>
      <w:r>
        <w:rPr>
          <w:sz w:val="22"/>
        </w:rPr>
        <w:t>thématique au</w:t>
      </w:r>
      <w:r>
        <w:rPr>
          <w:spacing w:val="-2"/>
          <w:sz w:val="22"/>
        </w:rPr>
        <w:t> </w:t>
      </w:r>
      <w:r>
        <w:rPr>
          <w:sz w:val="22"/>
        </w:rPr>
        <w:t>sein</w:t>
      </w:r>
      <w:r>
        <w:rPr>
          <w:spacing w:val="-2"/>
          <w:sz w:val="22"/>
        </w:rPr>
        <w:t> </w:t>
      </w:r>
      <w:r>
        <w:rPr>
          <w:sz w:val="22"/>
        </w:rPr>
        <w:t>de</w:t>
      </w:r>
      <w:r>
        <w:rPr>
          <w:spacing w:val="-1"/>
          <w:sz w:val="22"/>
        </w:rPr>
        <w:t> </w:t>
      </w:r>
      <w:r>
        <w:rPr>
          <w:sz w:val="22"/>
        </w:rPr>
        <w:t>la</w:t>
      </w:r>
      <w:r>
        <w:rPr>
          <w:spacing w:val="-4"/>
          <w:sz w:val="22"/>
        </w:rPr>
        <w:t> </w:t>
      </w:r>
      <w:r>
        <w:rPr>
          <w:sz w:val="22"/>
        </w:rPr>
        <w:t>Commission</w:t>
      </w:r>
      <w:r>
        <w:rPr>
          <w:spacing w:val="-4"/>
          <w:sz w:val="22"/>
        </w:rPr>
        <w:t> </w:t>
      </w:r>
      <w:r>
        <w:rPr>
          <w:sz w:val="22"/>
        </w:rPr>
        <w:t>et</w:t>
      </w:r>
      <w:r>
        <w:rPr>
          <w:spacing w:val="-3"/>
          <w:sz w:val="22"/>
        </w:rPr>
        <w:t> </w:t>
      </w:r>
      <w:r>
        <w:rPr>
          <w:sz w:val="22"/>
        </w:rPr>
        <w:t>des</w:t>
      </w:r>
      <w:r>
        <w:rPr>
          <w:spacing w:val="-1"/>
          <w:sz w:val="22"/>
        </w:rPr>
        <w:t> </w:t>
      </w:r>
      <w:r>
        <w:rPr>
          <w:sz w:val="22"/>
        </w:rPr>
        <w:t>autres institutions de l’UE, des États membres et d’autres parties prenantes;</w:t>
      </w:r>
    </w:p>
    <w:p>
      <w:pPr>
        <w:spacing w:after="0" w:line="240" w:lineRule="auto"/>
        <w:jc w:val="left"/>
        <w:rPr>
          <w:sz w:val="22"/>
        </w:rPr>
        <w:sectPr>
          <w:pgSz w:w="11910" w:h="16840"/>
          <w:pgMar w:header="0" w:footer="690" w:top="1080" w:bottom="880" w:left="720" w:right="740"/>
        </w:sectPr>
      </w:pPr>
    </w:p>
    <w:p>
      <w:pPr>
        <w:pStyle w:val="ListParagraph"/>
        <w:numPr>
          <w:ilvl w:val="0"/>
          <w:numId w:val="4"/>
        </w:numPr>
        <w:tabs>
          <w:tab w:pos="463" w:val="left" w:leader="none"/>
        </w:tabs>
        <w:spacing w:line="276" w:lineRule="auto" w:before="33" w:after="0"/>
        <w:ind w:left="132" w:right="382" w:firstLine="0"/>
        <w:jc w:val="left"/>
        <w:rPr>
          <w:sz w:val="22"/>
        </w:rPr>
      </w:pPr>
      <w:r>
        <w:rPr>
          <w:sz w:val="22"/>
        </w:rPr>
        <w:t>contribuer à l’identification et à la formulation de programmes dans le secteur forestier et effectuer des analyses</w:t>
      </w:r>
      <w:r>
        <w:rPr>
          <w:spacing w:val="-4"/>
          <w:sz w:val="22"/>
        </w:rPr>
        <w:t> </w:t>
      </w:r>
      <w:r>
        <w:rPr>
          <w:sz w:val="22"/>
        </w:rPr>
        <w:t>connexes,</w:t>
      </w:r>
      <w:r>
        <w:rPr>
          <w:spacing w:val="-5"/>
          <w:sz w:val="22"/>
        </w:rPr>
        <w:t> </w:t>
      </w:r>
      <w:r>
        <w:rPr>
          <w:sz w:val="22"/>
        </w:rPr>
        <w:t>fournir</w:t>
      </w:r>
      <w:r>
        <w:rPr>
          <w:spacing w:val="-5"/>
          <w:sz w:val="22"/>
        </w:rPr>
        <w:t> </w:t>
      </w:r>
      <w:r>
        <w:rPr>
          <w:sz w:val="22"/>
        </w:rPr>
        <w:t>des</w:t>
      </w:r>
      <w:r>
        <w:rPr>
          <w:spacing w:val="-1"/>
          <w:sz w:val="22"/>
        </w:rPr>
        <w:t> </w:t>
      </w:r>
      <w:r>
        <w:rPr>
          <w:sz w:val="22"/>
        </w:rPr>
        <w:t>orientations</w:t>
      </w:r>
      <w:r>
        <w:rPr>
          <w:spacing w:val="-2"/>
          <w:sz w:val="22"/>
        </w:rPr>
        <w:t> </w:t>
      </w:r>
      <w:r>
        <w:rPr>
          <w:sz w:val="22"/>
        </w:rPr>
        <w:t>thématiques</w:t>
      </w:r>
      <w:r>
        <w:rPr>
          <w:spacing w:val="-1"/>
          <w:sz w:val="22"/>
        </w:rPr>
        <w:t> </w:t>
      </w:r>
      <w:r>
        <w:rPr>
          <w:sz w:val="22"/>
        </w:rPr>
        <w:t>et</w:t>
      </w:r>
      <w:r>
        <w:rPr>
          <w:spacing w:val="-4"/>
          <w:sz w:val="22"/>
        </w:rPr>
        <w:t> </w:t>
      </w:r>
      <w:r>
        <w:rPr>
          <w:sz w:val="22"/>
        </w:rPr>
        <w:t>assurer</w:t>
      </w:r>
      <w:r>
        <w:rPr>
          <w:spacing w:val="-5"/>
          <w:sz w:val="22"/>
        </w:rPr>
        <w:t> </w:t>
      </w:r>
      <w:r>
        <w:rPr>
          <w:sz w:val="22"/>
        </w:rPr>
        <w:t>le</w:t>
      </w:r>
      <w:r>
        <w:rPr>
          <w:spacing w:val="-1"/>
          <w:sz w:val="22"/>
        </w:rPr>
        <w:t> </w:t>
      </w:r>
      <w:r>
        <w:rPr>
          <w:sz w:val="22"/>
        </w:rPr>
        <w:t>partage</w:t>
      </w:r>
      <w:r>
        <w:rPr>
          <w:spacing w:val="-2"/>
          <w:sz w:val="22"/>
        </w:rPr>
        <w:t> </w:t>
      </w:r>
      <w:r>
        <w:rPr>
          <w:sz w:val="22"/>
        </w:rPr>
        <w:t>des</w:t>
      </w:r>
      <w:r>
        <w:rPr>
          <w:spacing w:val="-5"/>
          <w:sz w:val="22"/>
        </w:rPr>
        <w:t> </w:t>
      </w:r>
      <w:r>
        <w:rPr>
          <w:sz w:val="22"/>
        </w:rPr>
        <w:t>connaissances</w:t>
      </w:r>
      <w:r>
        <w:rPr>
          <w:spacing w:val="-3"/>
          <w:sz w:val="22"/>
        </w:rPr>
        <w:t> </w:t>
      </w:r>
      <w:r>
        <w:rPr>
          <w:sz w:val="22"/>
        </w:rPr>
        <w:t>en</w:t>
      </w:r>
      <w:r>
        <w:rPr>
          <w:spacing w:val="-2"/>
          <w:sz w:val="22"/>
        </w:rPr>
        <w:t> </w:t>
      </w:r>
      <w:r>
        <w:rPr>
          <w:sz w:val="22"/>
        </w:rPr>
        <w:t>matière</w:t>
      </w:r>
      <w:r>
        <w:rPr>
          <w:spacing w:val="-4"/>
          <w:sz w:val="22"/>
        </w:rPr>
        <w:t> </w:t>
      </w:r>
      <w:r>
        <w:rPr>
          <w:sz w:val="22"/>
        </w:rPr>
        <w:t>de </w:t>
      </w:r>
      <w:r>
        <w:rPr>
          <w:spacing w:val="-2"/>
          <w:sz w:val="22"/>
        </w:rPr>
        <w:t>formation;</w:t>
      </w:r>
    </w:p>
    <w:p>
      <w:pPr>
        <w:pStyle w:val="BodyText"/>
        <w:spacing w:before="7"/>
        <w:rPr>
          <w:sz w:val="16"/>
        </w:rPr>
      </w:pPr>
    </w:p>
    <w:p>
      <w:pPr>
        <w:pStyle w:val="ListParagraph"/>
        <w:numPr>
          <w:ilvl w:val="0"/>
          <w:numId w:val="4"/>
        </w:numPr>
        <w:tabs>
          <w:tab w:pos="463" w:val="left" w:leader="none"/>
        </w:tabs>
        <w:spacing w:line="276" w:lineRule="auto" w:before="0" w:after="0"/>
        <w:ind w:left="132" w:right="244" w:firstLine="0"/>
        <w:jc w:val="left"/>
        <w:rPr>
          <w:sz w:val="22"/>
        </w:rPr>
      </w:pPr>
      <w:r>
        <w:rPr>
          <w:sz w:val="22"/>
        </w:rPr>
        <w:t>soutenir l’intégration du changement climatique et de la biodiversité dans l’ensemble du portefeuille forestier,</w:t>
      </w:r>
      <w:r>
        <w:rPr>
          <w:spacing w:val="-4"/>
          <w:sz w:val="22"/>
        </w:rPr>
        <w:t> </w:t>
      </w:r>
      <w:r>
        <w:rPr>
          <w:sz w:val="22"/>
        </w:rPr>
        <w:t>conformément</w:t>
      </w:r>
      <w:r>
        <w:rPr>
          <w:spacing w:val="-4"/>
          <w:sz w:val="22"/>
        </w:rPr>
        <w:t> </w:t>
      </w:r>
      <w:r>
        <w:rPr>
          <w:sz w:val="22"/>
        </w:rPr>
        <w:t>à</w:t>
      </w:r>
      <w:r>
        <w:rPr>
          <w:spacing w:val="-4"/>
          <w:sz w:val="22"/>
        </w:rPr>
        <w:t> </w:t>
      </w:r>
      <w:r>
        <w:rPr>
          <w:sz w:val="22"/>
        </w:rPr>
        <w:t>la</w:t>
      </w:r>
      <w:r>
        <w:rPr>
          <w:spacing w:val="-2"/>
          <w:sz w:val="22"/>
        </w:rPr>
        <w:t> </w:t>
      </w:r>
      <w:r>
        <w:rPr>
          <w:sz w:val="22"/>
        </w:rPr>
        <w:t>proposition</w:t>
      </w:r>
      <w:r>
        <w:rPr>
          <w:spacing w:val="-3"/>
          <w:sz w:val="22"/>
        </w:rPr>
        <w:t> </w:t>
      </w:r>
      <w:r>
        <w:rPr>
          <w:sz w:val="22"/>
        </w:rPr>
        <w:t>de</w:t>
      </w:r>
      <w:r>
        <w:rPr>
          <w:spacing w:val="-1"/>
          <w:sz w:val="22"/>
        </w:rPr>
        <w:t> </w:t>
      </w:r>
      <w:r>
        <w:rPr>
          <w:sz w:val="22"/>
        </w:rPr>
        <w:t>la</w:t>
      </w:r>
      <w:r>
        <w:rPr>
          <w:spacing w:val="-2"/>
          <w:sz w:val="22"/>
        </w:rPr>
        <w:t> </w:t>
      </w:r>
      <w:r>
        <w:rPr>
          <w:sz w:val="22"/>
        </w:rPr>
        <w:t>Commission</w:t>
      </w:r>
      <w:r>
        <w:rPr>
          <w:spacing w:val="-3"/>
          <w:sz w:val="22"/>
        </w:rPr>
        <w:t> </w:t>
      </w:r>
      <w:r>
        <w:rPr>
          <w:sz w:val="22"/>
        </w:rPr>
        <w:t>pour</w:t>
      </w:r>
      <w:r>
        <w:rPr>
          <w:spacing w:val="-2"/>
          <w:sz w:val="22"/>
        </w:rPr>
        <w:t> </w:t>
      </w:r>
      <w:r>
        <w:rPr>
          <w:sz w:val="22"/>
        </w:rPr>
        <w:t>le</w:t>
      </w:r>
      <w:r>
        <w:rPr>
          <w:spacing w:val="-1"/>
          <w:sz w:val="22"/>
        </w:rPr>
        <w:t> </w:t>
      </w:r>
      <w:r>
        <w:rPr>
          <w:sz w:val="22"/>
        </w:rPr>
        <w:t>nouveau</w:t>
      </w:r>
      <w:r>
        <w:rPr>
          <w:spacing w:val="-2"/>
          <w:sz w:val="22"/>
        </w:rPr>
        <w:t> </w:t>
      </w:r>
      <w:r>
        <w:rPr>
          <w:sz w:val="22"/>
        </w:rPr>
        <w:t>cadre</w:t>
      </w:r>
      <w:r>
        <w:rPr>
          <w:spacing w:val="-1"/>
          <w:sz w:val="22"/>
        </w:rPr>
        <w:t> </w:t>
      </w:r>
      <w:r>
        <w:rPr>
          <w:sz w:val="22"/>
        </w:rPr>
        <w:t>financier</w:t>
      </w:r>
      <w:r>
        <w:rPr>
          <w:spacing w:val="-4"/>
          <w:sz w:val="22"/>
        </w:rPr>
        <w:t> </w:t>
      </w:r>
      <w:r>
        <w:rPr>
          <w:sz w:val="22"/>
        </w:rPr>
        <w:t>(2021-2027)</w:t>
      </w:r>
      <w:r>
        <w:rPr>
          <w:spacing w:val="-2"/>
          <w:sz w:val="22"/>
        </w:rPr>
        <w:t> </w:t>
      </w:r>
      <w:r>
        <w:rPr>
          <w:sz w:val="22"/>
        </w:rPr>
        <w:t>de</w:t>
      </w:r>
      <w:r>
        <w:rPr>
          <w:spacing w:val="-6"/>
          <w:sz w:val="22"/>
        </w:rPr>
        <w:t> </w:t>
      </w:r>
      <w:r>
        <w:rPr>
          <w:sz w:val="22"/>
        </w:rPr>
        <w:t>30</w:t>
      </w:r>
      <w:r>
        <w:rPr>
          <w:spacing w:val="-4"/>
          <w:sz w:val="22"/>
        </w:rPr>
        <w:t> </w:t>
      </w:r>
      <w:r>
        <w:rPr>
          <w:sz w:val="22"/>
        </w:rPr>
        <w:t>% d’actions liées au climat et à l’engagement du président en faveur du double financement en faveur de la </w:t>
      </w:r>
      <w:r>
        <w:rPr>
          <w:spacing w:val="-2"/>
          <w:sz w:val="22"/>
        </w:rPr>
        <w:t>biodiversité.</w:t>
      </w:r>
    </w:p>
    <w:p>
      <w:pPr>
        <w:pStyle w:val="BodyText"/>
        <w:spacing w:before="4"/>
        <w:rPr>
          <w:sz w:val="16"/>
        </w:rPr>
      </w:pPr>
    </w:p>
    <w:p>
      <w:pPr>
        <w:pStyle w:val="BodyText"/>
        <w:spacing w:before="1"/>
        <w:ind w:left="132" w:right="637"/>
      </w:pPr>
      <w:r>
        <w:rPr/>
        <w:t>L’expert</w:t>
      </w:r>
      <w:r>
        <w:rPr>
          <w:spacing w:val="-2"/>
        </w:rPr>
        <w:t> </w:t>
      </w:r>
      <w:r>
        <w:rPr/>
        <w:t>national</w:t>
      </w:r>
      <w:r>
        <w:rPr>
          <w:spacing w:val="-2"/>
        </w:rPr>
        <w:t> </w:t>
      </w:r>
      <w:r>
        <w:rPr/>
        <w:t>détaché</w:t>
      </w:r>
      <w:r>
        <w:rPr>
          <w:spacing w:val="-4"/>
        </w:rPr>
        <w:t> </w:t>
      </w:r>
      <w:r>
        <w:rPr/>
        <w:t>exécutera</w:t>
      </w:r>
      <w:r>
        <w:rPr>
          <w:spacing w:val="-2"/>
        </w:rPr>
        <w:t> </w:t>
      </w:r>
      <w:r>
        <w:rPr/>
        <w:t>également</w:t>
      </w:r>
      <w:r>
        <w:rPr>
          <w:spacing w:val="-2"/>
        </w:rPr>
        <w:t> </w:t>
      </w:r>
      <w:r>
        <w:rPr/>
        <w:t>toute</w:t>
      </w:r>
      <w:r>
        <w:rPr>
          <w:spacing w:val="-4"/>
        </w:rPr>
        <w:t> </w:t>
      </w:r>
      <w:r>
        <w:rPr/>
        <w:t>autre</w:t>
      </w:r>
      <w:r>
        <w:rPr>
          <w:spacing w:val="-1"/>
        </w:rPr>
        <w:t> </w:t>
      </w:r>
      <w:r>
        <w:rPr/>
        <w:t>tâche</w:t>
      </w:r>
      <w:r>
        <w:rPr>
          <w:spacing w:val="-2"/>
        </w:rPr>
        <w:t> </w:t>
      </w:r>
      <w:r>
        <w:rPr/>
        <w:t>pertinente</w:t>
      </w:r>
      <w:r>
        <w:rPr>
          <w:spacing w:val="-4"/>
        </w:rPr>
        <w:t> </w:t>
      </w:r>
      <w:r>
        <w:rPr/>
        <w:t>confiée</w:t>
      </w:r>
      <w:r>
        <w:rPr>
          <w:spacing w:val="-2"/>
        </w:rPr>
        <w:t> </w:t>
      </w:r>
      <w:r>
        <w:rPr/>
        <w:t>par</w:t>
      </w:r>
      <w:r>
        <w:rPr>
          <w:spacing w:val="-2"/>
        </w:rPr>
        <w:t> </w:t>
      </w:r>
      <w:r>
        <w:rPr/>
        <w:t>le</w:t>
      </w:r>
      <w:r>
        <w:rPr>
          <w:spacing w:val="-1"/>
        </w:rPr>
        <w:t> </w:t>
      </w:r>
      <w:r>
        <w:rPr/>
        <w:t>chef</w:t>
      </w:r>
      <w:r>
        <w:rPr>
          <w:spacing w:val="-5"/>
        </w:rPr>
        <w:t> </w:t>
      </w:r>
      <w:r>
        <w:rPr/>
        <w:t>d’unité</w:t>
      </w:r>
      <w:r>
        <w:rPr>
          <w:spacing w:val="-3"/>
        </w:rPr>
        <w:t> </w:t>
      </w:r>
      <w:r>
        <w:rPr/>
        <w:t>et pourrait être appelé à participer à d’autres domaines de travail tels que le secteur privé, en particulier la</w:t>
      </w:r>
    </w:p>
    <w:p>
      <w:pPr>
        <w:pStyle w:val="BodyText"/>
        <w:ind w:left="132" w:right="102"/>
      </w:pPr>
      <w:r>
        <w:rPr/>
        <w:t>bioéconomie</w:t>
      </w:r>
      <w:r>
        <w:rPr>
          <w:spacing w:val="-3"/>
        </w:rPr>
        <w:t> </w:t>
      </w:r>
      <w:r>
        <w:rPr/>
        <w:t>circulaire,</w:t>
      </w:r>
      <w:r>
        <w:rPr>
          <w:spacing w:val="-4"/>
        </w:rPr>
        <w:t> </w:t>
      </w:r>
      <w:r>
        <w:rPr/>
        <w:t>les</w:t>
      </w:r>
      <w:r>
        <w:rPr>
          <w:spacing w:val="-6"/>
        </w:rPr>
        <w:t> </w:t>
      </w:r>
      <w:r>
        <w:rPr/>
        <w:t>approches</w:t>
      </w:r>
      <w:r>
        <w:rPr>
          <w:spacing w:val="-2"/>
        </w:rPr>
        <w:t> </w:t>
      </w:r>
      <w:r>
        <w:rPr/>
        <w:t>paysagères</w:t>
      </w:r>
      <w:r>
        <w:rPr>
          <w:spacing w:val="-1"/>
        </w:rPr>
        <w:t> </w:t>
      </w:r>
      <w:r>
        <w:rPr/>
        <w:t>intégrées,</w:t>
      </w:r>
      <w:r>
        <w:rPr>
          <w:spacing w:val="-2"/>
        </w:rPr>
        <w:t> </w:t>
      </w:r>
      <w:r>
        <w:rPr/>
        <w:t>le</w:t>
      </w:r>
      <w:r>
        <w:rPr>
          <w:spacing w:val="-1"/>
        </w:rPr>
        <w:t> </w:t>
      </w:r>
      <w:r>
        <w:rPr/>
        <w:t>régime</w:t>
      </w:r>
      <w:r>
        <w:rPr>
          <w:spacing w:val="-4"/>
        </w:rPr>
        <w:t> </w:t>
      </w:r>
      <w:r>
        <w:rPr/>
        <w:t>foncier</w:t>
      </w:r>
      <w:r>
        <w:rPr>
          <w:spacing w:val="-2"/>
        </w:rPr>
        <w:t> </w:t>
      </w:r>
      <w:r>
        <w:rPr/>
        <w:t>et</w:t>
      </w:r>
      <w:r>
        <w:rPr>
          <w:spacing w:val="-2"/>
        </w:rPr>
        <w:t> </w:t>
      </w:r>
      <w:r>
        <w:rPr/>
        <w:t>les</w:t>
      </w:r>
      <w:r>
        <w:rPr>
          <w:spacing w:val="-2"/>
        </w:rPr>
        <w:t> </w:t>
      </w:r>
      <w:r>
        <w:rPr/>
        <w:t>droits</w:t>
      </w:r>
      <w:r>
        <w:rPr>
          <w:spacing w:val="-1"/>
        </w:rPr>
        <w:t> </w:t>
      </w:r>
      <w:r>
        <w:rPr/>
        <w:t>d’accès</w:t>
      </w:r>
      <w:r>
        <w:rPr>
          <w:spacing w:val="-2"/>
        </w:rPr>
        <w:t> </w:t>
      </w:r>
      <w:r>
        <w:rPr/>
        <w:t>aux</w:t>
      </w:r>
      <w:r>
        <w:rPr>
          <w:spacing w:val="-2"/>
        </w:rPr>
        <w:t> </w:t>
      </w:r>
      <w:r>
        <w:rPr/>
        <w:t>forêts,</w:t>
      </w:r>
      <w:r>
        <w:rPr>
          <w:spacing w:val="-2"/>
        </w:rPr>
        <w:t> </w:t>
      </w:r>
      <w:r>
        <w:rPr/>
        <w:t>les droits de l’homme, les mécanismes de financement innovants pour les écosystèmes forestiers, le dialogue politique avec les pays partenaires, plus largement, afin de contribuer à la dimension environnementale des travaux de la DG INTPA.</w:t>
      </w:r>
    </w:p>
    <w:p>
      <w:pPr>
        <w:pStyle w:val="BodyText"/>
        <w:spacing w:before="9"/>
        <w:rPr>
          <w:sz w:val="20"/>
        </w:rPr>
      </w:pPr>
    </w:p>
    <w:p>
      <w:pPr>
        <w:pStyle w:val="ListParagraph"/>
        <w:numPr>
          <w:ilvl w:val="0"/>
          <w:numId w:val="3"/>
        </w:numPr>
        <w:tabs>
          <w:tab w:pos="559" w:val="left" w:leader="none"/>
          <w:tab w:pos="560" w:val="left" w:leader="none"/>
        </w:tabs>
        <w:spacing w:line="240" w:lineRule="auto" w:before="0" w:after="0"/>
        <w:ind w:left="559" w:right="0" w:hanging="428"/>
        <w:jc w:val="left"/>
        <w:rPr>
          <w:rFonts w:ascii="Times New Roman"/>
          <w:b/>
          <w:sz w:val="24"/>
        </w:rPr>
      </w:pPr>
      <w:r>
        <w:rPr>
          <w:rFonts w:ascii="Times New Roman"/>
          <w:b/>
          <w:sz w:val="24"/>
          <w:u w:val="single"/>
        </w:rPr>
        <w:t>Qualifications</w:t>
      </w:r>
      <w:r>
        <w:rPr>
          <w:rFonts w:ascii="Times New Roman"/>
          <w:b/>
          <w:spacing w:val="-9"/>
          <w:sz w:val="24"/>
          <w:u w:val="single"/>
        </w:rPr>
        <w:t> </w:t>
      </w:r>
      <w:r>
        <w:rPr>
          <w:rFonts w:ascii="Times New Roman"/>
          <w:b/>
          <w:spacing w:val="-2"/>
          <w:sz w:val="24"/>
          <w:u w:val="single"/>
        </w:rPr>
        <w:t>requises</w:t>
      </w:r>
    </w:p>
    <w:p>
      <w:pPr>
        <w:pStyle w:val="BodyText"/>
        <w:rPr>
          <w:rFonts w:ascii="Times New Roman"/>
          <w:b/>
          <w:sz w:val="16"/>
        </w:rPr>
      </w:pPr>
    </w:p>
    <w:p>
      <w:pPr>
        <w:pStyle w:val="Heading1"/>
        <w:numPr>
          <w:ilvl w:val="1"/>
          <w:numId w:val="3"/>
        </w:numPr>
        <w:tabs>
          <w:tab w:pos="800" w:val="left" w:leader="none"/>
        </w:tabs>
        <w:spacing w:line="240" w:lineRule="auto" w:before="92" w:after="0"/>
        <w:ind w:left="799" w:right="0" w:hanging="241"/>
        <w:jc w:val="left"/>
        <w:rPr>
          <w:u w:val="none"/>
        </w:rPr>
      </w:pPr>
      <w:r>
        <w:rPr>
          <w:u w:val="none"/>
        </w:rPr>
        <w:t>Critères</w:t>
      </w:r>
      <w:r>
        <w:rPr>
          <w:spacing w:val="-6"/>
          <w:u w:val="none"/>
        </w:rPr>
        <w:t> </w:t>
      </w:r>
      <w:r>
        <w:rPr>
          <w:spacing w:val="-2"/>
          <w:u w:val="none"/>
        </w:rPr>
        <w:t>d'éligibilité</w:t>
      </w:r>
    </w:p>
    <w:p>
      <w:pPr>
        <w:pStyle w:val="BodyText"/>
        <w:spacing w:before="7"/>
        <w:rPr>
          <w:rFonts w:ascii="Times New Roman"/>
          <w:b/>
          <w:sz w:val="21"/>
        </w:rPr>
      </w:pPr>
    </w:p>
    <w:p>
      <w:pPr>
        <w:pStyle w:val="BodyText"/>
        <w:ind w:left="559" w:right="105"/>
        <w:jc w:val="both"/>
        <w:rPr>
          <w:rFonts w:ascii="Times New Roman" w:hAnsi="Times New Roman"/>
        </w:rPr>
      </w:pPr>
      <w:r>
        <w:rPr>
          <w:rFonts w:ascii="Times New Roman" w:hAnsi="Times New Roman"/>
        </w:rPr>
        <w:t>Les critères d'éligibilité doivent être obligatoirement remplis par l'END pour être détaché auprès de la Commission. Par conséquent, le candidat qui ne remplirait pas tous ces critères serait automatiquement</w:t>
      </w:r>
      <w:r>
        <w:rPr>
          <w:rFonts w:ascii="Times New Roman" w:hAnsi="Times New Roman"/>
          <w:spacing w:val="40"/>
        </w:rPr>
        <w:t> </w:t>
      </w:r>
      <w:r>
        <w:rPr>
          <w:rFonts w:ascii="Times New Roman" w:hAnsi="Times New Roman"/>
        </w:rPr>
        <w:t>éliminé de la procédure de sélection.</w:t>
      </w:r>
    </w:p>
    <w:p>
      <w:pPr>
        <w:pStyle w:val="BodyText"/>
        <w:spacing w:before="10"/>
        <w:rPr>
          <w:rFonts w:ascii="Times New Roman"/>
          <w:sz w:val="21"/>
        </w:rPr>
      </w:pPr>
    </w:p>
    <w:p>
      <w:pPr>
        <w:pStyle w:val="ListParagraph"/>
        <w:numPr>
          <w:ilvl w:val="1"/>
          <w:numId w:val="4"/>
        </w:numPr>
        <w:tabs>
          <w:tab w:pos="841" w:val="left" w:leader="none"/>
        </w:tabs>
        <w:spacing w:line="240" w:lineRule="auto" w:before="0" w:after="0"/>
        <w:ind w:left="840" w:right="105" w:hanging="281"/>
        <w:jc w:val="both"/>
        <w:rPr>
          <w:rFonts w:ascii="Times New Roman" w:hAnsi="Times New Roman"/>
          <w:sz w:val="22"/>
        </w:rPr>
      </w:pPr>
      <w:r>
        <w:rPr>
          <w:rFonts w:ascii="Times New Roman" w:hAnsi="Times New Roman"/>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spacing w:before="1"/>
        <w:rPr>
          <w:rFonts w:ascii="Times New Roman"/>
        </w:rPr>
      </w:pPr>
    </w:p>
    <w:p>
      <w:pPr>
        <w:pStyle w:val="ListParagraph"/>
        <w:numPr>
          <w:ilvl w:val="1"/>
          <w:numId w:val="4"/>
        </w:numPr>
        <w:tabs>
          <w:tab w:pos="841" w:val="left" w:leader="none"/>
        </w:tabs>
        <w:spacing w:line="240" w:lineRule="auto" w:before="0" w:after="0"/>
        <w:ind w:left="840" w:right="104" w:hanging="281"/>
        <w:jc w:val="both"/>
        <w:rPr>
          <w:rFonts w:ascii="Times New Roman" w:hAnsi="Times New Roman"/>
          <w:sz w:val="22"/>
        </w:rPr>
      </w:pPr>
      <w:r>
        <w:rPr>
          <w:rFonts w:ascii="Times New Roman" w:hAnsi="Times New Roman"/>
          <w:sz w:val="22"/>
        </w:rPr>
        <w:t>Ancienneté de service : avoir une ancienneté d'au moins un an auprès de son employeur, c'est-à-dire être employé</w:t>
      </w:r>
      <w:r>
        <w:rPr>
          <w:rFonts w:ascii="Times New Roman" w:hAnsi="Times New Roman"/>
          <w:spacing w:val="-1"/>
          <w:sz w:val="22"/>
        </w:rPr>
        <w:t> </w:t>
      </w:r>
      <w:r>
        <w:rPr>
          <w:rFonts w:ascii="Times New Roman" w:hAnsi="Times New Roman"/>
          <w:sz w:val="22"/>
        </w:rPr>
        <w:t>depuis</w:t>
      </w:r>
      <w:r>
        <w:rPr>
          <w:rFonts w:ascii="Times New Roman" w:hAnsi="Times New Roman"/>
          <w:spacing w:val="-1"/>
          <w:sz w:val="22"/>
        </w:rPr>
        <w:t> </w:t>
      </w:r>
      <w:r>
        <w:rPr>
          <w:rFonts w:ascii="Times New Roman" w:hAnsi="Times New Roman"/>
          <w:sz w:val="22"/>
        </w:rPr>
        <w:t>au</w:t>
      </w:r>
      <w:r>
        <w:rPr>
          <w:rFonts w:ascii="Times New Roman" w:hAnsi="Times New Roman"/>
          <w:spacing w:val="-1"/>
          <w:sz w:val="22"/>
        </w:rPr>
        <w:t> </w:t>
      </w:r>
      <w:r>
        <w:rPr>
          <w:rFonts w:ascii="Times New Roman" w:hAnsi="Times New Roman"/>
          <w:sz w:val="22"/>
        </w:rPr>
        <w:t>moins</w:t>
      </w:r>
      <w:r>
        <w:rPr>
          <w:rFonts w:ascii="Times New Roman" w:hAnsi="Times New Roman"/>
          <w:spacing w:val="-1"/>
          <w:sz w:val="22"/>
        </w:rPr>
        <w:t> </w:t>
      </w:r>
      <w:r>
        <w:rPr>
          <w:rFonts w:ascii="Times New Roman" w:hAnsi="Times New Roman"/>
          <w:sz w:val="22"/>
        </w:rPr>
        <w:t>un</w:t>
      </w:r>
      <w:r>
        <w:rPr>
          <w:rFonts w:ascii="Times New Roman" w:hAnsi="Times New Roman"/>
          <w:spacing w:val="-1"/>
          <w:sz w:val="22"/>
        </w:rPr>
        <w:t> </w:t>
      </w:r>
      <w:r>
        <w:rPr>
          <w:rFonts w:ascii="Times New Roman" w:hAnsi="Times New Roman"/>
          <w:sz w:val="22"/>
        </w:rPr>
        <w:t>an</w:t>
      </w:r>
      <w:r>
        <w:rPr>
          <w:rFonts w:ascii="Times New Roman" w:hAnsi="Times New Roman"/>
          <w:spacing w:val="-1"/>
          <w:sz w:val="22"/>
        </w:rPr>
        <w:t> </w:t>
      </w:r>
      <w:r>
        <w:rPr>
          <w:rFonts w:ascii="Times New Roman" w:hAnsi="Times New Roman"/>
          <w:sz w:val="22"/>
        </w:rPr>
        <w:t>par</w:t>
      </w:r>
      <w:r>
        <w:rPr>
          <w:rFonts w:ascii="Times New Roman" w:hAnsi="Times New Roman"/>
          <w:spacing w:val="-1"/>
          <w:sz w:val="22"/>
        </w:rPr>
        <w:t> </w:t>
      </w:r>
      <w:r>
        <w:rPr>
          <w:rFonts w:ascii="Times New Roman" w:hAnsi="Times New Roman"/>
          <w:sz w:val="22"/>
        </w:rPr>
        <w:t>un</w:t>
      </w:r>
      <w:r>
        <w:rPr>
          <w:rFonts w:ascii="Times New Roman" w:hAnsi="Times New Roman"/>
          <w:spacing w:val="-1"/>
          <w:sz w:val="22"/>
        </w:rPr>
        <w:t> </w:t>
      </w:r>
      <w:r>
        <w:rPr>
          <w:rFonts w:ascii="Times New Roman" w:hAnsi="Times New Roman"/>
          <w:sz w:val="22"/>
        </w:rPr>
        <w:t>employeur éligible</w:t>
      </w:r>
      <w:r>
        <w:rPr>
          <w:rFonts w:ascii="Times New Roman" w:hAnsi="Times New Roman"/>
          <w:spacing w:val="-1"/>
          <w:sz w:val="22"/>
        </w:rPr>
        <w:t> </w:t>
      </w:r>
      <w:r>
        <w:rPr>
          <w:rFonts w:ascii="Times New Roman" w:hAnsi="Times New Roman"/>
          <w:sz w:val="22"/>
        </w:rPr>
        <w:t>au</w:t>
      </w:r>
      <w:r>
        <w:rPr>
          <w:rFonts w:ascii="Times New Roman" w:hAnsi="Times New Roman"/>
          <w:spacing w:val="-4"/>
          <w:sz w:val="22"/>
        </w:rPr>
        <w:t> </w:t>
      </w:r>
      <w:r>
        <w:rPr>
          <w:rFonts w:ascii="Times New Roman" w:hAnsi="Times New Roman"/>
          <w:sz w:val="22"/>
        </w:rPr>
        <w:t>sens</w:t>
      </w:r>
      <w:r>
        <w:rPr>
          <w:rFonts w:ascii="Times New Roman" w:hAnsi="Times New Roman"/>
          <w:spacing w:val="-1"/>
          <w:sz w:val="22"/>
        </w:rPr>
        <w:t> </w:t>
      </w:r>
      <w:r>
        <w:rPr>
          <w:rFonts w:ascii="Times New Roman" w:hAnsi="Times New Roman"/>
          <w:sz w:val="22"/>
        </w:rPr>
        <w:t>de</w:t>
      </w:r>
      <w:r>
        <w:rPr>
          <w:rFonts w:ascii="Times New Roman" w:hAnsi="Times New Roman"/>
          <w:spacing w:val="-3"/>
          <w:sz w:val="22"/>
        </w:rPr>
        <w:t> </w:t>
      </w:r>
      <w:r>
        <w:rPr>
          <w:rFonts w:ascii="Times New Roman" w:hAnsi="Times New Roman"/>
          <w:sz w:val="22"/>
        </w:rPr>
        <w:t>l'article</w:t>
      </w:r>
      <w:r>
        <w:rPr>
          <w:rFonts w:ascii="Times New Roman" w:hAnsi="Times New Roman"/>
          <w:spacing w:val="-1"/>
          <w:sz w:val="22"/>
        </w:rPr>
        <w:t> </w:t>
      </w:r>
      <w:r>
        <w:rPr>
          <w:rFonts w:ascii="Times New Roman" w:hAnsi="Times New Roman"/>
          <w:sz w:val="22"/>
        </w:rPr>
        <w:t>1</w:t>
      </w:r>
      <w:r>
        <w:rPr>
          <w:rFonts w:ascii="Times New Roman" w:hAnsi="Times New Roman"/>
          <w:spacing w:val="-1"/>
          <w:sz w:val="22"/>
        </w:rPr>
        <w:t> </w:t>
      </w:r>
      <w:r>
        <w:rPr>
          <w:rFonts w:ascii="Times New Roman" w:hAnsi="Times New Roman"/>
          <w:sz w:val="22"/>
        </w:rPr>
        <w:t>de</w:t>
      </w:r>
      <w:r>
        <w:rPr>
          <w:rFonts w:ascii="Times New Roman" w:hAnsi="Times New Roman"/>
          <w:spacing w:val="-3"/>
          <w:sz w:val="22"/>
        </w:rPr>
        <w:t> </w:t>
      </w:r>
      <w:r>
        <w:rPr>
          <w:rFonts w:ascii="Times New Roman" w:hAnsi="Times New Roman"/>
          <w:sz w:val="22"/>
        </w:rPr>
        <w:t>la</w:t>
      </w:r>
      <w:r>
        <w:rPr>
          <w:rFonts w:ascii="Times New Roman" w:hAnsi="Times New Roman"/>
          <w:spacing w:val="-1"/>
          <w:sz w:val="22"/>
        </w:rPr>
        <w:t> </w:t>
      </w:r>
      <w:r>
        <w:rPr>
          <w:rFonts w:ascii="Times New Roman" w:hAnsi="Times New Roman"/>
          <w:sz w:val="22"/>
        </w:rPr>
        <w:t>décision</w:t>
      </w:r>
      <w:r>
        <w:rPr>
          <w:rFonts w:ascii="Times New Roman" w:hAnsi="Times New Roman"/>
          <w:spacing w:val="-1"/>
          <w:sz w:val="22"/>
        </w:rPr>
        <w:t> </w:t>
      </w:r>
      <w:r>
        <w:rPr>
          <w:rFonts w:ascii="Times New Roman" w:hAnsi="Times New Roman"/>
          <w:sz w:val="22"/>
        </w:rPr>
        <w:t>END,</w:t>
      </w:r>
      <w:r>
        <w:rPr>
          <w:rFonts w:ascii="Times New Roman" w:hAnsi="Times New Roman"/>
          <w:spacing w:val="-1"/>
          <w:sz w:val="22"/>
        </w:rPr>
        <w:t> </w:t>
      </w:r>
      <w:r>
        <w:rPr>
          <w:rFonts w:ascii="Times New Roman" w:hAnsi="Times New Roman"/>
          <w:sz w:val="22"/>
        </w:rPr>
        <w:t>dans</w:t>
      </w:r>
      <w:r>
        <w:rPr>
          <w:rFonts w:ascii="Times New Roman" w:hAnsi="Times New Roman"/>
          <w:spacing w:val="-1"/>
          <w:sz w:val="22"/>
        </w:rPr>
        <w:t> </w:t>
      </w:r>
      <w:r>
        <w:rPr>
          <w:rFonts w:ascii="Times New Roman" w:hAnsi="Times New Roman"/>
          <w:sz w:val="22"/>
        </w:rPr>
        <w:t>un cadre statutaire ou contractuel avant le détachement;</w:t>
      </w:r>
    </w:p>
    <w:p>
      <w:pPr>
        <w:pStyle w:val="BodyText"/>
        <w:spacing w:before="10"/>
        <w:rPr>
          <w:rFonts w:ascii="Times New Roman"/>
          <w:sz w:val="21"/>
        </w:rPr>
      </w:pPr>
    </w:p>
    <w:p>
      <w:pPr>
        <w:pStyle w:val="ListParagraph"/>
        <w:numPr>
          <w:ilvl w:val="1"/>
          <w:numId w:val="4"/>
        </w:numPr>
        <w:tabs>
          <w:tab w:pos="841" w:val="left" w:leader="none"/>
        </w:tabs>
        <w:spacing w:line="240" w:lineRule="auto" w:before="0" w:after="0"/>
        <w:ind w:left="840" w:right="109" w:hanging="281"/>
        <w:jc w:val="both"/>
        <w:rPr>
          <w:rFonts w:ascii="Times New Roman" w:hAnsi="Times New Roman"/>
          <w:sz w:val="22"/>
        </w:rPr>
      </w:pPr>
      <w:r>
        <w:rPr>
          <w:rFonts w:ascii="Times New Roman" w:hAnsi="Times New Roman"/>
          <w:sz w:val="22"/>
        </w:rPr>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rFonts w:ascii="Times New Roman" w:hAnsi="Times New Roman"/>
          <w:spacing w:val="-2"/>
          <w:sz w:val="22"/>
        </w:rPr>
        <w:t>confiées.</w:t>
      </w:r>
    </w:p>
    <w:p>
      <w:pPr>
        <w:pStyle w:val="BodyText"/>
        <w:spacing w:before="5"/>
        <w:rPr>
          <w:rFonts w:ascii="Times New Roman"/>
          <w:sz w:val="24"/>
        </w:rPr>
      </w:pPr>
    </w:p>
    <w:p>
      <w:pPr>
        <w:pStyle w:val="Heading1"/>
        <w:numPr>
          <w:ilvl w:val="1"/>
          <w:numId w:val="3"/>
        </w:numPr>
        <w:tabs>
          <w:tab w:pos="841" w:val="left" w:leader="none"/>
        </w:tabs>
        <w:spacing w:line="240" w:lineRule="auto" w:before="1" w:after="0"/>
        <w:ind w:left="840" w:right="0" w:hanging="282"/>
        <w:jc w:val="left"/>
        <w:rPr>
          <w:u w:val="none"/>
        </w:rPr>
      </w:pPr>
      <w:r>
        <w:rPr>
          <w:u w:val="single"/>
        </w:rPr>
        <w:t>Critères</w:t>
      </w:r>
      <w:r>
        <w:rPr>
          <w:spacing w:val="-3"/>
          <w:u w:val="single"/>
        </w:rPr>
        <w:t> </w:t>
      </w:r>
      <w:r>
        <w:rPr>
          <w:u w:val="single"/>
        </w:rPr>
        <w:t>de</w:t>
      </w:r>
      <w:r>
        <w:rPr>
          <w:spacing w:val="-3"/>
          <w:u w:val="single"/>
        </w:rPr>
        <w:t> </w:t>
      </w:r>
      <w:r>
        <w:rPr>
          <w:spacing w:val="-2"/>
          <w:u w:val="single"/>
        </w:rPr>
        <w:t>sélection</w:t>
      </w:r>
    </w:p>
    <w:p>
      <w:pPr>
        <w:pStyle w:val="BodyText"/>
        <w:spacing w:before="8"/>
        <w:rPr>
          <w:rFonts w:ascii="Times New Roman"/>
          <w:b/>
          <w:sz w:val="15"/>
        </w:rPr>
      </w:pPr>
    </w:p>
    <w:p>
      <w:pPr>
        <w:pStyle w:val="BodyText"/>
        <w:spacing w:line="252" w:lineRule="exact" w:before="92"/>
        <w:ind w:left="840"/>
        <w:rPr>
          <w:rFonts w:ascii="Times New Roman" w:hAnsi="Times New Roman"/>
        </w:rPr>
      </w:pPr>
      <w:r>
        <w:rPr>
          <w:rFonts w:ascii="Times New Roman" w:hAnsi="Times New Roman"/>
          <w:spacing w:val="-2"/>
          <w:u w:val="single"/>
        </w:rPr>
        <w:t>Diplôme</w:t>
      </w:r>
    </w:p>
    <w:p>
      <w:pPr>
        <w:pStyle w:val="ListParagraph"/>
        <w:numPr>
          <w:ilvl w:val="2"/>
          <w:numId w:val="3"/>
        </w:numPr>
        <w:tabs>
          <w:tab w:pos="966" w:val="left" w:leader="none"/>
        </w:tabs>
        <w:spacing w:line="252" w:lineRule="exact" w:before="0" w:after="0"/>
        <w:ind w:left="965" w:right="0" w:hanging="126"/>
        <w:jc w:val="left"/>
        <w:rPr>
          <w:rFonts w:ascii="Times New Roman" w:hAnsi="Times New Roman"/>
          <w:sz w:val="22"/>
        </w:rPr>
      </w:pPr>
      <w:r>
        <w:rPr>
          <w:rFonts w:ascii="Times New Roman" w:hAnsi="Times New Roman"/>
          <w:sz w:val="22"/>
        </w:rPr>
        <w:t>diplôme</w:t>
      </w:r>
      <w:r>
        <w:rPr>
          <w:rFonts w:ascii="Times New Roman" w:hAnsi="Times New Roman"/>
          <w:spacing w:val="-4"/>
          <w:sz w:val="22"/>
        </w:rPr>
        <w:t> </w:t>
      </w:r>
      <w:r>
        <w:rPr>
          <w:rFonts w:ascii="Times New Roman" w:hAnsi="Times New Roman"/>
          <w:sz w:val="22"/>
        </w:rPr>
        <w:t>universitaire</w:t>
      </w:r>
      <w:r>
        <w:rPr>
          <w:rFonts w:ascii="Times New Roman" w:hAnsi="Times New Roman"/>
          <w:spacing w:val="-4"/>
          <w:sz w:val="22"/>
        </w:rPr>
        <w:t> </w:t>
      </w:r>
      <w:r>
        <w:rPr>
          <w:rFonts w:ascii="Times New Roman" w:hAnsi="Times New Roman"/>
          <w:spacing w:val="-5"/>
          <w:sz w:val="22"/>
        </w:rPr>
        <w:t>ou</w:t>
      </w:r>
    </w:p>
    <w:p>
      <w:pPr>
        <w:pStyle w:val="ListParagraph"/>
        <w:numPr>
          <w:ilvl w:val="2"/>
          <w:numId w:val="3"/>
        </w:numPr>
        <w:tabs>
          <w:tab w:pos="966" w:val="left" w:leader="none"/>
        </w:tabs>
        <w:spacing w:line="240" w:lineRule="auto" w:before="1" w:after="0"/>
        <w:ind w:left="965" w:right="0" w:hanging="126"/>
        <w:jc w:val="left"/>
        <w:rPr>
          <w:rFonts w:ascii="Times New Roman" w:hAnsi="Times New Roman"/>
          <w:sz w:val="22"/>
        </w:rPr>
      </w:pPr>
      <w:r>
        <w:rPr>
          <w:rFonts w:ascii="Times New Roman" w:hAnsi="Times New Roman"/>
          <w:sz w:val="22"/>
        </w:rPr>
        <w:t>formation</w:t>
      </w:r>
      <w:r>
        <w:rPr>
          <w:rFonts w:ascii="Times New Roman" w:hAnsi="Times New Roman"/>
          <w:spacing w:val="-7"/>
          <w:sz w:val="22"/>
        </w:rPr>
        <w:t> </w:t>
      </w:r>
      <w:r>
        <w:rPr>
          <w:rFonts w:ascii="Times New Roman" w:hAnsi="Times New Roman"/>
          <w:sz w:val="22"/>
        </w:rPr>
        <w:t>professionnelle</w:t>
      </w:r>
      <w:r>
        <w:rPr>
          <w:rFonts w:ascii="Times New Roman" w:hAnsi="Times New Roman"/>
          <w:spacing w:val="-6"/>
          <w:sz w:val="22"/>
        </w:rPr>
        <w:t> </w:t>
      </w:r>
      <w:r>
        <w:rPr>
          <w:rFonts w:ascii="Times New Roman" w:hAnsi="Times New Roman"/>
          <w:sz w:val="22"/>
        </w:rPr>
        <w:t>ou</w:t>
      </w:r>
      <w:r>
        <w:rPr>
          <w:rFonts w:ascii="Times New Roman" w:hAnsi="Times New Roman"/>
          <w:spacing w:val="-4"/>
          <w:sz w:val="22"/>
        </w:rPr>
        <w:t> </w:t>
      </w:r>
      <w:r>
        <w:rPr>
          <w:rFonts w:ascii="Times New Roman" w:hAnsi="Times New Roman"/>
          <w:sz w:val="22"/>
        </w:rPr>
        <w:t>expérience</w:t>
      </w:r>
      <w:r>
        <w:rPr>
          <w:rFonts w:ascii="Times New Roman" w:hAnsi="Times New Roman"/>
          <w:spacing w:val="-7"/>
          <w:sz w:val="22"/>
        </w:rPr>
        <w:t> </w:t>
      </w:r>
      <w:r>
        <w:rPr>
          <w:rFonts w:ascii="Times New Roman" w:hAnsi="Times New Roman"/>
          <w:sz w:val="22"/>
        </w:rPr>
        <w:t>professionnelle</w:t>
      </w:r>
      <w:r>
        <w:rPr>
          <w:rFonts w:ascii="Times New Roman" w:hAnsi="Times New Roman"/>
          <w:spacing w:val="-6"/>
          <w:sz w:val="22"/>
        </w:rPr>
        <w:t> </w:t>
      </w:r>
      <w:r>
        <w:rPr>
          <w:rFonts w:ascii="Times New Roman" w:hAnsi="Times New Roman"/>
          <w:sz w:val="22"/>
        </w:rPr>
        <w:t>de</w:t>
      </w:r>
      <w:r>
        <w:rPr>
          <w:rFonts w:ascii="Times New Roman" w:hAnsi="Times New Roman"/>
          <w:spacing w:val="-4"/>
          <w:sz w:val="22"/>
        </w:rPr>
        <w:t> </w:t>
      </w:r>
      <w:r>
        <w:rPr>
          <w:rFonts w:ascii="Times New Roman" w:hAnsi="Times New Roman"/>
          <w:sz w:val="22"/>
        </w:rPr>
        <w:t>niveau</w:t>
      </w:r>
      <w:r>
        <w:rPr>
          <w:rFonts w:ascii="Times New Roman" w:hAnsi="Times New Roman"/>
          <w:spacing w:val="-4"/>
          <w:sz w:val="22"/>
        </w:rPr>
        <w:t> </w:t>
      </w:r>
      <w:r>
        <w:rPr>
          <w:rFonts w:ascii="Times New Roman" w:hAnsi="Times New Roman"/>
          <w:spacing w:val="-2"/>
          <w:sz w:val="22"/>
        </w:rPr>
        <w:t>équivalent</w:t>
      </w:r>
    </w:p>
    <w:p>
      <w:pPr>
        <w:pStyle w:val="BodyText"/>
        <w:spacing w:before="3"/>
        <w:rPr>
          <w:rFonts w:ascii="Times New Roman"/>
        </w:rPr>
      </w:pPr>
    </w:p>
    <w:p>
      <w:pPr>
        <w:pStyle w:val="BodyText"/>
        <w:spacing w:before="1"/>
        <w:ind w:left="840" w:firstLine="110"/>
      </w:pPr>
      <w:r>
        <w:rPr>
          <w:rFonts w:ascii="Times New Roman" w:hAnsi="Times New Roman"/>
        </w:rPr>
        <w:t>dans</w:t>
      </w:r>
      <w:r>
        <w:rPr>
          <w:rFonts w:ascii="Times New Roman" w:hAnsi="Times New Roman"/>
          <w:spacing w:val="-5"/>
        </w:rPr>
        <w:t> </w:t>
      </w:r>
      <w:r>
        <w:rPr>
          <w:rFonts w:ascii="Times New Roman" w:hAnsi="Times New Roman"/>
        </w:rPr>
        <w:t>le(s)</w:t>
      </w:r>
      <w:r>
        <w:rPr>
          <w:rFonts w:ascii="Times New Roman" w:hAnsi="Times New Roman"/>
          <w:spacing w:val="-2"/>
        </w:rPr>
        <w:t> </w:t>
      </w:r>
      <w:r>
        <w:rPr>
          <w:rFonts w:ascii="Times New Roman" w:hAnsi="Times New Roman"/>
        </w:rPr>
        <w:t>domaine(s)</w:t>
      </w:r>
      <w:r>
        <w:rPr>
          <w:rFonts w:ascii="Times New Roman" w:hAnsi="Times New Roman"/>
          <w:spacing w:val="-3"/>
        </w:rPr>
        <w:t> </w:t>
      </w:r>
      <w:r>
        <w:rPr>
          <w:rFonts w:ascii="Times New Roman" w:hAnsi="Times New Roman"/>
        </w:rPr>
        <w:t>:</w:t>
      </w:r>
      <w:r>
        <w:rPr>
          <w:rFonts w:ascii="Times New Roman" w:hAnsi="Times New Roman"/>
          <w:spacing w:val="-1"/>
        </w:rPr>
        <w:t> </w:t>
      </w:r>
      <w:r>
        <w:rPr/>
        <w:t>études</w:t>
      </w:r>
      <w:r>
        <w:rPr>
          <w:spacing w:val="-2"/>
        </w:rPr>
        <w:t> </w:t>
      </w:r>
      <w:r>
        <w:rPr/>
        <w:t>environnementales,</w:t>
      </w:r>
      <w:r>
        <w:rPr>
          <w:spacing w:val="-2"/>
        </w:rPr>
        <w:t> </w:t>
      </w:r>
      <w:r>
        <w:rPr/>
        <w:t>écologie,</w:t>
      </w:r>
      <w:r>
        <w:rPr>
          <w:spacing w:val="-2"/>
        </w:rPr>
        <w:t> </w:t>
      </w:r>
      <w:r>
        <w:rPr/>
        <w:t>biologie,</w:t>
      </w:r>
      <w:r>
        <w:rPr>
          <w:spacing w:val="-2"/>
        </w:rPr>
        <w:t> </w:t>
      </w:r>
      <w:r>
        <w:rPr/>
        <w:t>agriculture,</w:t>
      </w:r>
      <w:r>
        <w:rPr>
          <w:spacing w:val="-2"/>
        </w:rPr>
        <w:t> </w:t>
      </w:r>
      <w:r>
        <w:rPr/>
        <w:t>sylviculture,</w:t>
      </w:r>
      <w:r>
        <w:rPr>
          <w:spacing w:val="-4"/>
        </w:rPr>
        <w:t> </w:t>
      </w:r>
      <w:r>
        <w:rPr/>
        <w:t>économie ou similaire</w:t>
      </w:r>
    </w:p>
    <w:p>
      <w:pPr>
        <w:pStyle w:val="BodyText"/>
      </w:pPr>
    </w:p>
    <w:p>
      <w:pPr>
        <w:pStyle w:val="BodyText"/>
        <w:rPr>
          <w:sz w:val="19"/>
        </w:rPr>
      </w:pPr>
    </w:p>
    <w:p>
      <w:pPr>
        <w:pStyle w:val="BodyText"/>
        <w:spacing w:before="1"/>
        <w:ind w:left="840"/>
        <w:rPr>
          <w:rFonts w:ascii="Times New Roman" w:hAnsi="Times New Roman"/>
        </w:rPr>
      </w:pPr>
      <w:r>
        <w:rPr>
          <w:rFonts w:ascii="Times New Roman" w:hAnsi="Times New Roman"/>
          <w:u w:val="single"/>
        </w:rPr>
        <w:t>Expérience</w:t>
      </w:r>
      <w:r>
        <w:rPr>
          <w:rFonts w:ascii="Times New Roman" w:hAnsi="Times New Roman"/>
          <w:spacing w:val="-4"/>
          <w:u w:val="single"/>
        </w:rPr>
        <w:t> </w:t>
      </w:r>
      <w:r>
        <w:rPr>
          <w:rFonts w:ascii="Times New Roman" w:hAnsi="Times New Roman"/>
          <w:spacing w:val="-2"/>
          <w:u w:val="single"/>
        </w:rPr>
        <w:t>professionnelle</w:t>
      </w:r>
    </w:p>
    <w:p>
      <w:pPr>
        <w:pStyle w:val="BodyText"/>
        <w:spacing w:before="7"/>
        <w:rPr>
          <w:rFonts w:ascii="Times New Roman"/>
          <w:sz w:val="17"/>
        </w:rPr>
      </w:pPr>
    </w:p>
    <w:p>
      <w:pPr>
        <w:pStyle w:val="BodyText"/>
        <w:spacing w:before="56"/>
        <w:ind w:left="840" w:right="168" w:firstLine="50"/>
        <w:jc w:val="both"/>
      </w:pPr>
      <w:r>
        <w:rPr/>
        <w:t>Au moins 5 ans d’expérience professionnelle attestée à temps plein dans des domaines pertinents pour la gestion durable des forêts: en particulier dans la conception de stratégies/politiques sectorielles et/ou de projets/programmes;</w:t>
      </w:r>
    </w:p>
    <w:p>
      <w:pPr>
        <w:spacing w:after="0"/>
        <w:jc w:val="both"/>
        <w:sectPr>
          <w:pgSz w:w="11910" w:h="16840"/>
          <w:pgMar w:header="0" w:footer="690" w:top="1080" w:bottom="880" w:left="720" w:right="740"/>
        </w:sectPr>
      </w:pPr>
    </w:p>
    <w:p>
      <w:pPr>
        <w:pStyle w:val="BodyText"/>
        <w:spacing w:before="33"/>
        <w:ind w:left="840" w:right="167"/>
        <w:jc w:val="both"/>
      </w:pPr>
      <w:r>
        <w:rPr/>
        <w:t>une expérience dans le domaine des mécanismes de financement durable pour les forêts serait</w:t>
      </w:r>
      <w:r>
        <w:rPr>
          <w:spacing w:val="80"/>
        </w:rPr>
        <w:t> </w:t>
      </w:r>
      <w:r>
        <w:rPr/>
        <w:t>appréciée (financement mixte, fonds fiduciaire, paiement pour les services écosystémiques);</w:t>
      </w:r>
    </w:p>
    <w:p>
      <w:pPr>
        <w:pStyle w:val="BodyText"/>
        <w:spacing w:before="1"/>
      </w:pPr>
    </w:p>
    <w:p>
      <w:pPr>
        <w:pStyle w:val="BodyText"/>
        <w:spacing w:before="1"/>
        <w:ind w:left="840" w:right="165"/>
        <w:jc w:val="both"/>
      </w:pPr>
      <w:r>
        <w:rPr/>
        <w:t>expérience dans l’analyse et le développement des chaînes de valeur sectorielles, y compris la participation du secteur privé;</w:t>
      </w:r>
    </w:p>
    <w:p>
      <w:pPr>
        <w:pStyle w:val="BodyText"/>
      </w:pPr>
    </w:p>
    <w:p>
      <w:pPr>
        <w:pStyle w:val="BodyText"/>
        <w:ind w:left="840"/>
        <w:jc w:val="both"/>
      </w:pPr>
      <w:r>
        <w:rPr/>
        <w:t>une</w:t>
      </w:r>
      <w:r>
        <w:rPr>
          <w:spacing w:val="-5"/>
        </w:rPr>
        <w:t> </w:t>
      </w:r>
      <w:r>
        <w:rPr/>
        <w:t>expérience</w:t>
      </w:r>
      <w:r>
        <w:rPr>
          <w:spacing w:val="-4"/>
        </w:rPr>
        <w:t> </w:t>
      </w:r>
      <w:r>
        <w:rPr/>
        <w:t>sur</w:t>
      </w:r>
      <w:r>
        <w:rPr>
          <w:spacing w:val="-4"/>
        </w:rPr>
        <w:t> </w:t>
      </w:r>
      <w:r>
        <w:rPr/>
        <w:t>le</w:t>
      </w:r>
      <w:r>
        <w:rPr>
          <w:spacing w:val="-4"/>
        </w:rPr>
        <w:t> </w:t>
      </w:r>
      <w:r>
        <w:rPr/>
        <w:t>terrain</w:t>
      </w:r>
      <w:r>
        <w:rPr>
          <w:spacing w:val="-4"/>
        </w:rPr>
        <w:t> </w:t>
      </w:r>
      <w:r>
        <w:rPr/>
        <w:t>en</w:t>
      </w:r>
      <w:r>
        <w:rPr>
          <w:spacing w:val="-4"/>
        </w:rPr>
        <w:t> </w:t>
      </w:r>
      <w:r>
        <w:rPr/>
        <w:t>Afrique</w:t>
      </w:r>
      <w:r>
        <w:rPr>
          <w:spacing w:val="-2"/>
        </w:rPr>
        <w:t> </w:t>
      </w:r>
      <w:r>
        <w:rPr/>
        <w:t>et/ou</w:t>
      </w:r>
      <w:r>
        <w:rPr>
          <w:spacing w:val="-4"/>
        </w:rPr>
        <w:t> </w:t>
      </w:r>
      <w:r>
        <w:rPr/>
        <w:t>en</w:t>
      </w:r>
      <w:r>
        <w:rPr>
          <w:spacing w:val="-4"/>
        </w:rPr>
        <w:t> </w:t>
      </w:r>
      <w:r>
        <w:rPr/>
        <w:t>Amérique</w:t>
      </w:r>
      <w:r>
        <w:rPr>
          <w:spacing w:val="-2"/>
        </w:rPr>
        <w:t> </w:t>
      </w:r>
      <w:r>
        <w:rPr/>
        <w:t>du</w:t>
      </w:r>
      <w:r>
        <w:rPr>
          <w:spacing w:val="-4"/>
        </w:rPr>
        <w:t> </w:t>
      </w:r>
      <w:r>
        <w:rPr/>
        <w:t>Sud</w:t>
      </w:r>
      <w:r>
        <w:rPr>
          <w:spacing w:val="-4"/>
        </w:rPr>
        <w:t> </w:t>
      </w:r>
      <w:r>
        <w:rPr/>
        <w:t>est</w:t>
      </w:r>
      <w:r>
        <w:rPr>
          <w:spacing w:val="-3"/>
        </w:rPr>
        <w:t> </w:t>
      </w:r>
      <w:r>
        <w:rPr/>
        <w:t>considérée</w:t>
      </w:r>
      <w:r>
        <w:rPr>
          <w:spacing w:val="-2"/>
        </w:rPr>
        <w:t> </w:t>
      </w:r>
      <w:r>
        <w:rPr/>
        <w:t>comme</w:t>
      </w:r>
      <w:r>
        <w:rPr>
          <w:spacing w:val="-5"/>
        </w:rPr>
        <w:t> </w:t>
      </w:r>
      <w:r>
        <w:rPr/>
        <w:t>un</w:t>
      </w:r>
      <w:r>
        <w:rPr>
          <w:spacing w:val="-3"/>
        </w:rPr>
        <w:t> </w:t>
      </w:r>
      <w:r>
        <w:rPr>
          <w:spacing w:val="-2"/>
        </w:rPr>
        <w:t>atout;</w:t>
      </w:r>
    </w:p>
    <w:p>
      <w:pPr>
        <w:pStyle w:val="BodyText"/>
        <w:spacing w:before="1"/>
      </w:pPr>
    </w:p>
    <w:p>
      <w:pPr>
        <w:pStyle w:val="BodyText"/>
        <w:ind w:left="840" w:right="165"/>
        <w:jc w:val="both"/>
      </w:pPr>
      <w:r>
        <w:rPr/>
        <w:t>une expérience des conventions internationales sur la biodiversité, le climat et les forêts sera un atout. Une connaissance des politiques de développement de l’UE et de la stratégie en faveur de la biodiversité et des forêts serait appréciée;</w:t>
      </w:r>
    </w:p>
    <w:p>
      <w:pPr>
        <w:pStyle w:val="BodyText"/>
        <w:spacing w:before="10"/>
        <w:rPr>
          <w:sz w:val="21"/>
        </w:rPr>
      </w:pPr>
    </w:p>
    <w:p>
      <w:pPr>
        <w:pStyle w:val="BodyText"/>
        <w:spacing w:before="1"/>
        <w:ind w:left="840" w:right="165"/>
        <w:jc w:val="both"/>
      </w:pPr>
      <w:r>
        <w:rPr/>
        <w:t>il/elle devra être en mesure de gérer des dossiers complexes, avoir un sens élevé de l’initiative et être apte à travailler dans un environnement pluridisciplinaire. Une capacité avérée d’analyser, de synthétiser les rapports et de rédiger des recommandations serait un atout. Des compétences/expérience en</w:t>
      </w:r>
      <w:r>
        <w:rPr>
          <w:spacing w:val="40"/>
        </w:rPr>
        <w:t> </w:t>
      </w:r>
      <w:r>
        <w:rPr/>
        <w:t>matière de négociation seraient un atout.</w:t>
      </w:r>
    </w:p>
    <w:p>
      <w:pPr>
        <w:pStyle w:val="BodyText"/>
        <w:spacing w:before="3"/>
        <w:rPr>
          <w:sz w:val="20"/>
        </w:rPr>
      </w:pPr>
    </w:p>
    <w:p>
      <w:pPr>
        <w:pStyle w:val="BodyText"/>
        <w:spacing w:before="1"/>
        <w:ind w:left="840"/>
        <w:jc w:val="both"/>
        <w:rPr>
          <w:rFonts w:ascii="Times New Roman" w:hAnsi="Times New Roman"/>
        </w:rPr>
      </w:pPr>
      <w:r>
        <w:rPr>
          <w:rFonts w:ascii="Times New Roman" w:hAnsi="Times New Roman"/>
          <w:u w:val="single"/>
        </w:rPr>
        <w:t>Langue(s)</w:t>
      </w:r>
      <w:r>
        <w:rPr>
          <w:rFonts w:ascii="Times New Roman" w:hAnsi="Times New Roman"/>
          <w:spacing w:val="-8"/>
          <w:u w:val="single"/>
        </w:rPr>
        <w:t> </w:t>
      </w:r>
      <w:r>
        <w:rPr>
          <w:rFonts w:ascii="Times New Roman" w:hAnsi="Times New Roman"/>
          <w:u w:val="single"/>
        </w:rPr>
        <w:t>nécessaire(s)</w:t>
      </w:r>
      <w:r>
        <w:rPr>
          <w:rFonts w:ascii="Times New Roman" w:hAnsi="Times New Roman"/>
          <w:spacing w:val="-5"/>
          <w:u w:val="single"/>
        </w:rPr>
        <w:t> </w:t>
      </w:r>
      <w:r>
        <w:rPr>
          <w:rFonts w:ascii="Times New Roman" w:hAnsi="Times New Roman"/>
          <w:u w:val="single"/>
        </w:rPr>
        <w:t>pour</w:t>
      </w:r>
      <w:r>
        <w:rPr>
          <w:rFonts w:ascii="Times New Roman" w:hAnsi="Times New Roman"/>
          <w:spacing w:val="-7"/>
          <w:u w:val="single"/>
        </w:rPr>
        <w:t> </w:t>
      </w:r>
      <w:r>
        <w:rPr>
          <w:rFonts w:ascii="Times New Roman" w:hAnsi="Times New Roman"/>
          <w:u w:val="single"/>
        </w:rPr>
        <w:t>l'accomplissement</w:t>
      </w:r>
      <w:r>
        <w:rPr>
          <w:rFonts w:ascii="Times New Roman" w:hAnsi="Times New Roman"/>
          <w:spacing w:val="-5"/>
          <w:u w:val="single"/>
        </w:rPr>
        <w:t> </w:t>
      </w:r>
      <w:r>
        <w:rPr>
          <w:rFonts w:ascii="Times New Roman" w:hAnsi="Times New Roman"/>
          <w:u w:val="single"/>
        </w:rPr>
        <w:t>des</w:t>
      </w:r>
      <w:r>
        <w:rPr>
          <w:rFonts w:ascii="Times New Roman" w:hAnsi="Times New Roman"/>
          <w:spacing w:val="-7"/>
          <w:u w:val="single"/>
        </w:rPr>
        <w:t> </w:t>
      </w:r>
      <w:r>
        <w:rPr>
          <w:rFonts w:ascii="Times New Roman" w:hAnsi="Times New Roman"/>
          <w:spacing w:val="-2"/>
          <w:u w:val="single"/>
        </w:rPr>
        <w:t>tâches</w:t>
      </w:r>
    </w:p>
    <w:p>
      <w:pPr>
        <w:pStyle w:val="BodyText"/>
        <w:spacing w:before="7"/>
        <w:rPr>
          <w:rFonts w:ascii="Times New Roman"/>
          <w:sz w:val="17"/>
        </w:rPr>
      </w:pPr>
    </w:p>
    <w:p>
      <w:pPr>
        <w:pStyle w:val="BodyText"/>
        <w:spacing w:before="56"/>
        <w:ind w:left="840"/>
      </w:pPr>
      <w:r>
        <w:rPr/>
        <w:t>Excellentes</w:t>
      </w:r>
      <w:r>
        <w:rPr>
          <w:spacing w:val="40"/>
        </w:rPr>
        <w:t> </w:t>
      </w:r>
      <w:r>
        <w:rPr/>
        <w:t>compétences</w:t>
      </w:r>
      <w:r>
        <w:rPr>
          <w:spacing w:val="40"/>
        </w:rPr>
        <w:t> </w:t>
      </w:r>
      <w:r>
        <w:rPr/>
        <w:t>rédactionnelles</w:t>
      </w:r>
      <w:r>
        <w:rPr>
          <w:spacing w:val="40"/>
        </w:rPr>
        <w:t> </w:t>
      </w:r>
      <w:r>
        <w:rPr/>
        <w:t>et</w:t>
      </w:r>
      <w:r>
        <w:rPr>
          <w:spacing w:val="40"/>
        </w:rPr>
        <w:t> </w:t>
      </w:r>
      <w:r>
        <w:rPr/>
        <w:t>de</w:t>
      </w:r>
      <w:r>
        <w:rPr>
          <w:spacing w:val="40"/>
        </w:rPr>
        <w:t> </w:t>
      </w:r>
      <w:r>
        <w:rPr/>
        <w:t>communication</w:t>
      </w:r>
      <w:r>
        <w:rPr>
          <w:spacing w:val="40"/>
        </w:rPr>
        <w:t> </w:t>
      </w:r>
      <w:r>
        <w:rPr/>
        <w:t>orale</w:t>
      </w:r>
      <w:r>
        <w:rPr>
          <w:spacing w:val="40"/>
        </w:rPr>
        <w:t> </w:t>
      </w:r>
      <w:r>
        <w:rPr/>
        <w:t>en</w:t>
      </w:r>
      <w:r>
        <w:rPr>
          <w:spacing w:val="40"/>
        </w:rPr>
        <w:t> </w:t>
      </w:r>
      <w:r>
        <w:rPr/>
        <w:t>anglais</w:t>
      </w:r>
      <w:r>
        <w:rPr>
          <w:spacing w:val="40"/>
        </w:rPr>
        <w:t> </w:t>
      </w:r>
      <w:r>
        <w:rPr/>
        <w:t>et/ou</w:t>
      </w:r>
      <w:r>
        <w:rPr>
          <w:spacing w:val="40"/>
        </w:rPr>
        <w:t> </w:t>
      </w:r>
      <w:r>
        <w:rPr/>
        <w:t>en</w:t>
      </w:r>
      <w:r>
        <w:rPr>
          <w:spacing w:val="40"/>
        </w:rPr>
        <w:t> </w:t>
      </w:r>
      <w:r>
        <w:rPr/>
        <w:t>français.</w:t>
      </w:r>
      <w:r>
        <w:rPr>
          <w:spacing w:val="80"/>
        </w:rPr>
        <w:t> </w:t>
      </w:r>
      <w:r>
        <w:rPr/>
        <w:t>L’espagnol serait un atout.</w:t>
      </w:r>
    </w:p>
    <w:p>
      <w:pPr>
        <w:pStyle w:val="BodyText"/>
        <w:spacing w:before="8"/>
        <w:rPr>
          <w:sz w:val="20"/>
        </w:rPr>
      </w:pPr>
    </w:p>
    <w:p>
      <w:pPr>
        <w:pStyle w:val="ListParagraph"/>
        <w:numPr>
          <w:ilvl w:val="0"/>
          <w:numId w:val="3"/>
        </w:numPr>
        <w:tabs>
          <w:tab w:pos="559" w:val="left" w:leader="none"/>
          <w:tab w:pos="560" w:val="left" w:leader="none"/>
        </w:tabs>
        <w:spacing w:line="240" w:lineRule="auto" w:before="0" w:after="0"/>
        <w:ind w:left="559" w:right="0" w:hanging="428"/>
        <w:jc w:val="left"/>
        <w:rPr>
          <w:rFonts w:ascii="Times New Roman" w:hAnsi="Times New Roman"/>
          <w:b/>
          <w:sz w:val="24"/>
        </w:rPr>
      </w:pPr>
      <w:r>
        <w:rPr>
          <w:rFonts w:ascii="Times New Roman" w:hAnsi="Times New Roman"/>
          <w:b/>
          <w:sz w:val="24"/>
          <w:u w:val="single"/>
        </w:rPr>
        <w:t>Soumission</w:t>
      </w:r>
      <w:r>
        <w:rPr>
          <w:rFonts w:ascii="Times New Roman" w:hAnsi="Times New Roman"/>
          <w:b/>
          <w:spacing w:val="-7"/>
          <w:sz w:val="24"/>
          <w:u w:val="single"/>
        </w:rPr>
        <w:t> </w:t>
      </w:r>
      <w:r>
        <w:rPr>
          <w:rFonts w:ascii="Times New Roman" w:hAnsi="Times New Roman"/>
          <w:b/>
          <w:sz w:val="24"/>
          <w:u w:val="single"/>
        </w:rPr>
        <w:t>des</w:t>
      </w:r>
      <w:r>
        <w:rPr>
          <w:rFonts w:ascii="Times New Roman" w:hAnsi="Times New Roman"/>
          <w:b/>
          <w:spacing w:val="-7"/>
          <w:sz w:val="24"/>
          <w:u w:val="single"/>
        </w:rPr>
        <w:t> </w:t>
      </w:r>
      <w:r>
        <w:rPr>
          <w:rFonts w:ascii="Times New Roman" w:hAnsi="Times New Roman"/>
          <w:b/>
          <w:sz w:val="24"/>
          <w:u w:val="single"/>
        </w:rPr>
        <w:t>candidatures</w:t>
      </w:r>
      <w:r>
        <w:rPr>
          <w:rFonts w:ascii="Times New Roman" w:hAnsi="Times New Roman"/>
          <w:b/>
          <w:spacing w:val="-7"/>
          <w:sz w:val="24"/>
          <w:u w:val="single"/>
        </w:rPr>
        <w:t> </w:t>
      </w:r>
      <w:r>
        <w:rPr>
          <w:rFonts w:ascii="Times New Roman" w:hAnsi="Times New Roman"/>
          <w:b/>
          <w:sz w:val="24"/>
          <w:u w:val="single"/>
        </w:rPr>
        <w:t>et</w:t>
      </w:r>
      <w:r>
        <w:rPr>
          <w:rFonts w:ascii="Times New Roman" w:hAnsi="Times New Roman"/>
          <w:b/>
          <w:spacing w:val="-7"/>
          <w:sz w:val="24"/>
          <w:u w:val="single"/>
        </w:rPr>
        <w:t> </w:t>
      </w:r>
      <w:r>
        <w:rPr>
          <w:rFonts w:ascii="Times New Roman" w:hAnsi="Times New Roman"/>
          <w:b/>
          <w:sz w:val="24"/>
          <w:u w:val="single"/>
        </w:rPr>
        <w:t>procédure</w:t>
      </w:r>
      <w:r>
        <w:rPr>
          <w:rFonts w:ascii="Times New Roman" w:hAnsi="Times New Roman"/>
          <w:b/>
          <w:spacing w:val="-8"/>
          <w:sz w:val="24"/>
          <w:u w:val="single"/>
        </w:rPr>
        <w:t> </w:t>
      </w:r>
      <w:r>
        <w:rPr>
          <w:rFonts w:ascii="Times New Roman" w:hAnsi="Times New Roman"/>
          <w:b/>
          <w:sz w:val="24"/>
          <w:u w:val="single"/>
        </w:rPr>
        <w:t>de</w:t>
      </w:r>
      <w:r>
        <w:rPr>
          <w:rFonts w:ascii="Times New Roman" w:hAnsi="Times New Roman"/>
          <w:b/>
          <w:spacing w:val="-8"/>
          <w:sz w:val="24"/>
          <w:u w:val="single"/>
        </w:rPr>
        <w:t> </w:t>
      </w:r>
      <w:r>
        <w:rPr>
          <w:rFonts w:ascii="Times New Roman" w:hAnsi="Times New Roman"/>
          <w:b/>
          <w:spacing w:val="-2"/>
          <w:sz w:val="24"/>
          <w:u w:val="single"/>
        </w:rPr>
        <w:t>sélection</w:t>
      </w:r>
    </w:p>
    <w:p>
      <w:pPr>
        <w:pStyle w:val="BodyText"/>
        <w:spacing w:before="7"/>
        <w:rPr>
          <w:rFonts w:ascii="Times New Roman"/>
          <w:b/>
          <w:sz w:val="15"/>
        </w:rPr>
      </w:pPr>
    </w:p>
    <w:p>
      <w:pPr>
        <w:spacing w:before="91"/>
        <w:ind w:left="559" w:right="277" w:firstLine="0"/>
        <w:jc w:val="both"/>
        <w:rPr>
          <w:rFonts w:ascii="Times New Roman" w:hAnsi="Times New Roman"/>
          <w:sz w:val="22"/>
        </w:rPr>
      </w:pPr>
      <w:r>
        <w:rPr>
          <w:rFonts w:ascii="Times New Roman" w:hAnsi="Times New Roman"/>
          <w:sz w:val="22"/>
        </w:rPr>
        <w:t>Les candidats doivent envoyer leur candidature sous format </w:t>
      </w:r>
      <w:r>
        <w:rPr>
          <w:rFonts w:ascii="Times New Roman" w:hAnsi="Times New Roman"/>
          <w:b/>
          <w:sz w:val="22"/>
        </w:rPr>
        <w:t>CV Europass </w:t>
      </w:r>
      <w:r>
        <w:rPr>
          <w:rFonts w:ascii="Times New Roman" w:hAnsi="Times New Roman"/>
          <w:sz w:val="22"/>
        </w:rPr>
        <w:t>(</w:t>
      </w:r>
      <w:hyperlink r:id="rId8">
        <w:r>
          <w:rPr>
            <w:rFonts w:ascii="Times New Roman" w:hAnsi="Times New Roman"/>
            <w:color w:val="0000FF"/>
            <w:sz w:val="22"/>
            <w:u w:val="single" w:color="0000FF"/>
          </w:rPr>
          <w:t>http://europass.cedefop.europa.eu/fr/documents/curriculum-vitae</w:t>
        </w:r>
      </w:hyperlink>
      <w:r>
        <w:rPr>
          <w:rFonts w:ascii="Times New Roman" w:hAnsi="Times New Roman"/>
          <w:sz w:val="22"/>
        </w:rPr>
        <w:t>) en français, anglais ou allemand </w:t>
      </w:r>
      <w:r>
        <w:rPr>
          <w:rFonts w:ascii="Times New Roman" w:hAnsi="Times New Roman"/>
          <w:b/>
          <w:sz w:val="22"/>
          <w:u w:val="single"/>
        </w:rPr>
        <w:t>uniquement à la représentation permanente / mission diplomatique de leur pays auprès de l'UE</w:t>
      </w:r>
      <w:r>
        <w:rPr>
          <w:rFonts w:ascii="Times New Roman" w:hAnsi="Times New Roman"/>
          <w:sz w:val="22"/>
        </w:rPr>
        <w:t>, qui la transmettra aux services compétents de la Commission, dans les délais fixés par ces derniers. Le CV doit obligatoirement mentionner la date de naissance et la nationalité du candidat. </w:t>
      </w:r>
      <w:r>
        <w:rPr>
          <w:rFonts w:ascii="Times New Roman" w:hAnsi="Times New Roman"/>
          <w:b/>
          <w:sz w:val="22"/>
        </w:rPr>
        <w:t>Le non-respect de cette procédure ou des délais invalidera automatiquement la candidature.</w:t>
      </w:r>
      <w:r>
        <w:rPr>
          <w:rFonts w:ascii="Times New Roman" w:hAnsi="Times New Roman"/>
          <w:b/>
          <w:spacing w:val="40"/>
          <w:sz w:val="22"/>
        </w:rPr>
        <w:t> </w:t>
      </w:r>
      <w:r>
        <w:rPr>
          <w:rFonts w:ascii="Times New Roman" w:hAnsi="Times New Roman"/>
          <w:sz w:val="22"/>
        </w:rPr>
        <w:t>Les candidats sont priés de ne pas joindre à leur candidature d'autres documents (tels que copie de carte d'identité, copie des diplômes et attestations</w:t>
      </w:r>
      <w:r>
        <w:rPr>
          <w:rFonts w:ascii="Times New Roman" w:hAnsi="Times New Roman"/>
          <w:spacing w:val="-2"/>
          <w:sz w:val="22"/>
        </w:rPr>
        <w:t> </w:t>
      </w:r>
      <w:r>
        <w:rPr>
          <w:rFonts w:ascii="Times New Roman" w:hAnsi="Times New Roman"/>
          <w:sz w:val="22"/>
        </w:rPr>
        <w:t>d'expérience</w:t>
      </w:r>
      <w:r>
        <w:rPr>
          <w:rFonts w:ascii="Times New Roman" w:hAnsi="Times New Roman"/>
          <w:spacing w:val="-2"/>
          <w:sz w:val="22"/>
        </w:rPr>
        <w:t> </w:t>
      </w:r>
      <w:r>
        <w:rPr>
          <w:rFonts w:ascii="Times New Roman" w:hAnsi="Times New Roman"/>
          <w:sz w:val="22"/>
        </w:rPr>
        <w:t>professionnelle,…).</w:t>
      </w:r>
      <w:r>
        <w:rPr>
          <w:rFonts w:ascii="Times New Roman" w:hAnsi="Times New Roman"/>
          <w:spacing w:val="-2"/>
          <w:sz w:val="22"/>
        </w:rPr>
        <w:t> </w:t>
      </w:r>
      <w:r>
        <w:rPr>
          <w:rFonts w:ascii="Times New Roman" w:hAnsi="Times New Roman"/>
          <w:sz w:val="22"/>
        </w:rPr>
        <w:t>Ces</w:t>
      </w:r>
      <w:r>
        <w:rPr>
          <w:rFonts w:ascii="Times New Roman" w:hAnsi="Times New Roman"/>
          <w:spacing w:val="-2"/>
          <w:sz w:val="22"/>
        </w:rPr>
        <w:t> </w:t>
      </w:r>
      <w:r>
        <w:rPr>
          <w:rFonts w:ascii="Times New Roman" w:hAnsi="Times New Roman"/>
          <w:sz w:val="22"/>
        </w:rPr>
        <w:t>documents</w:t>
      </w:r>
      <w:r>
        <w:rPr>
          <w:rFonts w:ascii="Times New Roman" w:hAnsi="Times New Roman"/>
          <w:spacing w:val="-2"/>
          <w:sz w:val="22"/>
        </w:rPr>
        <w:t> </w:t>
      </w:r>
      <w:r>
        <w:rPr>
          <w:rFonts w:ascii="Times New Roman" w:hAnsi="Times New Roman"/>
          <w:sz w:val="22"/>
        </w:rPr>
        <w:t>leur</w:t>
      </w:r>
      <w:r>
        <w:rPr>
          <w:rFonts w:ascii="Times New Roman" w:hAnsi="Times New Roman"/>
          <w:spacing w:val="-1"/>
          <w:sz w:val="22"/>
        </w:rPr>
        <w:t> </w:t>
      </w:r>
      <w:r>
        <w:rPr>
          <w:rFonts w:ascii="Times New Roman" w:hAnsi="Times New Roman"/>
          <w:sz w:val="22"/>
        </w:rPr>
        <w:t>seront</w:t>
      </w:r>
      <w:r>
        <w:rPr>
          <w:rFonts w:ascii="Times New Roman" w:hAnsi="Times New Roman"/>
          <w:spacing w:val="-1"/>
          <w:sz w:val="22"/>
        </w:rPr>
        <w:t> </w:t>
      </w:r>
      <w:r>
        <w:rPr>
          <w:rFonts w:ascii="Times New Roman" w:hAnsi="Times New Roman"/>
          <w:sz w:val="22"/>
        </w:rPr>
        <w:t>demandés,</w:t>
      </w:r>
      <w:r>
        <w:rPr>
          <w:rFonts w:ascii="Times New Roman" w:hAnsi="Times New Roman"/>
          <w:spacing w:val="-2"/>
          <w:sz w:val="22"/>
        </w:rPr>
        <w:t> </w:t>
      </w:r>
      <w:r>
        <w:rPr>
          <w:rFonts w:ascii="Times New Roman" w:hAnsi="Times New Roman"/>
          <w:sz w:val="22"/>
        </w:rPr>
        <w:t>le</w:t>
      </w:r>
      <w:r>
        <w:rPr>
          <w:rFonts w:ascii="Times New Roman" w:hAnsi="Times New Roman"/>
          <w:spacing w:val="-2"/>
          <w:sz w:val="22"/>
        </w:rPr>
        <w:t> </w:t>
      </w:r>
      <w:r>
        <w:rPr>
          <w:rFonts w:ascii="Times New Roman" w:hAnsi="Times New Roman"/>
          <w:sz w:val="22"/>
        </w:rPr>
        <w:t>cas</w:t>
      </w:r>
      <w:r>
        <w:rPr>
          <w:rFonts w:ascii="Times New Roman" w:hAnsi="Times New Roman"/>
          <w:spacing w:val="-2"/>
          <w:sz w:val="22"/>
        </w:rPr>
        <w:t> </w:t>
      </w:r>
      <w:r>
        <w:rPr>
          <w:rFonts w:ascii="Times New Roman" w:hAnsi="Times New Roman"/>
          <w:sz w:val="22"/>
        </w:rPr>
        <w:t>échéant,</w:t>
      </w:r>
      <w:r>
        <w:rPr>
          <w:rFonts w:ascii="Times New Roman" w:hAnsi="Times New Roman"/>
          <w:spacing w:val="-2"/>
          <w:sz w:val="22"/>
        </w:rPr>
        <w:t> </w:t>
      </w:r>
      <w:r>
        <w:rPr>
          <w:rFonts w:ascii="Times New Roman" w:hAnsi="Times New Roman"/>
          <w:sz w:val="22"/>
        </w:rPr>
        <w:t>à</w:t>
      </w:r>
      <w:r>
        <w:rPr>
          <w:rFonts w:ascii="Times New Roman" w:hAnsi="Times New Roman"/>
          <w:spacing w:val="-2"/>
          <w:sz w:val="22"/>
        </w:rPr>
        <w:t> </w:t>
      </w:r>
      <w:r>
        <w:rPr>
          <w:rFonts w:ascii="Times New Roman" w:hAnsi="Times New Roman"/>
          <w:sz w:val="22"/>
        </w:rPr>
        <w:t>un</w:t>
      </w:r>
      <w:r>
        <w:rPr>
          <w:rFonts w:ascii="Times New Roman" w:hAnsi="Times New Roman"/>
          <w:spacing w:val="-2"/>
          <w:sz w:val="22"/>
        </w:rPr>
        <w:t> </w:t>
      </w:r>
      <w:r>
        <w:rPr>
          <w:rFonts w:ascii="Times New Roman" w:hAnsi="Times New Roman"/>
          <w:sz w:val="22"/>
        </w:rPr>
        <w:t>stade ultérieur de la procédure de sélection.</w:t>
      </w:r>
    </w:p>
    <w:p>
      <w:pPr>
        <w:pStyle w:val="BodyText"/>
        <w:spacing w:before="2"/>
        <w:ind w:left="559"/>
        <w:jc w:val="both"/>
        <w:rPr>
          <w:rFonts w:ascii="Times New Roman" w:hAnsi="Times New Roman"/>
        </w:rPr>
      </w:pPr>
      <w:r>
        <w:rPr>
          <w:rFonts w:ascii="Times New Roman" w:hAnsi="Times New Roman"/>
        </w:rPr>
        <w:t>Les</w:t>
      </w:r>
      <w:r>
        <w:rPr>
          <w:rFonts w:ascii="Times New Roman" w:hAnsi="Times New Roman"/>
          <w:spacing w:val="-6"/>
        </w:rPr>
        <w:t> </w:t>
      </w:r>
      <w:r>
        <w:rPr>
          <w:rFonts w:ascii="Times New Roman" w:hAnsi="Times New Roman"/>
        </w:rPr>
        <w:t>candidats</w:t>
      </w:r>
      <w:r>
        <w:rPr>
          <w:rFonts w:ascii="Times New Roman" w:hAnsi="Times New Roman"/>
          <w:spacing w:val="-4"/>
        </w:rPr>
        <w:t> </w:t>
      </w:r>
      <w:r>
        <w:rPr>
          <w:rFonts w:ascii="Times New Roman" w:hAnsi="Times New Roman"/>
        </w:rPr>
        <w:t>seront</w:t>
      </w:r>
      <w:r>
        <w:rPr>
          <w:rFonts w:ascii="Times New Roman" w:hAnsi="Times New Roman"/>
          <w:spacing w:val="-3"/>
        </w:rPr>
        <w:t> </w:t>
      </w:r>
      <w:r>
        <w:rPr>
          <w:rFonts w:ascii="Times New Roman" w:hAnsi="Times New Roman"/>
        </w:rPr>
        <w:t>informés</w:t>
      </w:r>
      <w:r>
        <w:rPr>
          <w:rFonts w:ascii="Times New Roman" w:hAnsi="Times New Roman"/>
          <w:spacing w:val="-3"/>
        </w:rPr>
        <w:t> </w:t>
      </w:r>
      <w:r>
        <w:rPr>
          <w:rFonts w:ascii="Times New Roman" w:hAnsi="Times New Roman"/>
        </w:rPr>
        <w:t>du</w:t>
      </w:r>
      <w:r>
        <w:rPr>
          <w:rFonts w:ascii="Times New Roman" w:hAnsi="Times New Roman"/>
          <w:spacing w:val="-4"/>
        </w:rPr>
        <w:t> </w:t>
      </w:r>
      <w:r>
        <w:rPr>
          <w:rFonts w:ascii="Times New Roman" w:hAnsi="Times New Roman"/>
        </w:rPr>
        <w:t>suivi</w:t>
      </w:r>
      <w:r>
        <w:rPr>
          <w:rFonts w:ascii="Times New Roman" w:hAnsi="Times New Roman"/>
          <w:spacing w:val="-3"/>
        </w:rPr>
        <w:t> </w:t>
      </w:r>
      <w:r>
        <w:rPr>
          <w:rFonts w:ascii="Times New Roman" w:hAnsi="Times New Roman"/>
        </w:rPr>
        <w:t>de</w:t>
      </w:r>
      <w:r>
        <w:rPr>
          <w:rFonts w:ascii="Times New Roman" w:hAnsi="Times New Roman"/>
          <w:spacing w:val="-5"/>
        </w:rPr>
        <w:t> </w:t>
      </w:r>
      <w:r>
        <w:rPr>
          <w:rFonts w:ascii="Times New Roman" w:hAnsi="Times New Roman"/>
        </w:rPr>
        <w:t>leur</w:t>
      </w:r>
      <w:r>
        <w:rPr>
          <w:rFonts w:ascii="Times New Roman" w:hAnsi="Times New Roman"/>
          <w:spacing w:val="-4"/>
        </w:rPr>
        <w:t> </w:t>
      </w:r>
      <w:r>
        <w:rPr>
          <w:rFonts w:ascii="Times New Roman" w:hAnsi="Times New Roman"/>
        </w:rPr>
        <w:t>candidature</w:t>
      </w:r>
      <w:r>
        <w:rPr>
          <w:rFonts w:ascii="Times New Roman" w:hAnsi="Times New Roman"/>
          <w:spacing w:val="-3"/>
        </w:rPr>
        <w:t> </w:t>
      </w:r>
      <w:r>
        <w:rPr>
          <w:rFonts w:ascii="Times New Roman" w:hAnsi="Times New Roman"/>
        </w:rPr>
        <w:t>par</w:t>
      </w:r>
      <w:r>
        <w:rPr>
          <w:rFonts w:ascii="Times New Roman" w:hAnsi="Times New Roman"/>
          <w:spacing w:val="-6"/>
        </w:rPr>
        <w:t> </w:t>
      </w:r>
      <w:r>
        <w:rPr>
          <w:rFonts w:ascii="Times New Roman" w:hAnsi="Times New Roman"/>
        </w:rPr>
        <w:t>l'unité</w:t>
      </w:r>
      <w:r>
        <w:rPr>
          <w:rFonts w:ascii="Times New Roman" w:hAnsi="Times New Roman"/>
          <w:spacing w:val="-3"/>
        </w:rPr>
        <w:t> </w:t>
      </w:r>
      <w:r>
        <w:rPr>
          <w:rFonts w:ascii="Times New Roman" w:hAnsi="Times New Roman"/>
          <w:spacing w:val="-2"/>
        </w:rPr>
        <w:t>concernée.</w:t>
      </w:r>
    </w:p>
    <w:p>
      <w:pPr>
        <w:pStyle w:val="ListParagraph"/>
        <w:numPr>
          <w:ilvl w:val="0"/>
          <w:numId w:val="3"/>
        </w:numPr>
        <w:tabs>
          <w:tab w:pos="560" w:val="left" w:leader="none"/>
        </w:tabs>
        <w:spacing w:line="240" w:lineRule="auto" w:before="4" w:after="0"/>
        <w:ind w:left="559" w:right="0" w:hanging="428"/>
        <w:jc w:val="both"/>
        <w:rPr>
          <w:rFonts w:ascii="Times New Roman" w:hAnsi="Times New Roman"/>
          <w:b/>
          <w:sz w:val="24"/>
        </w:rPr>
      </w:pPr>
      <w:r>
        <w:rPr>
          <w:rFonts w:ascii="Times New Roman" w:hAnsi="Times New Roman"/>
          <w:b/>
          <w:sz w:val="24"/>
          <w:u w:val="single"/>
        </w:rPr>
        <w:t>Conditions</w:t>
      </w:r>
      <w:r>
        <w:rPr>
          <w:rFonts w:ascii="Times New Roman" w:hAnsi="Times New Roman"/>
          <w:b/>
          <w:spacing w:val="-8"/>
          <w:sz w:val="24"/>
          <w:u w:val="single"/>
        </w:rPr>
        <w:t> </w:t>
      </w:r>
      <w:r>
        <w:rPr>
          <w:rFonts w:ascii="Times New Roman" w:hAnsi="Times New Roman"/>
          <w:b/>
          <w:sz w:val="24"/>
          <w:u w:val="single"/>
        </w:rPr>
        <w:t>du</w:t>
      </w:r>
      <w:r>
        <w:rPr>
          <w:rFonts w:ascii="Times New Roman" w:hAnsi="Times New Roman"/>
          <w:b/>
          <w:spacing w:val="-7"/>
          <w:sz w:val="24"/>
          <w:u w:val="single"/>
        </w:rPr>
        <w:t> </w:t>
      </w:r>
      <w:r>
        <w:rPr>
          <w:rFonts w:ascii="Times New Roman" w:hAnsi="Times New Roman"/>
          <w:b/>
          <w:spacing w:val="-2"/>
          <w:sz w:val="24"/>
          <w:u w:val="single"/>
        </w:rPr>
        <w:t>détachement</w:t>
      </w:r>
    </w:p>
    <w:p>
      <w:pPr>
        <w:pStyle w:val="BodyText"/>
        <w:spacing w:before="7"/>
        <w:rPr>
          <w:rFonts w:ascii="Times New Roman"/>
          <w:b/>
          <w:sz w:val="15"/>
        </w:rPr>
      </w:pPr>
    </w:p>
    <w:p>
      <w:pPr>
        <w:spacing w:before="91"/>
        <w:ind w:left="559" w:right="279" w:firstLine="0"/>
        <w:jc w:val="both"/>
        <w:rPr>
          <w:rFonts w:ascii="Times New Roman" w:hAnsi="Times New Roman"/>
          <w:sz w:val="22"/>
        </w:rPr>
      </w:pPr>
      <w:r>
        <w:rPr>
          <w:rFonts w:ascii="Times New Roman" w:hAnsi="Times New Roman"/>
          <w:sz w:val="22"/>
        </w:rPr>
        <w:t>Les détachements sont régis par la </w:t>
      </w:r>
      <w:r>
        <w:rPr>
          <w:rFonts w:ascii="Times New Roman" w:hAnsi="Times New Roman"/>
          <w:b/>
          <w:sz w:val="22"/>
        </w:rPr>
        <w:t>décision de la Commission C(2008)6866 du 12/11/2008 </w:t>
      </w:r>
      <w:r>
        <w:rPr>
          <w:rFonts w:ascii="Times New Roman" w:hAnsi="Times New Roman"/>
          <w:sz w:val="22"/>
        </w:rPr>
        <w:t>relative au régime applicable aux experts nationaux détachés et aux experts nationaux en formation professionnelle auprès des services de la Commission (décision END).</w:t>
      </w:r>
    </w:p>
    <w:p>
      <w:pPr>
        <w:pStyle w:val="BodyText"/>
        <w:spacing w:before="1"/>
        <w:rPr>
          <w:rFonts w:ascii="Times New Roman"/>
        </w:rPr>
      </w:pPr>
    </w:p>
    <w:p>
      <w:pPr>
        <w:pStyle w:val="BodyText"/>
        <w:spacing w:before="1"/>
        <w:ind w:left="559"/>
        <w:rPr>
          <w:rFonts w:ascii="Times New Roman" w:hAnsi="Times New Roman"/>
        </w:rPr>
      </w:pPr>
      <w:r>
        <w:rPr>
          <w:rFonts w:ascii="Times New Roman" w:hAnsi="Times New Roman"/>
        </w:rPr>
        <w:t>L'END</w:t>
      </w:r>
      <w:r>
        <w:rPr>
          <w:rFonts w:ascii="Times New Roman" w:hAnsi="Times New Roman"/>
          <w:spacing w:val="32"/>
        </w:rPr>
        <w:t> </w:t>
      </w:r>
      <w:r>
        <w:rPr>
          <w:rFonts w:ascii="Times New Roman" w:hAnsi="Times New Roman"/>
        </w:rPr>
        <w:t>restera</w:t>
      </w:r>
      <w:r>
        <w:rPr>
          <w:rFonts w:ascii="Times New Roman" w:hAnsi="Times New Roman"/>
          <w:spacing w:val="32"/>
        </w:rPr>
        <w:t> </w:t>
      </w:r>
      <w:r>
        <w:rPr>
          <w:rFonts w:ascii="Times New Roman" w:hAnsi="Times New Roman"/>
        </w:rPr>
        <w:t>employé</w:t>
      </w:r>
      <w:r>
        <w:rPr>
          <w:rFonts w:ascii="Times New Roman" w:hAnsi="Times New Roman"/>
          <w:spacing w:val="34"/>
        </w:rPr>
        <w:t> </w:t>
      </w:r>
      <w:r>
        <w:rPr>
          <w:rFonts w:ascii="Times New Roman" w:hAnsi="Times New Roman"/>
        </w:rPr>
        <w:t>et</w:t>
      </w:r>
      <w:r>
        <w:rPr>
          <w:rFonts w:ascii="Times New Roman" w:hAnsi="Times New Roman"/>
          <w:spacing w:val="32"/>
        </w:rPr>
        <w:t> </w:t>
      </w:r>
      <w:r>
        <w:rPr>
          <w:rFonts w:ascii="Times New Roman" w:hAnsi="Times New Roman"/>
        </w:rPr>
        <w:t>rémunéré</w:t>
      </w:r>
      <w:r>
        <w:rPr>
          <w:rFonts w:ascii="Times New Roman" w:hAnsi="Times New Roman"/>
          <w:spacing w:val="34"/>
        </w:rPr>
        <w:t> </w:t>
      </w:r>
      <w:r>
        <w:rPr>
          <w:rFonts w:ascii="Times New Roman" w:hAnsi="Times New Roman"/>
        </w:rPr>
        <w:t>par</w:t>
      </w:r>
      <w:r>
        <w:rPr>
          <w:rFonts w:ascii="Times New Roman" w:hAnsi="Times New Roman"/>
          <w:spacing w:val="32"/>
        </w:rPr>
        <w:t> </w:t>
      </w:r>
      <w:r>
        <w:rPr>
          <w:rFonts w:ascii="Times New Roman" w:hAnsi="Times New Roman"/>
        </w:rPr>
        <w:t>son</w:t>
      </w:r>
      <w:r>
        <w:rPr>
          <w:rFonts w:ascii="Times New Roman" w:hAnsi="Times New Roman"/>
          <w:spacing w:val="31"/>
        </w:rPr>
        <w:t> </w:t>
      </w:r>
      <w:r>
        <w:rPr>
          <w:rFonts w:ascii="Times New Roman" w:hAnsi="Times New Roman"/>
        </w:rPr>
        <w:t>employeur</w:t>
      </w:r>
      <w:r>
        <w:rPr>
          <w:rFonts w:ascii="Times New Roman" w:hAnsi="Times New Roman"/>
          <w:spacing w:val="35"/>
        </w:rPr>
        <w:t> </w:t>
      </w:r>
      <w:r>
        <w:rPr>
          <w:rFonts w:ascii="Times New Roman" w:hAnsi="Times New Roman"/>
        </w:rPr>
        <w:t>durant</w:t>
      </w:r>
      <w:r>
        <w:rPr>
          <w:rFonts w:ascii="Times New Roman" w:hAnsi="Times New Roman"/>
          <w:spacing w:val="32"/>
        </w:rPr>
        <w:t> </w:t>
      </w:r>
      <w:r>
        <w:rPr>
          <w:rFonts w:ascii="Times New Roman" w:hAnsi="Times New Roman"/>
        </w:rPr>
        <w:t>toute</w:t>
      </w:r>
      <w:r>
        <w:rPr>
          <w:rFonts w:ascii="Times New Roman" w:hAnsi="Times New Roman"/>
          <w:spacing w:val="32"/>
        </w:rPr>
        <w:t> </w:t>
      </w:r>
      <w:r>
        <w:rPr>
          <w:rFonts w:ascii="Times New Roman" w:hAnsi="Times New Roman"/>
        </w:rPr>
        <w:t>la</w:t>
      </w:r>
      <w:r>
        <w:rPr>
          <w:rFonts w:ascii="Times New Roman" w:hAnsi="Times New Roman"/>
          <w:spacing w:val="34"/>
        </w:rPr>
        <w:t> </w:t>
      </w:r>
      <w:r>
        <w:rPr>
          <w:rFonts w:ascii="Times New Roman" w:hAnsi="Times New Roman"/>
        </w:rPr>
        <w:t>durée</w:t>
      </w:r>
      <w:r>
        <w:rPr>
          <w:rFonts w:ascii="Times New Roman" w:hAnsi="Times New Roman"/>
          <w:spacing w:val="32"/>
        </w:rPr>
        <w:t> </w:t>
      </w:r>
      <w:r>
        <w:rPr>
          <w:rFonts w:ascii="Times New Roman" w:hAnsi="Times New Roman"/>
        </w:rPr>
        <w:t>du</w:t>
      </w:r>
      <w:r>
        <w:rPr>
          <w:rFonts w:ascii="Times New Roman" w:hAnsi="Times New Roman"/>
          <w:spacing w:val="33"/>
        </w:rPr>
        <w:t> </w:t>
      </w:r>
      <w:r>
        <w:rPr>
          <w:rFonts w:ascii="Times New Roman" w:hAnsi="Times New Roman"/>
        </w:rPr>
        <w:t>détachement.</w:t>
      </w:r>
      <w:r>
        <w:rPr>
          <w:rFonts w:ascii="Times New Roman" w:hAnsi="Times New Roman"/>
          <w:spacing w:val="33"/>
        </w:rPr>
        <w:t> </w:t>
      </w:r>
      <w:r>
        <w:rPr>
          <w:rFonts w:ascii="Times New Roman" w:hAnsi="Times New Roman"/>
        </w:rPr>
        <w:t>Il</w:t>
      </w:r>
      <w:r>
        <w:rPr>
          <w:rFonts w:ascii="Times New Roman" w:hAnsi="Times New Roman"/>
          <w:spacing w:val="34"/>
        </w:rPr>
        <w:t> </w:t>
      </w:r>
      <w:r>
        <w:rPr>
          <w:rFonts w:ascii="Times New Roman" w:hAnsi="Times New Roman"/>
        </w:rPr>
        <w:t>restera également couvert par la sécurité sociale nationale durant son détachement.</w:t>
      </w:r>
    </w:p>
    <w:p>
      <w:pPr>
        <w:pStyle w:val="BodyText"/>
        <w:ind w:left="559"/>
        <w:rPr>
          <w:rFonts w:ascii="Times New Roman" w:hAnsi="Times New Roman"/>
        </w:rPr>
      </w:pPr>
      <w:r>
        <w:rPr>
          <w:rFonts w:ascii="Times New Roman" w:hAnsi="Times New Roman"/>
        </w:rPr>
        <w:t>Sauf</w:t>
      </w:r>
      <w:r>
        <w:rPr>
          <w:rFonts w:ascii="Times New Roman" w:hAnsi="Times New Roman"/>
          <w:spacing w:val="40"/>
        </w:rPr>
        <w:t> </w:t>
      </w:r>
      <w:r>
        <w:rPr>
          <w:rFonts w:ascii="Times New Roman" w:hAnsi="Times New Roman"/>
        </w:rPr>
        <w:t>pour</w:t>
      </w:r>
      <w:r>
        <w:rPr>
          <w:rFonts w:ascii="Times New Roman" w:hAnsi="Times New Roman"/>
          <w:spacing w:val="40"/>
        </w:rPr>
        <w:t> </w:t>
      </w:r>
      <w:r>
        <w:rPr>
          <w:rFonts w:ascii="Times New Roman" w:hAnsi="Times New Roman"/>
        </w:rPr>
        <w:t>les</w:t>
      </w:r>
      <w:r>
        <w:rPr>
          <w:rFonts w:ascii="Times New Roman" w:hAnsi="Times New Roman"/>
          <w:spacing w:val="40"/>
        </w:rPr>
        <w:t> </w:t>
      </w:r>
      <w:r>
        <w:rPr>
          <w:rFonts w:ascii="Times New Roman" w:hAnsi="Times New Roman"/>
        </w:rPr>
        <w:t>END</w:t>
      </w:r>
      <w:r>
        <w:rPr>
          <w:rFonts w:ascii="Times New Roman" w:hAnsi="Times New Roman"/>
          <w:spacing w:val="40"/>
        </w:rPr>
        <w:t> </w:t>
      </w:r>
      <w:r>
        <w:rPr>
          <w:rFonts w:ascii="Times New Roman" w:hAnsi="Times New Roman"/>
        </w:rPr>
        <w:t>sans</w:t>
      </w:r>
      <w:r>
        <w:rPr>
          <w:rFonts w:ascii="Times New Roman" w:hAnsi="Times New Roman"/>
          <w:spacing w:val="40"/>
        </w:rPr>
        <w:t> </w:t>
      </w:r>
      <w:r>
        <w:rPr>
          <w:rFonts w:ascii="Times New Roman" w:hAnsi="Times New Roman"/>
        </w:rPr>
        <w:t>frais,</w:t>
      </w:r>
      <w:r>
        <w:rPr>
          <w:rFonts w:ascii="Times New Roman" w:hAnsi="Times New Roman"/>
          <w:spacing w:val="40"/>
        </w:rPr>
        <w:t> </w:t>
      </w:r>
      <w:r>
        <w:rPr>
          <w:rFonts w:ascii="Times New Roman" w:hAnsi="Times New Roman"/>
        </w:rPr>
        <w:t>des</w:t>
      </w:r>
      <w:r>
        <w:rPr>
          <w:rFonts w:ascii="Times New Roman" w:hAnsi="Times New Roman"/>
          <w:spacing w:val="40"/>
        </w:rPr>
        <w:t> </w:t>
      </w:r>
      <w:r>
        <w:rPr>
          <w:rFonts w:ascii="Times New Roman" w:hAnsi="Times New Roman"/>
        </w:rPr>
        <w:t>indemnités</w:t>
      </w:r>
      <w:r>
        <w:rPr>
          <w:rFonts w:ascii="Times New Roman" w:hAnsi="Times New Roman"/>
          <w:spacing w:val="40"/>
        </w:rPr>
        <w:t> </w:t>
      </w:r>
      <w:r>
        <w:rPr>
          <w:rFonts w:ascii="Times New Roman" w:hAnsi="Times New Roman"/>
        </w:rPr>
        <w:t>de</w:t>
      </w:r>
      <w:r>
        <w:rPr>
          <w:rFonts w:ascii="Times New Roman" w:hAnsi="Times New Roman"/>
          <w:spacing w:val="40"/>
        </w:rPr>
        <w:t> </w:t>
      </w:r>
      <w:r>
        <w:rPr>
          <w:rFonts w:ascii="Times New Roman" w:hAnsi="Times New Roman"/>
        </w:rPr>
        <w:t>séjour</w:t>
      </w:r>
      <w:r>
        <w:rPr>
          <w:rFonts w:ascii="Times New Roman" w:hAnsi="Times New Roman"/>
          <w:spacing w:val="40"/>
        </w:rPr>
        <w:t> </w:t>
      </w:r>
      <w:r>
        <w:rPr>
          <w:rFonts w:ascii="Times New Roman" w:hAnsi="Times New Roman"/>
        </w:rPr>
        <w:t>peuvent</w:t>
      </w:r>
      <w:r>
        <w:rPr>
          <w:rFonts w:ascii="Times New Roman" w:hAnsi="Times New Roman"/>
          <w:spacing w:val="40"/>
        </w:rPr>
        <w:t> </w:t>
      </w:r>
      <w:r>
        <w:rPr>
          <w:rFonts w:ascii="Times New Roman" w:hAnsi="Times New Roman"/>
        </w:rPr>
        <w:t>être</w:t>
      </w:r>
      <w:r>
        <w:rPr>
          <w:rFonts w:ascii="Times New Roman" w:hAnsi="Times New Roman"/>
          <w:spacing w:val="40"/>
        </w:rPr>
        <w:t> </w:t>
      </w:r>
      <w:r>
        <w:rPr>
          <w:rFonts w:ascii="Times New Roman" w:hAnsi="Times New Roman"/>
        </w:rPr>
        <w:t>versées</w:t>
      </w:r>
      <w:r>
        <w:rPr>
          <w:rFonts w:ascii="Times New Roman" w:hAnsi="Times New Roman"/>
          <w:spacing w:val="40"/>
        </w:rPr>
        <w:t> </w:t>
      </w:r>
      <w:r>
        <w:rPr>
          <w:rFonts w:ascii="Times New Roman" w:hAnsi="Times New Roman"/>
        </w:rPr>
        <w:t>à</w:t>
      </w:r>
      <w:r>
        <w:rPr>
          <w:rFonts w:ascii="Times New Roman" w:hAnsi="Times New Roman"/>
          <w:spacing w:val="40"/>
        </w:rPr>
        <w:t> </w:t>
      </w:r>
      <w:r>
        <w:rPr>
          <w:rFonts w:ascii="Times New Roman" w:hAnsi="Times New Roman"/>
        </w:rPr>
        <w:t>l'END</w:t>
      </w:r>
      <w:r>
        <w:rPr>
          <w:rFonts w:ascii="Times New Roman" w:hAnsi="Times New Roman"/>
          <w:spacing w:val="40"/>
        </w:rPr>
        <w:t> </w:t>
      </w:r>
      <w:r>
        <w:rPr>
          <w:rFonts w:ascii="Times New Roman" w:hAnsi="Times New Roman"/>
        </w:rPr>
        <w:t>qui</w:t>
      </w:r>
      <w:r>
        <w:rPr>
          <w:rFonts w:ascii="Times New Roman" w:hAnsi="Times New Roman"/>
          <w:spacing w:val="40"/>
        </w:rPr>
        <w:t> </w:t>
      </w:r>
      <w:r>
        <w:rPr>
          <w:rFonts w:ascii="Times New Roman" w:hAnsi="Times New Roman"/>
        </w:rPr>
        <w:t>remplit</w:t>
      </w:r>
      <w:r>
        <w:rPr>
          <w:rFonts w:ascii="Times New Roman" w:hAnsi="Times New Roman"/>
          <w:spacing w:val="40"/>
        </w:rPr>
        <w:t> </w:t>
      </w:r>
      <w:r>
        <w:rPr>
          <w:rFonts w:ascii="Times New Roman" w:hAnsi="Times New Roman"/>
        </w:rPr>
        <w:t>les conditions, conformément à l'article 17 de la décision END.</w:t>
      </w:r>
    </w:p>
    <w:p>
      <w:pPr>
        <w:pStyle w:val="BodyText"/>
        <w:ind w:left="559"/>
        <w:rPr>
          <w:rFonts w:ascii="Times New Roman" w:hAnsi="Times New Roman"/>
        </w:rPr>
      </w:pPr>
      <w:r>
        <w:rPr>
          <w:rFonts w:ascii="Times New Roman" w:hAnsi="Times New Roman"/>
        </w:rPr>
        <w:t>Durant</w:t>
      </w:r>
      <w:r>
        <w:rPr>
          <w:rFonts w:ascii="Times New Roman" w:hAnsi="Times New Roman"/>
          <w:spacing w:val="29"/>
        </w:rPr>
        <w:t> </w:t>
      </w:r>
      <w:r>
        <w:rPr>
          <w:rFonts w:ascii="Times New Roman" w:hAnsi="Times New Roman"/>
        </w:rPr>
        <w:t>le</w:t>
      </w:r>
      <w:r>
        <w:rPr>
          <w:rFonts w:ascii="Times New Roman" w:hAnsi="Times New Roman"/>
          <w:spacing w:val="28"/>
        </w:rPr>
        <w:t> </w:t>
      </w:r>
      <w:r>
        <w:rPr>
          <w:rFonts w:ascii="Times New Roman" w:hAnsi="Times New Roman"/>
        </w:rPr>
        <w:t>détachement,</w:t>
      </w:r>
      <w:r>
        <w:rPr>
          <w:rFonts w:ascii="Times New Roman" w:hAnsi="Times New Roman"/>
          <w:spacing w:val="30"/>
        </w:rPr>
        <w:t> </w:t>
      </w:r>
      <w:r>
        <w:rPr>
          <w:rFonts w:ascii="Times New Roman" w:hAnsi="Times New Roman"/>
        </w:rPr>
        <w:t>l'END</w:t>
      </w:r>
      <w:r>
        <w:rPr>
          <w:rFonts w:ascii="Times New Roman" w:hAnsi="Times New Roman"/>
          <w:spacing w:val="29"/>
        </w:rPr>
        <w:t> </w:t>
      </w:r>
      <w:r>
        <w:rPr>
          <w:rFonts w:ascii="Times New Roman" w:hAnsi="Times New Roman"/>
        </w:rPr>
        <w:t>sera</w:t>
      </w:r>
      <w:r>
        <w:rPr>
          <w:rFonts w:ascii="Times New Roman" w:hAnsi="Times New Roman"/>
          <w:spacing w:val="28"/>
        </w:rPr>
        <w:t> </w:t>
      </w:r>
      <w:r>
        <w:rPr>
          <w:rFonts w:ascii="Times New Roman" w:hAnsi="Times New Roman"/>
        </w:rPr>
        <w:t>soumis</w:t>
      </w:r>
      <w:r>
        <w:rPr>
          <w:rFonts w:ascii="Times New Roman" w:hAnsi="Times New Roman"/>
          <w:spacing w:val="30"/>
        </w:rPr>
        <w:t> </w:t>
      </w:r>
      <w:r>
        <w:rPr>
          <w:rFonts w:ascii="Times New Roman" w:hAnsi="Times New Roman"/>
        </w:rPr>
        <w:t>aux</w:t>
      </w:r>
      <w:r>
        <w:rPr>
          <w:rFonts w:ascii="Times New Roman" w:hAnsi="Times New Roman"/>
          <w:spacing w:val="31"/>
        </w:rPr>
        <w:t> </w:t>
      </w:r>
      <w:r>
        <w:rPr>
          <w:rFonts w:ascii="Times New Roman" w:hAnsi="Times New Roman"/>
        </w:rPr>
        <w:t>obligations</w:t>
      </w:r>
      <w:r>
        <w:rPr>
          <w:rFonts w:ascii="Times New Roman" w:hAnsi="Times New Roman"/>
          <w:spacing w:val="30"/>
        </w:rPr>
        <w:t> </w:t>
      </w:r>
      <w:r>
        <w:rPr>
          <w:rFonts w:ascii="Times New Roman" w:hAnsi="Times New Roman"/>
        </w:rPr>
        <w:t>de</w:t>
      </w:r>
      <w:r>
        <w:rPr>
          <w:rFonts w:ascii="Times New Roman" w:hAnsi="Times New Roman"/>
          <w:spacing w:val="31"/>
        </w:rPr>
        <w:t> </w:t>
      </w:r>
      <w:r>
        <w:rPr>
          <w:rFonts w:ascii="Times New Roman" w:hAnsi="Times New Roman"/>
        </w:rPr>
        <w:t>confidentialité,</w:t>
      </w:r>
      <w:r>
        <w:rPr>
          <w:rFonts w:ascii="Times New Roman" w:hAnsi="Times New Roman"/>
          <w:spacing w:val="28"/>
        </w:rPr>
        <w:t> </w:t>
      </w:r>
      <w:r>
        <w:rPr>
          <w:rFonts w:ascii="Times New Roman" w:hAnsi="Times New Roman"/>
        </w:rPr>
        <w:t>de</w:t>
      </w:r>
      <w:r>
        <w:rPr>
          <w:rFonts w:ascii="Times New Roman" w:hAnsi="Times New Roman"/>
          <w:spacing w:val="31"/>
        </w:rPr>
        <w:t> </w:t>
      </w:r>
      <w:r>
        <w:rPr>
          <w:rFonts w:ascii="Times New Roman" w:hAnsi="Times New Roman"/>
        </w:rPr>
        <w:t>loyauté</w:t>
      </w:r>
      <w:r>
        <w:rPr>
          <w:rFonts w:ascii="Times New Roman" w:hAnsi="Times New Roman"/>
          <w:spacing w:val="31"/>
        </w:rPr>
        <w:t> </w:t>
      </w:r>
      <w:r>
        <w:rPr>
          <w:rFonts w:ascii="Times New Roman" w:hAnsi="Times New Roman"/>
        </w:rPr>
        <w:t>et</w:t>
      </w:r>
      <w:r>
        <w:rPr>
          <w:rFonts w:ascii="Times New Roman" w:hAnsi="Times New Roman"/>
          <w:spacing w:val="31"/>
        </w:rPr>
        <w:t> </w:t>
      </w:r>
      <w:r>
        <w:rPr>
          <w:rFonts w:ascii="Times New Roman" w:hAnsi="Times New Roman"/>
        </w:rPr>
        <w:t>d'absence</w:t>
      </w:r>
      <w:r>
        <w:rPr>
          <w:rFonts w:ascii="Times New Roman" w:hAnsi="Times New Roman"/>
          <w:spacing w:val="31"/>
        </w:rPr>
        <w:t> </w:t>
      </w:r>
      <w:r>
        <w:rPr>
          <w:rFonts w:ascii="Times New Roman" w:hAnsi="Times New Roman"/>
        </w:rPr>
        <w:t>de conflit d'intérêt prévues par les articles 6 et 7 de la décision END.</w:t>
      </w:r>
    </w:p>
    <w:p>
      <w:pPr>
        <w:pStyle w:val="BodyText"/>
        <w:spacing w:line="251" w:lineRule="exact"/>
        <w:ind w:left="559"/>
        <w:rPr>
          <w:rFonts w:ascii="Times New Roman" w:hAnsi="Times New Roman"/>
        </w:rPr>
      </w:pPr>
      <w:r>
        <w:rPr>
          <w:rFonts w:ascii="Times New Roman" w:hAnsi="Times New Roman"/>
        </w:rPr>
        <w:t>Toute</w:t>
      </w:r>
      <w:r>
        <w:rPr>
          <w:rFonts w:ascii="Times New Roman" w:hAnsi="Times New Roman"/>
          <w:spacing w:val="-6"/>
        </w:rPr>
        <w:t> </w:t>
      </w:r>
      <w:r>
        <w:rPr>
          <w:rFonts w:ascii="Times New Roman" w:hAnsi="Times New Roman"/>
        </w:rPr>
        <w:t>déclaration</w:t>
      </w:r>
      <w:r>
        <w:rPr>
          <w:rFonts w:ascii="Times New Roman" w:hAnsi="Times New Roman"/>
          <w:spacing w:val="-6"/>
        </w:rPr>
        <w:t> </w:t>
      </w:r>
      <w:r>
        <w:rPr>
          <w:rFonts w:ascii="Times New Roman" w:hAnsi="Times New Roman"/>
        </w:rPr>
        <w:t>incomplète</w:t>
      </w:r>
      <w:r>
        <w:rPr>
          <w:rFonts w:ascii="Times New Roman" w:hAnsi="Times New Roman"/>
          <w:spacing w:val="-3"/>
        </w:rPr>
        <w:t> </w:t>
      </w:r>
      <w:r>
        <w:rPr>
          <w:rFonts w:ascii="Times New Roman" w:hAnsi="Times New Roman"/>
        </w:rPr>
        <w:t>ou</w:t>
      </w:r>
      <w:r>
        <w:rPr>
          <w:rFonts w:ascii="Times New Roman" w:hAnsi="Times New Roman"/>
          <w:spacing w:val="-5"/>
        </w:rPr>
        <w:t> </w:t>
      </w:r>
      <w:r>
        <w:rPr>
          <w:rFonts w:ascii="Times New Roman" w:hAnsi="Times New Roman"/>
        </w:rPr>
        <w:t>fausse</w:t>
      </w:r>
      <w:r>
        <w:rPr>
          <w:rFonts w:ascii="Times New Roman" w:hAnsi="Times New Roman"/>
          <w:spacing w:val="-4"/>
        </w:rPr>
        <w:t> </w:t>
      </w:r>
      <w:r>
        <w:rPr>
          <w:rFonts w:ascii="Times New Roman" w:hAnsi="Times New Roman"/>
        </w:rPr>
        <w:t>pourra</w:t>
      </w:r>
      <w:r>
        <w:rPr>
          <w:rFonts w:ascii="Times New Roman" w:hAnsi="Times New Roman"/>
          <w:spacing w:val="-3"/>
        </w:rPr>
        <w:t> </w:t>
      </w:r>
      <w:r>
        <w:rPr>
          <w:rFonts w:ascii="Times New Roman" w:hAnsi="Times New Roman"/>
        </w:rPr>
        <w:t>entraîner</w:t>
      </w:r>
      <w:r>
        <w:rPr>
          <w:rFonts w:ascii="Times New Roman" w:hAnsi="Times New Roman"/>
          <w:spacing w:val="-3"/>
        </w:rPr>
        <w:t> </w:t>
      </w:r>
      <w:r>
        <w:rPr>
          <w:rFonts w:ascii="Times New Roman" w:hAnsi="Times New Roman"/>
        </w:rPr>
        <w:t>le</w:t>
      </w:r>
      <w:r>
        <w:rPr>
          <w:rFonts w:ascii="Times New Roman" w:hAnsi="Times New Roman"/>
          <w:spacing w:val="-6"/>
        </w:rPr>
        <w:t> </w:t>
      </w:r>
      <w:r>
        <w:rPr>
          <w:rFonts w:ascii="Times New Roman" w:hAnsi="Times New Roman"/>
        </w:rPr>
        <w:t>refus</w:t>
      </w:r>
      <w:r>
        <w:rPr>
          <w:rFonts w:ascii="Times New Roman" w:hAnsi="Times New Roman"/>
          <w:spacing w:val="-3"/>
        </w:rPr>
        <w:t> </w:t>
      </w:r>
      <w:r>
        <w:rPr>
          <w:rFonts w:ascii="Times New Roman" w:hAnsi="Times New Roman"/>
        </w:rPr>
        <w:t>de</w:t>
      </w:r>
      <w:r>
        <w:rPr>
          <w:rFonts w:ascii="Times New Roman" w:hAnsi="Times New Roman"/>
          <w:spacing w:val="-3"/>
        </w:rPr>
        <w:t> </w:t>
      </w:r>
      <w:r>
        <w:rPr>
          <w:rFonts w:ascii="Times New Roman" w:hAnsi="Times New Roman"/>
        </w:rPr>
        <w:t>la</w:t>
      </w:r>
      <w:r>
        <w:rPr>
          <w:rFonts w:ascii="Times New Roman" w:hAnsi="Times New Roman"/>
          <w:spacing w:val="-3"/>
        </w:rPr>
        <w:t> </w:t>
      </w:r>
      <w:r>
        <w:rPr>
          <w:rFonts w:ascii="Times New Roman" w:hAnsi="Times New Roman"/>
          <w:spacing w:val="-2"/>
        </w:rPr>
        <w:t>candidature.</w:t>
      </w:r>
    </w:p>
    <w:p>
      <w:pPr>
        <w:pStyle w:val="BodyText"/>
        <w:rPr>
          <w:rFonts w:ascii="Times New Roman"/>
          <w:sz w:val="21"/>
        </w:rPr>
      </w:pPr>
    </w:p>
    <w:p>
      <w:pPr>
        <w:pStyle w:val="BodyText"/>
        <w:ind w:left="559" w:right="106"/>
        <w:jc w:val="both"/>
        <w:rPr>
          <w:rFonts w:ascii="Times New Roman" w:hAnsi="Times New Roman"/>
        </w:rPr>
      </w:pPr>
      <w:r>
        <w:rPr>
          <w:rFonts w:ascii="Times New Roman" w:hAnsi="Times New Roman"/>
        </w:rPr>
        <w:t>Toute personne postée dans une </w:t>
      </w:r>
      <w:r>
        <w:rPr>
          <w:rFonts w:ascii="Times New Roman" w:hAnsi="Times New Roman"/>
          <w:b/>
        </w:rPr>
        <w:t>délégation de l’Union européenne </w:t>
      </w:r>
      <w:r>
        <w:rPr>
          <w:rFonts w:ascii="Times New Roman" w:hAnsi="Times New Roman"/>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4"/>
        <w:rPr>
          <w:rFonts w:ascii="Times New Roman"/>
          <w:sz w:val="24"/>
        </w:rPr>
      </w:pPr>
    </w:p>
    <w:p>
      <w:pPr>
        <w:pStyle w:val="ListParagraph"/>
        <w:numPr>
          <w:ilvl w:val="0"/>
          <w:numId w:val="3"/>
        </w:numPr>
        <w:tabs>
          <w:tab w:pos="559" w:val="left" w:leader="none"/>
          <w:tab w:pos="560" w:val="left" w:leader="none"/>
        </w:tabs>
        <w:spacing w:line="240" w:lineRule="auto" w:before="1" w:after="0"/>
        <w:ind w:left="559" w:right="0" w:hanging="428"/>
        <w:jc w:val="left"/>
        <w:rPr>
          <w:rFonts w:ascii="Times New Roman" w:hAnsi="Times New Roman"/>
          <w:b/>
          <w:sz w:val="24"/>
        </w:rPr>
      </w:pPr>
      <w:r>
        <w:rPr>
          <w:rFonts w:ascii="Times New Roman" w:hAnsi="Times New Roman"/>
          <w:b/>
          <w:sz w:val="24"/>
          <w:u w:val="single"/>
        </w:rPr>
        <w:t>Traitement</w:t>
      </w:r>
      <w:r>
        <w:rPr>
          <w:rFonts w:ascii="Times New Roman" w:hAnsi="Times New Roman"/>
          <w:b/>
          <w:spacing w:val="-5"/>
          <w:sz w:val="24"/>
          <w:u w:val="single"/>
        </w:rPr>
        <w:t> </w:t>
      </w:r>
      <w:r>
        <w:rPr>
          <w:rFonts w:ascii="Times New Roman" w:hAnsi="Times New Roman"/>
          <w:b/>
          <w:sz w:val="24"/>
          <w:u w:val="single"/>
        </w:rPr>
        <w:t>des</w:t>
      </w:r>
      <w:r>
        <w:rPr>
          <w:rFonts w:ascii="Times New Roman" w:hAnsi="Times New Roman"/>
          <w:b/>
          <w:spacing w:val="-3"/>
          <w:sz w:val="24"/>
          <w:u w:val="single"/>
        </w:rPr>
        <w:t> </w:t>
      </w:r>
      <w:r>
        <w:rPr>
          <w:rFonts w:ascii="Times New Roman" w:hAnsi="Times New Roman"/>
          <w:b/>
          <w:sz w:val="24"/>
          <w:u w:val="single"/>
        </w:rPr>
        <w:t>données</w:t>
      </w:r>
      <w:r>
        <w:rPr>
          <w:rFonts w:ascii="Times New Roman" w:hAnsi="Times New Roman"/>
          <w:b/>
          <w:spacing w:val="-2"/>
          <w:sz w:val="24"/>
          <w:u w:val="single"/>
        </w:rPr>
        <w:t> </w:t>
      </w:r>
      <w:r>
        <w:rPr>
          <w:rFonts w:ascii="Times New Roman" w:hAnsi="Times New Roman"/>
          <w:b/>
          <w:sz w:val="24"/>
          <w:u w:val="single"/>
        </w:rPr>
        <w:t>à</w:t>
      </w:r>
      <w:r>
        <w:rPr>
          <w:rFonts w:ascii="Times New Roman" w:hAnsi="Times New Roman"/>
          <w:b/>
          <w:spacing w:val="-4"/>
          <w:sz w:val="24"/>
          <w:u w:val="single"/>
        </w:rPr>
        <w:t> </w:t>
      </w:r>
      <w:r>
        <w:rPr>
          <w:rFonts w:ascii="Times New Roman" w:hAnsi="Times New Roman"/>
          <w:b/>
          <w:sz w:val="24"/>
          <w:u w:val="single"/>
        </w:rPr>
        <w:t>caractère</w:t>
      </w:r>
      <w:r>
        <w:rPr>
          <w:rFonts w:ascii="Times New Roman" w:hAnsi="Times New Roman"/>
          <w:b/>
          <w:spacing w:val="-5"/>
          <w:sz w:val="24"/>
          <w:u w:val="single"/>
        </w:rPr>
        <w:t> </w:t>
      </w:r>
      <w:r>
        <w:rPr>
          <w:rFonts w:ascii="Times New Roman" w:hAnsi="Times New Roman"/>
          <w:b/>
          <w:spacing w:val="-2"/>
          <w:sz w:val="24"/>
          <w:u w:val="single"/>
        </w:rPr>
        <w:t>personnel</w:t>
      </w:r>
    </w:p>
    <w:p>
      <w:pPr>
        <w:spacing w:after="0" w:line="240" w:lineRule="auto"/>
        <w:jc w:val="left"/>
        <w:rPr>
          <w:rFonts w:ascii="Times New Roman" w:hAnsi="Times New Roman"/>
          <w:sz w:val="24"/>
        </w:rPr>
        <w:sectPr>
          <w:pgSz w:w="11910" w:h="16840"/>
          <w:pgMar w:header="0" w:footer="690" w:top="1080" w:bottom="880" w:left="720" w:right="740"/>
        </w:sectPr>
      </w:pPr>
    </w:p>
    <w:p>
      <w:pPr>
        <w:pStyle w:val="BodyText"/>
        <w:spacing w:before="68"/>
        <w:ind w:left="559" w:right="285"/>
        <w:jc w:val="both"/>
        <w:rPr>
          <w:rFonts w:ascii="Times New Roman" w:hAnsi="Times New Roman"/>
        </w:rPr>
      </w:pPr>
      <w:r>
        <w:rPr>
          <w:rFonts w:ascii="Times New Roman" w:hAnsi="Times New Roman"/>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w:t>
      </w:r>
      <w:r>
        <w:rPr>
          <w:rFonts w:ascii="Times New Roman" w:hAnsi="Times New Roman"/>
          <w:spacing w:val="-2"/>
        </w:rPr>
        <w:t> </w:t>
      </w:r>
      <w:r>
        <w:rPr>
          <w:rFonts w:ascii="Times New Roman" w:hAnsi="Times New Roman"/>
        </w:rPr>
        <w:t>de</w:t>
      </w:r>
      <w:r>
        <w:rPr>
          <w:rFonts w:ascii="Times New Roman" w:hAnsi="Times New Roman"/>
          <w:spacing w:val="-2"/>
        </w:rPr>
        <w:t> </w:t>
      </w:r>
      <w:r>
        <w:rPr>
          <w:rFonts w:ascii="Times New Roman" w:hAnsi="Times New Roman"/>
        </w:rPr>
        <w:t>l'unité HR.DDG.B4. Ce traitement</w:t>
      </w:r>
      <w:r>
        <w:rPr>
          <w:rFonts w:ascii="Times New Roman" w:hAnsi="Times New Roman"/>
          <w:spacing w:val="-1"/>
        </w:rPr>
        <w:t> </w:t>
      </w:r>
      <w:r>
        <w:rPr>
          <w:rFonts w:ascii="Times New Roman" w:hAnsi="Times New Roman"/>
        </w:rPr>
        <w:t>est</w:t>
      </w:r>
      <w:r>
        <w:rPr>
          <w:rFonts w:ascii="Times New Roman" w:hAnsi="Times New Roman"/>
          <w:spacing w:val="-1"/>
        </w:rPr>
        <w:t> </w:t>
      </w:r>
      <w:r>
        <w:rPr>
          <w:rFonts w:ascii="Times New Roman" w:hAnsi="Times New Roman"/>
        </w:rPr>
        <w:t>basé sur</w:t>
      </w:r>
      <w:r>
        <w:rPr>
          <w:rFonts w:ascii="Times New Roman" w:hAnsi="Times New Roman"/>
          <w:spacing w:val="-2"/>
        </w:rPr>
        <w:t> </w:t>
      </w:r>
      <w:r>
        <w:rPr>
          <w:rFonts w:ascii="Times New Roman" w:hAnsi="Times New Roman"/>
        </w:rPr>
        <w:t>la décision de</w:t>
      </w:r>
      <w:r>
        <w:rPr>
          <w:rFonts w:ascii="Times New Roman" w:hAnsi="Times New Roman"/>
          <w:spacing w:val="-2"/>
        </w:rPr>
        <w:t> </w:t>
      </w:r>
      <w:r>
        <w:rPr>
          <w:rFonts w:ascii="Times New Roman" w:hAnsi="Times New Roman"/>
        </w:rPr>
        <w:t>la Commission relative aux END</w:t>
      </w:r>
      <w:r>
        <w:rPr>
          <w:rFonts w:ascii="Times New Roman" w:hAnsi="Times New Roman"/>
          <w:spacing w:val="-1"/>
        </w:rPr>
        <w:t> </w:t>
      </w:r>
      <w:r>
        <w:rPr>
          <w:rFonts w:ascii="Times New Roman" w:hAnsi="Times New Roman"/>
        </w:rPr>
        <w:t>et</w:t>
      </w:r>
      <w:r>
        <w:rPr>
          <w:rFonts w:ascii="Times New Roman" w:hAnsi="Times New Roman"/>
          <w:spacing w:val="-1"/>
        </w:rPr>
        <w:t> </w:t>
      </w:r>
      <w:r>
        <w:rPr>
          <w:rFonts w:ascii="Times New Roman" w:hAnsi="Times New Roman"/>
        </w:rPr>
        <w:t>est soumis au Règlement (UE) No 2018/1725.</w:t>
      </w:r>
    </w:p>
    <w:p>
      <w:pPr>
        <w:pStyle w:val="BodyText"/>
        <w:spacing w:before="3"/>
        <w:ind w:left="559" w:right="286"/>
        <w:jc w:val="both"/>
        <w:rPr>
          <w:rFonts w:ascii="Times New Roman" w:hAnsi="Times New Roman"/>
        </w:rPr>
      </w:pPr>
      <w:r>
        <w:rPr>
          <w:rFonts w:ascii="Times New Roman" w:hAnsi="Times New Roman"/>
        </w:rPr>
        <w:t>Les données des END seront conservées pendant 10 ans à compter de la fin du détachement (2 ans pour les END dont la candidature n'a pas été retenue ou a été retirée).</w:t>
      </w:r>
    </w:p>
    <w:p>
      <w:pPr>
        <w:pStyle w:val="BodyText"/>
        <w:ind w:left="559" w:right="286"/>
        <w:jc w:val="both"/>
        <w:rPr>
          <w:rFonts w:ascii="Times New Roman" w:hAnsi="Times New Roman"/>
        </w:rPr>
      </w:pPr>
      <w:r>
        <w:rPr>
          <w:rFonts w:ascii="Times New Roman" w:hAnsi="Times New Roman"/>
        </w:rPr>
        <w:t>En tant que personne concernée, vous avez des droits spécifiques en vertu du chapitre III (articles 14 à 25)</w:t>
      </w:r>
      <w:r>
        <w:rPr>
          <w:rFonts w:ascii="Times New Roman" w:hAnsi="Times New Roman"/>
          <w:spacing w:val="40"/>
        </w:rPr>
        <w:t> </w:t>
      </w:r>
      <w:r>
        <w:rPr>
          <w:rFonts w:ascii="Times New Roman" w:hAnsi="Times New Roman"/>
        </w:rPr>
        <w:t>du règlement (UE) 2018/1725, notamment le droit d'accès, de rectification ou d'effacement de vos données à caractère personnel et le droit de limiter le traitement de vos données personnelles. Le cas échéant, vous</w:t>
      </w:r>
      <w:r>
        <w:rPr>
          <w:rFonts w:ascii="Times New Roman" w:hAnsi="Times New Roman"/>
          <w:spacing w:val="40"/>
        </w:rPr>
        <w:t> </w:t>
      </w:r>
      <w:r>
        <w:rPr>
          <w:rFonts w:ascii="Times New Roman" w:hAnsi="Times New Roman"/>
        </w:rPr>
        <w:t>avez également le droit de vous opposer au traitement ou au droit à la portabilité des données.</w:t>
      </w:r>
    </w:p>
    <w:p>
      <w:pPr>
        <w:pStyle w:val="BodyText"/>
        <w:ind w:left="559" w:right="285"/>
        <w:jc w:val="both"/>
        <w:rPr>
          <w:rFonts w:ascii="Times New Roman" w:hAnsi="Times New Roman"/>
        </w:rPr>
      </w:pPr>
      <w:r>
        <w:rPr>
          <w:rFonts w:ascii="Times New Roman" w:hAnsi="Times New Roman"/>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5"/>
        <w:rPr>
          <w:rFonts w:ascii="Times New Roman"/>
        </w:rPr>
      </w:pPr>
    </w:p>
    <w:p>
      <w:pPr>
        <w:pStyle w:val="Heading1"/>
        <w:spacing w:before="0"/>
        <w:ind w:left="559" w:firstLine="0"/>
        <w:rPr>
          <w:u w:val="none"/>
        </w:rPr>
      </w:pPr>
      <w:r>
        <w:rPr>
          <w:u w:val="single"/>
        </w:rPr>
        <w:t>Informations</w:t>
      </w:r>
      <w:r>
        <w:rPr>
          <w:spacing w:val="-4"/>
          <w:u w:val="single"/>
        </w:rPr>
        <w:t> </w:t>
      </w:r>
      <w:r>
        <w:rPr>
          <w:u w:val="single"/>
        </w:rPr>
        <w:t>de</w:t>
      </w:r>
      <w:r>
        <w:rPr>
          <w:spacing w:val="-4"/>
          <w:u w:val="single"/>
        </w:rPr>
        <w:t> </w:t>
      </w:r>
      <w:r>
        <w:rPr>
          <w:spacing w:val="-2"/>
          <w:u w:val="single"/>
        </w:rPr>
        <w:t>contact</w:t>
      </w:r>
    </w:p>
    <w:p>
      <w:pPr>
        <w:pStyle w:val="BodyText"/>
        <w:spacing w:before="5"/>
        <w:rPr>
          <w:rFonts w:ascii="Times New Roman"/>
          <w:b/>
          <w:sz w:val="13"/>
        </w:rPr>
      </w:pPr>
    </w:p>
    <w:p>
      <w:pPr>
        <w:pStyle w:val="ListParagraph"/>
        <w:numPr>
          <w:ilvl w:val="0"/>
          <w:numId w:val="5"/>
        </w:numPr>
        <w:tabs>
          <w:tab w:pos="841" w:val="left" w:leader="none"/>
        </w:tabs>
        <w:spacing w:line="240" w:lineRule="auto" w:before="92" w:after="0"/>
        <w:ind w:left="840" w:right="0" w:hanging="282"/>
        <w:jc w:val="both"/>
        <w:rPr>
          <w:rFonts w:ascii="Times New Roman" w:hAnsi="Times New Roman"/>
          <w:sz w:val="22"/>
        </w:rPr>
      </w:pPr>
      <w:r>
        <w:rPr>
          <w:rFonts w:ascii="Times New Roman" w:hAnsi="Times New Roman"/>
          <w:b/>
          <w:sz w:val="22"/>
        </w:rPr>
        <w:t>Le</w:t>
      </w:r>
      <w:r>
        <w:rPr>
          <w:rFonts w:ascii="Times New Roman" w:hAnsi="Times New Roman"/>
          <w:b/>
          <w:spacing w:val="-2"/>
          <w:sz w:val="22"/>
        </w:rPr>
        <w:t> </w:t>
      </w:r>
      <w:r>
        <w:rPr>
          <w:rFonts w:ascii="Times New Roman" w:hAnsi="Times New Roman"/>
          <w:b/>
          <w:sz w:val="22"/>
        </w:rPr>
        <w:t>contrôleur</w:t>
      </w:r>
      <w:r>
        <w:rPr>
          <w:rFonts w:ascii="Times New Roman" w:hAnsi="Times New Roman"/>
          <w:b/>
          <w:spacing w:val="-2"/>
          <w:sz w:val="22"/>
        </w:rPr>
        <w:t> </w:t>
      </w:r>
      <w:r>
        <w:rPr>
          <w:rFonts w:ascii="Times New Roman" w:hAnsi="Times New Roman"/>
          <w:b/>
          <w:sz w:val="22"/>
        </w:rPr>
        <w:t>de</w:t>
      </w:r>
      <w:r>
        <w:rPr>
          <w:rFonts w:ascii="Times New Roman" w:hAnsi="Times New Roman"/>
          <w:b/>
          <w:spacing w:val="-1"/>
          <w:sz w:val="22"/>
        </w:rPr>
        <w:t> </w:t>
      </w:r>
      <w:r>
        <w:rPr>
          <w:rFonts w:ascii="Times New Roman" w:hAnsi="Times New Roman"/>
          <w:b/>
          <w:spacing w:val="-2"/>
          <w:sz w:val="22"/>
        </w:rPr>
        <w:t>données</w:t>
      </w:r>
    </w:p>
    <w:p>
      <w:pPr>
        <w:pStyle w:val="BodyText"/>
        <w:spacing w:before="1"/>
        <w:ind w:left="559" w:right="283"/>
        <w:jc w:val="both"/>
        <w:rPr>
          <w:rFonts w:ascii="Times New Roman" w:hAnsi="Times New Roman"/>
        </w:rPr>
      </w:pPr>
      <w:r>
        <w:rPr>
          <w:rFonts w:ascii="Times New Roman" w:hAnsi="Times New Roman"/>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9">
        <w:r>
          <w:rPr>
            <w:rFonts w:ascii="Times New Roman" w:hAnsi="Times New Roman"/>
            <w:color w:val="0000FF"/>
            <w:u w:val="single" w:color="0000FF"/>
          </w:rPr>
          <w:t>HR-MAIL-B4@ec.europa.eu</w:t>
        </w:r>
      </w:hyperlink>
      <w:r>
        <w:rPr>
          <w:rFonts w:ascii="Times New Roman" w:hAnsi="Times New Roman"/>
        </w:rPr>
        <w:t>.</w:t>
      </w:r>
    </w:p>
    <w:p>
      <w:pPr>
        <w:pStyle w:val="BodyText"/>
        <w:rPr>
          <w:rFonts w:ascii="Times New Roman"/>
          <w:sz w:val="14"/>
        </w:rPr>
      </w:pPr>
    </w:p>
    <w:p>
      <w:pPr>
        <w:pStyle w:val="Heading1"/>
        <w:numPr>
          <w:ilvl w:val="0"/>
          <w:numId w:val="5"/>
        </w:numPr>
        <w:tabs>
          <w:tab w:pos="841" w:val="left" w:leader="none"/>
        </w:tabs>
        <w:spacing w:line="252" w:lineRule="exact" w:before="92" w:after="0"/>
        <w:ind w:left="840" w:right="0" w:hanging="282"/>
        <w:jc w:val="both"/>
        <w:rPr>
          <w:b w:val="0"/>
          <w:u w:val="none"/>
        </w:rPr>
      </w:pPr>
      <w:r>
        <w:rPr>
          <w:u w:val="single"/>
        </w:rPr>
        <w:t>Le</w:t>
      </w:r>
      <w:r>
        <w:rPr>
          <w:spacing w:val="-4"/>
          <w:u w:val="single"/>
        </w:rPr>
        <w:t> </w:t>
      </w:r>
      <w:r>
        <w:rPr>
          <w:u w:val="single"/>
        </w:rPr>
        <w:t>délégué</w:t>
      </w:r>
      <w:r>
        <w:rPr>
          <w:spacing w:val="-2"/>
          <w:u w:val="single"/>
        </w:rPr>
        <w:t> </w:t>
      </w:r>
      <w:r>
        <w:rPr>
          <w:u w:val="single"/>
        </w:rPr>
        <w:t>à</w:t>
      </w:r>
      <w:r>
        <w:rPr>
          <w:spacing w:val="-5"/>
          <w:u w:val="single"/>
        </w:rPr>
        <w:t> </w:t>
      </w:r>
      <w:r>
        <w:rPr>
          <w:u w:val="single"/>
        </w:rPr>
        <w:t>la</w:t>
      </w:r>
      <w:r>
        <w:rPr>
          <w:spacing w:val="-1"/>
          <w:u w:val="single"/>
        </w:rPr>
        <w:t> </w:t>
      </w:r>
      <w:r>
        <w:rPr>
          <w:u w:val="single"/>
        </w:rPr>
        <w:t>protection</w:t>
      </w:r>
      <w:r>
        <w:rPr>
          <w:spacing w:val="-5"/>
          <w:u w:val="single"/>
        </w:rPr>
        <w:t> </w:t>
      </w:r>
      <w:r>
        <w:rPr>
          <w:u w:val="single"/>
        </w:rPr>
        <w:t>des</w:t>
      </w:r>
      <w:r>
        <w:rPr>
          <w:spacing w:val="-2"/>
          <w:u w:val="single"/>
        </w:rPr>
        <w:t> </w:t>
      </w:r>
      <w:r>
        <w:rPr>
          <w:u w:val="single"/>
        </w:rPr>
        <w:t>données</w:t>
      </w:r>
      <w:r>
        <w:rPr>
          <w:spacing w:val="-3"/>
          <w:u w:val="single"/>
        </w:rPr>
        <w:t> </w:t>
      </w:r>
      <w:r>
        <w:rPr>
          <w:u w:val="single"/>
        </w:rPr>
        <w:t>(DPD)</w:t>
      </w:r>
      <w:r>
        <w:rPr>
          <w:spacing w:val="-2"/>
          <w:u w:val="single"/>
        </w:rPr>
        <w:t> </w:t>
      </w:r>
      <w:r>
        <w:rPr>
          <w:u w:val="single"/>
        </w:rPr>
        <w:t>de</w:t>
      </w:r>
      <w:r>
        <w:rPr>
          <w:spacing w:val="-5"/>
          <w:u w:val="single"/>
        </w:rPr>
        <w:t> </w:t>
      </w:r>
      <w:r>
        <w:rPr>
          <w:u w:val="single"/>
        </w:rPr>
        <w:t>la</w:t>
      </w:r>
      <w:r>
        <w:rPr>
          <w:spacing w:val="-4"/>
          <w:u w:val="single"/>
        </w:rPr>
        <w:t> </w:t>
      </w:r>
      <w:r>
        <w:rPr>
          <w:spacing w:val="-2"/>
          <w:u w:val="single"/>
        </w:rPr>
        <w:t>Commission</w:t>
      </w:r>
    </w:p>
    <w:p>
      <w:pPr>
        <w:pStyle w:val="BodyText"/>
        <w:ind w:left="559" w:right="279"/>
        <w:jc w:val="both"/>
        <w:rPr>
          <w:rFonts w:ascii="Times New Roman" w:hAnsi="Times New Roman"/>
        </w:rPr>
      </w:pPr>
      <w:r>
        <w:rPr>
          <w:rFonts w:ascii="Times New Roman" w:hAnsi="Times New Roman"/>
        </w:rPr>
        <w:t>Vous pouvez contacter le délégué à la protection des données (</w:t>
      </w:r>
      <w:hyperlink r:id="rId10">
        <w:r>
          <w:rPr>
            <w:rFonts w:ascii="Times New Roman" w:hAnsi="Times New Roman"/>
            <w:color w:val="0000FF"/>
            <w:u w:val="single" w:color="0000FF"/>
          </w:rPr>
          <w:t>DATA-PROTECTION-</w:t>
        </w:r>
      </w:hyperlink>
      <w:r>
        <w:rPr>
          <w:rFonts w:ascii="Times New Roman" w:hAnsi="Times New Roman"/>
          <w:color w:val="0000FF"/>
        </w:rPr>
        <w:t> </w:t>
      </w:r>
      <w:hyperlink r:id="rId10">
        <w:r>
          <w:rPr>
            <w:rFonts w:ascii="Times New Roman" w:hAnsi="Times New Roman"/>
            <w:color w:val="0000FF"/>
            <w:u w:val="single" w:color="0000FF"/>
          </w:rPr>
          <w:t>OFFICER@ec.europa.eu</w:t>
        </w:r>
      </w:hyperlink>
      <w:r>
        <w:rPr>
          <w:rFonts w:ascii="Times New Roman" w:hAnsi="Times New Roman"/>
        </w:rPr>
        <w:t>) pour toute question relative au traitement de vos données à caractère personnel en vertu du règlement (UE) 2018/1725.</w:t>
      </w:r>
    </w:p>
    <w:p>
      <w:pPr>
        <w:pStyle w:val="Heading1"/>
        <w:numPr>
          <w:ilvl w:val="0"/>
          <w:numId w:val="5"/>
        </w:numPr>
        <w:tabs>
          <w:tab w:pos="841" w:val="left" w:leader="none"/>
        </w:tabs>
        <w:spacing w:line="240" w:lineRule="auto" w:before="6" w:after="0"/>
        <w:ind w:left="840" w:right="0" w:hanging="282"/>
        <w:jc w:val="both"/>
        <w:rPr>
          <w:u w:val="none"/>
        </w:rPr>
      </w:pPr>
      <w:r>
        <w:rPr>
          <w:u w:val="single"/>
        </w:rPr>
        <w:t>Le</w:t>
      </w:r>
      <w:r>
        <w:rPr>
          <w:spacing w:val="-4"/>
          <w:u w:val="single"/>
        </w:rPr>
        <w:t> </w:t>
      </w:r>
      <w:r>
        <w:rPr>
          <w:u w:val="single"/>
        </w:rPr>
        <w:t>contrôleur</w:t>
      </w:r>
      <w:r>
        <w:rPr>
          <w:spacing w:val="-3"/>
          <w:u w:val="single"/>
        </w:rPr>
        <w:t> </w:t>
      </w:r>
      <w:r>
        <w:rPr>
          <w:u w:val="single"/>
        </w:rPr>
        <w:t>européen</w:t>
      </w:r>
      <w:r>
        <w:rPr>
          <w:spacing w:val="-2"/>
          <w:u w:val="single"/>
        </w:rPr>
        <w:t> </w:t>
      </w:r>
      <w:r>
        <w:rPr>
          <w:u w:val="single"/>
        </w:rPr>
        <w:t>de</w:t>
      </w:r>
      <w:r>
        <w:rPr>
          <w:spacing w:val="-3"/>
          <w:u w:val="single"/>
        </w:rPr>
        <w:t> </w:t>
      </w:r>
      <w:r>
        <w:rPr>
          <w:u w:val="single"/>
        </w:rPr>
        <w:t>la</w:t>
      </w:r>
      <w:r>
        <w:rPr>
          <w:spacing w:val="-3"/>
          <w:u w:val="single"/>
        </w:rPr>
        <w:t> </w:t>
      </w:r>
      <w:r>
        <w:rPr>
          <w:u w:val="single"/>
        </w:rPr>
        <w:t>protection</w:t>
      </w:r>
      <w:r>
        <w:rPr>
          <w:spacing w:val="-3"/>
          <w:u w:val="single"/>
        </w:rPr>
        <w:t> </w:t>
      </w:r>
      <w:r>
        <w:rPr>
          <w:u w:val="single"/>
        </w:rPr>
        <w:t>des</w:t>
      </w:r>
      <w:r>
        <w:rPr>
          <w:spacing w:val="-3"/>
          <w:u w:val="single"/>
        </w:rPr>
        <w:t> </w:t>
      </w:r>
      <w:r>
        <w:rPr>
          <w:u w:val="single"/>
        </w:rPr>
        <w:t>données</w:t>
      </w:r>
      <w:r>
        <w:rPr>
          <w:spacing w:val="-3"/>
          <w:u w:val="single"/>
        </w:rPr>
        <w:t> </w:t>
      </w:r>
      <w:r>
        <w:rPr>
          <w:spacing w:val="-2"/>
          <w:u w:val="single"/>
        </w:rPr>
        <w:t>(CEPD)</w:t>
      </w:r>
    </w:p>
    <w:p>
      <w:pPr>
        <w:pStyle w:val="BodyText"/>
        <w:spacing w:before="6"/>
        <w:rPr>
          <w:rFonts w:ascii="Times New Roman"/>
          <w:b/>
          <w:sz w:val="13"/>
        </w:rPr>
      </w:pPr>
    </w:p>
    <w:p>
      <w:pPr>
        <w:pStyle w:val="BodyText"/>
        <w:spacing w:before="91"/>
        <w:ind w:left="559" w:right="279"/>
        <w:jc w:val="both"/>
        <w:rPr>
          <w:rFonts w:ascii="Times New Roman" w:hAnsi="Times New Roman"/>
        </w:rPr>
      </w:pPr>
      <w:r>
        <w:rPr>
          <w:rFonts w:ascii="Times New Roman" w:hAnsi="Times New Roman"/>
        </w:rPr>
        <w:t>Vous avez le droit de saisir le contrôleur européen de la protection des données (</w:t>
      </w:r>
      <w:hyperlink r:id="rId11">
        <w:r>
          <w:rPr>
            <w:rFonts w:ascii="Times New Roman" w:hAnsi="Times New Roman"/>
            <w:color w:val="0000FF"/>
            <w:u w:val="single" w:color="0000FF"/>
          </w:rPr>
          <w:t>edps@edps.europa.eu</w:t>
        </w:r>
      </w:hyperlink>
      <w:r>
        <w:rPr>
          <w:rFonts w:ascii="Times New Roman" w:hAnsi="Times New Roman"/>
        </w:rPr>
        <w:t>) (c’est-à-dire que vous pouvez porter plainte) si vous estimez que vos droits en vertu du règlement (UE) 2018/1725 ont été violés par le contrôleur des données.</w:t>
      </w:r>
    </w:p>
    <w:p>
      <w:pPr>
        <w:pStyle w:val="BodyText"/>
        <w:spacing w:before="1"/>
        <w:rPr>
          <w:rFonts w:ascii="Times New Roman"/>
        </w:rPr>
      </w:pPr>
    </w:p>
    <w:p>
      <w:pPr>
        <w:pStyle w:val="BodyText"/>
        <w:ind w:left="559"/>
        <w:rPr>
          <w:rFonts w:ascii="Times New Roman" w:hAnsi="Times New Roman"/>
        </w:rPr>
      </w:pPr>
      <w:r>
        <w:rPr>
          <w:rFonts w:ascii="Times New Roman" w:hAnsi="Times New Roman"/>
        </w:rPr>
        <w:t>À l'attention des candidats ressortissant de pays tiers: vos données personnelles peuvent être utilisées aux fins des vérifications nécessaires.</w:t>
      </w:r>
    </w:p>
    <w:sectPr>
      <w:pgSz w:w="11910" w:h="16840"/>
      <w:pgMar w:header="0" w:footer="690" w:top="1040" w:bottom="880" w:left="72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43328" type="#_x0000_t202" id="docshape1" filled="false" stroked="false">
          <v:textbox inset="0,0,0,0">
            <w:txbxContent>
              <w:p>
                <w:pPr>
                  <w:spacing w:before="14"/>
                  <w:ind w:left="20" w:right="0" w:firstLine="0"/>
                  <w:jc w:val="left"/>
                  <w:rPr>
                    <w:rFonts w:ascii="Times New Roman"/>
                    <w:sz w:val="16"/>
                  </w:rPr>
                </w:pPr>
                <w:r>
                  <w:rPr>
                    <w:rFonts w:ascii="Times New Roman"/>
                    <w:sz w:val="16"/>
                  </w:rPr>
                  <w:t>Version</w:t>
                </w:r>
                <w:r>
                  <w:rPr>
                    <w:rFonts w:ascii="Times New Roman"/>
                    <w:spacing w:val="-9"/>
                    <w:sz w:val="16"/>
                  </w:rPr>
                  <w:t> </w:t>
                </w:r>
                <w:r>
                  <w:rPr>
                    <w:rFonts w:ascii="Times New Roman"/>
                    <w:sz w:val="16"/>
                  </w:rPr>
                  <w:t>09-</w:t>
                </w:r>
                <w:r>
                  <w:rPr>
                    <w:rFonts w:ascii="Times New Roman"/>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840" w:hanging="281"/>
      </w:pPr>
      <w:rPr>
        <w:rFonts w:hint="default" w:ascii="Times New Roman" w:hAnsi="Times New Roman" w:eastAsia="Times New Roman" w:cs="Times New Roman"/>
        <w:w w:val="100"/>
        <w:lang w:val="fr-FR" w:eastAsia="en-US" w:bidi="ar-SA"/>
      </w:rPr>
    </w:lvl>
    <w:lvl w:ilvl="1">
      <w:start w:val="0"/>
      <w:numFmt w:val="bullet"/>
      <w:lvlText w:val="•"/>
      <w:lvlJc w:val="left"/>
      <w:pPr>
        <w:ind w:left="1800" w:hanging="281"/>
      </w:pPr>
      <w:rPr>
        <w:rFonts w:hint="default"/>
        <w:lang w:val="fr-FR" w:eastAsia="en-US" w:bidi="ar-SA"/>
      </w:rPr>
    </w:lvl>
    <w:lvl w:ilvl="2">
      <w:start w:val="0"/>
      <w:numFmt w:val="bullet"/>
      <w:lvlText w:val="•"/>
      <w:lvlJc w:val="left"/>
      <w:pPr>
        <w:ind w:left="2761" w:hanging="281"/>
      </w:pPr>
      <w:rPr>
        <w:rFonts w:hint="default"/>
        <w:lang w:val="fr-FR" w:eastAsia="en-US" w:bidi="ar-SA"/>
      </w:rPr>
    </w:lvl>
    <w:lvl w:ilvl="3">
      <w:start w:val="0"/>
      <w:numFmt w:val="bullet"/>
      <w:lvlText w:val="•"/>
      <w:lvlJc w:val="left"/>
      <w:pPr>
        <w:ind w:left="3721" w:hanging="281"/>
      </w:pPr>
      <w:rPr>
        <w:rFonts w:hint="default"/>
        <w:lang w:val="fr-FR" w:eastAsia="en-US" w:bidi="ar-SA"/>
      </w:rPr>
    </w:lvl>
    <w:lvl w:ilvl="4">
      <w:start w:val="0"/>
      <w:numFmt w:val="bullet"/>
      <w:lvlText w:val="•"/>
      <w:lvlJc w:val="left"/>
      <w:pPr>
        <w:ind w:left="4682" w:hanging="281"/>
      </w:pPr>
      <w:rPr>
        <w:rFonts w:hint="default"/>
        <w:lang w:val="fr-FR" w:eastAsia="en-US" w:bidi="ar-SA"/>
      </w:rPr>
    </w:lvl>
    <w:lvl w:ilvl="5">
      <w:start w:val="0"/>
      <w:numFmt w:val="bullet"/>
      <w:lvlText w:val="•"/>
      <w:lvlJc w:val="left"/>
      <w:pPr>
        <w:ind w:left="5643" w:hanging="281"/>
      </w:pPr>
      <w:rPr>
        <w:rFonts w:hint="default"/>
        <w:lang w:val="fr-FR" w:eastAsia="en-US" w:bidi="ar-SA"/>
      </w:rPr>
    </w:lvl>
    <w:lvl w:ilvl="6">
      <w:start w:val="0"/>
      <w:numFmt w:val="bullet"/>
      <w:lvlText w:val="•"/>
      <w:lvlJc w:val="left"/>
      <w:pPr>
        <w:ind w:left="6603" w:hanging="281"/>
      </w:pPr>
      <w:rPr>
        <w:rFonts w:hint="default"/>
        <w:lang w:val="fr-FR" w:eastAsia="en-US" w:bidi="ar-SA"/>
      </w:rPr>
    </w:lvl>
    <w:lvl w:ilvl="7">
      <w:start w:val="0"/>
      <w:numFmt w:val="bullet"/>
      <w:lvlText w:val="•"/>
      <w:lvlJc w:val="left"/>
      <w:pPr>
        <w:ind w:left="7564" w:hanging="281"/>
      </w:pPr>
      <w:rPr>
        <w:rFonts w:hint="default"/>
        <w:lang w:val="fr-FR" w:eastAsia="en-US" w:bidi="ar-SA"/>
      </w:rPr>
    </w:lvl>
    <w:lvl w:ilvl="8">
      <w:start w:val="0"/>
      <w:numFmt w:val="bullet"/>
      <w:lvlText w:val="•"/>
      <w:lvlJc w:val="left"/>
      <w:pPr>
        <w:ind w:left="8525" w:hanging="281"/>
      </w:pPr>
      <w:rPr>
        <w:rFonts w:hint="default"/>
        <w:lang w:val="fr-FR" w:eastAsia="en-US" w:bidi="ar-SA"/>
      </w:rPr>
    </w:lvl>
  </w:abstractNum>
  <w:abstractNum w:abstractNumId="3">
    <w:multiLevelType w:val="hybridMultilevel"/>
    <w:lvl w:ilvl="0">
      <w:start w:val="1"/>
      <w:numFmt w:val="decimal"/>
      <w:lvlText w:val="%1."/>
      <w:lvlJc w:val="left"/>
      <w:pPr>
        <w:ind w:left="132" w:hanging="219"/>
        <w:jc w:val="left"/>
      </w:pPr>
      <w:rPr>
        <w:rFonts w:hint="default" w:ascii="Calibri" w:hAnsi="Calibri" w:eastAsia="Calibri" w:cs="Calibri"/>
        <w:b w:val="0"/>
        <w:bCs w:val="0"/>
        <w:i w:val="0"/>
        <w:iCs w:val="0"/>
        <w:w w:val="100"/>
        <w:sz w:val="22"/>
        <w:szCs w:val="22"/>
        <w:lang w:val="fr-FR" w:eastAsia="en-US" w:bidi="ar-SA"/>
      </w:rPr>
    </w:lvl>
    <w:lvl w:ilvl="1">
      <w:start w:val="0"/>
      <w:numFmt w:val="bullet"/>
      <w:lvlText w:val="•"/>
      <w:lvlJc w:val="left"/>
      <w:pPr>
        <w:ind w:left="840" w:hanging="281"/>
      </w:pPr>
      <w:rPr>
        <w:rFonts w:hint="default" w:ascii="Times New Roman" w:hAnsi="Times New Roman" w:eastAsia="Times New Roman" w:cs="Times New Roman"/>
        <w:b w:val="0"/>
        <w:bCs w:val="0"/>
        <w:i w:val="0"/>
        <w:iCs w:val="0"/>
        <w:w w:val="100"/>
        <w:sz w:val="22"/>
        <w:szCs w:val="22"/>
        <w:lang w:val="fr-FR" w:eastAsia="en-US" w:bidi="ar-SA"/>
      </w:rPr>
    </w:lvl>
    <w:lvl w:ilvl="2">
      <w:start w:val="0"/>
      <w:numFmt w:val="bullet"/>
      <w:lvlText w:val="•"/>
      <w:lvlJc w:val="left"/>
      <w:pPr>
        <w:ind w:left="1907" w:hanging="281"/>
      </w:pPr>
      <w:rPr>
        <w:rFonts w:hint="default"/>
        <w:lang w:val="fr-FR" w:eastAsia="en-US" w:bidi="ar-SA"/>
      </w:rPr>
    </w:lvl>
    <w:lvl w:ilvl="3">
      <w:start w:val="0"/>
      <w:numFmt w:val="bullet"/>
      <w:lvlText w:val="•"/>
      <w:lvlJc w:val="left"/>
      <w:pPr>
        <w:ind w:left="2974" w:hanging="281"/>
      </w:pPr>
      <w:rPr>
        <w:rFonts w:hint="default"/>
        <w:lang w:val="fr-FR" w:eastAsia="en-US" w:bidi="ar-SA"/>
      </w:rPr>
    </w:lvl>
    <w:lvl w:ilvl="4">
      <w:start w:val="0"/>
      <w:numFmt w:val="bullet"/>
      <w:lvlText w:val="•"/>
      <w:lvlJc w:val="left"/>
      <w:pPr>
        <w:ind w:left="4042" w:hanging="281"/>
      </w:pPr>
      <w:rPr>
        <w:rFonts w:hint="default"/>
        <w:lang w:val="fr-FR" w:eastAsia="en-US" w:bidi="ar-SA"/>
      </w:rPr>
    </w:lvl>
    <w:lvl w:ilvl="5">
      <w:start w:val="0"/>
      <w:numFmt w:val="bullet"/>
      <w:lvlText w:val="•"/>
      <w:lvlJc w:val="left"/>
      <w:pPr>
        <w:ind w:left="5109" w:hanging="281"/>
      </w:pPr>
      <w:rPr>
        <w:rFonts w:hint="default"/>
        <w:lang w:val="fr-FR" w:eastAsia="en-US" w:bidi="ar-SA"/>
      </w:rPr>
    </w:lvl>
    <w:lvl w:ilvl="6">
      <w:start w:val="0"/>
      <w:numFmt w:val="bullet"/>
      <w:lvlText w:val="•"/>
      <w:lvlJc w:val="left"/>
      <w:pPr>
        <w:ind w:left="6176" w:hanging="281"/>
      </w:pPr>
      <w:rPr>
        <w:rFonts w:hint="default"/>
        <w:lang w:val="fr-FR" w:eastAsia="en-US" w:bidi="ar-SA"/>
      </w:rPr>
    </w:lvl>
    <w:lvl w:ilvl="7">
      <w:start w:val="0"/>
      <w:numFmt w:val="bullet"/>
      <w:lvlText w:val="•"/>
      <w:lvlJc w:val="left"/>
      <w:pPr>
        <w:ind w:left="7244" w:hanging="281"/>
      </w:pPr>
      <w:rPr>
        <w:rFonts w:hint="default"/>
        <w:lang w:val="fr-FR" w:eastAsia="en-US" w:bidi="ar-SA"/>
      </w:rPr>
    </w:lvl>
    <w:lvl w:ilvl="8">
      <w:start w:val="0"/>
      <w:numFmt w:val="bullet"/>
      <w:lvlText w:val="•"/>
      <w:lvlJc w:val="left"/>
      <w:pPr>
        <w:ind w:left="8311" w:hanging="281"/>
      </w:pPr>
      <w:rPr>
        <w:rFonts w:hint="default"/>
        <w:lang w:val="fr-FR" w:eastAsia="en-US" w:bidi="ar-SA"/>
      </w:rPr>
    </w:lvl>
  </w:abstractNum>
  <w:abstractNum w:abstractNumId="1">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101" w:hanging="252"/>
      </w:pPr>
      <w:rPr>
        <w:rFonts w:hint="default" w:ascii="Wingdings 2" w:hAnsi="Wingdings 2" w:eastAsia="Wingdings 2" w:cs="Wingdings 2"/>
        <w:b w:val="0"/>
        <w:bCs w:val="0"/>
        <w:i w:val="0"/>
        <w:iCs w:val="0"/>
        <w:w w:val="100"/>
        <w:sz w:val="22"/>
        <w:szCs w:val="22"/>
        <w:lang w:val="fr-FR" w:eastAsia="en-US" w:bidi="ar-SA"/>
      </w:rPr>
    </w:lvl>
    <w:lvl w:ilvl="2">
      <w:start w:val="0"/>
      <w:numFmt w:val="bullet"/>
      <w:lvlText w:val="•"/>
      <w:lvlJc w:val="left"/>
      <w:pPr>
        <w:ind w:left="2082" w:hanging="252"/>
      </w:pPr>
      <w:rPr>
        <w:rFonts w:hint="default"/>
        <w:lang w:val="fr-FR" w:eastAsia="en-US" w:bidi="ar-SA"/>
      </w:rPr>
    </w:lvl>
    <w:lvl w:ilvl="3">
      <w:start w:val="0"/>
      <w:numFmt w:val="bullet"/>
      <w:lvlText w:val="•"/>
      <w:lvlJc w:val="left"/>
      <w:pPr>
        <w:ind w:left="3065" w:hanging="252"/>
      </w:pPr>
      <w:rPr>
        <w:rFonts w:hint="default"/>
        <w:lang w:val="fr-FR" w:eastAsia="en-US" w:bidi="ar-SA"/>
      </w:rPr>
    </w:lvl>
    <w:lvl w:ilvl="4">
      <w:start w:val="0"/>
      <w:numFmt w:val="bullet"/>
      <w:lvlText w:val="•"/>
      <w:lvlJc w:val="left"/>
      <w:pPr>
        <w:ind w:left="4048" w:hanging="252"/>
      </w:pPr>
      <w:rPr>
        <w:rFonts w:hint="default"/>
        <w:lang w:val="fr-FR" w:eastAsia="en-US" w:bidi="ar-SA"/>
      </w:rPr>
    </w:lvl>
    <w:lvl w:ilvl="5">
      <w:start w:val="0"/>
      <w:numFmt w:val="bullet"/>
      <w:lvlText w:val="•"/>
      <w:lvlJc w:val="left"/>
      <w:pPr>
        <w:ind w:left="5031" w:hanging="252"/>
      </w:pPr>
      <w:rPr>
        <w:rFonts w:hint="default"/>
        <w:lang w:val="fr-FR" w:eastAsia="en-US" w:bidi="ar-SA"/>
      </w:rPr>
    </w:lvl>
    <w:lvl w:ilvl="6">
      <w:start w:val="0"/>
      <w:numFmt w:val="bullet"/>
      <w:lvlText w:val="•"/>
      <w:lvlJc w:val="left"/>
      <w:pPr>
        <w:ind w:left="6014" w:hanging="252"/>
      </w:pPr>
      <w:rPr>
        <w:rFonts w:hint="default"/>
        <w:lang w:val="fr-FR" w:eastAsia="en-US" w:bidi="ar-SA"/>
      </w:rPr>
    </w:lvl>
    <w:lvl w:ilvl="7">
      <w:start w:val="0"/>
      <w:numFmt w:val="bullet"/>
      <w:lvlText w:val="•"/>
      <w:lvlJc w:val="left"/>
      <w:pPr>
        <w:ind w:left="6997" w:hanging="252"/>
      </w:pPr>
      <w:rPr>
        <w:rFonts w:hint="default"/>
        <w:lang w:val="fr-FR" w:eastAsia="en-US" w:bidi="ar-SA"/>
      </w:rPr>
    </w:lvl>
    <w:lvl w:ilvl="8">
      <w:start w:val="0"/>
      <w:numFmt w:val="bullet"/>
      <w:lvlText w:val="•"/>
      <w:lvlJc w:val="left"/>
      <w:pPr>
        <w:ind w:left="7980" w:hanging="252"/>
      </w:pPr>
      <w:rPr>
        <w:rFonts w:hint="default"/>
        <w:lang w:val="fr-FR" w:eastAsia="en-US" w:bidi="ar-SA"/>
      </w:rPr>
    </w:lvl>
  </w:abstractNum>
  <w:abstractNum w:abstractNumId="0">
    <w:multiLevelType w:val="hybridMultilevel"/>
    <w:lvl w:ilvl="0">
      <w:start w:val="0"/>
      <w:numFmt w:val="bullet"/>
      <w:lvlText w:val=""/>
      <w:lvlJc w:val="left"/>
      <w:pPr>
        <w:ind w:left="523" w:hanging="418"/>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026" w:hanging="418"/>
      </w:pPr>
      <w:rPr>
        <w:rFonts w:hint="default"/>
        <w:lang w:val="fr-FR" w:eastAsia="en-US" w:bidi="ar-SA"/>
      </w:rPr>
    </w:lvl>
    <w:lvl w:ilvl="2">
      <w:start w:val="0"/>
      <w:numFmt w:val="bullet"/>
      <w:lvlText w:val="•"/>
      <w:lvlJc w:val="left"/>
      <w:pPr>
        <w:ind w:left="1533" w:hanging="418"/>
      </w:pPr>
      <w:rPr>
        <w:rFonts w:hint="default"/>
        <w:lang w:val="fr-FR" w:eastAsia="en-US" w:bidi="ar-SA"/>
      </w:rPr>
    </w:lvl>
    <w:lvl w:ilvl="3">
      <w:start w:val="0"/>
      <w:numFmt w:val="bullet"/>
      <w:lvlText w:val="•"/>
      <w:lvlJc w:val="left"/>
      <w:pPr>
        <w:ind w:left="2040" w:hanging="418"/>
      </w:pPr>
      <w:rPr>
        <w:rFonts w:hint="default"/>
        <w:lang w:val="fr-FR" w:eastAsia="en-US" w:bidi="ar-SA"/>
      </w:rPr>
    </w:lvl>
    <w:lvl w:ilvl="4">
      <w:start w:val="0"/>
      <w:numFmt w:val="bullet"/>
      <w:lvlText w:val="•"/>
      <w:lvlJc w:val="left"/>
      <w:pPr>
        <w:ind w:left="2546" w:hanging="418"/>
      </w:pPr>
      <w:rPr>
        <w:rFonts w:hint="default"/>
        <w:lang w:val="fr-FR" w:eastAsia="en-US" w:bidi="ar-SA"/>
      </w:rPr>
    </w:lvl>
    <w:lvl w:ilvl="5">
      <w:start w:val="0"/>
      <w:numFmt w:val="bullet"/>
      <w:lvlText w:val="•"/>
      <w:lvlJc w:val="left"/>
      <w:pPr>
        <w:ind w:left="3053" w:hanging="418"/>
      </w:pPr>
      <w:rPr>
        <w:rFonts w:hint="default"/>
        <w:lang w:val="fr-FR" w:eastAsia="en-US" w:bidi="ar-SA"/>
      </w:rPr>
    </w:lvl>
    <w:lvl w:ilvl="6">
      <w:start w:val="0"/>
      <w:numFmt w:val="bullet"/>
      <w:lvlText w:val="•"/>
      <w:lvlJc w:val="left"/>
      <w:pPr>
        <w:ind w:left="3560" w:hanging="418"/>
      </w:pPr>
      <w:rPr>
        <w:rFonts w:hint="default"/>
        <w:lang w:val="fr-FR" w:eastAsia="en-US" w:bidi="ar-SA"/>
      </w:rPr>
    </w:lvl>
    <w:lvl w:ilvl="7">
      <w:start w:val="0"/>
      <w:numFmt w:val="bullet"/>
      <w:lvlText w:val="•"/>
      <w:lvlJc w:val="left"/>
      <w:pPr>
        <w:ind w:left="4066" w:hanging="418"/>
      </w:pPr>
      <w:rPr>
        <w:rFonts w:hint="default"/>
        <w:lang w:val="fr-FR" w:eastAsia="en-US" w:bidi="ar-SA"/>
      </w:rPr>
    </w:lvl>
    <w:lvl w:ilvl="8">
      <w:start w:val="0"/>
      <w:numFmt w:val="bullet"/>
      <w:lvlText w:val="•"/>
      <w:lvlJc w:val="left"/>
      <w:pPr>
        <w:ind w:left="4573" w:hanging="418"/>
      </w:pPr>
      <w:rPr>
        <w:rFonts w:hint="default"/>
        <w:lang w:val="fr-FR" w:eastAsia="en-US" w:bidi="ar-SA"/>
      </w:rPr>
    </w:lvl>
  </w:abstractNum>
  <w:abstractNum w:abstractNumId="2">
    <w:multiLevelType w:val="hybridMultilevel"/>
    <w:lvl w:ilvl="0">
      <w:start w:val="1"/>
      <w:numFmt w:val="decimal"/>
      <w:lvlText w:val="%1."/>
      <w:lvlJc w:val="left"/>
      <w:pPr>
        <w:ind w:left="559" w:hanging="428"/>
        <w:jc w:val="left"/>
      </w:pPr>
      <w:rPr>
        <w:rFonts w:hint="default" w:ascii="Times New Roman" w:hAnsi="Times New Roman" w:eastAsia="Times New Roman" w:cs="Times New Roman"/>
        <w:b/>
        <w:bCs/>
        <w:i w:val="0"/>
        <w:iCs w:val="0"/>
        <w:w w:val="100"/>
        <w:sz w:val="24"/>
        <w:szCs w:val="24"/>
        <w:lang w:val="fr-FR" w:eastAsia="en-US" w:bidi="ar-SA"/>
      </w:rPr>
    </w:lvl>
    <w:lvl w:ilvl="1">
      <w:start w:val="1"/>
      <w:numFmt w:val="lowerLetter"/>
      <w:lvlText w:val="%2)"/>
      <w:lvlJc w:val="left"/>
      <w:pPr>
        <w:ind w:left="799" w:hanging="240"/>
        <w:jc w:val="left"/>
      </w:pPr>
      <w:rPr>
        <w:rFonts w:hint="default" w:ascii="Times New Roman" w:hAnsi="Times New Roman" w:eastAsia="Times New Roman" w:cs="Times New Roman"/>
        <w:b/>
        <w:bCs/>
        <w:i w:val="0"/>
        <w:iCs w:val="0"/>
        <w:w w:val="100"/>
        <w:sz w:val="22"/>
        <w:szCs w:val="22"/>
        <w:lang w:val="fr-FR" w:eastAsia="en-US" w:bidi="ar-SA"/>
      </w:rPr>
    </w:lvl>
    <w:lvl w:ilvl="2">
      <w:start w:val="0"/>
      <w:numFmt w:val="bullet"/>
      <w:lvlText w:val="-"/>
      <w:lvlJc w:val="left"/>
      <w:pPr>
        <w:ind w:left="965" w:hanging="125"/>
      </w:pPr>
      <w:rPr>
        <w:rFonts w:hint="default" w:ascii="Times New Roman" w:hAnsi="Times New Roman" w:eastAsia="Times New Roman" w:cs="Times New Roman"/>
        <w:b w:val="0"/>
        <w:bCs w:val="0"/>
        <w:i w:val="0"/>
        <w:iCs w:val="0"/>
        <w:w w:val="100"/>
        <w:sz w:val="22"/>
        <w:szCs w:val="22"/>
        <w:lang w:val="fr-FR" w:eastAsia="en-US" w:bidi="ar-SA"/>
      </w:rPr>
    </w:lvl>
    <w:lvl w:ilvl="3">
      <w:start w:val="0"/>
      <w:numFmt w:val="bullet"/>
      <w:lvlText w:val="•"/>
      <w:lvlJc w:val="left"/>
      <w:pPr>
        <w:ind w:left="2145" w:hanging="125"/>
      </w:pPr>
      <w:rPr>
        <w:rFonts w:hint="default"/>
        <w:lang w:val="fr-FR" w:eastAsia="en-US" w:bidi="ar-SA"/>
      </w:rPr>
    </w:lvl>
    <w:lvl w:ilvl="4">
      <w:start w:val="0"/>
      <w:numFmt w:val="bullet"/>
      <w:lvlText w:val="•"/>
      <w:lvlJc w:val="left"/>
      <w:pPr>
        <w:ind w:left="3331" w:hanging="125"/>
      </w:pPr>
      <w:rPr>
        <w:rFonts w:hint="default"/>
        <w:lang w:val="fr-FR" w:eastAsia="en-US" w:bidi="ar-SA"/>
      </w:rPr>
    </w:lvl>
    <w:lvl w:ilvl="5">
      <w:start w:val="0"/>
      <w:numFmt w:val="bullet"/>
      <w:lvlText w:val="•"/>
      <w:lvlJc w:val="left"/>
      <w:pPr>
        <w:ind w:left="4517" w:hanging="125"/>
      </w:pPr>
      <w:rPr>
        <w:rFonts w:hint="default"/>
        <w:lang w:val="fr-FR" w:eastAsia="en-US" w:bidi="ar-SA"/>
      </w:rPr>
    </w:lvl>
    <w:lvl w:ilvl="6">
      <w:start w:val="0"/>
      <w:numFmt w:val="bullet"/>
      <w:lvlText w:val="•"/>
      <w:lvlJc w:val="left"/>
      <w:pPr>
        <w:ind w:left="5703" w:hanging="125"/>
      </w:pPr>
      <w:rPr>
        <w:rFonts w:hint="default"/>
        <w:lang w:val="fr-FR" w:eastAsia="en-US" w:bidi="ar-SA"/>
      </w:rPr>
    </w:lvl>
    <w:lvl w:ilvl="7">
      <w:start w:val="0"/>
      <w:numFmt w:val="bullet"/>
      <w:lvlText w:val="•"/>
      <w:lvlJc w:val="left"/>
      <w:pPr>
        <w:ind w:left="6889" w:hanging="125"/>
      </w:pPr>
      <w:rPr>
        <w:rFonts w:hint="default"/>
        <w:lang w:val="fr-FR" w:eastAsia="en-US" w:bidi="ar-SA"/>
      </w:rPr>
    </w:lvl>
    <w:lvl w:ilvl="8">
      <w:start w:val="0"/>
      <w:numFmt w:val="bullet"/>
      <w:lvlText w:val="•"/>
      <w:lvlJc w:val="left"/>
      <w:pPr>
        <w:ind w:left="8074" w:hanging="125"/>
      </w:pPr>
      <w:rPr>
        <w:rFonts w:hint="default"/>
        <w:lang w:val="fr-FR" w:eastAsia="en-US" w:bidi="ar-SA"/>
      </w:rPr>
    </w:lvl>
  </w:abstract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lang w:val="fr-FR" w:eastAsia="en-US" w:bidi="ar-SA"/>
    </w:rPr>
  </w:style>
  <w:style w:styleId="BodyText" w:type="paragraph">
    <w:name w:val="Body Text"/>
    <w:basedOn w:val="Normal"/>
    <w:uiPriority w:val="1"/>
    <w:qFormat/>
    <w:pPr/>
    <w:rPr>
      <w:rFonts w:ascii="Calibri" w:hAnsi="Calibri" w:eastAsia="Calibri" w:cs="Calibri"/>
      <w:sz w:val="22"/>
      <w:szCs w:val="22"/>
      <w:lang w:val="fr-FR" w:eastAsia="en-US" w:bidi="ar-SA"/>
    </w:rPr>
  </w:style>
  <w:style w:styleId="Heading1" w:type="paragraph">
    <w:name w:val="Heading 1"/>
    <w:basedOn w:val="Normal"/>
    <w:uiPriority w:val="1"/>
    <w:qFormat/>
    <w:pPr>
      <w:spacing w:before="92"/>
      <w:ind w:left="840" w:hanging="282"/>
      <w:jc w:val="both"/>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132"/>
    </w:pPr>
    <w:rPr>
      <w:rFonts w:ascii="Calibri" w:hAnsi="Calibri" w:eastAsia="Calibri" w:cs="Calibri"/>
      <w:lang w:val="fr-FR"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Chantal.marijnissen@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2023-02-16T16:50:14Z</dcterms:created>
  <dcterms:modified xsi:type="dcterms:W3CDTF">2023-02-16T16:50:14Z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