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657"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
              <w:rPr>
                <w:b/>
                <w:sz w:val="24"/>
              </w:rPr>
            </w:pPr>
            <w:r>
              <w:rPr>
                <w:b/>
                <w:sz w:val="24"/>
              </w:rPr>
              <w:t>DG</w:t>
            </w:r>
            <w:r>
              <w:rPr>
                <w:b/>
                <w:spacing w:val="-10"/>
                <w:sz w:val="24"/>
              </w:rPr>
              <w:t> </w:t>
            </w:r>
            <w:r>
              <w:rPr>
                <w:b/>
                <w:sz w:val="24"/>
              </w:rPr>
              <w:t>des</w:t>
            </w:r>
            <w:r>
              <w:rPr>
                <w:b/>
                <w:spacing w:val="-6"/>
                <w:sz w:val="24"/>
              </w:rPr>
              <w:t> </w:t>
            </w:r>
            <w:r>
              <w:rPr>
                <w:b/>
                <w:sz w:val="24"/>
              </w:rPr>
              <w:t>Partenariats</w:t>
            </w:r>
            <w:r>
              <w:rPr>
                <w:b/>
                <w:spacing w:val="-7"/>
                <w:sz w:val="24"/>
              </w:rPr>
              <w:t> </w:t>
            </w:r>
            <w:r>
              <w:rPr>
                <w:b/>
                <w:sz w:val="24"/>
              </w:rPr>
              <w:t>Internationaux</w:t>
            </w:r>
            <w:r>
              <w:rPr>
                <w:b/>
                <w:spacing w:val="-8"/>
                <w:sz w:val="24"/>
              </w:rPr>
              <w:t> </w:t>
            </w:r>
            <w:r>
              <w:rPr>
                <w:b/>
                <w:sz w:val="24"/>
              </w:rPr>
              <w:t>(DG</w:t>
            </w:r>
            <w:r>
              <w:rPr>
                <w:b/>
                <w:spacing w:val="-10"/>
                <w:sz w:val="24"/>
              </w:rPr>
              <w:t> </w:t>
            </w:r>
            <w:r>
              <w:rPr>
                <w:b/>
                <w:sz w:val="24"/>
              </w:rPr>
              <w:t>INTPA) Direction INTPA.D Politique et coordination du développement durable</w:t>
            </w:r>
          </w:p>
          <w:p>
            <w:pPr>
              <w:pStyle w:val="TableParagraph"/>
              <w:spacing w:line="270" w:lineRule="atLeast"/>
              <w:rPr>
                <w:b/>
                <w:sz w:val="24"/>
              </w:rPr>
            </w:pPr>
            <w:r>
              <w:rPr>
                <w:b/>
                <w:sz w:val="24"/>
              </w:rPr>
              <w:t>Unité INTPA.D4 Performance; résultats et évaluation;</w:t>
            </w:r>
            <w:r>
              <w:rPr>
                <w:b/>
                <w:spacing w:val="-11"/>
                <w:sz w:val="24"/>
              </w:rPr>
              <w:t> </w:t>
            </w:r>
            <w:r>
              <w:rPr>
                <w:b/>
                <w:sz w:val="24"/>
              </w:rPr>
              <w:t>communication</w:t>
            </w:r>
            <w:r>
              <w:rPr>
                <w:b/>
                <w:spacing w:val="-10"/>
                <w:sz w:val="24"/>
              </w:rPr>
              <w:t> </w:t>
            </w:r>
            <w:r>
              <w:rPr>
                <w:b/>
                <w:sz w:val="24"/>
              </w:rPr>
              <w:t>interne;</w:t>
            </w:r>
            <w:r>
              <w:rPr>
                <w:b/>
                <w:spacing w:val="-11"/>
                <w:sz w:val="24"/>
              </w:rPr>
              <w:t> </w:t>
            </w:r>
            <w:r>
              <w:rPr>
                <w:b/>
                <w:sz w:val="24"/>
              </w:rPr>
              <w:t>gestion</w:t>
            </w:r>
            <w:r>
              <w:rPr>
                <w:b/>
                <w:spacing w:val="-11"/>
                <w:sz w:val="24"/>
              </w:rPr>
              <w:t> </w:t>
            </w:r>
            <w:r>
              <w:rPr>
                <w:b/>
                <w:sz w:val="24"/>
              </w:rPr>
              <w:t>des connaissances et méthodes collaboratives</w:t>
            </w:r>
          </w:p>
        </w:tc>
      </w:tr>
      <w:tr>
        <w:trPr>
          <w:trHeight w:val="1975"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51" w:lineRule="exact"/>
              <w:rPr>
                <w:b/>
                <w:sz w:val="22"/>
              </w:rPr>
            </w:pPr>
            <w:r>
              <w:rPr>
                <w:b/>
                <w:sz w:val="22"/>
              </w:rPr>
              <w:t>Jean-Hervé</w:t>
            </w:r>
            <w:r>
              <w:rPr>
                <w:b/>
                <w:spacing w:val="-4"/>
                <w:sz w:val="22"/>
              </w:rPr>
              <w:t> RAMAT</w:t>
            </w:r>
          </w:p>
          <w:p>
            <w:pPr>
              <w:pStyle w:val="TableParagraph"/>
              <w:rPr>
                <w:b/>
                <w:sz w:val="22"/>
              </w:rPr>
            </w:pPr>
            <w:hyperlink r:id="rId7">
              <w:r>
                <w:rPr>
                  <w:b/>
                  <w:spacing w:val="-2"/>
                  <w:sz w:val="22"/>
                </w:rPr>
                <w:t>Jean-Herve.RAMAT@ec.europa.eu</w:t>
              </w:r>
            </w:hyperlink>
          </w:p>
          <w:p>
            <w:pPr>
              <w:pStyle w:val="TableParagraph"/>
              <w:spacing w:before="1"/>
              <w:rPr>
                <w:b/>
                <w:sz w:val="22"/>
              </w:rPr>
            </w:pPr>
            <w:r>
              <w:rPr>
                <w:b/>
                <w:sz w:val="22"/>
              </w:rPr>
              <w:t>+32</w:t>
            </w:r>
            <w:r>
              <w:rPr>
                <w:b/>
                <w:spacing w:val="-2"/>
                <w:sz w:val="22"/>
              </w:rPr>
              <w:t> </w:t>
            </w:r>
            <w:r>
              <w:rPr>
                <w:b/>
                <w:sz w:val="22"/>
              </w:rPr>
              <w:t>229-</w:t>
            </w:r>
            <w:r>
              <w:rPr>
                <w:b/>
                <w:spacing w:val="-2"/>
                <w:sz w:val="22"/>
              </w:rPr>
              <w:t>52621</w:t>
            </w:r>
          </w:p>
          <w:p>
            <w:pPr>
              <w:pStyle w:val="TableParagraph"/>
              <w:spacing w:before="9"/>
              <w:ind w:left="0"/>
              <w:rPr>
                <w:b/>
                <w:sz w:val="21"/>
              </w:rPr>
            </w:pPr>
          </w:p>
          <w:p>
            <w:pPr>
              <w:pStyle w:val="TableParagraph"/>
              <w:rPr>
                <w:b/>
                <w:sz w:val="22"/>
              </w:rPr>
            </w:pPr>
            <w:r>
              <w:rPr>
                <w:b/>
                <w:sz w:val="22"/>
              </w:rPr>
              <w:t>3</w:t>
            </w:r>
            <w:r>
              <w:rPr>
                <w:b/>
                <w:sz w:val="22"/>
                <w:vertAlign w:val="superscript"/>
              </w:rPr>
              <w:t>ème</w:t>
            </w:r>
            <w:r>
              <w:rPr>
                <w:b/>
                <w:spacing w:val="-4"/>
                <w:sz w:val="22"/>
                <w:vertAlign w:val="baseline"/>
              </w:rPr>
              <w:t> </w:t>
            </w:r>
            <w:r>
              <w:rPr>
                <w:b/>
                <w:sz w:val="22"/>
                <w:vertAlign w:val="baseline"/>
              </w:rPr>
              <w:t>trimestre</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spacing w:line="250" w:lineRule="exact" w:before="2"/>
              <w:rPr>
                <w:b/>
                <w:sz w:val="22"/>
              </w:rPr>
            </w:pPr>
            <w:r>
              <w:rPr>
                <w:b/>
                <w:sz w:val="22"/>
              </w:rPr>
              <w:t>2 </w:t>
            </w:r>
            <w:r>
              <w:rPr>
                <w:b/>
                <w:spacing w:val="-4"/>
                <w:sz w:val="22"/>
              </w:rPr>
              <w:t>ans</w:t>
            </w:r>
            <w:r>
              <w:rPr>
                <w:b/>
                <w:spacing w:val="-4"/>
                <w:sz w:val="22"/>
                <w:vertAlign w:val="superscript"/>
              </w:rPr>
              <w:t>1</w:t>
            </w:r>
          </w:p>
          <w:p>
            <w:pPr>
              <w:pStyle w:val="TableParagraph"/>
              <w:spacing w:line="250"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6"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z w:val="22"/>
              </w:rPr>
              <w:t></w:t>
            </w:r>
            <w:r>
              <w:rPr>
                <w:spacing w:val="52"/>
                <w:sz w:val="22"/>
              </w:rPr>
              <w:t> </w:t>
            </w:r>
            <w:r>
              <w:rPr>
                <w:b/>
                <w:sz w:val="22"/>
              </w:rPr>
              <w:t>Sans</w:t>
            </w:r>
            <w:r>
              <w:rPr>
                <w:b/>
                <w:spacing w:val="-3"/>
                <w:sz w:val="22"/>
              </w:rPr>
              <w:t> </w:t>
            </w:r>
            <w:r>
              <w:rPr>
                <w:b/>
                <w:spacing w:val="-2"/>
                <w:sz w:val="22"/>
              </w:rPr>
              <w:t>frais</w:t>
            </w:r>
          </w:p>
        </w:tc>
      </w:tr>
      <w:tr>
        <w:trPr>
          <w:trHeight w:val="2111" w:hRule="atLeast"/>
        </w:trPr>
        <w:tc>
          <w:tcPr>
            <w:tcW w:w="9956" w:type="dxa"/>
            <w:gridSpan w:val="2"/>
          </w:tcPr>
          <w:p>
            <w:pPr>
              <w:pStyle w:val="TableParagraph"/>
              <w:spacing w:before="169"/>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ind w:left="0"/>
              <w:rPr>
                <w:b/>
                <w:sz w:val="22"/>
              </w:rPr>
            </w:pPr>
          </w:p>
          <w:p>
            <w:pPr>
              <w:pStyle w:val="TableParagraph"/>
              <w:numPr>
                <w:ilvl w:val="0"/>
                <w:numId w:val="1"/>
              </w:numPr>
              <w:tabs>
                <w:tab w:pos="523" w:val="left" w:leader="none"/>
                <w:tab w:pos="524" w:val="left" w:leader="none"/>
              </w:tabs>
              <w:spacing w:line="253"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3" w:lineRule="exact" w:before="0"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1"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6"/>
        <w:rPr>
          <w:b/>
          <w:sz w:val="15"/>
        </w:rPr>
      </w:pPr>
    </w:p>
    <w:p>
      <w:pPr>
        <w:pStyle w:val="BodyText"/>
        <w:spacing w:before="92"/>
        <w:ind w:left="559" w:right="106"/>
        <w:jc w:val="both"/>
      </w:pPr>
      <w:r>
        <w:rPr/>
        <w:t>L’END</w:t>
      </w:r>
      <w:r>
        <w:rPr>
          <w:spacing w:val="-1"/>
        </w:rPr>
        <w:t> </w:t>
      </w:r>
      <w:r>
        <w:rPr/>
        <w:t>fera partie de</w:t>
      </w:r>
      <w:r>
        <w:rPr>
          <w:spacing w:val="-2"/>
        </w:rPr>
        <w:t> </w:t>
      </w:r>
      <w:r>
        <w:rPr/>
        <w:t>l’unité INTPA.D4, de la direction générale des partenariats</w:t>
      </w:r>
      <w:r>
        <w:rPr>
          <w:spacing w:val="-2"/>
        </w:rPr>
        <w:t> </w:t>
      </w:r>
      <w:r>
        <w:rPr/>
        <w:t>internationaux (DG INTPA), unité INTPA.D4, qui a pour mission d’améliorer la qualité et de renforcer l’impact de la coopération au développement de l’UE à chaque étape du cycle de l’intervention. Cette unité assure en tant que chef de file</w:t>
      </w:r>
      <w:r>
        <w:rPr>
          <w:spacing w:val="-1"/>
        </w:rPr>
        <w:t> </w:t>
      </w:r>
      <w:r>
        <w:rPr/>
        <w:t>la coordination du programme de la DG INTPA axé sur</w:t>
      </w:r>
      <w:r>
        <w:rPr>
          <w:spacing w:val="-1"/>
        </w:rPr>
        <w:t> </w:t>
      </w:r>
      <w:r>
        <w:rPr/>
        <w:t>les</w:t>
      </w:r>
      <w:r>
        <w:rPr>
          <w:spacing w:val="-1"/>
        </w:rPr>
        <w:t> </w:t>
      </w:r>
      <w:r>
        <w:rPr/>
        <w:t>résultats fondés sur des</w:t>
      </w:r>
      <w:r>
        <w:rPr>
          <w:spacing w:val="-1"/>
        </w:rPr>
        <w:t> </w:t>
      </w:r>
      <w:r>
        <w:rPr/>
        <w:t>données probantes</w:t>
      </w:r>
      <w:r>
        <w:rPr>
          <w:spacing w:val="-1"/>
        </w:rPr>
        <w:t> </w:t>
      </w:r>
      <w:r>
        <w:rPr/>
        <w:t>(en étroite collaboration avec DG NEAR, FPI, EEAS) d’un point de vue méthodologique (élaborer une stratégie et</w:t>
      </w:r>
      <w:r>
        <w:rPr>
          <w:spacing w:val="40"/>
        </w:rPr>
        <w:t> </w:t>
      </w:r>
      <w:r>
        <w:rPr/>
        <w:t>fournir des orientations concernant la conception, le suivi, l’évaluation des interventions et la mesure de leurs </w:t>
      </w:r>
      <w:r>
        <w:rPr>
          <w:spacing w:val="-2"/>
        </w:rPr>
        <w:t>résultats).</w:t>
      </w:r>
    </w:p>
    <w:p>
      <w:pPr>
        <w:pStyle w:val="BodyText"/>
      </w:pPr>
    </w:p>
    <w:p>
      <w:pPr>
        <w:pStyle w:val="BodyText"/>
        <w:ind w:left="559" w:right="110"/>
        <w:jc w:val="both"/>
      </w:pPr>
      <w:r>
        <w:rPr/>
        <w:t>Il/elle sera chargé d'organiser et de gérer des activités liées à l’élaboration de bonnes pratiques et d’améliorations méthodologiques en matière de programmation, de conception, de suivi des résultats et d’évaluation, notamment dans les domaines suivants:</w:t>
      </w:r>
    </w:p>
    <w:p>
      <w:pPr>
        <w:pStyle w:val="BodyText"/>
        <w:spacing w:before="2"/>
      </w:pPr>
    </w:p>
    <w:p>
      <w:pPr>
        <w:pStyle w:val="ListParagraph"/>
        <w:numPr>
          <w:ilvl w:val="1"/>
          <w:numId w:val="2"/>
        </w:numPr>
        <w:tabs>
          <w:tab w:pos="1279" w:val="left" w:leader="none"/>
          <w:tab w:pos="1280" w:val="left" w:leader="none"/>
        </w:tabs>
        <w:spacing w:line="269" w:lineRule="exact" w:before="0" w:after="0"/>
        <w:ind w:left="1279" w:right="0" w:hanging="361"/>
        <w:jc w:val="left"/>
        <w:rPr>
          <w:sz w:val="22"/>
        </w:rPr>
      </w:pPr>
      <w:r>
        <w:rPr>
          <w:sz w:val="22"/>
        </w:rPr>
        <w:t>méthodologies</w:t>
      </w:r>
      <w:r>
        <w:rPr>
          <w:spacing w:val="-8"/>
          <w:sz w:val="22"/>
        </w:rPr>
        <w:t> </w:t>
      </w:r>
      <w:r>
        <w:rPr>
          <w:sz w:val="22"/>
        </w:rPr>
        <w:t>et</w:t>
      </w:r>
      <w:r>
        <w:rPr>
          <w:spacing w:val="-2"/>
          <w:sz w:val="22"/>
        </w:rPr>
        <w:t> </w:t>
      </w:r>
      <w:r>
        <w:rPr>
          <w:sz w:val="22"/>
        </w:rPr>
        <w:t>outils</w:t>
      </w:r>
      <w:r>
        <w:rPr>
          <w:spacing w:val="-5"/>
          <w:sz w:val="22"/>
        </w:rPr>
        <w:t> </w:t>
      </w:r>
      <w:r>
        <w:rPr>
          <w:sz w:val="22"/>
        </w:rPr>
        <w:t>pour</w:t>
      </w:r>
      <w:r>
        <w:rPr>
          <w:spacing w:val="-3"/>
          <w:sz w:val="22"/>
        </w:rPr>
        <w:t> </w:t>
      </w:r>
      <w:r>
        <w:rPr>
          <w:sz w:val="22"/>
        </w:rPr>
        <w:t>les</w:t>
      </w:r>
      <w:r>
        <w:rPr>
          <w:spacing w:val="-3"/>
          <w:sz w:val="22"/>
        </w:rPr>
        <w:t> </w:t>
      </w:r>
      <w:r>
        <w:rPr>
          <w:sz w:val="22"/>
        </w:rPr>
        <w:t>systèmes</w:t>
      </w:r>
      <w:r>
        <w:rPr>
          <w:spacing w:val="-3"/>
          <w:sz w:val="22"/>
        </w:rPr>
        <w:t> </w:t>
      </w:r>
      <w:r>
        <w:rPr>
          <w:sz w:val="22"/>
        </w:rPr>
        <w:t>d’évaluation,</w:t>
      </w:r>
      <w:r>
        <w:rPr>
          <w:spacing w:val="-6"/>
          <w:sz w:val="22"/>
        </w:rPr>
        <w:t> </w:t>
      </w:r>
      <w:r>
        <w:rPr>
          <w:sz w:val="22"/>
        </w:rPr>
        <w:t>de</w:t>
      </w:r>
      <w:r>
        <w:rPr>
          <w:spacing w:val="-3"/>
          <w:sz w:val="22"/>
        </w:rPr>
        <w:t> </w:t>
      </w:r>
      <w:r>
        <w:rPr>
          <w:sz w:val="22"/>
        </w:rPr>
        <w:t>suivi</w:t>
      </w:r>
      <w:r>
        <w:rPr>
          <w:spacing w:val="-2"/>
          <w:sz w:val="22"/>
        </w:rPr>
        <w:t> </w:t>
      </w:r>
      <w:r>
        <w:rPr>
          <w:sz w:val="22"/>
        </w:rPr>
        <w:t>et</w:t>
      </w:r>
      <w:r>
        <w:rPr>
          <w:spacing w:val="-5"/>
          <w:sz w:val="22"/>
        </w:rPr>
        <w:t> </w:t>
      </w:r>
      <w:r>
        <w:rPr>
          <w:sz w:val="22"/>
        </w:rPr>
        <w:t>de</w:t>
      </w:r>
      <w:r>
        <w:rPr>
          <w:spacing w:val="-3"/>
          <w:sz w:val="22"/>
        </w:rPr>
        <w:t> </w:t>
      </w:r>
      <w:r>
        <w:rPr>
          <w:sz w:val="22"/>
        </w:rPr>
        <w:t>rapport</w:t>
      </w:r>
      <w:r>
        <w:rPr>
          <w:spacing w:val="-5"/>
          <w:sz w:val="22"/>
        </w:rPr>
        <w:t> </w:t>
      </w:r>
      <w:r>
        <w:rPr>
          <w:spacing w:val="-2"/>
          <w:sz w:val="22"/>
        </w:rPr>
        <w:t>internes;</w:t>
      </w:r>
    </w:p>
    <w:p>
      <w:pPr>
        <w:pStyle w:val="ListParagraph"/>
        <w:numPr>
          <w:ilvl w:val="1"/>
          <w:numId w:val="2"/>
        </w:numPr>
        <w:tabs>
          <w:tab w:pos="1279" w:val="left" w:leader="none"/>
          <w:tab w:pos="1280" w:val="left" w:leader="none"/>
        </w:tabs>
        <w:spacing w:line="269" w:lineRule="exact" w:before="0" w:after="0"/>
        <w:ind w:left="1279" w:right="0" w:hanging="361"/>
        <w:jc w:val="left"/>
        <w:rPr>
          <w:sz w:val="22"/>
        </w:rPr>
      </w:pPr>
      <w:r>
        <w:rPr>
          <w:sz w:val="22"/>
        </w:rPr>
        <w:t>définition</w:t>
      </w:r>
      <w:r>
        <w:rPr>
          <w:spacing w:val="-5"/>
          <w:sz w:val="22"/>
        </w:rPr>
        <w:t> </w:t>
      </w:r>
      <w:r>
        <w:rPr>
          <w:sz w:val="22"/>
        </w:rPr>
        <w:t>et</w:t>
      </w:r>
      <w:r>
        <w:rPr>
          <w:spacing w:val="-5"/>
          <w:sz w:val="22"/>
        </w:rPr>
        <w:t> </w:t>
      </w:r>
      <w:r>
        <w:rPr>
          <w:sz w:val="22"/>
        </w:rPr>
        <w:t>amélioration</w:t>
      </w:r>
      <w:r>
        <w:rPr>
          <w:spacing w:val="-7"/>
          <w:sz w:val="22"/>
        </w:rPr>
        <w:t> </w:t>
      </w:r>
      <w:r>
        <w:rPr>
          <w:sz w:val="22"/>
        </w:rPr>
        <w:t>des</w:t>
      </w:r>
      <w:r>
        <w:rPr>
          <w:spacing w:val="-4"/>
          <w:sz w:val="22"/>
        </w:rPr>
        <w:t> </w:t>
      </w:r>
      <w:r>
        <w:rPr>
          <w:sz w:val="22"/>
        </w:rPr>
        <w:t>processus</w:t>
      </w:r>
      <w:r>
        <w:rPr>
          <w:spacing w:val="-6"/>
          <w:sz w:val="22"/>
        </w:rPr>
        <w:t> </w:t>
      </w:r>
      <w:r>
        <w:rPr>
          <w:spacing w:val="-2"/>
          <w:sz w:val="22"/>
        </w:rPr>
        <w:t>opérationnels;</w:t>
      </w:r>
    </w:p>
    <w:p>
      <w:pPr>
        <w:pStyle w:val="ListParagraph"/>
        <w:numPr>
          <w:ilvl w:val="1"/>
          <w:numId w:val="2"/>
        </w:numPr>
        <w:tabs>
          <w:tab w:pos="1279" w:val="left" w:leader="none"/>
          <w:tab w:pos="1280" w:val="left" w:leader="none"/>
        </w:tabs>
        <w:spacing w:line="240" w:lineRule="auto" w:before="0" w:after="0"/>
        <w:ind w:left="1279" w:right="111" w:hanging="360"/>
        <w:jc w:val="left"/>
        <w:rPr>
          <w:sz w:val="22"/>
        </w:rPr>
      </w:pPr>
      <w:r>
        <w:rPr>
          <w:sz w:val="22"/>
        </w:rPr>
        <w:t>intégration</w:t>
      </w:r>
      <w:r>
        <w:rPr>
          <w:spacing w:val="-1"/>
          <w:sz w:val="22"/>
        </w:rPr>
        <w:t> </w:t>
      </w:r>
      <w:r>
        <w:rPr>
          <w:sz w:val="22"/>
        </w:rPr>
        <w:t>systématique</w:t>
      </w:r>
      <w:r>
        <w:rPr>
          <w:spacing w:val="-1"/>
          <w:sz w:val="22"/>
        </w:rPr>
        <w:t> </w:t>
      </w:r>
      <w:r>
        <w:rPr>
          <w:sz w:val="22"/>
        </w:rPr>
        <w:t>des</w:t>
      </w:r>
      <w:r>
        <w:rPr>
          <w:spacing w:val="-1"/>
          <w:sz w:val="22"/>
        </w:rPr>
        <w:t> </w:t>
      </w:r>
      <w:r>
        <w:rPr>
          <w:sz w:val="22"/>
        </w:rPr>
        <w:t>observations</w:t>
      </w:r>
      <w:r>
        <w:rPr>
          <w:spacing w:val="-1"/>
          <w:sz w:val="22"/>
        </w:rPr>
        <w:t> </w:t>
      </w:r>
      <w:r>
        <w:rPr>
          <w:sz w:val="22"/>
        </w:rPr>
        <w:t>et des</w:t>
      </w:r>
      <w:r>
        <w:rPr>
          <w:spacing w:val="-1"/>
          <w:sz w:val="22"/>
        </w:rPr>
        <w:t> </w:t>
      </w:r>
      <w:r>
        <w:rPr>
          <w:sz w:val="22"/>
        </w:rPr>
        <w:t>conclusions</w:t>
      </w:r>
      <w:r>
        <w:rPr>
          <w:spacing w:val="-1"/>
          <w:sz w:val="22"/>
        </w:rPr>
        <w:t> </w:t>
      </w:r>
      <w:r>
        <w:rPr>
          <w:sz w:val="22"/>
        </w:rPr>
        <w:t>des</w:t>
      </w:r>
      <w:r>
        <w:rPr>
          <w:spacing w:val="-3"/>
          <w:sz w:val="22"/>
        </w:rPr>
        <w:t> </w:t>
      </w:r>
      <w:r>
        <w:rPr>
          <w:sz w:val="22"/>
        </w:rPr>
        <w:t>rapports</w:t>
      </w:r>
      <w:r>
        <w:rPr>
          <w:spacing w:val="-1"/>
          <w:sz w:val="22"/>
        </w:rPr>
        <w:t> </w:t>
      </w:r>
      <w:r>
        <w:rPr>
          <w:sz w:val="22"/>
        </w:rPr>
        <w:t>de</w:t>
      </w:r>
      <w:r>
        <w:rPr>
          <w:spacing w:val="-1"/>
          <w:sz w:val="22"/>
        </w:rPr>
        <w:t> </w:t>
      </w:r>
      <w:r>
        <w:rPr>
          <w:sz w:val="22"/>
        </w:rPr>
        <w:t>suivi et d’évaluation</w:t>
      </w:r>
      <w:r>
        <w:rPr>
          <w:spacing w:val="-1"/>
          <w:sz w:val="22"/>
        </w:rPr>
        <w:t> </w:t>
      </w:r>
      <w:r>
        <w:rPr>
          <w:sz w:val="22"/>
        </w:rPr>
        <w:t>dans la conception des interventions;</w:t>
      </w:r>
    </w:p>
    <w:p>
      <w:pPr>
        <w:pStyle w:val="ListParagraph"/>
        <w:numPr>
          <w:ilvl w:val="1"/>
          <w:numId w:val="2"/>
        </w:numPr>
        <w:tabs>
          <w:tab w:pos="1279" w:val="left" w:leader="none"/>
          <w:tab w:pos="1280" w:val="left" w:leader="none"/>
        </w:tabs>
        <w:spacing w:line="240" w:lineRule="auto" w:before="0" w:after="0"/>
        <w:ind w:left="1279" w:right="113" w:hanging="360"/>
        <w:jc w:val="left"/>
        <w:rPr>
          <w:sz w:val="22"/>
        </w:rPr>
      </w:pPr>
      <w:r>
        <w:rPr>
          <w:sz w:val="22"/>
        </w:rPr>
        <w:t>révision</w:t>
      </w:r>
      <w:r>
        <w:rPr>
          <w:spacing w:val="26"/>
          <w:sz w:val="22"/>
        </w:rPr>
        <w:t> </w:t>
      </w:r>
      <w:r>
        <w:rPr>
          <w:sz w:val="22"/>
        </w:rPr>
        <w:t>des</w:t>
      </w:r>
      <w:r>
        <w:rPr>
          <w:spacing w:val="27"/>
          <w:sz w:val="22"/>
        </w:rPr>
        <w:t> </w:t>
      </w:r>
      <w:r>
        <w:rPr>
          <w:sz w:val="22"/>
        </w:rPr>
        <w:t>cadres</w:t>
      </w:r>
      <w:r>
        <w:rPr>
          <w:spacing w:val="27"/>
          <w:sz w:val="22"/>
        </w:rPr>
        <w:t> </w:t>
      </w:r>
      <w:r>
        <w:rPr>
          <w:sz w:val="22"/>
        </w:rPr>
        <w:t>de</w:t>
      </w:r>
      <w:r>
        <w:rPr>
          <w:spacing w:val="24"/>
          <w:sz w:val="22"/>
        </w:rPr>
        <w:t> </w:t>
      </w:r>
      <w:r>
        <w:rPr>
          <w:sz w:val="22"/>
        </w:rPr>
        <w:t>résultats</w:t>
      </w:r>
      <w:r>
        <w:rPr>
          <w:spacing w:val="24"/>
          <w:sz w:val="22"/>
        </w:rPr>
        <w:t> </w:t>
      </w:r>
      <w:r>
        <w:rPr>
          <w:sz w:val="22"/>
        </w:rPr>
        <w:t>et</w:t>
      </w:r>
      <w:r>
        <w:rPr>
          <w:spacing w:val="25"/>
          <w:sz w:val="22"/>
        </w:rPr>
        <w:t> </w:t>
      </w:r>
      <w:r>
        <w:rPr>
          <w:sz w:val="22"/>
        </w:rPr>
        <w:t>des</w:t>
      </w:r>
      <w:r>
        <w:rPr>
          <w:spacing w:val="25"/>
          <w:sz w:val="22"/>
        </w:rPr>
        <w:t> </w:t>
      </w:r>
      <w:r>
        <w:rPr>
          <w:sz w:val="22"/>
        </w:rPr>
        <w:t>rapports</w:t>
      </w:r>
      <w:r>
        <w:rPr>
          <w:spacing w:val="24"/>
          <w:sz w:val="22"/>
        </w:rPr>
        <w:t> </w:t>
      </w:r>
      <w:r>
        <w:rPr>
          <w:sz w:val="22"/>
        </w:rPr>
        <w:t>sur</w:t>
      </w:r>
      <w:r>
        <w:rPr>
          <w:spacing w:val="25"/>
          <w:sz w:val="22"/>
        </w:rPr>
        <w:t> </w:t>
      </w:r>
      <w:r>
        <w:rPr>
          <w:sz w:val="22"/>
        </w:rPr>
        <w:t>les</w:t>
      </w:r>
      <w:r>
        <w:rPr>
          <w:spacing w:val="27"/>
          <w:sz w:val="22"/>
        </w:rPr>
        <w:t> </w:t>
      </w:r>
      <w:r>
        <w:rPr>
          <w:sz w:val="22"/>
        </w:rPr>
        <w:t>résultats</w:t>
      </w:r>
      <w:r>
        <w:rPr>
          <w:spacing w:val="24"/>
          <w:sz w:val="22"/>
        </w:rPr>
        <w:t> </w:t>
      </w:r>
      <w:r>
        <w:rPr>
          <w:sz w:val="22"/>
        </w:rPr>
        <w:t>[y</w:t>
      </w:r>
      <w:r>
        <w:rPr>
          <w:spacing w:val="24"/>
          <w:sz w:val="22"/>
        </w:rPr>
        <w:t> </w:t>
      </w:r>
      <w:r>
        <w:rPr>
          <w:sz w:val="22"/>
        </w:rPr>
        <w:t>compris</w:t>
      </w:r>
      <w:r>
        <w:rPr>
          <w:spacing w:val="27"/>
          <w:sz w:val="22"/>
        </w:rPr>
        <w:t> </w:t>
      </w:r>
      <w:r>
        <w:rPr>
          <w:sz w:val="22"/>
        </w:rPr>
        <w:t>pour</w:t>
      </w:r>
      <w:r>
        <w:rPr>
          <w:spacing w:val="27"/>
          <w:sz w:val="22"/>
        </w:rPr>
        <w:t> </w:t>
      </w:r>
      <w:r>
        <w:rPr>
          <w:sz w:val="22"/>
        </w:rPr>
        <w:t>le</w:t>
      </w:r>
      <w:r>
        <w:rPr>
          <w:spacing w:val="27"/>
          <w:sz w:val="22"/>
        </w:rPr>
        <w:t> </w:t>
      </w:r>
      <w:r>
        <w:rPr>
          <w:sz w:val="22"/>
        </w:rPr>
        <w:t>Fonds</w:t>
      </w:r>
      <w:r>
        <w:rPr>
          <w:spacing w:val="27"/>
          <w:sz w:val="22"/>
        </w:rPr>
        <w:t> </w:t>
      </w:r>
      <w:r>
        <w:rPr>
          <w:sz w:val="22"/>
        </w:rPr>
        <w:t>européen pour le développement durable Plus (FEDD +)];</w:t>
      </w:r>
    </w:p>
    <w:p>
      <w:pPr>
        <w:pStyle w:val="BodyText"/>
        <w:rPr>
          <w:sz w:val="20"/>
        </w:rPr>
      </w:pPr>
    </w:p>
    <w:p>
      <w:pPr>
        <w:pStyle w:val="BodyText"/>
        <w:spacing w:before="5"/>
        <w:rPr>
          <w:sz w:val="26"/>
        </w:rPr>
      </w:pPr>
      <w:r>
        <w:rPr/>
        <w:pict>
          <v:rect style="position:absolute;margin-left:42.599998pt;margin-top:16.433945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2"/>
          <w:numId w:val="2"/>
        </w:numPr>
        <w:tabs>
          <w:tab w:pos="2000" w:val="left" w:leader="none"/>
        </w:tabs>
        <w:spacing w:line="240" w:lineRule="auto" w:before="89" w:after="0"/>
        <w:ind w:left="1999" w:right="108" w:hanging="360"/>
        <w:jc w:val="both"/>
        <w:rPr>
          <w:sz w:val="22"/>
        </w:rPr>
      </w:pPr>
      <w:r>
        <w:rPr>
          <w:sz w:val="22"/>
        </w:rPr>
        <w:t>soutien aux délégations de l’UE et aux unités du siège de la DG INTPA en ce qui concerne la qualité des résultats et des indicateurs à toutes les étapes du cycle de l’intervention, y compris dans les documents stratégiques, les documents de programmation et les documents d’action </w:t>
      </w:r>
      <w:r>
        <w:rPr>
          <w:spacing w:val="-2"/>
          <w:sz w:val="22"/>
        </w:rPr>
        <w:t>individuels;</w:t>
      </w:r>
    </w:p>
    <w:p>
      <w:pPr>
        <w:pStyle w:val="ListParagraph"/>
        <w:numPr>
          <w:ilvl w:val="2"/>
          <w:numId w:val="2"/>
        </w:numPr>
        <w:tabs>
          <w:tab w:pos="2000" w:val="left" w:leader="none"/>
        </w:tabs>
        <w:spacing w:line="240" w:lineRule="auto" w:before="1" w:after="0"/>
        <w:ind w:left="1999" w:right="112" w:hanging="360"/>
        <w:jc w:val="both"/>
        <w:rPr>
          <w:sz w:val="22"/>
        </w:rPr>
      </w:pPr>
      <w:r>
        <w:rPr>
          <w:sz w:val="22"/>
        </w:rPr>
        <w:t>contribution aux réseaux thématiques, aux divers groupes de travail qui existent au sein de la DG INTPA ainsi que de la famille des relations extérieures et qui traitent de questions spécifiques de coopération internationale et développement;</w:t>
      </w:r>
    </w:p>
    <w:p>
      <w:pPr>
        <w:pStyle w:val="ListParagraph"/>
        <w:numPr>
          <w:ilvl w:val="2"/>
          <w:numId w:val="2"/>
        </w:numPr>
        <w:tabs>
          <w:tab w:pos="2000" w:val="left" w:leader="none"/>
        </w:tabs>
        <w:spacing w:line="240" w:lineRule="auto" w:before="0" w:after="0"/>
        <w:ind w:left="1999" w:right="109" w:hanging="360"/>
        <w:jc w:val="both"/>
        <w:rPr>
          <w:sz w:val="22"/>
        </w:rPr>
      </w:pPr>
      <w:r>
        <w:rPr>
          <w:sz w:val="22"/>
        </w:rPr>
        <w:t>activités conjointes avec d’autres bailleurs (rapports conjoints sur les résultats, discussions méthodologiques et autres exercices thématiques) et structures de suivi/évaluation dans le domaine de la coopération internationale et du développement (OCDE/CAD, Banque mondiale, Nations unies);</w:t>
      </w:r>
    </w:p>
    <w:p>
      <w:pPr>
        <w:pStyle w:val="ListParagraph"/>
        <w:numPr>
          <w:ilvl w:val="2"/>
          <w:numId w:val="2"/>
        </w:numPr>
        <w:tabs>
          <w:tab w:pos="2000" w:val="left" w:leader="none"/>
        </w:tabs>
        <w:spacing w:line="240" w:lineRule="auto" w:before="0" w:after="0"/>
        <w:ind w:left="1999" w:right="105" w:hanging="360"/>
        <w:jc w:val="both"/>
        <w:rPr>
          <w:sz w:val="22"/>
        </w:rPr>
      </w:pPr>
      <w:r>
        <w:rPr>
          <w:sz w:val="22"/>
        </w:rPr>
        <w:t>collaboration avec des États membres de l’UE, d’autres bailleurs, des institutions financières</w:t>
      </w:r>
      <w:r>
        <w:rPr>
          <w:spacing w:val="40"/>
          <w:sz w:val="22"/>
        </w:rPr>
        <w:t> </w:t>
      </w:r>
      <w:r>
        <w:rPr>
          <w:sz w:val="22"/>
        </w:rPr>
        <w:t>et des pays partenaires sur la gestion axée sur les résultats, l’assurance de la qualité et le renforcement des capacités (y compris les projets pilotes de jumelage);</w:t>
      </w:r>
    </w:p>
    <w:p>
      <w:pPr>
        <w:pStyle w:val="ListParagraph"/>
        <w:numPr>
          <w:ilvl w:val="2"/>
          <w:numId w:val="2"/>
        </w:numPr>
        <w:tabs>
          <w:tab w:pos="2000" w:val="left" w:leader="none"/>
        </w:tabs>
        <w:spacing w:line="240" w:lineRule="auto" w:before="0" w:after="0"/>
        <w:ind w:left="1999" w:right="105" w:hanging="360"/>
        <w:jc w:val="both"/>
        <w:rPr>
          <w:sz w:val="22"/>
        </w:rPr>
      </w:pPr>
      <w:r>
        <w:rPr>
          <w:sz w:val="22"/>
        </w:rPr>
        <w:t>organisation d’activités de diffusion à l’intention des parties prenantes et du grand public et promotion du feedback en vue d'une intégration dans les processus de programmation législative, budgétaire et stratégique de la DG INTPA;</w:t>
      </w:r>
    </w:p>
    <w:p>
      <w:pPr>
        <w:pStyle w:val="ListParagraph"/>
        <w:numPr>
          <w:ilvl w:val="2"/>
          <w:numId w:val="2"/>
        </w:numPr>
        <w:tabs>
          <w:tab w:pos="2000" w:val="left" w:leader="none"/>
        </w:tabs>
        <w:spacing w:line="237" w:lineRule="auto" w:before="0" w:after="0"/>
        <w:ind w:left="1999" w:right="112" w:hanging="360"/>
        <w:jc w:val="both"/>
        <w:rPr>
          <w:sz w:val="22"/>
        </w:rPr>
      </w:pPr>
      <w:r>
        <w:rPr>
          <w:sz w:val="22"/>
        </w:rPr>
        <w:t>conseil et formation sur les procédures d’évaluation, de conception et de suivi, les méthodes, les techniques et les activités de partage des connaissances.</w:t>
      </w:r>
    </w:p>
    <w:p>
      <w:pPr>
        <w:pStyle w:val="BodyText"/>
        <w:spacing w:before="7"/>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3"/>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0"/>
          <w:numId w:val="4"/>
        </w:numPr>
        <w:tabs>
          <w:tab w:pos="841" w:val="left" w:leader="none"/>
        </w:tabs>
        <w:spacing w:line="240" w:lineRule="auto" w:before="0" w:after="0"/>
        <w:ind w:left="84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4"/>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4"/>
        </w:numPr>
        <w:tabs>
          <w:tab w:pos="841" w:val="left" w:leader="none"/>
        </w:tabs>
        <w:spacing w:line="240" w:lineRule="auto" w:before="0" w:after="0"/>
        <w:ind w:left="840" w:right="105"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6"/>
      </w:pPr>
    </w:p>
    <w:p>
      <w:pPr>
        <w:pStyle w:val="Heading1"/>
        <w:numPr>
          <w:ilvl w:val="0"/>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8"/>
        <w:rPr>
          <w:b/>
          <w:sz w:val="13"/>
        </w:rPr>
      </w:pPr>
    </w:p>
    <w:p>
      <w:pPr>
        <w:pStyle w:val="BodyText"/>
        <w:spacing w:line="252" w:lineRule="exact" w:before="92"/>
        <w:ind w:left="840"/>
      </w:pPr>
      <w:r>
        <w:rPr>
          <w:spacing w:val="-2"/>
          <w:u w:val="single"/>
        </w:rPr>
        <w:t>Diplôme</w:t>
      </w:r>
    </w:p>
    <w:p>
      <w:pPr>
        <w:pStyle w:val="ListParagraph"/>
        <w:numPr>
          <w:ilvl w:val="1"/>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3"/>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ind w:left="840"/>
      </w:pPr>
      <w:r>
        <w:rPr/>
        <w:t>dans</w:t>
      </w:r>
      <w:r>
        <w:rPr>
          <w:spacing w:val="80"/>
          <w:w w:val="150"/>
        </w:rPr>
        <w:t> </w:t>
      </w:r>
      <w:r>
        <w:rPr/>
        <w:t>le(s)</w:t>
      </w:r>
      <w:r>
        <w:rPr>
          <w:spacing w:val="80"/>
          <w:w w:val="150"/>
        </w:rPr>
        <w:t> </w:t>
      </w:r>
      <w:r>
        <w:rPr/>
        <w:t>domaine(s):</w:t>
      </w:r>
      <w:r>
        <w:rPr>
          <w:spacing w:val="80"/>
          <w:w w:val="150"/>
        </w:rPr>
        <w:t> </w:t>
      </w:r>
      <w:r>
        <w:rPr/>
        <w:t>économie,</w:t>
      </w:r>
      <w:r>
        <w:rPr>
          <w:spacing w:val="80"/>
          <w:w w:val="150"/>
        </w:rPr>
        <w:t> </w:t>
      </w:r>
      <w:r>
        <w:rPr/>
        <w:t>droit,</w:t>
      </w:r>
      <w:r>
        <w:rPr>
          <w:spacing w:val="80"/>
          <w:w w:val="150"/>
        </w:rPr>
        <w:t> </w:t>
      </w:r>
      <w:r>
        <w:rPr/>
        <w:t>études</w:t>
      </w:r>
      <w:r>
        <w:rPr>
          <w:spacing w:val="80"/>
          <w:w w:val="150"/>
        </w:rPr>
        <w:t> </w:t>
      </w:r>
      <w:r>
        <w:rPr/>
        <w:t>de</w:t>
      </w:r>
      <w:r>
        <w:rPr>
          <w:spacing w:val="80"/>
          <w:w w:val="150"/>
        </w:rPr>
        <w:t> </w:t>
      </w:r>
      <w:r>
        <w:rPr/>
        <w:t>développement,</w:t>
      </w:r>
      <w:r>
        <w:rPr>
          <w:spacing w:val="80"/>
          <w:w w:val="150"/>
        </w:rPr>
        <w:t> </w:t>
      </w:r>
      <w:r>
        <w:rPr/>
        <w:t>mathématiques,</w:t>
      </w:r>
      <w:r>
        <w:rPr>
          <w:spacing w:val="80"/>
          <w:w w:val="150"/>
        </w:rPr>
        <w:t> </w:t>
      </w:r>
      <w:r>
        <w:rPr/>
        <w:t>statistiques, économétrie, finance, ingénierie, etc.</w:t>
      </w:r>
    </w:p>
    <w:p>
      <w:pPr>
        <w:pStyle w:val="BodyText"/>
        <w:spacing w:before="2"/>
      </w:pPr>
    </w:p>
    <w:p>
      <w:pPr>
        <w:pStyle w:val="BodyText"/>
        <w:ind w:left="840"/>
      </w:pPr>
      <w:r>
        <w:rPr>
          <w:u w:val="single"/>
        </w:rPr>
        <w:t>Expérience</w:t>
      </w:r>
      <w:r>
        <w:rPr>
          <w:spacing w:val="-4"/>
          <w:u w:val="single"/>
        </w:rPr>
        <w:t> </w:t>
      </w:r>
      <w:r>
        <w:rPr>
          <w:spacing w:val="-2"/>
          <w:u w:val="single"/>
        </w:rPr>
        <w:t>professionnelle</w:t>
      </w:r>
    </w:p>
    <w:p>
      <w:pPr>
        <w:pStyle w:val="BodyText"/>
        <w:spacing w:before="10"/>
        <w:rPr>
          <w:sz w:val="13"/>
        </w:rPr>
      </w:pPr>
    </w:p>
    <w:p>
      <w:pPr>
        <w:pStyle w:val="BodyText"/>
        <w:spacing w:before="92"/>
        <w:ind w:left="840" w:right="169"/>
        <w:jc w:val="both"/>
      </w:pPr>
      <w:r>
        <w:rPr/>
        <w:t>Une expérience de trois années dans le domaine de politique et de programmes de coopération internationale et de coopération au développement de l’UE est considérée comme importante, ainsi qu’une expérience en gestion du cycle d’intervention, en particulier dans la mise en œuvre et l’évaluation.</w:t>
      </w:r>
    </w:p>
    <w:p>
      <w:pPr>
        <w:spacing w:after="0"/>
        <w:jc w:val="both"/>
        <w:sectPr>
          <w:pgSz w:w="11910" w:h="16840"/>
          <w:pgMar w:header="0" w:footer="690" w:top="1020" w:bottom="880" w:left="720" w:right="740"/>
        </w:sectPr>
      </w:pPr>
    </w:p>
    <w:p>
      <w:pPr>
        <w:pStyle w:val="BodyText"/>
        <w:spacing w:line="480" w:lineRule="auto" w:before="68"/>
        <w:ind w:left="840" w:right="2505"/>
      </w:pPr>
      <w:r>
        <w:rPr/>
        <w:t>Les</w:t>
      </w:r>
      <w:r>
        <w:rPr>
          <w:spacing w:val="-5"/>
        </w:rPr>
        <w:t> </w:t>
      </w:r>
      <w:r>
        <w:rPr/>
        <w:t>candidats</w:t>
      </w:r>
      <w:r>
        <w:rPr>
          <w:spacing w:val="-5"/>
        </w:rPr>
        <w:t> </w:t>
      </w:r>
      <w:r>
        <w:rPr/>
        <w:t>doivent</w:t>
      </w:r>
      <w:r>
        <w:rPr>
          <w:spacing w:val="-4"/>
        </w:rPr>
        <w:t> </w:t>
      </w:r>
      <w:r>
        <w:rPr/>
        <w:t>disposer</w:t>
      </w:r>
      <w:r>
        <w:rPr>
          <w:spacing w:val="-5"/>
        </w:rPr>
        <w:t> </w:t>
      </w:r>
      <w:r>
        <w:rPr/>
        <w:t>de</w:t>
      </w:r>
      <w:r>
        <w:rPr>
          <w:spacing w:val="-5"/>
        </w:rPr>
        <w:t> </w:t>
      </w:r>
      <w:r>
        <w:rPr/>
        <w:t>solides</w:t>
      </w:r>
      <w:r>
        <w:rPr>
          <w:spacing w:val="-5"/>
        </w:rPr>
        <w:t> </w:t>
      </w:r>
      <w:r>
        <w:rPr/>
        <w:t>compétences</w:t>
      </w:r>
      <w:r>
        <w:rPr>
          <w:spacing w:val="-6"/>
        </w:rPr>
        <w:t> </w:t>
      </w:r>
      <w:r>
        <w:rPr/>
        <w:t>rédactionnelles. </w:t>
      </w:r>
      <w:r>
        <w:rPr>
          <w:u w:val="single"/>
        </w:rPr>
        <w:t>Langue(s) nécessaire(s) pour l'accomplissement des tâches</w:t>
      </w:r>
    </w:p>
    <w:p>
      <w:pPr>
        <w:pStyle w:val="BodyText"/>
        <w:spacing w:before="1"/>
        <w:ind w:left="840" w:right="637"/>
      </w:pPr>
      <w:r>
        <w:rPr/>
        <w:t>Une</w:t>
      </w:r>
      <w:r>
        <w:rPr>
          <w:spacing w:val="-3"/>
        </w:rPr>
        <w:t> </w:t>
      </w:r>
      <w:r>
        <w:rPr/>
        <w:t>excellente</w:t>
      </w:r>
      <w:r>
        <w:rPr>
          <w:spacing w:val="-3"/>
        </w:rPr>
        <w:t> </w:t>
      </w:r>
      <w:r>
        <w:rPr/>
        <w:t>connaissance</w:t>
      </w:r>
      <w:r>
        <w:rPr>
          <w:spacing w:val="-3"/>
        </w:rPr>
        <w:t> </w:t>
      </w:r>
      <w:r>
        <w:rPr/>
        <w:t>de</w:t>
      </w:r>
      <w:r>
        <w:rPr>
          <w:spacing w:val="-3"/>
        </w:rPr>
        <w:t> </w:t>
      </w:r>
      <w:r>
        <w:rPr/>
        <w:t>l'anglais</w:t>
      </w:r>
      <w:r>
        <w:rPr>
          <w:spacing w:val="-5"/>
        </w:rPr>
        <w:t> </w:t>
      </w:r>
      <w:r>
        <w:rPr/>
        <w:t>est</w:t>
      </w:r>
      <w:r>
        <w:rPr>
          <w:spacing w:val="-2"/>
        </w:rPr>
        <w:t> </w:t>
      </w:r>
      <w:r>
        <w:rPr/>
        <w:t>essentielle.</w:t>
      </w:r>
      <w:r>
        <w:rPr>
          <w:spacing w:val="-3"/>
        </w:rPr>
        <w:t> </w:t>
      </w:r>
      <w:r>
        <w:rPr/>
        <w:t>Une</w:t>
      </w:r>
      <w:r>
        <w:rPr>
          <w:spacing w:val="-3"/>
        </w:rPr>
        <w:t> </w:t>
      </w:r>
      <w:r>
        <w:rPr/>
        <w:t>bonne</w:t>
      </w:r>
      <w:r>
        <w:rPr>
          <w:spacing w:val="-1"/>
        </w:rPr>
        <w:t> </w:t>
      </w:r>
      <w:r>
        <w:rPr/>
        <w:t>connaissance</w:t>
      </w:r>
      <w:r>
        <w:rPr>
          <w:spacing w:val="-3"/>
        </w:rPr>
        <w:t> </w:t>
      </w:r>
      <w:r>
        <w:rPr/>
        <w:t>du</w:t>
      </w:r>
      <w:r>
        <w:rPr>
          <w:spacing w:val="-3"/>
        </w:rPr>
        <w:t> </w:t>
      </w:r>
      <w:r>
        <w:rPr/>
        <w:t>français</w:t>
      </w:r>
      <w:r>
        <w:rPr>
          <w:spacing w:val="-5"/>
        </w:rPr>
        <w:t> </w:t>
      </w:r>
      <w:r>
        <w:rPr/>
        <w:t>est </w:t>
      </w:r>
      <w:r>
        <w:rPr>
          <w:spacing w:val="-2"/>
        </w:rPr>
        <w:t>souhaitable.</w:t>
      </w:r>
    </w:p>
    <w:p>
      <w:pPr>
        <w:pStyle w:val="BodyText"/>
        <w:spacing w:before="6"/>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sz w:val="22"/>
        </w:rPr>
        <w:t> </w:t>
      </w:r>
      <w:r>
        <w:rPr>
          <w:sz w:val="22"/>
        </w:rPr>
        <w:t>stade ultérieur de la procédure de sélection.</w:t>
      </w:r>
    </w:p>
    <w:p>
      <w:pPr>
        <w:pStyle w:val="BodyText"/>
        <w:spacing w:before="2"/>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4"/>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7"/>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9" w:right="288"/>
        <w:jc w:val="both"/>
      </w:pPr>
      <w:r>
        <w:rPr/>
        <w:t>Les données des END seront conservées pendant 7 ans à compter de la fin du détachement (2 ans pour les END dont la candidature n'a pas été retenue).</w:t>
      </w:r>
    </w:p>
    <w:p>
      <w:pPr>
        <w:pStyle w:val="BodyText"/>
        <w:spacing w:before="1"/>
        <w:ind w:left="559" w:right="287"/>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spacing w:before="1"/>
        <w:ind w:left="559" w:right="279"/>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spacing w:after="0"/>
        <w:jc w:val="both"/>
        <w:sectPr>
          <w:pgSz w:w="11910" w:h="16840"/>
          <w:pgMar w:header="0" w:footer="690" w:top="1040" w:bottom="880" w:left="720" w:right="740"/>
        </w:sectPr>
      </w:pPr>
    </w:p>
    <w:p>
      <w:pPr>
        <w:pStyle w:val="Heading1"/>
        <w:spacing w:before="73"/>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5"/>
        </w:numPr>
        <w:tabs>
          <w:tab w:pos="841" w:val="left" w:leader="none"/>
        </w:tabs>
        <w:spacing w:line="240" w:lineRule="auto"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2"/>
        <w:ind w:left="559" w:right="285"/>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rPr>
          <w:sz w:val="14"/>
        </w:rPr>
      </w:pPr>
    </w:p>
    <w:p>
      <w:pPr>
        <w:pStyle w:val="Heading1"/>
        <w:numPr>
          <w:ilvl w:val="0"/>
          <w:numId w:val="5"/>
        </w:numPr>
        <w:tabs>
          <w:tab w:pos="841" w:val="left" w:leader="none"/>
        </w:tabs>
        <w:spacing w:line="252" w:lineRule="exact"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5"/>
        </w:numPr>
        <w:tabs>
          <w:tab w:pos="841" w:val="left" w:leader="none"/>
        </w:tabs>
        <w:spacing w:line="240" w:lineRule="auto" w:before="0"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284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279" w:hanging="360"/>
      </w:pPr>
      <w:rPr>
        <w:rFonts w:hint="default" w:ascii="Symbol" w:hAnsi="Symbol" w:eastAsia="Symbol" w:cs="Symbol"/>
        <w:b w:val="0"/>
        <w:bCs w:val="0"/>
        <w:i w:val="0"/>
        <w:iCs w:val="0"/>
        <w:w w:val="100"/>
        <w:sz w:val="22"/>
        <w:szCs w:val="22"/>
        <w:lang w:val="fr-FR" w:eastAsia="en-US" w:bidi="ar-SA"/>
      </w:rPr>
    </w:lvl>
    <w:lvl w:ilvl="2">
      <w:start w:val="0"/>
      <w:numFmt w:val="bullet"/>
      <w:lvlText w:val=""/>
      <w:lvlJc w:val="left"/>
      <w:pPr>
        <w:ind w:left="1999" w:hanging="360"/>
      </w:pPr>
      <w:rPr>
        <w:rFonts w:hint="default" w:ascii="Symbol" w:hAnsi="Symbol" w:eastAsia="Symbol" w:cs="Symbol"/>
        <w:b w:val="0"/>
        <w:bCs w:val="0"/>
        <w:i w:val="0"/>
        <w:iCs w:val="0"/>
        <w:w w:val="100"/>
        <w:sz w:val="22"/>
        <w:szCs w:val="22"/>
        <w:lang w:val="fr-FR" w:eastAsia="en-US" w:bidi="ar-SA"/>
      </w:rPr>
    </w:lvl>
    <w:lvl w:ilvl="3">
      <w:start w:val="0"/>
      <w:numFmt w:val="bullet"/>
      <w:lvlText w:val="•"/>
      <w:lvlJc w:val="left"/>
      <w:pPr>
        <w:ind w:left="3055" w:hanging="360"/>
      </w:pPr>
      <w:rPr>
        <w:rFonts w:hint="default"/>
        <w:lang w:val="fr-FR" w:eastAsia="en-US" w:bidi="ar-SA"/>
      </w:rPr>
    </w:lvl>
    <w:lvl w:ilvl="4">
      <w:start w:val="0"/>
      <w:numFmt w:val="bullet"/>
      <w:lvlText w:val="•"/>
      <w:lvlJc w:val="left"/>
      <w:pPr>
        <w:ind w:left="4111" w:hanging="360"/>
      </w:pPr>
      <w:rPr>
        <w:rFonts w:hint="default"/>
        <w:lang w:val="fr-FR" w:eastAsia="en-US" w:bidi="ar-SA"/>
      </w:rPr>
    </w:lvl>
    <w:lvl w:ilvl="5">
      <w:start w:val="0"/>
      <w:numFmt w:val="bullet"/>
      <w:lvlText w:val="•"/>
      <w:lvlJc w:val="left"/>
      <w:pPr>
        <w:ind w:left="5167" w:hanging="360"/>
      </w:pPr>
      <w:rPr>
        <w:rFonts w:hint="default"/>
        <w:lang w:val="fr-FR" w:eastAsia="en-US" w:bidi="ar-SA"/>
      </w:rPr>
    </w:lvl>
    <w:lvl w:ilvl="6">
      <w:start w:val="0"/>
      <w:numFmt w:val="bullet"/>
      <w:lvlText w:val="•"/>
      <w:lvlJc w:val="left"/>
      <w:pPr>
        <w:ind w:left="6223" w:hanging="360"/>
      </w:pPr>
      <w:rPr>
        <w:rFonts w:hint="default"/>
        <w:lang w:val="fr-FR" w:eastAsia="en-US" w:bidi="ar-SA"/>
      </w:rPr>
    </w:lvl>
    <w:lvl w:ilvl="7">
      <w:start w:val="0"/>
      <w:numFmt w:val="bullet"/>
      <w:lvlText w:val="•"/>
      <w:lvlJc w:val="left"/>
      <w:pPr>
        <w:ind w:left="7279" w:hanging="360"/>
      </w:pPr>
      <w:rPr>
        <w:rFonts w:hint="default"/>
        <w:lang w:val="fr-FR" w:eastAsia="en-US" w:bidi="ar-SA"/>
      </w:rPr>
    </w:lvl>
    <w:lvl w:ilvl="8">
      <w:start w:val="0"/>
      <w:numFmt w:val="bullet"/>
      <w:lvlText w:val="•"/>
      <w:lvlJc w:val="left"/>
      <w:pPr>
        <w:ind w:left="8334" w:hanging="360"/>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360"/>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an-Herve.RAMA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2023-02-16T16:49:52Z</dcterms:created>
  <dcterms:modified xsi:type="dcterms:W3CDTF">2023-02-16T16:49:52Z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2023-02-13T00:00:00Z</vt:filetime>
  </property>
  <property fmtid="{D5CDD505-2E9C-101B-9397-08002B2CF9AE}" pid="3" name="LastSaved">
    <vt:filetime>2023-02-16T00:00:00Z</vt:filetime>
  </property>
</Properties>
</file>