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8"/>
        <w:gridCol w:w="775"/>
        <w:gridCol w:w="2314"/>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gridSpan w:val="3"/>
          </w:tcPr>
          <w:p>
            <w:pPr>
              <w:pStyle w:val="TableParagraph"/>
              <w:spacing w:before="167"/>
              <w:rPr>
                <w:b/>
                <w:sz w:val="24"/>
              </w:rPr>
            </w:pPr>
            <w:r>
              <w:rPr>
                <w:b/>
                <w:spacing w:val="-2"/>
                <w:sz w:val="24"/>
              </w:rPr>
              <w:t>ENV-B-</w:t>
            </w:r>
            <w:r>
              <w:rPr>
                <w:b/>
                <w:spacing w:val="-10"/>
                <w:sz w:val="24"/>
              </w:rPr>
              <w:t>3</w:t>
            </w:r>
          </w:p>
        </w:tc>
      </w:tr>
      <w:tr>
        <w:trPr>
          <w:trHeight w:val="256" w:hRule="atLeast"/>
        </w:trPr>
        <w:tc>
          <w:tcPr>
            <w:tcW w:w="4359" w:type="dxa"/>
            <w:tcBorders>
              <w:bottom w:val="nil"/>
            </w:tcBorders>
          </w:tcPr>
          <w:p>
            <w:pPr>
              <w:pStyle w:val="TableParagraph"/>
              <w:spacing w:line="237"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tc>
        <w:tc>
          <w:tcPr>
            <w:tcW w:w="5597" w:type="dxa"/>
            <w:gridSpan w:val="3"/>
            <w:tcBorders>
              <w:bottom w:val="nil"/>
            </w:tcBorders>
          </w:tcPr>
          <w:p>
            <w:pPr>
              <w:pStyle w:val="TableParagraph"/>
              <w:spacing w:line="237" w:lineRule="exact"/>
              <w:rPr>
                <w:b/>
                <w:sz w:val="22"/>
              </w:rPr>
            </w:pPr>
            <w:r>
              <w:rPr>
                <w:b/>
                <w:sz w:val="22"/>
              </w:rPr>
              <w:t>Mattia</w:t>
            </w:r>
            <w:r>
              <w:rPr>
                <w:b/>
                <w:spacing w:val="-5"/>
                <w:sz w:val="22"/>
              </w:rPr>
              <w:t> </w:t>
            </w:r>
            <w:r>
              <w:rPr>
                <w:b/>
                <w:spacing w:val="-2"/>
                <w:sz w:val="22"/>
              </w:rPr>
              <w:t>Pellegrini</w:t>
            </w:r>
          </w:p>
        </w:tc>
      </w:tr>
      <w:tr>
        <w:trPr>
          <w:trHeight w:val="253" w:hRule="atLeast"/>
        </w:trPr>
        <w:tc>
          <w:tcPr>
            <w:tcW w:w="4359" w:type="dxa"/>
            <w:tcBorders>
              <w:top w:val="nil"/>
              <w:bottom w:val="nil"/>
            </w:tcBorders>
          </w:tcPr>
          <w:p>
            <w:pPr>
              <w:pStyle w:val="TableParagraph"/>
              <w:spacing w:line="233" w:lineRule="exact"/>
              <w:rPr>
                <w:b/>
                <w:sz w:val="22"/>
              </w:rPr>
            </w:pPr>
            <w:r>
              <w:rPr>
                <w:b/>
                <w:sz w:val="22"/>
              </w:rPr>
              <w:t>Adresse</w:t>
            </w:r>
            <w:r>
              <w:rPr>
                <w:b/>
                <w:spacing w:val="-5"/>
                <w:sz w:val="22"/>
              </w:rPr>
              <w:t> </w:t>
            </w:r>
            <w:r>
              <w:rPr>
                <w:b/>
                <w:sz w:val="22"/>
              </w:rPr>
              <w:t>e-mail</w:t>
            </w:r>
            <w:r>
              <w:rPr>
                <w:b/>
                <w:spacing w:val="-5"/>
                <w:sz w:val="22"/>
              </w:rPr>
              <w:t> </w:t>
            </w:r>
            <w:r>
              <w:rPr>
                <w:b/>
                <w:spacing w:val="-10"/>
                <w:sz w:val="22"/>
              </w:rPr>
              <w:t>:</w:t>
            </w:r>
          </w:p>
        </w:tc>
        <w:tc>
          <w:tcPr>
            <w:tcW w:w="5597" w:type="dxa"/>
            <w:gridSpan w:val="3"/>
            <w:tcBorders>
              <w:top w:val="nil"/>
              <w:bottom w:val="nil"/>
            </w:tcBorders>
          </w:tcPr>
          <w:p>
            <w:pPr>
              <w:pStyle w:val="TableParagraph"/>
              <w:spacing w:line="233" w:lineRule="exact"/>
              <w:rPr>
                <w:b/>
                <w:sz w:val="22"/>
              </w:rPr>
            </w:pPr>
            <w:hyperlink r:id="rId7">
              <w:r>
                <w:rPr>
                  <w:b/>
                  <w:color w:val="0000FF"/>
                  <w:spacing w:val="-2"/>
                  <w:sz w:val="22"/>
                  <w:u w:val="single" w:color="0000FF"/>
                </w:rPr>
                <w:t>Mattia.pellegrini@ec.europa.eu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z w:val="22"/>
              </w:rPr>
              <w:t>Téléphone</w:t>
            </w:r>
            <w:r>
              <w:rPr>
                <w:b/>
                <w:spacing w:val="-5"/>
                <w:sz w:val="22"/>
              </w:rPr>
              <w:t> </w:t>
            </w:r>
            <w:r>
              <w:rPr>
                <w:b/>
                <w:spacing w:val="-10"/>
                <w:sz w:val="22"/>
              </w:rPr>
              <w:t>:</w:t>
            </w:r>
          </w:p>
        </w:tc>
        <w:tc>
          <w:tcPr>
            <w:tcW w:w="5597" w:type="dxa"/>
            <w:gridSpan w:val="3"/>
            <w:tcBorders>
              <w:top w:val="nil"/>
              <w:bottom w:val="nil"/>
            </w:tcBorders>
          </w:tcPr>
          <w:p>
            <w:pPr>
              <w:pStyle w:val="TableParagraph"/>
              <w:spacing w:line="233" w:lineRule="exact"/>
              <w:rPr>
                <w:b/>
                <w:sz w:val="22"/>
              </w:rPr>
            </w:pPr>
            <w:r>
              <w:rPr>
                <w:b/>
                <w:sz w:val="22"/>
              </w:rPr>
              <w:t>+</w:t>
            </w:r>
            <w:r>
              <w:rPr>
                <w:b/>
                <w:spacing w:val="-1"/>
                <w:sz w:val="22"/>
              </w:rPr>
              <w:t> </w:t>
            </w:r>
            <w:r>
              <w:rPr>
                <w:b/>
                <w:sz w:val="22"/>
              </w:rPr>
              <w:t>32 229 </w:t>
            </w:r>
            <w:r>
              <w:rPr>
                <w:b/>
                <w:spacing w:val="-2"/>
                <w:sz w:val="22"/>
              </w:rPr>
              <w:t>54138</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Nombre</w:t>
            </w:r>
            <w:r>
              <w:rPr>
                <w:b/>
                <w:spacing w:val="-3"/>
                <w:sz w:val="22"/>
              </w:rPr>
              <w:t> </w:t>
            </w:r>
            <w:r>
              <w:rPr>
                <w:b/>
                <w:sz w:val="22"/>
              </w:rPr>
              <w:t>de</w:t>
            </w:r>
            <w:r>
              <w:rPr>
                <w:b/>
                <w:spacing w:val="-2"/>
                <w:sz w:val="22"/>
              </w:rPr>
              <w:t> </w:t>
            </w:r>
            <w:r>
              <w:rPr>
                <w:b/>
                <w:sz w:val="22"/>
              </w:rPr>
              <w:t>postes</w:t>
            </w:r>
            <w:r>
              <w:rPr>
                <w:b/>
                <w:spacing w:val="-2"/>
                <w:sz w:val="22"/>
              </w:rPr>
              <w:t> disponibles:</w:t>
            </w:r>
          </w:p>
        </w:tc>
        <w:tc>
          <w:tcPr>
            <w:tcW w:w="5597" w:type="dxa"/>
            <w:gridSpan w:val="3"/>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Prise</w:t>
            </w:r>
            <w:r>
              <w:rPr>
                <w:b/>
                <w:spacing w:val="-4"/>
                <w:sz w:val="22"/>
              </w:rPr>
              <w:t> </w:t>
            </w:r>
            <w:r>
              <w:rPr>
                <w:b/>
                <w:sz w:val="22"/>
              </w:rPr>
              <w:t>de</w:t>
            </w:r>
            <w:r>
              <w:rPr>
                <w:b/>
                <w:spacing w:val="-5"/>
                <w:sz w:val="22"/>
              </w:rPr>
              <w:t> </w:t>
            </w:r>
            <w:r>
              <w:rPr>
                <w:b/>
                <w:sz w:val="22"/>
              </w:rPr>
              <w:t>fonction</w:t>
            </w:r>
            <w:r>
              <w:rPr>
                <w:b/>
                <w:spacing w:val="-5"/>
                <w:sz w:val="22"/>
              </w:rPr>
              <w:t> </w:t>
            </w:r>
            <w:r>
              <w:rPr>
                <w:b/>
                <w:sz w:val="22"/>
              </w:rPr>
              <w:t>souhaitée</w:t>
            </w:r>
            <w:r>
              <w:rPr>
                <w:b/>
                <w:spacing w:val="1"/>
                <w:sz w:val="22"/>
              </w:rPr>
              <w:t> </w:t>
            </w:r>
            <w:r>
              <w:rPr>
                <w:b/>
                <w:spacing w:val="-10"/>
                <w:sz w:val="22"/>
              </w:rPr>
              <w:t>:</w:t>
            </w:r>
          </w:p>
        </w:tc>
        <w:tc>
          <w:tcPr>
            <w:tcW w:w="5597" w:type="dxa"/>
            <w:gridSpan w:val="3"/>
            <w:tcBorders>
              <w:top w:val="nil"/>
              <w:bottom w:val="nil"/>
            </w:tcBorders>
          </w:tcPr>
          <w:p>
            <w:pPr>
              <w:pStyle w:val="TableParagraph"/>
              <w:spacing w:line="232" w:lineRule="exact"/>
              <w:rPr>
                <w:b/>
                <w:sz w:val="22"/>
              </w:rPr>
            </w:pPr>
            <w:r>
              <w:rPr>
                <w:b/>
                <w:sz w:val="22"/>
              </w:rPr>
              <w:t>1</w:t>
            </w:r>
            <w:r>
              <w:rPr>
                <w:b/>
                <w:sz w:val="22"/>
                <w:vertAlign w:val="superscript"/>
              </w:rPr>
              <w:t>er</w:t>
            </w:r>
            <w:r>
              <w:rPr>
                <w:b/>
                <w:spacing w:val="-5"/>
                <w:sz w:val="22"/>
                <w:vertAlign w:val="baseline"/>
              </w:rPr>
              <w:t> </w:t>
            </w:r>
            <w:r>
              <w:rPr>
                <w:b/>
                <w:sz w:val="22"/>
                <w:vertAlign w:val="baseline"/>
              </w:rPr>
              <w:t>trimestre</w:t>
            </w:r>
            <w:r>
              <w:rPr>
                <w:b/>
                <w:spacing w:val="-4"/>
                <w:sz w:val="22"/>
                <w:vertAlign w:val="baseline"/>
              </w:rPr>
              <w:t> 2023</w:t>
            </w:r>
            <w:r>
              <w:rPr>
                <w:b/>
                <w:spacing w:val="-4"/>
                <w:sz w:val="22"/>
                <w:vertAlign w:val="superscript"/>
              </w:rPr>
              <w:t>1</w:t>
            </w:r>
          </w:p>
        </w:tc>
      </w:tr>
      <w:tr>
        <w:trPr>
          <w:trHeight w:val="251" w:hRule="atLeast"/>
        </w:trPr>
        <w:tc>
          <w:tcPr>
            <w:tcW w:w="4359" w:type="dxa"/>
            <w:tcBorders>
              <w:top w:val="nil"/>
              <w:bottom w:val="nil"/>
            </w:tcBorders>
          </w:tcPr>
          <w:p>
            <w:pPr>
              <w:pStyle w:val="TableParagraph"/>
              <w:spacing w:line="231" w:lineRule="exact"/>
              <w:rPr>
                <w:b/>
                <w:sz w:val="22"/>
              </w:rPr>
            </w:pPr>
            <w:r>
              <w:rPr>
                <w:b/>
                <w:sz w:val="22"/>
              </w:rPr>
              <w:t>Durée</w:t>
            </w:r>
            <w:r>
              <w:rPr>
                <w:b/>
                <w:spacing w:val="-6"/>
                <w:sz w:val="22"/>
              </w:rPr>
              <w:t> </w:t>
            </w:r>
            <w:r>
              <w:rPr>
                <w:b/>
                <w:sz w:val="22"/>
              </w:rPr>
              <w:t>initiale</w:t>
            </w:r>
            <w:r>
              <w:rPr>
                <w:b/>
                <w:spacing w:val="-5"/>
                <w:sz w:val="22"/>
              </w:rPr>
              <w:t> </w:t>
            </w:r>
            <w:r>
              <w:rPr>
                <w:b/>
                <w:sz w:val="22"/>
              </w:rPr>
              <w:t>souhaitée</w:t>
            </w:r>
            <w:r>
              <w:rPr>
                <w:b/>
                <w:spacing w:val="-6"/>
                <w:sz w:val="22"/>
              </w:rPr>
              <w:t> </w:t>
            </w:r>
            <w:r>
              <w:rPr>
                <w:b/>
                <w:spacing w:val="-10"/>
                <w:sz w:val="22"/>
              </w:rPr>
              <w:t>:</w:t>
            </w:r>
          </w:p>
        </w:tc>
        <w:tc>
          <w:tcPr>
            <w:tcW w:w="5597" w:type="dxa"/>
            <w:gridSpan w:val="3"/>
            <w:tcBorders>
              <w:top w:val="nil"/>
              <w:bottom w:val="nil"/>
            </w:tcBorders>
          </w:tcPr>
          <w:p>
            <w:pPr>
              <w:pStyle w:val="TableParagraph"/>
              <w:spacing w:line="231" w:lineRule="exact"/>
              <w:rPr>
                <w:b/>
                <w:sz w:val="22"/>
              </w:rPr>
            </w:pPr>
            <w:r>
              <w:rPr>
                <w:b/>
                <w:sz w:val="22"/>
              </w:rPr>
              <w:t>2 </w:t>
            </w:r>
            <w:r>
              <w:rPr>
                <w:b/>
                <w:spacing w:val="-4"/>
                <w:sz w:val="22"/>
              </w:rPr>
              <w:t>ans</w:t>
            </w:r>
            <w:r>
              <w:rPr>
                <w:b/>
                <w:spacing w:val="-4"/>
                <w:sz w:val="22"/>
                <w:vertAlign w:val="superscript"/>
              </w:rPr>
              <w:t>1</w:t>
            </w:r>
          </w:p>
        </w:tc>
      </w:tr>
      <w:tr>
        <w:trPr>
          <w:trHeight w:val="458" w:hRule="atLeast"/>
        </w:trPr>
        <w:tc>
          <w:tcPr>
            <w:tcW w:w="4359" w:type="dxa"/>
            <w:tcBorders>
              <w:top w:val="nil"/>
              <w:bottom w:val="nil"/>
            </w:tcBorders>
          </w:tcPr>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gridSpan w:val="3"/>
            <w:tcBorders>
              <w:top w:val="nil"/>
            </w:tcBorders>
          </w:tcPr>
          <w:p>
            <w:pPr>
              <w:pStyle w:val="TableParagraph"/>
              <w:spacing w:line="247" w:lineRule="exact"/>
              <w:rPr>
                <w:b/>
                <w:sz w:val="22"/>
              </w:rPr>
            </w:pPr>
            <w:r>
              <w:rPr>
                <w:rFonts w:ascii="Wingdings 2" w:hAnsi="Wingdings 2"/>
                <w:b/>
                <w:sz w:val="22"/>
              </w:rPr>
              <w:t></w:t>
            </w:r>
            <w:r>
              <w:rPr>
                <w:spacing w:val="-2"/>
                <w:sz w:val="22"/>
              </w:rPr>
              <w:t> </w:t>
            </w:r>
            <w:r>
              <w:rPr>
                <w:b/>
                <w:sz w:val="22"/>
              </w:rPr>
              <w:t>Bruxelles</w:t>
            </w:r>
            <w:r>
              <w:rPr>
                <w:b/>
                <w:spacing w:val="52"/>
                <w:sz w:val="22"/>
              </w:rPr>
              <w:t> </w:t>
            </w:r>
            <w:r>
              <w:rPr>
                <w:rFonts w:ascii="Wingdings 2" w:hAnsi="Wingdings 2"/>
                <w:sz w:val="22"/>
              </w:rPr>
              <w:t></w:t>
            </w:r>
            <w:r>
              <w:rPr>
                <w:spacing w:val="-2"/>
                <w:sz w:val="22"/>
              </w:rPr>
              <w:t> </w:t>
            </w:r>
            <w:r>
              <w:rPr>
                <w:b/>
                <w:sz w:val="22"/>
              </w:rPr>
              <w:t>Luxembourg</w:t>
            </w:r>
            <w:r>
              <w:rPr>
                <w:b/>
                <w:spacing w:val="52"/>
                <w:sz w:val="22"/>
              </w:rPr>
              <w:t> </w:t>
            </w:r>
            <w:r>
              <w:rPr>
                <w:rFonts w:ascii="Wingdings 2" w:hAnsi="Wingdings 2"/>
                <w:sz w:val="22"/>
              </w:rPr>
              <w:t></w:t>
            </w:r>
            <w:r>
              <w:rPr>
                <w:spacing w:val="-2"/>
                <w:sz w:val="22"/>
              </w:rPr>
              <w:t> </w:t>
            </w:r>
            <w:r>
              <w:rPr>
                <w:sz w:val="22"/>
              </w:rPr>
              <w:t>A</w:t>
            </w:r>
            <w:r>
              <w:rPr>
                <w:b/>
                <w:sz w:val="22"/>
              </w:rPr>
              <w:t>utre</w:t>
            </w:r>
            <w:r>
              <w:rPr>
                <w:b/>
                <w:spacing w:val="-3"/>
                <w:sz w:val="22"/>
              </w:rPr>
              <w:t> </w:t>
            </w:r>
            <w:r>
              <w:rPr>
                <w:b/>
                <w:sz w:val="22"/>
              </w:rPr>
              <w:t>:</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8" w:type="dxa"/>
            <w:tcBorders>
              <w:right w:val="nil"/>
            </w:tcBorders>
          </w:tcPr>
          <w:p>
            <w:pPr>
              <w:pStyle w:val="TableParagraph"/>
              <w:numPr>
                <w:ilvl w:val="0"/>
                <w:numId w:val="1"/>
              </w:numPr>
              <w:tabs>
                <w:tab w:pos="523" w:val="left" w:leader="none"/>
                <w:tab w:pos="524" w:val="left" w:leader="none"/>
              </w:tabs>
              <w:spacing w:line="240" w:lineRule="auto" w:before="145" w:after="0"/>
              <w:ind w:left="523" w:right="0" w:hanging="419"/>
              <w:jc w:val="left"/>
              <w:rPr>
                <w:b/>
                <w:sz w:val="22"/>
              </w:rPr>
            </w:pPr>
            <w:r>
              <w:rPr>
                <w:b/>
                <w:sz w:val="22"/>
              </w:rPr>
              <w:t>Avec</w:t>
            </w:r>
            <w:r>
              <w:rPr>
                <w:b/>
                <w:spacing w:val="-6"/>
                <w:sz w:val="22"/>
              </w:rPr>
              <w:t> </w:t>
            </w:r>
            <w:r>
              <w:rPr>
                <w:b/>
                <w:spacing w:val="-2"/>
                <w:sz w:val="22"/>
              </w:rPr>
              <w:t>indemnités</w:t>
            </w:r>
          </w:p>
        </w:tc>
        <w:tc>
          <w:tcPr>
            <w:tcW w:w="775" w:type="dxa"/>
            <w:tcBorders>
              <w:left w:val="nil"/>
              <w:right w:val="nil"/>
            </w:tcBorders>
          </w:tcPr>
          <w:p>
            <w:pPr>
              <w:pStyle w:val="TableParagraph"/>
              <w:spacing w:before="164"/>
              <w:ind w:left="444"/>
              <w:rPr>
                <w:rFonts w:ascii="Wingdings 2" w:hAnsi="Wingdings 2"/>
                <w:b/>
                <w:sz w:val="22"/>
              </w:rPr>
            </w:pPr>
            <w:r>
              <w:rPr>
                <w:rFonts w:ascii="Wingdings 2" w:hAnsi="Wingdings 2"/>
                <w:b/>
                <w:w w:val="100"/>
                <w:sz w:val="22"/>
              </w:rPr>
              <w:t></w:t>
            </w:r>
          </w:p>
        </w:tc>
        <w:tc>
          <w:tcPr>
            <w:tcW w:w="2314" w:type="dxa"/>
            <w:tcBorders>
              <w:left w:val="nil"/>
            </w:tcBorders>
          </w:tcPr>
          <w:p>
            <w:pPr>
              <w:pStyle w:val="TableParagraph"/>
              <w:spacing w:before="145"/>
              <w:ind w:left="145"/>
              <w:rPr>
                <w:b/>
                <w:sz w:val="22"/>
              </w:rPr>
            </w:pPr>
            <w:r>
              <w:rPr>
                <w:b/>
                <w:sz w:val="22"/>
              </w:rPr>
              <w:t>Sans</w:t>
            </w:r>
            <w:r>
              <w:rPr>
                <w:b/>
                <w:spacing w:val="-8"/>
                <w:sz w:val="22"/>
              </w:rPr>
              <w:t> </w:t>
            </w:r>
            <w:r>
              <w:rPr>
                <w:b/>
                <w:spacing w:val="-4"/>
                <w:sz w:val="22"/>
              </w:rPr>
              <w:t>frais</w:t>
            </w:r>
          </w:p>
        </w:tc>
      </w:tr>
      <w:tr>
        <w:trPr>
          <w:trHeight w:val="2114" w:hRule="atLeast"/>
        </w:trPr>
        <w:tc>
          <w:tcPr>
            <w:tcW w:w="9956" w:type="dxa"/>
            <w:gridSpan w:val="4"/>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tabs>
                <w:tab w:pos="523" w:val="left" w:leader="none"/>
              </w:tabs>
              <w:rPr>
                <w:b/>
                <w:sz w:val="22"/>
              </w:rPr>
            </w:pPr>
            <w:r>
              <w:rPr>
                <w:rFonts w:ascii="Wingdings 2" w:hAnsi="Wingdings 2"/>
                <w:b/>
                <w:spacing w:val="-10"/>
                <w:sz w:val="22"/>
              </w:rPr>
              <w:t></w:t>
            </w:r>
            <w:r>
              <w:rPr>
                <w:sz w:val="22"/>
              </w:rPr>
              <w:tab/>
            </w: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w:t>
            </w:r>
            <w:r>
              <w:rPr>
                <w:b/>
                <w:spacing w:val="1"/>
                <w:sz w:val="22"/>
              </w:rPr>
              <w:t> </w:t>
            </w:r>
            <w:r>
              <w:rPr>
                <w:b/>
                <w:spacing w:val="-10"/>
                <w:sz w:val="22"/>
              </w:rPr>
              <w:t>:</w:t>
            </w:r>
          </w:p>
          <w:p>
            <w:pPr>
              <w:pStyle w:val="TableParagraph"/>
              <w:numPr>
                <w:ilvl w:val="0"/>
                <w:numId w:val="2"/>
              </w:numPr>
              <w:tabs>
                <w:tab w:pos="1102" w:val="left" w:leader="none"/>
              </w:tabs>
              <w:spacing w:line="252" w:lineRule="exact" w:before="2" w:after="0"/>
              <w:ind w:left="1101" w:right="0" w:hanging="253"/>
              <w:jc w:val="left"/>
              <w:rPr>
                <w:b/>
                <w:sz w:val="22"/>
              </w:rPr>
            </w:pPr>
            <w:r>
              <w:rPr>
                <w:b/>
                <w:sz w:val="22"/>
              </w:rPr>
              <w:t>Islande</w:t>
            </w:r>
            <w:r>
              <w:rPr>
                <w:b/>
                <w:spacing w:val="-4"/>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b/>
                <w:sz w:val="22"/>
              </w:rPr>
              <w:t></w:t>
            </w:r>
            <w:r>
              <w:rPr>
                <w:spacing w:val="-2"/>
                <w:sz w:val="22"/>
              </w:rPr>
              <w:t> </w:t>
            </w:r>
            <w:r>
              <w:rPr>
                <w:b/>
                <w:sz w:val="22"/>
              </w:rPr>
              <w:t>Norvège</w:t>
            </w:r>
            <w:r>
              <w:rPr>
                <w:b/>
                <w:spacing w:val="-2"/>
                <w:sz w:val="22"/>
              </w:rPr>
              <w:t> </w:t>
            </w:r>
            <w:r>
              <w:rPr>
                <w:rFonts w:ascii="Wingdings 2" w:hAnsi="Wingdings 2"/>
                <w:sz w:val="22"/>
              </w:rPr>
              <w:t></w:t>
            </w:r>
            <w:r>
              <w:rPr>
                <w:spacing w:val="-3"/>
                <w:sz w:val="22"/>
              </w:rPr>
              <w:t> </w:t>
            </w:r>
            <w:r>
              <w:rPr>
                <w:b/>
                <w:spacing w:val="-2"/>
                <w:sz w:val="22"/>
              </w:rPr>
              <w:t>Suisse</w:t>
            </w:r>
          </w:p>
          <w:p>
            <w:pPr>
              <w:pStyle w:val="TableParagraph"/>
              <w:numPr>
                <w:ilvl w:val="0"/>
                <w:numId w:val="2"/>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3"/>
              </w:numPr>
              <w:tabs>
                <w:tab w:pos="523" w:val="left" w:leader="none"/>
                <w:tab w:pos="524" w:val="left" w:leader="none"/>
              </w:tabs>
              <w:spacing w:line="252" w:lineRule="exact" w:before="1" w:after="0"/>
              <w:ind w:left="523" w:right="0" w:hanging="419"/>
              <w:jc w:val="left"/>
              <w:rPr>
                <w:b/>
                <w:sz w:val="22"/>
              </w:rPr>
            </w:pPr>
            <w:r>
              <w:rPr>
                <w:b/>
                <w:sz w:val="22"/>
              </w:rPr>
              <w:t>aux</w:t>
            </w:r>
            <w:r>
              <w:rPr>
                <w:b/>
                <w:spacing w:val="-8"/>
                <w:sz w:val="22"/>
              </w:rPr>
              <w:t> </w:t>
            </w:r>
            <w:r>
              <w:rPr>
                <w:b/>
                <w:sz w:val="22"/>
              </w:rPr>
              <w:t>pays</w:t>
            </w:r>
            <w:r>
              <w:rPr>
                <w:b/>
                <w:spacing w:val="-3"/>
                <w:sz w:val="22"/>
              </w:rPr>
              <w:t> </w:t>
            </w:r>
            <w:r>
              <w:rPr>
                <w:b/>
                <w:sz w:val="22"/>
              </w:rPr>
              <w:t>tiers</w:t>
            </w:r>
            <w:r>
              <w:rPr>
                <w:b/>
                <w:spacing w:val="-3"/>
                <w:sz w:val="22"/>
              </w:rPr>
              <w:t> </w:t>
            </w:r>
            <w:r>
              <w:rPr>
                <w:b/>
                <w:sz w:val="22"/>
              </w:rPr>
              <w:t>suivants</w:t>
            </w:r>
            <w:r>
              <w:rPr>
                <w:b/>
                <w:spacing w:val="-2"/>
                <w:sz w:val="22"/>
              </w:rPr>
              <w:t> </w:t>
            </w:r>
            <w:r>
              <w:rPr>
                <w:b/>
                <w:spacing w:val="-10"/>
                <w:sz w:val="22"/>
              </w:rPr>
              <w:t>:</w:t>
            </w:r>
          </w:p>
          <w:p>
            <w:pPr>
              <w:pStyle w:val="TableParagraph"/>
              <w:numPr>
                <w:ilvl w:val="0"/>
                <w:numId w:val="3"/>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6"/>
                <w:sz w:val="22"/>
              </w:rPr>
              <w:t> </w:t>
            </w:r>
            <w:r>
              <w:rPr>
                <w:b/>
                <w:sz w:val="22"/>
              </w:rPr>
              <w:t>suivantes</w:t>
            </w:r>
            <w:r>
              <w:rPr>
                <w:b/>
                <w:spacing w:val="-5"/>
                <w:sz w:val="22"/>
              </w:rPr>
              <w:t> </w:t>
            </w:r>
            <w:r>
              <w:rPr>
                <w:b/>
                <w:spacing w:val="-10"/>
                <w:sz w:val="22"/>
              </w:rPr>
              <w:t>:</w:t>
            </w:r>
          </w:p>
        </w:tc>
      </w:tr>
    </w:tbl>
    <w:p>
      <w:pPr>
        <w:pStyle w:val="BodyText"/>
        <w:spacing w:before="1"/>
        <w:rPr>
          <w:b/>
          <w:sz w:val="24"/>
        </w:rPr>
      </w:pPr>
    </w:p>
    <w:p>
      <w:pPr>
        <w:tabs>
          <w:tab w:pos="559" w:val="left" w:leader="none"/>
        </w:tabs>
        <w:spacing w:before="1"/>
        <w:ind w:left="139" w:right="0" w:firstLine="0"/>
        <w:jc w:val="left"/>
        <w:rPr>
          <w:b/>
          <w:sz w:val="24"/>
        </w:rPr>
      </w:pPr>
      <w:r>
        <w:rPr>
          <w:b/>
          <w:spacing w:val="-5"/>
          <w:sz w:val="24"/>
        </w:rPr>
        <w:t>3.</w:t>
      </w:r>
      <w:r>
        <w:rPr>
          <w:b/>
          <w:sz w:val="24"/>
        </w:rPr>
        <w:tab/>
      </w: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6"/>
        <w:rPr>
          <w:b/>
          <w:sz w:val="15"/>
        </w:rPr>
      </w:pPr>
    </w:p>
    <w:p>
      <w:pPr>
        <w:pStyle w:val="BodyText"/>
        <w:spacing w:before="92"/>
        <w:ind w:left="559" w:right="104"/>
        <w:jc w:val="both"/>
      </w:pPr>
      <w:r>
        <w:rPr/>
        <w:t>L’unité «</w:t>
      </w:r>
      <w:r>
        <w:rPr>
          <w:spacing w:val="-2"/>
        </w:rPr>
        <w:t> </w:t>
      </w:r>
      <w:r>
        <w:rPr/>
        <w:t>Des Déchets aux Ressources »</w:t>
      </w:r>
      <w:r>
        <w:rPr>
          <w:spacing w:val="-2"/>
        </w:rPr>
        <w:t> </w:t>
      </w:r>
      <w:r>
        <w:rPr/>
        <w:t>de la DG Environnement est constituée de 30 collègues enthousiastes et amicaux qui œuvrent en faveur d’une économie durable, circulaire et neutre pour le climat en Europe. Au sein de cette équipe de professionnels dynamiques composée d’économistes, de juristes et d’ingénieurs, nous sommes responsables de 12 actes législatifs relatifs aux déchets dans un domaine d’intérêt public et politique élevé. Nos politiques constituent un élément essentiel du pacte vert et du plan d’action en faveur de</w:t>
      </w:r>
      <w:r>
        <w:rPr>
          <w:spacing w:val="80"/>
        </w:rPr>
        <w:t> </w:t>
      </w:r>
      <w:r>
        <w:rPr/>
        <w:t>l’économie circulaire et ont un lien étroit avec d’autres domaines d’intérêt commun tels que le climat, l’énergie, les consommateurs, la santé et les politiques économiques. Nous avons un programme de travail ambitieux, qui prévoit plusieurs révisions d’actes législatifs de l’UE à réaliser dans les années à venir et des travaux importants pour assurer la mise en œuvre de l’acquis existant.</w:t>
      </w:r>
    </w:p>
    <w:p>
      <w:pPr>
        <w:pStyle w:val="BodyText"/>
      </w:pPr>
    </w:p>
    <w:p>
      <w:pPr>
        <w:pStyle w:val="BodyText"/>
        <w:ind w:left="559" w:right="106"/>
        <w:jc w:val="both"/>
      </w:pPr>
      <w:r>
        <w:rPr/>
        <w:t>Nous recherchons un collègue qui travaillera à la mise en œuvre et à la révision de la directive relative à la limitation de l’utilisation de substances dangereuses dans les équipements électriques et électroniques, la directive RoHs. La bonne application de cette directive est capitale pour parvenir à la circularité dans le</w:t>
      </w:r>
      <w:r>
        <w:rPr>
          <w:spacing w:val="40"/>
        </w:rPr>
        <w:t> </w:t>
      </w:r>
      <w:r>
        <w:rPr/>
        <w:t>secteur par l’élimination progressive (et le remplacement) des substances dangereuses dans le secteur électronique et un soutien au renforcement de réutilisation et du recyclage, ce qui in fine a pour objectif de prévenir les risques pour la santé humaine et l’environnement.</w:t>
      </w:r>
    </w:p>
    <w:p>
      <w:pPr>
        <w:pStyle w:val="BodyText"/>
      </w:pPr>
    </w:p>
    <w:p>
      <w:pPr>
        <w:pStyle w:val="BodyText"/>
        <w:spacing w:before="1"/>
        <w:ind w:left="559" w:right="104"/>
        <w:jc w:val="both"/>
      </w:pPr>
      <w:r>
        <w:rPr/>
        <w:t>À</w:t>
      </w:r>
      <w:r>
        <w:rPr>
          <w:spacing w:val="-3"/>
        </w:rPr>
        <w:t> </w:t>
      </w:r>
      <w:r>
        <w:rPr/>
        <w:t>la</w:t>
      </w:r>
      <w:r>
        <w:rPr>
          <w:spacing w:val="-2"/>
        </w:rPr>
        <w:t> </w:t>
      </w:r>
      <w:r>
        <w:rPr/>
        <w:t>suite</w:t>
      </w:r>
      <w:r>
        <w:rPr>
          <w:spacing w:val="-2"/>
        </w:rPr>
        <w:t> </w:t>
      </w:r>
      <w:r>
        <w:rPr/>
        <w:t>de</w:t>
      </w:r>
      <w:r>
        <w:rPr>
          <w:spacing w:val="-4"/>
        </w:rPr>
        <w:t> </w:t>
      </w:r>
      <w:r>
        <w:rPr/>
        <w:t>l’évaluation</w:t>
      </w:r>
      <w:r>
        <w:rPr>
          <w:spacing w:val="-2"/>
        </w:rPr>
        <w:t> </w:t>
      </w:r>
      <w:r>
        <w:rPr/>
        <w:t>de</w:t>
      </w:r>
      <w:r>
        <w:rPr>
          <w:spacing w:val="-2"/>
        </w:rPr>
        <w:t> </w:t>
      </w:r>
      <w:r>
        <w:rPr/>
        <w:t>la</w:t>
      </w:r>
      <w:r>
        <w:rPr>
          <w:spacing w:val="-2"/>
        </w:rPr>
        <w:t> </w:t>
      </w:r>
      <w:r>
        <w:rPr/>
        <w:t>directive</w:t>
      </w:r>
      <w:r>
        <w:rPr>
          <w:spacing w:val="-2"/>
        </w:rPr>
        <w:t> </w:t>
      </w:r>
      <w:r>
        <w:rPr/>
        <w:t>RoHs,</w:t>
      </w:r>
      <w:r>
        <w:rPr>
          <w:spacing w:val="-2"/>
        </w:rPr>
        <w:t> </w:t>
      </w:r>
      <w:r>
        <w:rPr/>
        <w:t>la</w:t>
      </w:r>
      <w:r>
        <w:rPr>
          <w:spacing w:val="-2"/>
        </w:rPr>
        <w:t> </w:t>
      </w:r>
      <w:r>
        <w:rPr/>
        <w:t>Commission</w:t>
      </w:r>
      <w:r>
        <w:rPr>
          <w:spacing w:val="-2"/>
        </w:rPr>
        <w:t> </w:t>
      </w:r>
      <w:r>
        <w:rPr/>
        <w:t>procède</w:t>
      </w:r>
      <w:r>
        <w:rPr>
          <w:spacing w:val="-2"/>
        </w:rPr>
        <w:t> </w:t>
      </w:r>
      <w:r>
        <w:rPr/>
        <w:t>à</w:t>
      </w:r>
      <w:r>
        <w:rPr>
          <w:spacing w:val="-2"/>
        </w:rPr>
        <w:t> </w:t>
      </w:r>
      <w:r>
        <w:rPr/>
        <w:t>son</w:t>
      </w:r>
      <w:r>
        <w:rPr>
          <w:spacing w:val="-2"/>
        </w:rPr>
        <w:t> </w:t>
      </w:r>
      <w:r>
        <w:rPr/>
        <w:t>réexamen</w:t>
      </w:r>
      <w:r>
        <w:rPr>
          <w:spacing w:val="-2"/>
        </w:rPr>
        <w:t> </w:t>
      </w:r>
      <w:r>
        <w:rPr/>
        <w:t>en</w:t>
      </w:r>
      <w:r>
        <w:rPr>
          <w:spacing w:val="-2"/>
        </w:rPr>
        <w:t> </w:t>
      </w:r>
      <w:r>
        <w:rPr/>
        <w:t>vue</w:t>
      </w:r>
      <w:r>
        <w:rPr>
          <w:spacing w:val="-2"/>
        </w:rPr>
        <w:t> </w:t>
      </w:r>
      <w:r>
        <w:rPr/>
        <w:t>de</w:t>
      </w:r>
      <w:r>
        <w:rPr>
          <w:spacing w:val="-2"/>
        </w:rPr>
        <w:t> </w:t>
      </w:r>
      <w:r>
        <w:rPr/>
        <w:t>proposer</w:t>
      </w:r>
      <w:r>
        <w:rPr>
          <w:spacing w:val="-4"/>
        </w:rPr>
        <w:t> </w:t>
      </w:r>
      <w:r>
        <w:rPr/>
        <w:t>une directive révisée en 2023.</w:t>
      </w:r>
      <w:r>
        <w:rPr>
          <w:spacing w:val="40"/>
        </w:rPr>
        <w:t> </w:t>
      </w:r>
      <w:r>
        <w:rPr/>
        <w:t>L’expert national, en collaboration avec un chargé de mission et le coordinateur de l’équipe, soutiendra l’élaboration de cette proposition. Ce travail implique des contacts étroits avec les collègues travaillant sur des instruments/politiques connexes, notamment la directive relative aux déchets d’équipements électriques et électroniques (directive DEEE), la législation sur les produits chimiques, la directive</w:t>
      </w:r>
      <w:r>
        <w:rPr>
          <w:spacing w:val="22"/>
        </w:rPr>
        <w:t> </w:t>
      </w:r>
      <w:r>
        <w:rPr/>
        <w:t>et</w:t>
      </w:r>
      <w:r>
        <w:rPr>
          <w:spacing w:val="20"/>
        </w:rPr>
        <w:t> </w:t>
      </w:r>
      <w:r>
        <w:rPr/>
        <w:t>la</w:t>
      </w:r>
      <w:r>
        <w:rPr>
          <w:spacing w:val="22"/>
        </w:rPr>
        <w:t> </w:t>
      </w:r>
      <w:r>
        <w:rPr/>
        <w:t>proposition</w:t>
      </w:r>
      <w:r>
        <w:rPr>
          <w:spacing w:val="19"/>
        </w:rPr>
        <w:t> </w:t>
      </w:r>
      <w:r>
        <w:rPr/>
        <w:t>législative</w:t>
      </w:r>
      <w:r>
        <w:rPr>
          <w:spacing w:val="22"/>
        </w:rPr>
        <w:t> </w:t>
      </w:r>
      <w:r>
        <w:rPr/>
        <w:t>sur</w:t>
      </w:r>
      <w:r>
        <w:rPr>
          <w:spacing w:val="20"/>
        </w:rPr>
        <w:t> </w:t>
      </w:r>
      <w:r>
        <w:rPr/>
        <w:t>l’écoconception,</w:t>
      </w:r>
      <w:r>
        <w:rPr>
          <w:spacing w:val="22"/>
        </w:rPr>
        <w:t> </w:t>
      </w:r>
      <w:r>
        <w:rPr/>
        <w:t>ainsi</w:t>
      </w:r>
      <w:r>
        <w:rPr>
          <w:spacing w:val="22"/>
        </w:rPr>
        <w:t> </w:t>
      </w:r>
      <w:r>
        <w:rPr/>
        <w:t>que</w:t>
      </w:r>
      <w:r>
        <w:rPr>
          <w:spacing w:val="19"/>
        </w:rPr>
        <w:t> </w:t>
      </w:r>
      <w:r>
        <w:rPr/>
        <w:t>d’autres</w:t>
      </w:r>
      <w:r>
        <w:rPr>
          <w:spacing w:val="22"/>
        </w:rPr>
        <w:t> </w:t>
      </w:r>
      <w:r>
        <w:rPr/>
        <w:t>politiques</w:t>
      </w:r>
      <w:r>
        <w:rPr>
          <w:spacing w:val="22"/>
        </w:rPr>
        <w:t> </w:t>
      </w:r>
      <w:r>
        <w:rPr/>
        <w:t>connexes.</w:t>
      </w:r>
      <w:r>
        <w:rPr>
          <w:spacing w:val="22"/>
        </w:rPr>
        <w:t> </w:t>
      </w:r>
      <w:r>
        <w:rPr/>
        <w:t>Le</w:t>
      </w:r>
      <w:r>
        <w:rPr>
          <w:spacing w:val="19"/>
        </w:rPr>
        <w:t> </w:t>
      </w:r>
      <w:r>
        <w:rPr/>
        <w:t>second</w:t>
      </w:r>
    </w:p>
    <w:p>
      <w:pPr>
        <w:pStyle w:val="BodyText"/>
        <w:rPr>
          <w:sz w:val="20"/>
        </w:rPr>
      </w:pPr>
    </w:p>
    <w:p>
      <w:pPr>
        <w:pStyle w:val="BodyText"/>
        <w:rPr>
          <w:sz w:val="13"/>
        </w:rPr>
      </w:pPr>
      <w:r>
        <w:rPr/>
        <w:pict>
          <v:rect style="position:absolute;margin-left:42.599998pt;margin-top:8.693789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before="68"/>
        <w:ind w:left="559" w:right="110"/>
        <w:jc w:val="both"/>
      </w:pPr>
      <w:r>
        <w:rPr/>
        <w:t>domaine d’intervention de cette mission consiste à examiner l’évaluation et la préparation de la prise de décision</w:t>
      </w:r>
      <w:r>
        <w:rPr>
          <w:spacing w:val="-3"/>
        </w:rPr>
        <w:t> </w:t>
      </w:r>
      <w:r>
        <w:rPr/>
        <w:t>dans</w:t>
      </w:r>
      <w:r>
        <w:rPr>
          <w:spacing w:val="-2"/>
        </w:rPr>
        <w:t> </w:t>
      </w:r>
      <w:r>
        <w:rPr/>
        <w:t>le</w:t>
      </w:r>
      <w:r>
        <w:rPr>
          <w:spacing w:val="-2"/>
        </w:rPr>
        <w:t> </w:t>
      </w:r>
      <w:r>
        <w:rPr/>
        <w:t>cadre</w:t>
      </w:r>
      <w:r>
        <w:rPr>
          <w:spacing w:val="-2"/>
        </w:rPr>
        <w:t> </w:t>
      </w:r>
      <w:r>
        <w:rPr/>
        <w:t>de</w:t>
      </w:r>
      <w:r>
        <w:rPr>
          <w:spacing w:val="-2"/>
        </w:rPr>
        <w:t> </w:t>
      </w:r>
      <w:r>
        <w:rPr/>
        <w:t>la</w:t>
      </w:r>
      <w:r>
        <w:rPr>
          <w:spacing w:val="-2"/>
        </w:rPr>
        <w:t> </w:t>
      </w:r>
      <w:r>
        <w:rPr/>
        <w:t>mise en</w:t>
      </w:r>
      <w:r>
        <w:rPr>
          <w:spacing w:val="-2"/>
        </w:rPr>
        <w:t> </w:t>
      </w:r>
      <w:r>
        <w:rPr/>
        <w:t>œuvre de</w:t>
      </w:r>
      <w:r>
        <w:rPr>
          <w:spacing w:val="-2"/>
        </w:rPr>
        <w:t> </w:t>
      </w:r>
      <w:r>
        <w:rPr/>
        <w:t>la</w:t>
      </w:r>
      <w:r>
        <w:rPr>
          <w:spacing w:val="-2"/>
        </w:rPr>
        <w:t> </w:t>
      </w:r>
      <w:r>
        <w:rPr/>
        <w:t>directive, notamment sous</w:t>
      </w:r>
      <w:r>
        <w:rPr>
          <w:spacing w:val="-1"/>
        </w:rPr>
        <w:t> </w:t>
      </w:r>
      <w:r>
        <w:rPr/>
        <w:t>la</w:t>
      </w:r>
      <w:r>
        <w:rPr>
          <w:spacing w:val="-2"/>
        </w:rPr>
        <w:t> </w:t>
      </w:r>
      <w:r>
        <w:rPr/>
        <w:t>forme d’un nombre important</w:t>
      </w:r>
      <w:r>
        <w:rPr>
          <w:spacing w:val="-1"/>
        </w:rPr>
        <w:t> </w:t>
      </w:r>
      <w:r>
        <w:rPr/>
        <w:t>de demandes d’exemption émanant de l’industrie.</w:t>
      </w:r>
    </w:p>
    <w:p>
      <w:pPr>
        <w:pStyle w:val="BodyText"/>
        <w:spacing w:before="1"/>
      </w:pPr>
    </w:p>
    <w:p>
      <w:pPr>
        <w:pStyle w:val="BodyText"/>
        <w:ind w:left="559" w:right="105"/>
        <w:jc w:val="both"/>
      </w:pPr>
      <w:r>
        <w:rPr/>
        <w:t>Vous travaillerez à l’analyse des incidences économiques, environnementales et sociales de la proposition de</w:t>
      </w:r>
      <w:r>
        <w:rPr>
          <w:spacing w:val="40"/>
        </w:rPr>
        <w:t> </w:t>
      </w:r>
      <w:r>
        <w:rPr/>
        <w:t>la Commission</w:t>
      </w:r>
      <w:r>
        <w:rPr>
          <w:spacing w:val="-1"/>
        </w:rPr>
        <w:t> </w:t>
      </w:r>
      <w:r>
        <w:rPr/>
        <w:t>relative à la</w:t>
      </w:r>
      <w:r>
        <w:rPr>
          <w:spacing w:val="-1"/>
        </w:rPr>
        <w:t> </w:t>
      </w:r>
      <w:r>
        <w:rPr/>
        <w:t>révision de</w:t>
      </w:r>
      <w:r>
        <w:rPr>
          <w:spacing w:val="-1"/>
        </w:rPr>
        <w:t> </w:t>
      </w:r>
      <w:r>
        <w:rPr/>
        <w:t>la directive RoHs et vous contribuerez</w:t>
      </w:r>
      <w:r>
        <w:rPr>
          <w:spacing w:val="-1"/>
        </w:rPr>
        <w:t> </w:t>
      </w:r>
      <w:r>
        <w:rPr/>
        <w:t>à l’élaboration de</w:t>
      </w:r>
      <w:r>
        <w:rPr>
          <w:spacing w:val="-1"/>
        </w:rPr>
        <w:t> </w:t>
      </w:r>
      <w:r>
        <w:rPr/>
        <w:t>la proposition législative. Cette analyse est un élément clé des travaux préparatoires de la Commission en vue de nouvelles propositions législatives et elle constitue un support essentiel pour étayer le bien-fondé et la qualité des propositions formulées dans le cadre de la révision des textes.</w:t>
      </w:r>
    </w:p>
    <w:p>
      <w:pPr>
        <w:pStyle w:val="BodyText"/>
        <w:spacing w:before="1"/>
      </w:pPr>
    </w:p>
    <w:p>
      <w:pPr>
        <w:pStyle w:val="BodyText"/>
        <w:spacing w:before="1"/>
        <w:ind w:left="559" w:right="106"/>
        <w:jc w:val="both"/>
      </w:pPr>
      <w:r>
        <w:rPr/>
        <w:t>Concrètement, les travaux relatifs à la mise en œuvre de la directive impliqueront la supervision et le pilotage des évaluations</w:t>
      </w:r>
      <w:r>
        <w:rPr>
          <w:spacing w:val="-1"/>
        </w:rPr>
        <w:t> </w:t>
      </w:r>
      <w:r>
        <w:rPr/>
        <w:t>scientifiques</w:t>
      </w:r>
      <w:r>
        <w:rPr>
          <w:spacing w:val="-1"/>
        </w:rPr>
        <w:t> </w:t>
      </w:r>
      <w:r>
        <w:rPr/>
        <w:t>et techniques</w:t>
      </w:r>
      <w:r>
        <w:rPr>
          <w:spacing w:val="-1"/>
        </w:rPr>
        <w:t> </w:t>
      </w:r>
      <w:r>
        <w:rPr/>
        <w:t>connexes</w:t>
      </w:r>
      <w:r>
        <w:rPr>
          <w:spacing w:val="-1"/>
        </w:rPr>
        <w:t> </w:t>
      </w:r>
      <w:r>
        <w:rPr/>
        <w:t>concernant</w:t>
      </w:r>
      <w:r>
        <w:rPr>
          <w:spacing w:val="-2"/>
        </w:rPr>
        <w:t> </w:t>
      </w:r>
      <w:r>
        <w:rPr/>
        <w:t>les demandes</w:t>
      </w:r>
      <w:r>
        <w:rPr>
          <w:spacing w:val="-1"/>
        </w:rPr>
        <w:t> </w:t>
      </w:r>
      <w:r>
        <w:rPr/>
        <w:t>d’exemption</w:t>
      </w:r>
      <w:r>
        <w:rPr>
          <w:spacing w:val="-1"/>
        </w:rPr>
        <w:t> </w:t>
      </w:r>
      <w:r>
        <w:rPr/>
        <w:t>et,</w:t>
      </w:r>
      <w:r>
        <w:rPr>
          <w:spacing w:val="-1"/>
        </w:rPr>
        <w:t> </w:t>
      </w:r>
      <w:r>
        <w:rPr/>
        <w:t>éventuellement, les restrictions relatives aux substances, ainsi que, par la suite, leur évaluation et la préparation et la consultation du processus décisionnel correspondant (législation déléguée). Cela va de pair avec les relations avec l’ensemble des parties prenantes intervenant dans ce secteur d’activité ainsi qu’avec les experts des États </w:t>
      </w:r>
      <w:r>
        <w:rPr>
          <w:spacing w:val="-2"/>
        </w:rPr>
        <w:t>membres.</w:t>
      </w:r>
    </w:p>
    <w:p>
      <w:pPr>
        <w:pStyle w:val="BodyText"/>
        <w:spacing w:before="3"/>
      </w:pPr>
    </w:p>
    <w:p>
      <w:pPr>
        <w:pStyle w:val="ListParagraph"/>
        <w:numPr>
          <w:ilvl w:val="0"/>
          <w:numId w:val="4"/>
        </w:numPr>
        <w:tabs>
          <w:tab w:pos="559" w:val="left" w:leader="none"/>
          <w:tab w:pos="560" w:val="left" w:leader="none"/>
        </w:tabs>
        <w:spacing w:line="240" w:lineRule="auto" w:before="0"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spacing w:before="2"/>
        <w:rPr>
          <w:b/>
          <w:sz w:val="16"/>
        </w:rPr>
      </w:pPr>
    </w:p>
    <w:p>
      <w:pPr>
        <w:pStyle w:val="Heading1"/>
        <w:numPr>
          <w:ilvl w:val="1"/>
          <w:numId w:val="4"/>
        </w:numPr>
        <w:tabs>
          <w:tab w:pos="920" w:val="left" w:leader="none"/>
        </w:tabs>
        <w:spacing w:line="240" w:lineRule="auto" w:before="90" w:after="0"/>
        <w:ind w:left="919" w:right="0" w:hanging="361"/>
        <w:jc w:val="left"/>
        <w:rPr>
          <w:u w:val="none"/>
        </w:rPr>
      </w:pPr>
      <w:r>
        <w:rPr>
          <w:u w:val="none"/>
        </w:rPr>
        <w:t>Critères</w:t>
      </w:r>
      <w:r>
        <w:rPr>
          <w:spacing w:val="-3"/>
          <w:u w:val="none"/>
        </w:rPr>
        <w:t> </w:t>
      </w:r>
      <w:r>
        <w:rPr>
          <w:spacing w:val="-2"/>
          <w:u w:val="none"/>
        </w:rPr>
        <w:t>d’éligibilité</w:t>
      </w:r>
    </w:p>
    <w:p>
      <w:pPr>
        <w:pStyle w:val="BodyText"/>
        <w:spacing w:before="3"/>
        <w:rPr>
          <w:b/>
          <w:sz w:val="21"/>
        </w:rPr>
      </w:pPr>
    </w:p>
    <w:p>
      <w:pPr>
        <w:pStyle w:val="BodyText"/>
        <w:ind w:left="559" w:right="106"/>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2"/>
          <w:numId w:val="4"/>
        </w:numPr>
        <w:tabs>
          <w:tab w:pos="841" w:val="left" w:leader="none"/>
        </w:tabs>
        <w:spacing w:line="240" w:lineRule="auto" w:before="0" w:after="0"/>
        <w:ind w:left="840" w:right="105"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 ;</w:t>
      </w:r>
    </w:p>
    <w:p>
      <w:pPr>
        <w:pStyle w:val="BodyText"/>
        <w:spacing w:before="10"/>
        <w:rPr>
          <w:sz w:val="21"/>
        </w:rPr>
      </w:pPr>
    </w:p>
    <w:p>
      <w:pPr>
        <w:pStyle w:val="ListParagraph"/>
        <w:numPr>
          <w:ilvl w:val="2"/>
          <w:numId w:val="4"/>
        </w:numPr>
        <w:tabs>
          <w:tab w:pos="841" w:val="left" w:leader="none"/>
        </w:tabs>
        <w:spacing w:line="240" w:lineRule="auto" w:before="1" w:after="0"/>
        <w:ind w:left="840" w:right="106" w:hanging="281"/>
        <w:jc w:val="both"/>
        <w:rPr>
          <w:sz w:val="22"/>
        </w:rPr>
      </w:pPr>
      <w:r>
        <w:rPr>
          <w:sz w:val="22"/>
        </w:rPr>
        <w:t>Ancienneté de service</w:t>
      </w:r>
      <w:r>
        <w:rPr>
          <w:spacing w:val="-2"/>
          <w:sz w:val="22"/>
        </w:rPr>
        <w:t> </w:t>
      </w:r>
      <w:r>
        <w:rPr>
          <w:sz w:val="22"/>
        </w:rPr>
        <w:t>: avoir une ancienneté d’au moins un an auprès de son employeur, c’est-à-dire être employé depuis au moins un an par un employeur éligible au sens de l’article 1 de la décision END, dans</w:t>
      </w:r>
      <w:r>
        <w:rPr>
          <w:spacing w:val="40"/>
          <w:sz w:val="22"/>
        </w:rPr>
        <w:t> </w:t>
      </w:r>
      <w:r>
        <w:rPr>
          <w:sz w:val="22"/>
        </w:rPr>
        <w:t>un cadre statutaire ou contractuel avant le détachement ;</w:t>
      </w:r>
    </w:p>
    <w:p>
      <w:pPr>
        <w:pStyle w:val="BodyText"/>
      </w:pPr>
    </w:p>
    <w:p>
      <w:pPr>
        <w:pStyle w:val="ListParagraph"/>
        <w:numPr>
          <w:ilvl w:val="2"/>
          <w:numId w:val="4"/>
        </w:numPr>
        <w:tabs>
          <w:tab w:pos="841" w:val="left" w:leader="none"/>
        </w:tabs>
        <w:spacing w:line="240" w:lineRule="auto" w:before="0" w:after="0"/>
        <w:ind w:left="840" w:right="104" w:hanging="281"/>
        <w:jc w:val="both"/>
        <w:rPr>
          <w:sz w:val="22"/>
        </w:rPr>
      </w:pPr>
      <w:r>
        <w:rPr>
          <w:sz w:val="22"/>
        </w:rPr>
        <w:t>Compétences linguistiques</w:t>
      </w:r>
      <w:r>
        <w:rPr>
          <w:spacing w:val="-2"/>
          <w:sz w:val="22"/>
        </w:rPr>
        <w:t> </w:t>
      </w:r>
      <w:r>
        <w:rPr>
          <w:sz w:val="22"/>
        </w:rPr>
        <w:t>: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6"/>
        <w:rPr>
          <w:sz w:val="24"/>
        </w:rPr>
      </w:pPr>
    </w:p>
    <w:p>
      <w:pPr>
        <w:pStyle w:val="Heading1"/>
        <w:numPr>
          <w:ilvl w:val="0"/>
          <w:numId w:val="5"/>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6"/>
        <w:rPr>
          <w:b/>
          <w:sz w:val="15"/>
        </w:rPr>
      </w:pPr>
    </w:p>
    <w:p>
      <w:pPr>
        <w:pStyle w:val="BodyText"/>
        <w:spacing w:before="91"/>
        <w:ind w:left="840"/>
      </w:pPr>
      <w:r>
        <w:rPr>
          <w:spacing w:val="-2"/>
          <w:u w:val="single"/>
        </w:rPr>
        <w:t>Diplôme</w:t>
      </w:r>
    </w:p>
    <w:p>
      <w:pPr>
        <w:pStyle w:val="ListParagraph"/>
        <w:numPr>
          <w:ilvl w:val="1"/>
          <w:numId w:val="5"/>
        </w:numPr>
        <w:tabs>
          <w:tab w:pos="966" w:val="left" w:leader="none"/>
        </w:tabs>
        <w:spacing w:line="252" w:lineRule="exact" w:before="2"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5"/>
        </w:numPr>
        <w:tabs>
          <w:tab w:pos="966" w:val="left" w:leader="none"/>
        </w:tabs>
        <w:spacing w:line="252" w:lineRule="exact" w:before="0" w:after="0"/>
        <w:ind w:left="96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pPr>
    </w:p>
    <w:p>
      <w:pPr>
        <w:pStyle w:val="BodyText"/>
        <w:ind w:left="984" w:right="171" w:hanging="34"/>
        <w:jc w:val="both"/>
      </w:pPr>
      <w:r>
        <w:rPr/>
        <w:t>dans le(s) domaine(s)</w:t>
      </w:r>
      <w:r>
        <w:rPr>
          <w:spacing w:val="-2"/>
        </w:rPr>
        <w:t> </w:t>
      </w:r>
      <w:r>
        <w:rPr/>
        <w:t>: environnement ou juridique. Une autre expérience professionnelle sera prise en considération si le candidat possède une expérience professionnelle pertinente dans le domaine de la gestion des déchets..</w:t>
      </w:r>
    </w:p>
    <w:p>
      <w:pPr>
        <w:pStyle w:val="BodyText"/>
        <w:spacing w:before="1"/>
      </w:pPr>
    </w:p>
    <w:p>
      <w:pPr>
        <w:pStyle w:val="BodyText"/>
        <w:ind w:left="840"/>
      </w:pPr>
      <w:r>
        <w:rPr>
          <w:u w:val="single"/>
        </w:rPr>
        <w:t>Expérience</w:t>
      </w:r>
      <w:r>
        <w:rPr>
          <w:spacing w:val="-4"/>
          <w:u w:val="single"/>
        </w:rPr>
        <w:t> </w:t>
      </w:r>
      <w:r>
        <w:rPr>
          <w:spacing w:val="-2"/>
          <w:u w:val="single"/>
        </w:rPr>
        <w:t>professionnelle</w:t>
      </w:r>
    </w:p>
    <w:p>
      <w:pPr>
        <w:pStyle w:val="BodyText"/>
        <w:spacing w:before="11"/>
        <w:rPr>
          <w:sz w:val="13"/>
        </w:rPr>
      </w:pPr>
    </w:p>
    <w:p>
      <w:pPr>
        <w:pStyle w:val="BodyText"/>
        <w:spacing w:before="91"/>
        <w:ind w:left="840" w:right="170"/>
        <w:jc w:val="both"/>
      </w:pPr>
      <w:r>
        <w:rPr/>
        <w:t>Le candidat</w:t>
      </w:r>
      <w:r>
        <w:rPr>
          <w:spacing w:val="-1"/>
        </w:rPr>
        <w:t> </w:t>
      </w:r>
      <w:r>
        <w:rPr/>
        <w:t>idéal disposera</w:t>
      </w:r>
      <w:r>
        <w:rPr>
          <w:spacing w:val="-2"/>
        </w:rPr>
        <w:t> </w:t>
      </w:r>
      <w:r>
        <w:rPr/>
        <w:t>d’une</w:t>
      </w:r>
      <w:r>
        <w:rPr>
          <w:spacing w:val="-2"/>
        </w:rPr>
        <w:t> </w:t>
      </w:r>
      <w:r>
        <w:rPr/>
        <w:t>expérience dans le domaine de la gestion des déchets, de</w:t>
      </w:r>
      <w:r>
        <w:rPr>
          <w:spacing w:val="-2"/>
        </w:rPr>
        <w:t> </w:t>
      </w:r>
      <w:r>
        <w:rPr/>
        <w:t>la</w:t>
      </w:r>
      <w:r>
        <w:rPr>
          <w:spacing w:val="-2"/>
        </w:rPr>
        <w:t> </w:t>
      </w:r>
      <w:r>
        <w:rPr/>
        <w:t>politique</w:t>
      </w:r>
      <w:r>
        <w:rPr>
          <w:spacing w:val="-2"/>
        </w:rPr>
        <w:t> </w:t>
      </w:r>
      <w:r>
        <w:rPr/>
        <w:t>des produits ou de la politique en matière de produits chimiques. Nous recherchons un candidat bien organisé, doté de bonnes capacités de discernement, d’analyse et de capacité à comprendre et à évaluer rapidement les contributions et les informations provenant de différentes sources/parties prenantes/États membres, avec d’excellentes capacités de communication écrite et orale et une aptitude à travailler en équipe. La capacité à rédiger des textes juridiques et l’expérience du processus décisionnel de l’UE seraient un atout.</w:t>
      </w:r>
    </w:p>
    <w:p>
      <w:pPr>
        <w:spacing w:after="0"/>
        <w:jc w:val="both"/>
        <w:sectPr>
          <w:pgSz w:w="11910" w:h="16840"/>
          <w:pgMar w:header="0" w:footer="690" w:top="1040" w:bottom="880" w:left="720" w:right="740"/>
        </w:sectPr>
      </w:pPr>
    </w:p>
    <w:p>
      <w:pPr>
        <w:pStyle w:val="BodyText"/>
        <w:spacing w:before="62"/>
        <w:ind w:left="840"/>
      </w:pPr>
      <w:r>
        <w:rPr>
          <w:u w:val="single"/>
        </w:rPr>
        <w:t>Langue(s)</w:t>
      </w:r>
      <w:r>
        <w:rPr>
          <w:spacing w:val="-8"/>
          <w:u w:val="single"/>
        </w:rPr>
        <w:t> </w:t>
      </w:r>
      <w:r>
        <w:rPr>
          <w:u w:val="single"/>
        </w:rPr>
        <w:t>nécessaire(s)</w:t>
      </w:r>
      <w:r>
        <w:rPr>
          <w:spacing w:val="-4"/>
          <w:u w:val="single"/>
        </w:rPr>
        <w:t> </w:t>
      </w:r>
      <w:r>
        <w:rPr>
          <w:u w:val="single"/>
        </w:rPr>
        <w:t>pour</w:t>
      </w:r>
      <w:r>
        <w:rPr>
          <w:spacing w:val="-6"/>
          <w:u w:val="single"/>
        </w:rPr>
        <w:t> </w:t>
      </w:r>
      <w:r>
        <w:rPr>
          <w:u w:val="single"/>
        </w:rPr>
        <w:t>l’accomplissement</w:t>
      </w:r>
      <w:r>
        <w:rPr>
          <w:spacing w:val="-4"/>
          <w:u w:val="single"/>
        </w:rPr>
        <w:t> </w:t>
      </w:r>
      <w:r>
        <w:rPr>
          <w:u w:val="single"/>
        </w:rPr>
        <w:t>des</w:t>
      </w:r>
      <w:r>
        <w:rPr>
          <w:spacing w:val="-7"/>
          <w:u w:val="single"/>
        </w:rPr>
        <w:t> </w:t>
      </w:r>
      <w:r>
        <w:rPr>
          <w:spacing w:val="-2"/>
          <w:u w:val="single"/>
        </w:rPr>
        <w:t>tâches</w:t>
      </w:r>
    </w:p>
    <w:p>
      <w:pPr>
        <w:pStyle w:val="BodyText"/>
        <w:spacing w:before="2"/>
        <w:rPr>
          <w:sz w:val="14"/>
        </w:rPr>
      </w:pPr>
    </w:p>
    <w:p>
      <w:pPr>
        <w:pStyle w:val="BodyText"/>
        <w:spacing w:before="91"/>
        <w:ind w:left="840"/>
      </w:pPr>
      <w:r>
        <w:rPr/>
        <w:t>Une</w:t>
      </w:r>
      <w:r>
        <w:rPr>
          <w:spacing w:val="27"/>
        </w:rPr>
        <w:t> </w:t>
      </w:r>
      <w:r>
        <w:rPr/>
        <w:t>excellente</w:t>
      </w:r>
      <w:r>
        <w:rPr>
          <w:spacing w:val="24"/>
        </w:rPr>
        <w:t> </w:t>
      </w:r>
      <w:r>
        <w:rPr/>
        <w:t>connaissance</w:t>
      </w:r>
      <w:r>
        <w:rPr>
          <w:spacing w:val="27"/>
        </w:rPr>
        <w:t> </w:t>
      </w:r>
      <w:r>
        <w:rPr/>
        <w:t>de</w:t>
      </w:r>
      <w:r>
        <w:rPr>
          <w:spacing w:val="27"/>
        </w:rPr>
        <w:t> </w:t>
      </w:r>
      <w:r>
        <w:rPr/>
        <w:t>l’anglais</w:t>
      </w:r>
      <w:r>
        <w:rPr>
          <w:spacing w:val="24"/>
        </w:rPr>
        <w:t> </w:t>
      </w:r>
      <w:r>
        <w:rPr/>
        <w:t>est</w:t>
      </w:r>
      <w:r>
        <w:rPr>
          <w:spacing w:val="25"/>
        </w:rPr>
        <w:t> </w:t>
      </w:r>
      <w:r>
        <w:rPr/>
        <w:t>requise;</w:t>
      </w:r>
      <w:r>
        <w:rPr>
          <w:spacing w:val="25"/>
        </w:rPr>
        <w:t> </w:t>
      </w:r>
      <w:r>
        <w:rPr/>
        <w:t>une</w:t>
      </w:r>
      <w:r>
        <w:rPr>
          <w:spacing w:val="24"/>
        </w:rPr>
        <w:t> </w:t>
      </w:r>
      <w:r>
        <w:rPr/>
        <w:t>bonne</w:t>
      </w:r>
      <w:r>
        <w:rPr>
          <w:spacing w:val="24"/>
        </w:rPr>
        <w:t> </w:t>
      </w:r>
      <w:r>
        <w:rPr/>
        <w:t>connaissance d’autres</w:t>
      </w:r>
      <w:r>
        <w:rPr>
          <w:spacing w:val="31"/>
        </w:rPr>
        <w:t> </w:t>
      </w:r>
      <w:r>
        <w:rPr/>
        <w:t>langues</w:t>
      </w:r>
      <w:r>
        <w:rPr>
          <w:spacing w:val="25"/>
        </w:rPr>
        <w:t> </w:t>
      </w:r>
      <w:r>
        <w:rPr/>
        <w:t>de</w:t>
      </w:r>
      <w:r>
        <w:rPr>
          <w:spacing w:val="24"/>
        </w:rPr>
        <w:t> </w:t>
      </w:r>
      <w:r>
        <w:rPr/>
        <w:t>l’UE serait un atout.</w:t>
      </w:r>
    </w:p>
    <w:p>
      <w:pPr>
        <w:pStyle w:val="BodyText"/>
        <w:spacing w:before="5"/>
      </w:pPr>
    </w:p>
    <w:p>
      <w:pPr>
        <w:pStyle w:val="ListParagraph"/>
        <w:numPr>
          <w:ilvl w:val="0"/>
          <w:numId w:val="4"/>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1"/>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 d'expérience professionnelle, …). Ces documents leur seront demandés, le cas échéant, à un</w:t>
      </w:r>
      <w:r>
        <w:rPr>
          <w:spacing w:val="40"/>
          <w:sz w:val="22"/>
        </w:rPr>
        <w:t> </w:t>
      </w:r>
      <w:r>
        <w:rPr>
          <w:sz w:val="22"/>
        </w:rPr>
        <w:t>stade ultérieur de la procédure de sélection.</w:t>
      </w:r>
    </w:p>
    <w:p>
      <w:pPr>
        <w:pStyle w:val="BodyText"/>
        <w:spacing w:before="2"/>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BodyText"/>
        <w:spacing w:before="3"/>
      </w:pPr>
    </w:p>
    <w:p>
      <w:pPr>
        <w:pStyle w:val="ListParagraph"/>
        <w:numPr>
          <w:ilvl w:val="0"/>
          <w:numId w:val="4"/>
        </w:numPr>
        <w:tabs>
          <w:tab w:pos="559" w:val="left" w:leader="none"/>
          <w:tab w:pos="560" w:val="left" w:leader="none"/>
        </w:tabs>
        <w:spacing w:line="240" w:lineRule="auto" w:before="0" w:after="0"/>
        <w:ind w:left="55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spacing w:before="1"/>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9"/>
      </w:pPr>
      <w:r>
        <w:rPr/>
        <w:t>Durant</w:t>
      </w:r>
      <w:r>
        <w:rPr>
          <w:spacing w:val="30"/>
        </w:rPr>
        <w:t> </w:t>
      </w:r>
      <w:r>
        <w:rPr/>
        <w:t>le</w:t>
      </w:r>
      <w:r>
        <w:rPr>
          <w:spacing w:val="29"/>
        </w:rPr>
        <w:t> </w:t>
      </w:r>
      <w:r>
        <w:rPr/>
        <w:t>détachement,</w:t>
      </w:r>
      <w:r>
        <w:rPr>
          <w:spacing w:val="31"/>
        </w:rPr>
        <w:t> </w:t>
      </w:r>
      <w:r>
        <w:rPr/>
        <w:t>l'END</w:t>
      </w:r>
      <w:r>
        <w:rPr>
          <w:spacing w:val="30"/>
        </w:rPr>
        <w:t> </w:t>
      </w:r>
      <w:r>
        <w:rPr/>
        <w:t>sera</w:t>
      </w:r>
      <w:r>
        <w:rPr>
          <w:spacing w:val="29"/>
        </w:rPr>
        <w:t> </w:t>
      </w:r>
      <w:r>
        <w:rPr/>
        <w:t>soumis</w:t>
      </w:r>
      <w:r>
        <w:rPr>
          <w:spacing w:val="31"/>
        </w:rPr>
        <w:t> </w:t>
      </w:r>
      <w:r>
        <w:rPr/>
        <w:t>aux</w:t>
      </w:r>
      <w:r>
        <w:rPr>
          <w:spacing w:val="32"/>
        </w:rPr>
        <w:t> </w:t>
      </w:r>
      <w:r>
        <w:rPr/>
        <w:t>obligations</w:t>
      </w:r>
      <w:r>
        <w:rPr>
          <w:spacing w:val="31"/>
        </w:rPr>
        <w:t> </w:t>
      </w:r>
      <w:r>
        <w:rPr/>
        <w:t>de</w:t>
      </w:r>
      <w:r>
        <w:rPr>
          <w:spacing w:val="32"/>
        </w:rPr>
        <w:t> </w:t>
      </w:r>
      <w:r>
        <w:rPr/>
        <w:t>confidentialité,</w:t>
      </w:r>
      <w:r>
        <w:rPr>
          <w:spacing w:val="29"/>
        </w:rPr>
        <w:t> </w:t>
      </w:r>
      <w:r>
        <w:rPr/>
        <w:t>de</w:t>
      </w:r>
      <w:r>
        <w:rPr>
          <w:spacing w:val="32"/>
        </w:rPr>
        <w:t> </w:t>
      </w:r>
      <w:r>
        <w:rPr/>
        <w:t>loyauté</w:t>
      </w:r>
      <w:r>
        <w:rPr>
          <w:spacing w:val="32"/>
        </w:rPr>
        <w:t> </w:t>
      </w:r>
      <w:r>
        <w:rPr/>
        <w:t>et</w:t>
      </w:r>
      <w:r>
        <w:rPr>
          <w:spacing w:val="32"/>
        </w:rPr>
        <w:t> </w:t>
      </w:r>
      <w:r>
        <w:rPr/>
        <w:t>d'absence</w:t>
      </w:r>
      <w:r>
        <w:rPr>
          <w:spacing w:val="32"/>
        </w:rPr>
        <w:t> </w:t>
      </w:r>
      <w:r>
        <w:rPr/>
        <w:t>de conflit d'intérêt prévues par les articles 6 et 7 de la décision END.</w:t>
      </w:r>
    </w:p>
    <w:p>
      <w:pPr>
        <w:pStyle w:val="BodyText"/>
        <w:spacing w:line="251" w:lineRule="exact"/>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rPr>
          <w:sz w:val="21"/>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4"/>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2"/>
        <w:ind w:left="55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spacing w:before="2"/>
        <w:ind w:left="559" w:right="288"/>
        <w:jc w:val="both"/>
      </w:pPr>
      <w:r>
        <w:rPr/>
        <w:t>Les données des END seront conservées pendant 7 ans à compter de la fin du détachement (2 ans pour les END dont la candidature n'a pas été retenue).</w:t>
      </w:r>
    </w:p>
    <w:p>
      <w:pPr>
        <w:pStyle w:val="BodyText"/>
        <w:ind w:left="559"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5"/>
      </w:pPr>
    </w:p>
    <w:p>
      <w:pPr>
        <w:pStyle w:val="Heading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spacing w:after="0"/>
        <w:sectPr>
          <w:pgSz w:w="11910" w:h="16840"/>
          <w:pgMar w:header="0" w:footer="690" w:top="1300" w:bottom="880" w:left="720" w:right="740"/>
        </w:sectPr>
      </w:pPr>
    </w:p>
    <w:p>
      <w:pPr>
        <w:pStyle w:val="ListParagraph"/>
        <w:numPr>
          <w:ilvl w:val="0"/>
          <w:numId w:val="6"/>
        </w:numPr>
        <w:tabs>
          <w:tab w:pos="841" w:val="left" w:leader="none"/>
        </w:tabs>
        <w:spacing w:line="240" w:lineRule="auto" w:before="68"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spacing w:before="1"/>
        <w:ind w:left="55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hyperlink>
      <w:r>
        <w:rPr>
          <w:color w:val="0000FF"/>
        </w:rPr>
        <w:t>.</w:t>
      </w:r>
    </w:p>
    <w:p>
      <w:pPr>
        <w:pStyle w:val="BodyText"/>
        <w:spacing w:before="1"/>
        <w:rPr>
          <w:sz w:val="14"/>
        </w:rPr>
      </w:pPr>
    </w:p>
    <w:p>
      <w:pPr>
        <w:pStyle w:val="Heading1"/>
        <w:numPr>
          <w:ilvl w:val="0"/>
          <w:numId w:val="6"/>
        </w:numPr>
        <w:tabs>
          <w:tab w:pos="841" w:val="left" w:leader="none"/>
        </w:tabs>
        <w:spacing w:line="252" w:lineRule="exact" w:before="92"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5"/>
      </w:pPr>
    </w:p>
    <w:p>
      <w:pPr>
        <w:pStyle w:val="Heading1"/>
        <w:numPr>
          <w:ilvl w:val="0"/>
          <w:numId w:val="6"/>
        </w:numPr>
        <w:tabs>
          <w:tab w:pos="841" w:val="left" w:leader="none"/>
        </w:tabs>
        <w:spacing w:line="240" w:lineRule="auto" w:before="0" w:after="0"/>
        <w:ind w:left="84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7"/>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spacing w:before="1"/>
        <w:ind w:left="559"/>
      </w:pPr>
      <w:r>
        <w:rPr/>
        <w:t>À l'attention des candidats ressortissant de pays tiers: vos données personnelles peuvent être utilisées aux fins des vérifications de sécurité.</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974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2"/>
      <w:numFmt w:val="lowerLetter"/>
      <w:lvlText w:val="%1)"/>
      <w:lvlJc w:val="left"/>
      <w:pPr>
        <w:ind w:left="840" w:hanging="281"/>
        <w:jc w:val="left"/>
      </w:pPr>
      <w:rPr>
        <w:rFonts w:hint="default" w:ascii="Times New Roman" w:hAnsi="Times New Roman" w:eastAsia="Times New Roman" w:cs="Times New Roman"/>
        <w:b/>
        <w:bCs/>
        <w:i w:val="0"/>
        <w:iCs w:val="0"/>
        <w:spacing w:val="-1"/>
        <w:w w:val="100"/>
        <w:sz w:val="22"/>
        <w:szCs w:val="22"/>
        <w:lang w:val="fr-FR" w:eastAsia="en-US" w:bidi="ar-SA"/>
      </w:rPr>
    </w:lvl>
    <w:lvl w:ilvl="1">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14" w:hanging="125"/>
      </w:pPr>
      <w:rPr>
        <w:rFonts w:hint="default"/>
        <w:lang w:val="fr-FR" w:eastAsia="en-US" w:bidi="ar-SA"/>
      </w:rPr>
    </w:lvl>
    <w:lvl w:ilvl="3">
      <w:start w:val="0"/>
      <w:numFmt w:val="bullet"/>
      <w:lvlText w:val="•"/>
      <w:lvlJc w:val="left"/>
      <w:pPr>
        <w:ind w:left="3068" w:hanging="125"/>
      </w:pPr>
      <w:rPr>
        <w:rFonts w:hint="default"/>
        <w:lang w:val="fr-FR" w:eastAsia="en-US" w:bidi="ar-SA"/>
      </w:rPr>
    </w:lvl>
    <w:lvl w:ilvl="4">
      <w:start w:val="0"/>
      <w:numFmt w:val="bullet"/>
      <w:lvlText w:val="•"/>
      <w:lvlJc w:val="left"/>
      <w:pPr>
        <w:ind w:left="4122" w:hanging="125"/>
      </w:pPr>
      <w:rPr>
        <w:rFonts w:hint="default"/>
        <w:lang w:val="fr-FR" w:eastAsia="en-US" w:bidi="ar-SA"/>
      </w:rPr>
    </w:lvl>
    <w:lvl w:ilvl="5">
      <w:start w:val="0"/>
      <w:numFmt w:val="bullet"/>
      <w:lvlText w:val="•"/>
      <w:lvlJc w:val="left"/>
      <w:pPr>
        <w:ind w:left="5176" w:hanging="125"/>
      </w:pPr>
      <w:rPr>
        <w:rFonts w:hint="default"/>
        <w:lang w:val="fr-FR" w:eastAsia="en-US" w:bidi="ar-SA"/>
      </w:rPr>
    </w:lvl>
    <w:lvl w:ilvl="6">
      <w:start w:val="0"/>
      <w:numFmt w:val="bullet"/>
      <w:lvlText w:val="•"/>
      <w:lvlJc w:val="left"/>
      <w:pPr>
        <w:ind w:left="6230" w:hanging="125"/>
      </w:pPr>
      <w:rPr>
        <w:rFonts w:hint="default"/>
        <w:lang w:val="fr-FR" w:eastAsia="en-US" w:bidi="ar-SA"/>
      </w:rPr>
    </w:lvl>
    <w:lvl w:ilvl="7">
      <w:start w:val="0"/>
      <w:numFmt w:val="bullet"/>
      <w:lvlText w:val="•"/>
      <w:lvlJc w:val="left"/>
      <w:pPr>
        <w:ind w:left="7284" w:hanging="125"/>
      </w:pPr>
      <w:rPr>
        <w:rFonts w:hint="default"/>
        <w:lang w:val="fr-FR" w:eastAsia="en-US" w:bidi="ar-SA"/>
      </w:rPr>
    </w:lvl>
    <w:lvl w:ilvl="8">
      <w:start w:val="0"/>
      <w:numFmt w:val="bullet"/>
      <w:lvlText w:val="•"/>
      <w:lvlJc w:val="left"/>
      <w:pPr>
        <w:ind w:left="8338" w:hanging="125"/>
      </w:pPr>
      <w:rPr>
        <w:rFonts w:hint="default"/>
        <w:lang w:val="fr-FR" w:eastAsia="en-US" w:bidi="ar-SA"/>
      </w:rPr>
    </w:lvl>
  </w:abstractNum>
  <w:abstractNum w:abstractNumId="3">
    <w:multiLevelType w:val="hybridMultilevel"/>
    <w:lvl w:ilvl="0">
      <w:start w:val="2"/>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3"/>
      <w:numFmt w:val="decimal"/>
      <w:lvlText w:val="%2)"/>
      <w:lvlJc w:val="left"/>
      <w:pPr>
        <w:ind w:left="919" w:hanging="360"/>
        <w:jc w:val="left"/>
      </w:pPr>
      <w:rPr>
        <w:rFonts w:hint="default" w:ascii="Times New Roman" w:hAnsi="Times New Roman" w:eastAsia="Times New Roman" w:cs="Times New Roman"/>
        <w:b/>
        <w:bCs/>
        <w:i w:val="0"/>
        <w:iCs w:val="0"/>
        <w:w w:val="99"/>
        <w:sz w:val="24"/>
        <w:szCs w:val="24"/>
        <w:lang w:val="fr-FR" w:eastAsia="en-US" w:bidi="ar-SA"/>
      </w:rPr>
    </w:lvl>
    <w:lvl w:ilvl="2">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110" w:hanging="281"/>
      </w:pPr>
      <w:rPr>
        <w:rFonts w:hint="default"/>
        <w:lang w:val="fr-FR" w:eastAsia="en-US" w:bidi="ar-SA"/>
      </w:rPr>
    </w:lvl>
    <w:lvl w:ilvl="4">
      <w:start w:val="0"/>
      <w:numFmt w:val="bullet"/>
      <w:lvlText w:val="•"/>
      <w:lvlJc w:val="left"/>
      <w:pPr>
        <w:ind w:left="3301" w:hanging="281"/>
      </w:pPr>
      <w:rPr>
        <w:rFonts w:hint="default"/>
        <w:lang w:val="fr-FR" w:eastAsia="en-US" w:bidi="ar-SA"/>
      </w:rPr>
    </w:lvl>
    <w:lvl w:ilvl="5">
      <w:start w:val="0"/>
      <w:numFmt w:val="bullet"/>
      <w:lvlText w:val="•"/>
      <w:lvlJc w:val="left"/>
      <w:pPr>
        <w:ind w:left="4492" w:hanging="281"/>
      </w:pPr>
      <w:rPr>
        <w:rFonts w:hint="default"/>
        <w:lang w:val="fr-FR" w:eastAsia="en-US" w:bidi="ar-SA"/>
      </w:rPr>
    </w:lvl>
    <w:lvl w:ilvl="6">
      <w:start w:val="0"/>
      <w:numFmt w:val="bullet"/>
      <w:lvlText w:val="•"/>
      <w:lvlJc w:val="left"/>
      <w:pPr>
        <w:ind w:left="5683" w:hanging="281"/>
      </w:pPr>
      <w:rPr>
        <w:rFonts w:hint="default"/>
        <w:lang w:val="fr-FR" w:eastAsia="en-US" w:bidi="ar-SA"/>
      </w:rPr>
    </w:lvl>
    <w:lvl w:ilvl="7">
      <w:start w:val="0"/>
      <w:numFmt w:val="bullet"/>
      <w:lvlText w:val="•"/>
      <w:lvlJc w:val="left"/>
      <w:pPr>
        <w:ind w:left="6874" w:hanging="281"/>
      </w:pPr>
      <w:rPr>
        <w:rFonts w:hint="default"/>
        <w:lang w:val="fr-FR" w:eastAsia="en-US" w:bidi="ar-SA"/>
      </w:rPr>
    </w:lvl>
    <w:lvl w:ilvl="8">
      <w:start w:val="0"/>
      <w:numFmt w:val="bullet"/>
      <w:lvlText w:val="•"/>
      <w:lvlJc w:val="left"/>
      <w:pPr>
        <w:ind w:left="8064" w:hanging="281"/>
      </w:pPr>
      <w:rPr>
        <w:rFonts w:hint="default"/>
        <w:lang w:val="fr-FR" w:eastAsia="en-US" w:bidi="ar-SA"/>
      </w:rPr>
    </w:lvl>
  </w:abstractNum>
  <w:abstractNum w:abstractNumId="2">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462" w:hanging="419"/>
      </w:pPr>
      <w:rPr>
        <w:rFonts w:hint="default"/>
        <w:lang w:val="fr-FR" w:eastAsia="en-US" w:bidi="ar-SA"/>
      </w:rPr>
    </w:lvl>
    <w:lvl w:ilvl="2">
      <w:start w:val="0"/>
      <w:numFmt w:val="bullet"/>
      <w:lvlText w:val="•"/>
      <w:lvlJc w:val="left"/>
      <w:pPr>
        <w:ind w:left="2405" w:hanging="419"/>
      </w:pPr>
      <w:rPr>
        <w:rFonts w:hint="default"/>
        <w:lang w:val="fr-FR" w:eastAsia="en-US" w:bidi="ar-SA"/>
      </w:rPr>
    </w:lvl>
    <w:lvl w:ilvl="3">
      <w:start w:val="0"/>
      <w:numFmt w:val="bullet"/>
      <w:lvlText w:val="•"/>
      <w:lvlJc w:val="left"/>
      <w:pPr>
        <w:ind w:left="3347" w:hanging="419"/>
      </w:pPr>
      <w:rPr>
        <w:rFonts w:hint="default"/>
        <w:lang w:val="fr-FR" w:eastAsia="en-US" w:bidi="ar-SA"/>
      </w:rPr>
    </w:lvl>
    <w:lvl w:ilvl="4">
      <w:start w:val="0"/>
      <w:numFmt w:val="bullet"/>
      <w:lvlText w:val="•"/>
      <w:lvlJc w:val="left"/>
      <w:pPr>
        <w:ind w:left="4290" w:hanging="419"/>
      </w:pPr>
      <w:rPr>
        <w:rFonts w:hint="default"/>
        <w:lang w:val="fr-FR" w:eastAsia="en-US" w:bidi="ar-SA"/>
      </w:rPr>
    </w:lvl>
    <w:lvl w:ilvl="5">
      <w:start w:val="0"/>
      <w:numFmt w:val="bullet"/>
      <w:lvlText w:val="•"/>
      <w:lvlJc w:val="left"/>
      <w:pPr>
        <w:ind w:left="5233" w:hanging="419"/>
      </w:pPr>
      <w:rPr>
        <w:rFonts w:hint="default"/>
        <w:lang w:val="fr-FR" w:eastAsia="en-US" w:bidi="ar-SA"/>
      </w:rPr>
    </w:lvl>
    <w:lvl w:ilvl="6">
      <w:start w:val="0"/>
      <w:numFmt w:val="bullet"/>
      <w:lvlText w:val="•"/>
      <w:lvlJc w:val="left"/>
      <w:pPr>
        <w:ind w:left="6175" w:hanging="419"/>
      </w:pPr>
      <w:rPr>
        <w:rFonts w:hint="default"/>
        <w:lang w:val="fr-FR" w:eastAsia="en-US" w:bidi="ar-SA"/>
      </w:rPr>
    </w:lvl>
    <w:lvl w:ilvl="7">
      <w:start w:val="0"/>
      <w:numFmt w:val="bullet"/>
      <w:lvlText w:val="•"/>
      <w:lvlJc w:val="left"/>
      <w:pPr>
        <w:ind w:left="7118" w:hanging="419"/>
      </w:pPr>
      <w:rPr>
        <w:rFonts w:hint="default"/>
        <w:lang w:val="fr-FR" w:eastAsia="en-US" w:bidi="ar-SA"/>
      </w:rPr>
    </w:lvl>
    <w:lvl w:ilvl="8">
      <w:start w:val="0"/>
      <w:numFmt w:val="bullet"/>
      <w:lvlText w:val="•"/>
      <w:lvlJc w:val="left"/>
      <w:pPr>
        <w:ind w:left="8060" w:hanging="419"/>
      </w:pPr>
      <w:rPr>
        <w:rFonts w:hint="default"/>
        <w:lang w:val="fr-FR" w:eastAsia="en-US" w:bidi="ar-SA"/>
      </w:rPr>
    </w:lvl>
  </w:abstractNum>
  <w:abstractNum w:abstractNumId="1">
    <w:multiLevelType w:val="hybridMultilevel"/>
    <w:lvl w:ilvl="0">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984" w:hanging="252"/>
      </w:pPr>
      <w:rPr>
        <w:rFonts w:hint="default"/>
        <w:lang w:val="fr-FR" w:eastAsia="en-US" w:bidi="ar-SA"/>
      </w:rPr>
    </w:lvl>
    <w:lvl w:ilvl="2">
      <w:start w:val="0"/>
      <w:numFmt w:val="bullet"/>
      <w:lvlText w:val="•"/>
      <w:lvlJc w:val="left"/>
      <w:pPr>
        <w:ind w:left="2869" w:hanging="252"/>
      </w:pPr>
      <w:rPr>
        <w:rFonts w:hint="default"/>
        <w:lang w:val="fr-FR" w:eastAsia="en-US" w:bidi="ar-SA"/>
      </w:rPr>
    </w:lvl>
    <w:lvl w:ilvl="3">
      <w:start w:val="0"/>
      <w:numFmt w:val="bullet"/>
      <w:lvlText w:val="•"/>
      <w:lvlJc w:val="left"/>
      <w:pPr>
        <w:ind w:left="3753" w:hanging="252"/>
      </w:pPr>
      <w:rPr>
        <w:rFonts w:hint="default"/>
        <w:lang w:val="fr-FR" w:eastAsia="en-US" w:bidi="ar-SA"/>
      </w:rPr>
    </w:lvl>
    <w:lvl w:ilvl="4">
      <w:start w:val="0"/>
      <w:numFmt w:val="bullet"/>
      <w:lvlText w:val="•"/>
      <w:lvlJc w:val="left"/>
      <w:pPr>
        <w:ind w:left="4638" w:hanging="252"/>
      </w:pPr>
      <w:rPr>
        <w:rFonts w:hint="default"/>
        <w:lang w:val="fr-FR" w:eastAsia="en-US" w:bidi="ar-SA"/>
      </w:rPr>
    </w:lvl>
    <w:lvl w:ilvl="5">
      <w:start w:val="0"/>
      <w:numFmt w:val="bullet"/>
      <w:lvlText w:val="•"/>
      <w:lvlJc w:val="left"/>
      <w:pPr>
        <w:ind w:left="5523" w:hanging="252"/>
      </w:pPr>
      <w:rPr>
        <w:rFonts w:hint="default"/>
        <w:lang w:val="fr-FR" w:eastAsia="en-US" w:bidi="ar-SA"/>
      </w:rPr>
    </w:lvl>
    <w:lvl w:ilvl="6">
      <w:start w:val="0"/>
      <w:numFmt w:val="bullet"/>
      <w:lvlText w:val="•"/>
      <w:lvlJc w:val="left"/>
      <w:pPr>
        <w:ind w:left="6407" w:hanging="252"/>
      </w:pPr>
      <w:rPr>
        <w:rFonts w:hint="default"/>
        <w:lang w:val="fr-FR" w:eastAsia="en-US" w:bidi="ar-SA"/>
      </w:rPr>
    </w:lvl>
    <w:lvl w:ilvl="7">
      <w:start w:val="0"/>
      <w:numFmt w:val="bullet"/>
      <w:lvlText w:val="•"/>
      <w:lvlJc w:val="left"/>
      <w:pPr>
        <w:ind w:left="7292" w:hanging="252"/>
      </w:pPr>
      <w:rPr>
        <w:rFonts w:hint="default"/>
        <w:lang w:val="fr-FR" w:eastAsia="en-US" w:bidi="ar-SA"/>
      </w:rPr>
    </w:lvl>
    <w:lvl w:ilvl="8">
      <w:start w:val="0"/>
      <w:numFmt w:val="bullet"/>
      <w:lvlText w:val="•"/>
      <w:lvlJc w:val="left"/>
      <w:pPr>
        <w:ind w:left="8176" w:hanging="252"/>
      </w:pPr>
      <w:rPr>
        <w:rFonts w:hint="default"/>
        <w:lang w:val="fr-FR" w:eastAsia="en-US" w:bidi="ar-SA"/>
      </w:rPr>
    </w:lvl>
  </w:abstractNum>
  <w:abstractNum w:abstractNumId="0">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718" w:hanging="418"/>
      </w:pPr>
      <w:rPr>
        <w:rFonts w:hint="default"/>
        <w:lang w:val="fr-FR" w:eastAsia="en-US" w:bidi="ar-SA"/>
      </w:rPr>
    </w:lvl>
    <w:lvl w:ilvl="2">
      <w:start w:val="0"/>
      <w:numFmt w:val="bullet"/>
      <w:lvlText w:val="•"/>
      <w:lvlJc w:val="left"/>
      <w:pPr>
        <w:ind w:left="916" w:hanging="418"/>
      </w:pPr>
      <w:rPr>
        <w:rFonts w:hint="default"/>
        <w:lang w:val="fr-FR" w:eastAsia="en-US" w:bidi="ar-SA"/>
      </w:rPr>
    </w:lvl>
    <w:lvl w:ilvl="3">
      <w:start w:val="0"/>
      <w:numFmt w:val="bullet"/>
      <w:lvlText w:val="•"/>
      <w:lvlJc w:val="left"/>
      <w:pPr>
        <w:ind w:left="1114" w:hanging="418"/>
      </w:pPr>
      <w:rPr>
        <w:rFonts w:hint="default"/>
        <w:lang w:val="fr-FR" w:eastAsia="en-US" w:bidi="ar-SA"/>
      </w:rPr>
    </w:lvl>
    <w:lvl w:ilvl="4">
      <w:start w:val="0"/>
      <w:numFmt w:val="bullet"/>
      <w:lvlText w:val="•"/>
      <w:lvlJc w:val="left"/>
      <w:pPr>
        <w:ind w:left="1313" w:hanging="418"/>
      </w:pPr>
      <w:rPr>
        <w:rFonts w:hint="default"/>
        <w:lang w:val="fr-FR" w:eastAsia="en-US" w:bidi="ar-SA"/>
      </w:rPr>
    </w:lvl>
    <w:lvl w:ilvl="5">
      <w:start w:val="0"/>
      <w:numFmt w:val="bullet"/>
      <w:lvlText w:val="•"/>
      <w:lvlJc w:val="left"/>
      <w:pPr>
        <w:ind w:left="1511" w:hanging="418"/>
      </w:pPr>
      <w:rPr>
        <w:rFonts w:hint="default"/>
        <w:lang w:val="fr-FR" w:eastAsia="en-US" w:bidi="ar-SA"/>
      </w:rPr>
    </w:lvl>
    <w:lvl w:ilvl="6">
      <w:start w:val="0"/>
      <w:numFmt w:val="bullet"/>
      <w:lvlText w:val="•"/>
      <w:lvlJc w:val="left"/>
      <w:pPr>
        <w:ind w:left="1709" w:hanging="418"/>
      </w:pPr>
      <w:rPr>
        <w:rFonts w:hint="default"/>
        <w:lang w:val="fr-FR" w:eastAsia="en-US" w:bidi="ar-SA"/>
      </w:rPr>
    </w:lvl>
    <w:lvl w:ilvl="7">
      <w:start w:val="0"/>
      <w:numFmt w:val="bullet"/>
      <w:lvlText w:val="•"/>
      <w:lvlJc w:val="left"/>
      <w:pPr>
        <w:ind w:left="1908" w:hanging="418"/>
      </w:pPr>
      <w:rPr>
        <w:rFonts w:hint="default"/>
        <w:lang w:val="fr-FR" w:eastAsia="en-US" w:bidi="ar-SA"/>
      </w:rPr>
    </w:lvl>
    <w:lvl w:ilvl="8">
      <w:start w:val="0"/>
      <w:numFmt w:val="bullet"/>
      <w:lvlText w:val="•"/>
      <w:lvlJc w:val="left"/>
      <w:pPr>
        <w:ind w:left="2106" w:hanging="418"/>
      </w:pPr>
      <w:rPr>
        <w:rFonts w:hint="default"/>
        <w:lang w:val="fr-FR" w:eastAsia="en-US" w:bidi="ar-SA"/>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ttia.pellegrini@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2023-02-16T16:47:15Z</dcterms:created>
  <dcterms:modified xsi:type="dcterms:W3CDTF">2023-02-16T16:47:15Z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