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0DC" w:rsidRDefault="00007469">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5340DC" w:rsidRDefault="00007469">
      <w:pPr>
        <w:spacing w:before="81"/>
        <w:ind w:left="1296" w:right="1627"/>
        <w:jc w:val="center"/>
        <w:rPr>
          <w:b/>
          <w:sz w:val="24"/>
        </w:rPr>
      </w:pPr>
      <w:r>
        <w:rPr>
          <w:b/>
          <w:spacing w:val="-2"/>
          <w:sz w:val="24"/>
        </w:rPr>
        <w:t>VACANCY</w:t>
      </w:r>
      <w:r>
        <w:rPr>
          <w:b/>
          <w:spacing w:val="-3"/>
          <w:sz w:val="24"/>
        </w:rPr>
        <w:t xml:space="preserve"> </w:t>
      </w:r>
      <w:r>
        <w:rPr>
          <w:b/>
          <w:spacing w:val="-2"/>
          <w:sz w:val="24"/>
        </w:rPr>
        <w:t>NOTICE</w:t>
      </w:r>
    </w:p>
    <w:p w:rsidR="005340DC" w:rsidRDefault="005340DC">
      <w:pPr>
        <w:pStyle w:val="BodyText"/>
        <w:spacing w:before="11"/>
        <w:rPr>
          <w:b/>
          <w:sz w:val="23"/>
        </w:rPr>
      </w:pPr>
    </w:p>
    <w:p w:rsidR="005340DC" w:rsidRDefault="00007469">
      <w:pPr>
        <w:ind w:left="1296" w:right="1632"/>
        <w:jc w:val="center"/>
        <w:rPr>
          <w:b/>
          <w:sz w:val="24"/>
        </w:rPr>
      </w:pPr>
      <w:r>
        <w:rPr>
          <w:b/>
          <w:sz w:val="24"/>
        </w:rPr>
        <w:t>SECONDED</w:t>
      </w:r>
      <w:r>
        <w:rPr>
          <w:b/>
          <w:spacing w:val="-8"/>
          <w:sz w:val="24"/>
        </w:rPr>
        <w:t xml:space="preserve"> </w:t>
      </w:r>
      <w:r>
        <w:rPr>
          <w:b/>
          <w:sz w:val="24"/>
        </w:rPr>
        <w:t>NATIONAL</w:t>
      </w:r>
      <w:r>
        <w:rPr>
          <w:b/>
          <w:spacing w:val="-7"/>
          <w:sz w:val="24"/>
        </w:rPr>
        <w:t xml:space="preserve"> </w:t>
      </w:r>
      <w:r>
        <w:rPr>
          <w:b/>
          <w:sz w:val="24"/>
        </w:rPr>
        <w:t>EXPERT</w:t>
      </w:r>
      <w:r>
        <w:rPr>
          <w:b/>
          <w:spacing w:val="-7"/>
          <w:sz w:val="24"/>
        </w:rPr>
        <w:t xml:space="preserve"> </w:t>
      </w:r>
      <w:r>
        <w:rPr>
          <w:b/>
          <w:sz w:val="24"/>
        </w:rPr>
        <w:t>TO</w:t>
      </w:r>
      <w:r>
        <w:rPr>
          <w:b/>
          <w:spacing w:val="-8"/>
          <w:sz w:val="24"/>
        </w:rPr>
        <w:t xml:space="preserve"> </w:t>
      </w:r>
      <w:r>
        <w:rPr>
          <w:b/>
          <w:sz w:val="24"/>
        </w:rPr>
        <w:t>THE</w:t>
      </w:r>
      <w:r>
        <w:rPr>
          <w:b/>
          <w:spacing w:val="-9"/>
          <w:sz w:val="24"/>
        </w:rPr>
        <w:t xml:space="preserve"> </w:t>
      </w:r>
      <w:r>
        <w:rPr>
          <w:b/>
          <w:sz w:val="24"/>
        </w:rPr>
        <w:t>EUROPEAN</w:t>
      </w:r>
      <w:r>
        <w:rPr>
          <w:b/>
          <w:spacing w:val="-8"/>
          <w:sz w:val="24"/>
        </w:rPr>
        <w:t xml:space="preserve"> </w:t>
      </w:r>
      <w:r>
        <w:rPr>
          <w:b/>
          <w:spacing w:val="-2"/>
          <w:sz w:val="24"/>
        </w:rPr>
        <w:t>COMMISSION</w:t>
      </w:r>
    </w:p>
    <w:p w:rsidR="005340DC" w:rsidRDefault="005340DC">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5340DC">
        <w:trPr>
          <w:trHeight w:val="611"/>
        </w:trPr>
        <w:tc>
          <w:tcPr>
            <w:tcW w:w="4359" w:type="dxa"/>
          </w:tcPr>
          <w:p w:rsidR="005340DC" w:rsidRPr="00007469" w:rsidRDefault="00007469">
            <w:pPr>
              <w:pStyle w:val="TableParagraph"/>
              <w:spacing w:before="1" w:line="274" w:lineRule="exact"/>
              <w:rPr>
                <w:b/>
                <w:sz w:val="24"/>
                <w:lang w:val="fr-BE"/>
              </w:rPr>
            </w:pPr>
            <w:r w:rsidRPr="00007469">
              <w:rPr>
                <w:b/>
                <w:sz w:val="24"/>
                <w:lang w:val="fr-BE"/>
              </w:rPr>
              <w:t>Post</w:t>
            </w:r>
            <w:r w:rsidRPr="00007469">
              <w:rPr>
                <w:b/>
                <w:spacing w:val="-6"/>
                <w:sz w:val="24"/>
                <w:lang w:val="fr-BE"/>
              </w:rPr>
              <w:t xml:space="preserve"> </w:t>
            </w:r>
            <w:r w:rsidRPr="00007469">
              <w:rPr>
                <w:b/>
                <w:spacing w:val="-2"/>
                <w:sz w:val="24"/>
                <w:lang w:val="fr-BE"/>
              </w:rPr>
              <w:t>identification:</w:t>
            </w:r>
          </w:p>
          <w:p w:rsidR="005340DC" w:rsidRPr="00007469" w:rsidRDefault="00007469">
            <w:pPr>
              <w:pStyle w:val="TableParagraph"/>
              <w:spacing w:line="274" w:lineRule="exact"/>
              <w:rPr>
                <w:sz w:val="24"/>
                <w:lang w:val="fr-BE"/>
              </w:rPr>
            </w:pPr>
            <w:r w:rsidRPr="00007469">
              <w:rPr>
                <w:spacing w:val="-2"/>
                <w:sz w:val="24"/>
                <w:lang w:val="fr-BE"/>
              </w:rPr>
              <w:t>(DG-DIR-</w:t>
            </w:r>
            <w:r w:rsidRPr="00007469">
              <w:rPr>
                <w:spacing w:val="-4"/>
                <w:sz w:val="24"/>
                <w:lang w:val="fr-BE"/>
              </w:rPr>
              <w:t>UNIT)</w:t>
            </w:r>
          </w:p>
        </w:tc>
        <w:tc>
          <w:tcPr>
            <w:tcW w:w="5597" w:type="dxa"/>
          </w:tcPr>
          <w:p w:rsidR="005340DC" w:rsidRDefault="00007469">
            <w:pPr>
              <w:pStyle w:val="TableParagraph"/>
              <w:spacing w:before="25"/>
              <w:ind w:right="859"/>
              <w:rPr>
                <w:sz w:val="24"/>
              </w:rPr>
            </w:pPr>
            <w:r>
              <w:rPr>
                <w:sz w:val="24"/>
              </w:rPr>
              <w:t>Directorate</w:t>
            </w:r>
            <w:r>
              <w:rPr>
                <w:spacing w:val="-9"/>
                <w:sz w:val="24"/>
              </w:rPr>
              <w:t xml:space="preserve"> </w:t>
            </w:r>
            <w:r>
              <w:rPr>
                <w:sz w:val="24"/>
              </w:rPr>
              <w:t>General</w:t>
            </w:r>
            <w:r>
              <w:rPr>
                <w:spacing w:val="-7"/>
                <w:sz w:val="24"/>
              </w:rPr>
              <w:t xml:space="preserve"> </w:t>
            </w:r>
            <w:r>
              <w:rPr>
                <w:sz w:val="24"/>
              </w:rPr>
              <w:t>for</w:t>
            </w:r>
            <w:r>
              <w:rPr>
                <w:spacing w:val="-9"/>
                <w:sz w:val="24"/>
              </w:rPr>
              <w:t xml:space="preserve"> </w:t>
            </w:r>
            <w:r>
              <w:rPr>
                <w:sz w:val="24"/>
              </w:rPr>
              <w:t>Research</w:t>
            </w:r>
            <w:r>
              <w:rPr>
                <w:spacing w:val="-7"/>
                <w:sz w:val="24"/>
              </w:rPr>
              <w:t xml:space="preserve"> </w:t>
            </w:r>
            <w:r>
              <w:rPr>
                <w:sz w:val="24"/>
              </w:rPr>
              <w:t>&amp;</w:t>
            </w:r>
            <w:r>
              <w:rPr>
                <w:spacing w:val="-7"/>
                <w:sz w:val="24"/>
              </w:rPr>
              <w:t xml:space="preserve"> </w:t>
            </w:r>
            <w:r>
              <w:rPr>
                <w:sz w:val="24"/>
              </w:rPr>
              <w:t>Innovation RTD.B3 “Climate and Planetary Boundaries”</w:t>
            </w:r>
          </w:p>
        </w:tc>
      </w:tr>
      <w:tr w:rsidR="005340DC">
        <w:trPr>
          <w:trHeight w:val="1977"/>
        </w:trPr>
        <w:tc>
          <w:tcPr>
            <w:tcW w:w="4359" w:type="dxa"/>
            <w:vMerge w:val="restart"/>
          </w:tcPr>
          <w:p w:rsidR="005340DC" w:rsidRDefault="00007469">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rsidR="005340DC" w:rsidRDefault="00007469">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5340DC" w:rsidRDefault="00007469">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5340DC" w:rsidRPr="00007469" w:rsidRDefault="00007469">
            <w:pPr>
              <w:pStyle w:val="TableParagraph"/>
              <w:ind w:right="859"/>
              <w:rPr>
                <w:sz w:val="24"/>
                <w:lang w:val="fr-BE"/>
              </w:rPr>
            </w:pPr>
            <w:r w:rsidRPr="00007469">
              <w:rPr>
                <w:sz w:val="24"/>
                <w:lang w:val="fr-BE"/>
              </w:rPr>
              <w:t xml:space="preserve">Philippe </w:t>
            </w:r>
            <w:proofErr w:type="spellStart"/>
            <w:r w:rsidRPr="00007469">
              <w:rPr>
                <w:sz w:val="24"/>
                <w:lang w:val="fr-BE"/>
              </w:rPr>
              <w:t>Tulkens</w:t>
            </w:r>
            <w:proofErr w:type="spellEnd"/>
            <w:r w:rsidRPr="00007469">
              <w:rPr>
                <w:sz w:val="24"/>
                <w:lang w:val="fr-BE"/>
              </w:rPr>
              <w:t xml:space="preserve"> </w:t>
            </w:r>
            <w:hyperlink r:id="rId8">
              <w:r w:rsidRPr="00007469">
                <w:rPr>
                  <w:spacing w:val="-2"/>
                  <w:sz w:val="24"/>
                  <w:lang w:val="fr-BE"/>
                </w:rPr>
                <w:t>Philippe.Tulkens@ec.europa.eu</w:t>
              </w:r>
            </w:hyperlink>
          </w:p>
          <w:p w:rsidR="005340DC" w:rsidRDefault="00007469">
            <w:pPr>
              <w:pStyle w:val="TableParagraph"/>
              <w:rPr>
                <w:sz w:val="24"/>
              </w:rPr>
            </w:pPr>
            <w:r>
              <w:rPr>
                <w:spacing w:val="-2"/>
                <w:sz w:val="24"/>
              </w:rPr>
              <w:t>+32.2-29-86323</w:t>
            </w:r>
          </w:p>
          <w:p w:rsidR="005340DC" w:rsidRDefault="00007469">
            <w:pPr>
              <w:pStyle w:val="TableParagraph"/>
              <w:rPr>
                <w:sz w:val="24"/>
              </w:rPr>
            </w:pPr>
            <w:r>
              <w:rPr>
                <w:sz w:val="24"/>
              </w:rPr>
              <w:t>1</w:t>
            </w:r>
          </w:p>
          <w:p w:rsidR="005340DC" w:rsidRDefault="00007469">
            <w:pPr>
              <w:pStyle w:val="TableParagraph"/>
              <w:rPr>
                <w:b/>
              </w:rPr>
            </w:pPr>
            <w:r>
              <w:rPr>
                <w:b/>
              </w:rPr>
              <w:t>2</w:t>
            </w:r>
            <w:r>
              <w:rPr>
                <w:b/>
                <w:vertAlign w:val="superscript"/>
              </w:rPr>
              <w:t>nd</w:t>
            </w:r>
            <w:r>
              <w:rPr>
                <w:b/>
                <w:spacing w:val="-4"/>
              </w:rPr>
              <w:t xml:space="preserve"> </w:t>
            </w:r>
            <w:r>
              <w:rPr>
                <w:b/>
              </w:rPr>
              <w:t>quarter</w:t>
            </w:r>
            <w:r>
              <w:rPr>
                <w:b/>
                <w:spacing w:val="-2"/>
              </w:rPr>
              <w:t xml:space="preserve"> </w:t>
            </w:r>
            <w:r>
              <w:rPr>
                <w:b/>
              </w:rPr>
              <w:t>2023</w:t>
            </w:r>
            <w:r>
              <w:rPr>
                <w:b/>
                <w:spacing w:val="-5"/>
              </w:rPr>
              <w:t xml:space="preserve"> </w:t>
            </w:r>
            <w:r>
              <w:rPr>
                <w:b/>
                <w:spacing w:val="-10"/>
                <w:vertAlign w:val="superscript"/>
              </w:rPr>
              <w:t>1</w:t>
            </w:r>
          </w:p>
          <w:p w:rsidR="005340DC" w:rsidRDefault="00007469">
            <w:pPr>
              <w:pStyle w:val="TableParagraph"/>
              <w:spacing w:line="252" w:lineRule="exact"/>
              <w:rPr>
                <w:b/>
              </w:rPr>
            </w:pPr>
            <w:r>
              <w:rPr>
                <w:b/>
              </w:rPr>
              <w:t xml:space="preserve">2 </w:t>
            </w:r>
            <w:r>
              <w:rPr>
                <w:b/>
                <w:spacing w:val="-2"/>
              </w:rPr>
              <w:t>year(s</w:t>
            </w:r>
            <w:r>
              <w:rPr>
                <w:b/>
                <w:spacing w:val="-2"/>
                <w:vertAlign w:val="superscript"/>
              </w:rPr>
              <w:t>)1</w:t>
            </w:r>
          </w:p>
          <w:p w:rsidR="005340DC" w:rsidRDefault="00007469">
            <w:pPr>
              <w:pStyle w:val="TableParagraph"/>
              <w:spacing w:line="252" w:lineRule="exact"/>
              <w:rPr>
                <w:b/>
              </w:rPr>
            </w:pPr>
            <w:r>
              <w:rPr>
                <w:rFonts w:ascii="Wingdings 2" w:hAnsi="Wingdings 2"/>
              </w:rPr>
              <w:t></w:t>
            </w:r>
            <w:r>
              <w:rPr>
                <w:spacing w:val="-2"/>
              </w:rPr>
              <w:t xml:space="preserve"> </w:t>
            </w:r>
            <w:r>
              <w:rPr>
                <w:b/>
              </w:rPr>
              <w:t>Brussels</w:t>
            </w:r>
            <w:r>
              <w:rPr>
                <w:b/>
                <w:spacing w:val="51"/>
              </w:rPr>
              <w:t xml:space="preserve"> </w:t>
            </w:r>
            <w:r>
              <w:rPr>
                <w:rFonts w:ascii="Wingdings 2" w:hAnsi="Wingdings 2"/>
              </w:rPr>
              <w:t></w:t>
            </w:r>
            <w:r>
              <w:rPr>
                <w:spacing w:val="-2"/>
              </w:rPr>
              <w:t xml:space="preserve"> </w:t>
            </w:r>
            <w:r>
              <w:rPr>
                <w:b/>
              </w:rPr>
              <w:t>Luxemburg</w:t>
            </w:r>
            <w:r>
              <w:rPr>
                <w:b/>
                <w:spacing w:val="52"/>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5340DC">
        <w:trPr>
          <w:trHeight w:val="544"/>
        </w:trPr>
        <w:tc>
          <w:tcPr>
            <w:tcW w:w="4359" w:type="dxa"/>
            <w:vMerge/>
            <w:tcBorders>
              <w:top w:val="nil"/>
            </w:tcBorders>
          </w:tcPr>
          <w:p w:rsidR="005340DC" w:rsidRDefault="005340DC">
            <w:pPr>
              <w:rPr>
                <w:sz w:val="2"/>
                <w:szCs w:val="2"/>
              </w:rPr>
            </w:pPr>
          </w:p>
        </w:tc>
        <w:tc>
          <w:tcPr>
            <w:tcW w:w="5597" w:type="dxa"/>
          </w:tcPr>
          <w:p w:rsidR="005340DC" w:rsidRDefault="00007469">
            <w:pPr>
              <w:pStyle w:val="TableParagraph"/>
              <w:tabs>
                <w:tab w:val="left" w:pos="523"/>
                <w:tab w:val="left" w:pos="2950"/>
                <w:tab w:val="left" w:pos="3422"/>
              </w:tabs>
              <w:spacing w:before="145"/>
              <w:rPr>
                <w:b/>
              </w:rPr>
            </w:pPr>
            <w:r>
              <w:rPr>
                <w:rFonts w:ascii="Wingdings 2" w:hAnsi="Wingdings 2"/>
                <w:spacing w:val="-10"/>
              </w:rPr>
              <w:t></w:t>
            </w:r>
            <w:r>
              <w:tab/>
            </w:r>
            <w:r>
              <w:rPr>
                <w:b/>
              </w:rPr>
              <w:t>With</w:t>
            </w:r>
            <w:r>
              <w:rPr>
                <w:b/>
                <w:spacing w:val="-2"/>
              </w:rPr>
              <w:t xml:space="preserve"> allowances</w:t>
            </w:r>
            <w:r>
              <w:rPr>
                <w:b/>
              </w:rPr>
              <w:tab/>
            </w:r>
            <w:r>
              <w:rPr>
                <w:rFonts w:ascii="Wingdings 2" w:hAnsi="Wingdings 2"/>
                <w:spacing w:val="-10"/>
              </w:rPr>
              <w:t></w:t>
            </w:r>
            <w:r>
              <w:tab/>
            </w:r>
            <w:r>
              <w:rPr>
                <w:b/>
                <w:spacing w:val="-2"/>
              </w:rPr>
              <w:t>Cost-</w:t>
            </w:r>
            <w:r>
              <w:rPr>
                <w:b/>
                <w:spacing w:val="-4"/>
              </w:rPr>
              <w:t>free</w:t>
            </w:r>
          </w:p>
        </w:tc>
      </w:tr>
      <w:tr w:rsidR="005340DC">
        <w:trPr>
          <w:trHeight w:val="3244"/>
        </w:trPr>
        <w:tc>
          <w:tcPr>
            <w:tcW w:w="9956" w:type="dxa"/>
            <w:gridSpan w:val="2"/>
          </w:tcPr>
          <w:p w:rsidR="005340DC" w:rsidRDefault="00007469">
            <w:pPr>
              <w:pStyle w:val="TableParagraph"/>
              <w:spacing w:before="1"/>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5340DC" w:rsidRPr="00007469" w:rsidRDefault="00007469">
            <w:pPr>
              <w:pStyle w:val="TableParagraph"/>
              <w:spacing w:before="184"/>
              <w:rPr>
                <w:b/>
                <w:sz w:val="24"/>
              </w:rPr>
            </w:pPr>
            <w:r>
              <w:rPr>
                <w:rFonts w:ascii="Wingdings 2" w:hAnsi="Wingdings 2"/>
              </w:rPr>
              <w:t></w:t>
            </w:r>
            <w:r>
              <w:rPr>
                <w:spacing w:val="55"/>
              </w:rPr>
              <w:t xml:space="preserve"> </w:t>
            </w:r>
            <w:r w:rsidRPr="00007469">
              <w:rPr>
                <w:b/>
                <w:sz w:val="24"/>
              </w:rPr>
              <w:t>the</w:t>
            </w:r>
            <w:r w:rsidRPr="00007469">
              <w:rPr>
                <w:b/>
                <w:sz w:val="24"/>
              </w:rPr>
              <w:t xml:space="preserve"> </w:t>
            </w:r>
            <w:r w:rsidRPr="00007469">
              <w:rPr>
                <w:b/>
                <w:sz w:val="24"/>
              </w:rPr>
              <w:t>following</w:t>
            </w:r>
            <w:r w:rsidRPr="00007469">
              <w:rPr>
                <w:b/>
                <w:sz w:val="24"/>
              </w:rPr>
              <w:t xml:space="preserve"> </w:t>
            </w:r>
            <w:r w:rsidRPr="00007469">
              <w:rPr>
                <w:b/>
                <w:sz w:val="24"/>
              </w:rPr>
              <w:t>EFTA</w:t>
            </w:r>
            <w:r w:rsidRPr="00007469">
              <w:rPr>
                <w:b/>
                <w:sz w:val="24"/>
              </w:rPr>
              <w:t xml:space="preserve"> </w:t>
            </w:r>
            <w:r w:rsidRPr="00007469">
              <w:rPr>
                <w:b/>
                <w:sz w:val="24"/>
              </w:rPr>
              <w:t>countries</w:t>
            </w:r>
            <w:r w:rsidRPr="00007469">
              <w:rPr>
                <w:b/>
                <w:sz w:val="24"/>
              </w:rPr>
              <w:t xml:space="preserve"> </w:t>
            </w:r>
            <w:r w:rsidRPr="00007469">
              <w:rPr>
                <w:b/>
                <w:sz w:val="24"/>
              </w:rPr>
              <w:t>:</w:t>
            </w:r>
          </w:p>
          <w:p w:rsidR="005340DC" w:rsidRDefault="00007469" w:rsidP="00007469">
            <w:pPr>
              <w:pStyle w:val="TableParagraph"/>
              <w:ind w:left="813"/>
              <w:rPr>
                <w:b/>
                <w:sz w:val="24"/>
              </w:rPr>
            </w:pPr>
            <w:r w:rsidRPr="00007469">
              <w:rPr>
                <w:b/>
                <w:sz w:val="24"/>
              </w:rPr>
              <w:t></w:t>
            </w:r>
            <w:r w:rsidRPr="00007469">
              <w:rPr>
                <w:b/>
                <w:sz w:val="24"/>
              </w:rPr>
              <w:t xml:space="preserve"> </w:t>
            </w:r>
            <w:r w:rsidRPr="00007469">
              <w:rPr>
                <w:b/>
                <w:sz w:val="24"/>
              </w:rPr>
              <w:t>Iceland</w:t>
            </w:r>
            <w:r w:rsidRPr="00007469">
              <w:rPr>
                <w:b/>
                <w:sz w:val="24"/>
              </w:rPr>
              <w:t xml:space="preserve"> </w:t>
            </w:r>
            <w:r w:rsidRPr="00007469">
              <w:rPr>
                <w:b/>
                <w:sz w:val="24"/>
              </w:rPr>
              <w:t></w:t>
            </w:r>
            <w:r w:rsidRPr="00007469">
              <w:rPr>
                <w:b/>
                <w:sz w:val="24"/>
              </w:rPr>
              <w:t xml:space="preserve"> </w:t>
            </w:r>
            <w:r w:rsidRPr="00007469">
              <w:rPr>
                <w:b/>
                <w:sz w:val="24"/>
              </w:rPr>
              <w:t>Liechtenstein</w:t>
            </w:r>
            <w:r w:rsidRPr="00007469">
              <w:rPr>
                <w:b/>
                <w:sz w:val="24"/>
              </w:rPr>
              <w:t xml:space="preserve"> </w:t>
            </w:r>
            <w:r w:rsidRPr="00007469">
              <w:rPr>
                <w:b/>
                <w:sz w:val="24"/>
              </w:rPr>
              <w:t></w:t>
            </w:r>
            <w:r w:rsidRPr="00007469">
              <w:rPr>
                <w:b/>
                <w:sz w:val="24"/>
              </w:rPr>
              <w:t xml:space="preserve"> </w:t>
            </w:r>
            <w:r w:rsidRPr="00007469">
              <w:rPr>
                <w:b/>
                <w:sz w:val="24"/>
              </w:rPr>
              <w:t>Norway</w:t>
            </w:r>
            <w:r w:rsidRPr="00007469">
              <w:rPr>
                <w:b/>
                <w:sz w:val="24"/>
              </w:rPr>
              <w:t xml:space="preserve"> </w:t>
            </w:r>
            <w:r w:rsidRPr="00007469">
              <w:rPr>
                <w:b/>
                <w:sz w:val="24"/>
              </w:rPr>
              <w:t></w:t>
            </w:r>
            <w:r w:rsidRPr="00007469">
              <w:rPr>
                <w:b/>
                <w:sz w:val="24"/>
              </w:rPr>
              <w:t xml:space="preserve"> </w:t>
            </w:r>
            <w:r w:rsidRPr="00007469">
              <w:rPr>
                <w:b/>
                <w:sz w:val="24"/>
              </w:rPr>
              <w:t>Switzerland</w:t>
            </w:r>
          </w:p>
          <w:p w:rsidR="005340DC" w:rsidRDefault="00007469" w:rsidP="00007469">
            <w:pPr>
              <w:pStyle w:val="TableParagraph"/>
              <w:tabs>
                <w:tab w:val="left" w:pos="1090"/>
              </w:tabs>
              <w:ind w:left="813"/>
              <w:rPr>
                <w:b/>
                <w:sz w:val="24"/>
              </w:rPr>
            </w:pPr>
            <w:r w:rsidRPr="00007469">
              <w:rPr>
                <w:b/>
                <w:sz w:val="24"/>
              </w:rPr>
              <w:t></w:t>
            </w:r>
            <w:r>
              <w:rPr>
                <w:b/>
                <w:sz w:val="24"/>
              </w:rPr>
              <w:t xml:space="preserve"> </w:t>
            </w:r>
            <w:r>
              <w:rPr>
                <w:b/>
                <w:sz w:val="24"/>
              </w:rPr>
              <w:t>EFTA-EEA</w:t>
            </w:r>
            <w:r>
              <w:rPr>
                <w:b/>
                <w:spacing w:val="-10"/>
                <w:sz w:val="24"/>
              </w:rPr>
              <w:t xml:space="preserve"> </w:t>
            </w:r>
            <w:r>
              <w:rPr>
                <w:b/>
                <w:sz w:val="24"/>
              </w:rPr>
              <w:t>In-Kind</w:t>
            </w:r>
            <w:r>
              <w:rPr>
                <w:b/>
                <w:spacing w:val="-11"/>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5340DC" w:rsidRDefault="00007469">
            <w:pPr>
              <w:pStyle w:val="TableParagraph"/>
              <w:numPr>
                <w:ilvl w:val="0"/>
                <w:numId w:val="4"/>
              </w:numPr>
              <w:tabs>
                <w:tab w:val="left" w:pos="44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4"/>
                <w:sz w:val="24"/>
              </w:rPr>
              <w:t xml:space="preserve"> </w:t>
            </w:r>
            <w:r>
              <w:rPr>
                <w:b/>
                <w:spacing w:val="-2"/>
                <w:sz w:val="24"/>
              </w:rPr>
              <w:t>countries:</w:t>
            </w:r>
          </w:p>
          <w:p w:rsidR="005340DC" w:rsidRDefault="00007469">
            <w:pPr>
              <w:pStyle w:val="TableParagraph"/>
              <w:spacing w:line="273" w:lineRule="exact"/>
              <w:rPr>
                <w:b/>
                <w:sz w:val="24"/>
              </w:rPr>
            </w:pPr>
            <w:r>
              <w:rPr>
                <w:rFonts w:ascii="Wingdings 2" w:hAnsi="Wingdings 2"/>
              </w:rPr>
              <w:t></w:t>
            </w:r>
            <w:r>
              <w:rPr>
                <w:spacing w:val="46"/>
              </w:rPr>
              <w:t xml:space="preserve"> </w:t>
            </w:r>
            <w:r>
              <w:rPr>
                <w:b/>
                <w:sz w:val="24"/>
              </w:rPr>
              <w:t>the</w:t>
            </w:r>
            <w:r>
              <w:rPr>
                <w:b/>
                <w:spacing w:val="-8"/>
                <w:sz w:val="24"/>
              </w:rPr>
              <w:t xml:space="preserve"> </w:t>
            </w:r>
            <w:r>
              <w:rPr>
                <w:b/>
                <w:sz w:val="24"/>
              </w:rPr>
              <w:t>following</w:t>
            </w:r>
            <w:r>
              <w:rPr>
                <w:b/>
                <w:spacing w:val="-7"/>
                <w:sz w:val="24"/>
              </w:rPr>
              <w:t xml:space="preserve"> </w:t>
            </w:r>
            <w:r>
              <w:rPr>
                <w:b/>
                <w:sz w:val="24"/>
              </w:rPr>
              <w:t>intergovernmental</w:t>
            </w:r>
            <w:r>
              <w:rPr>
                <w:b/>
                <w:spacing w:val="-7"/>
                <w:sz w:val="24"/>
              </w:rPr>
              <w:t xml:space="preserve"> </w:t>
            </w:r>
            <w:proofErr w:type="spellStart"/>
            <w:r>
              <w:rPr>
                <w:b/>
                <w:spacing w:val="-2"/>
                <w:sz w:val="24"/>
              </w:rPr>
              <w:t>organisations</w:t>
            </w:r>
            <w:proofErr w:type="spellEnd"/>
            <w:r>
              <w:rPr>
                <w:b/>
                <w:spacing w:val="-2"/>
                <w:sz w:val="24"/>
              </w:rPr>
              <w:t>:</w:t>
            </w:r>
            <w:bookmarkStart w:id="0" w:name="_GoBack"/>
            <w:bookmarkEnd w:id="0"/>
          </w:p>
          <w:p w:rsidR="005340DC" w:rsidRDefault="00007469">
            <w:pPr>
              <w:pStyle w:val="TableParagraph"/>
              <w:ind w:right="5983"/>
              <w:rPr>
                <w:sz w:val="20"/>
              </w:rPr>
            </w:pPr>
            <w:r>
              <w:rPr>
                <w:sz w:val="20"/>
              </w:rPr>
              <w:t>WMO:</w:t>
            </w:r>
            <w:r>
              <w:rPr>
                <w:spacing w:val="-13"/>
                <w:sz w:val="20"/>
              </w:rPr>
              <w:t xml:space="preserve"> </w:t>
            </w:r>
            <w:r>
              <w:rPr>
                <w:sz w:val="20"/>
              </w:rPr>
              <w:t>World</w:t>
            </w:r>
            <w:r>
              <w:rPr>
                <w:spacing w:val="-12"/>
                <w:sz w:val="20"/>
              </w:rPr>
              <w:t xml:space="preserve"> </w:t>
            </w:r>
            <w:r>
              <w:rPr>
                <w:sz w:val="20"/>
              </w:rPr>
              <w:t>Meteorological</w:t>
            </w:r>
            <w:r>
              <w:rPr>
                <w:spacing w:val="-13"/>
                <w:sz w:val="20"/>
              </w:rPr>
              <w:t xml:space="preserve"> </w:t>
            </w:r>
            <w:r>
              <w:rPr>
                <w:sz w:val="20"/>
              </w:rPr>
              <w:t>Organisation ESA: European Space Agency</w:t>
            </w:r>
          </w:p>
          <w:p w:rsidR="005340DC" w:rsidRDefault="00007469">
            <w:pPr>
              <w:pStyle w:val="TableParagraph"/>
              <w:ind w:right="4016"/>
              <w:rPr>
                <w:sz w:val="20"/>
              </w:rPr>
            </w:pPr>
            <w:r>
              <w:rPr>
                <w:sz w:val="20"/>
              </w:rPr>
              <w:t>ECMWF:</w:t>
            </w:r>
            <w:r>
              <w:rPr>
                <w:spacing w:val="-8"/>
                <w:sz w:val="20"/>
              </w:rPr>
              <w:t xml:space="preserve"> </w:t>
            </w:r>
            <w:r>
              <w:rPr>
                <w:sz w:val="20"/>
              </w:rPr>
              <w:t>European</w:t>
            </w:r>
            <w:r>
              <w:rPr>
                <w:spacing w:val="-8"/>
                <w:sz w:val="20"/>
              </w:rPr>
              <w:t xml:space="preserve"> </w:t>
            </w:r>
            <w:r>
              <w:rPr>
                <w:sz w:val="20"/>
              </w:rPr>
              <w:t>Centre</w:t>
            </w:r>
            <w:r>
              <w:rPr>
                <w:spacing w:val="-7"/>
                <w:sz w:val="20"/>
              </w:rPr>
              <w:t xml:space="preserve"> </w:t>
            </w:r>
            <w:r>
              <w:rPr>
                <w:sz w:val="20"/>
              </w:rPr>
              <w:t>for</w:t>
            </w:r>
            <w:r>
              <w:rPr>
                <w:spacing w:val="-7"/>
                <w:sz w:val="20"/>
              </w:rPr>
              <w:t xml:space="preserve"> </w:t>
            </w:r>
            <w:r>
              <w:rPr>
                <w:sz w:val="20"/>
              </w:rPr>
              <w:t>Medium-Range</w:t>
            </w:r>
            <w:r>
              <w:rPr>
                <w:spacing w:val="-7"/>
                <w:sz w:val="20"/>
              </w:rPr>
              <w:t xml:space="preserve"> </w:t>
            </w:r>
            <w:r>
              <w:rPr>
                <w:sz w:val="20"/>
              </w:rPr>
              <w:t>Weather</w:t>
            </w:r>
            <w:r>
              <w:rPr>
                <w:spacing w:val="-6"/>
                <w:sz w:val="20"/>
              </w:rPr>
              <w:t xml:space="preserve"> </w:t>
            </w:r>
            <w:r>
              <w:rPr>
                <w:sz w:val="20"/>
              </w:rPr>
              <w:t xml:space="preserve">Forecasts UNEP: United Nations Environment </w:t>
            </w:r>
            <w:proofErr w:type="spellStart"/>
            <w:r>
              <w:rPr>
                <w:sz w:val="20"/>
              </w:rPr>
              <w:t>Programme</w:t>
            </w:r>
            <w:proofErr w:type="spellEnd"/>
          </w:p>
          <w:p w:rsidR="005340DC" w:rsidRDefault="00007469">
            <w:pPr>
              <w:pStyle w:val="TableParagraph"/>
              <w:rPr>
                <w:sz w:val="20"/>
              </w:rPr>
            </w:pPr>
            <w:r>
              <w:rPr>
                <w:sz w:val="20"/>
              </w:rPr>
              <w:t>UNECE:</w:t>
            </w:r>
            <w:r>
              <w:rPr>
                <w:spacing w:val="-8"/>
                <w:sz w:val="20"/>
              </w:rPr>
              <w:t xml:space="preserve"> </w:t>
            </w:r>
            <w:r>
              <w:rPr>
                <w:sz w:val="20"/>
              </w:rPr>
              <w:t>United</w:t>
            </w:r>
            <w:r>
              <w:rPr>
                <w:spacing w:val="-5"/>
                <w:sz w:val="20"/>
              </w:rPr>
              <w:t xml:space="preserve"> </w:t>
            </w:r>
            <w:r>
              <w:rPr>
                <w:sz w:val="20"/>
              </w:rPr>
              <w:t>Nations</w:t>
            </w:r>
            <w:r>
              <w:rPr>
                <w:spacing w:val="-8"/>
                <w:sz w:val="20"/>
              </w:rPr>
              <w:t xml:space="preserve"> </w:t>
            </w:r>
            <w:r>
              <w:rPr>
                <w:sz w:val="20"/>
              </w:rPr>
              <w:t>Economic</w:t>
            </w:r>
            <w:r>
              <w:rPr>
                <w:spacing w:val="-6"/>
                <w:sz w:val="20"/>
              </w:rPr>
              <w:t xml:space="preserve"> </w:t>
            </w:r>
            <w:r>
              <w:rPr>
                <w:sz w:val="20"/>
              </w:rPr>
              <w:t>Commission</w:t>
            </w:r>
            <w:r>
              <w:rPr>
                <w:spacing w:val="-7"/>
                <w:sz w:val="20"/>
              </w:rPr>
              <w:t xml:space="preserve"> </w:t>
            </w:r>
            <w:r>
              <w:rPr>
                <w:sz w:val="20"/>
              </w:rPr>
              <w:t>for</w:t>
            </w:r>
            <w:r>
              <w:rPr>
                <w:spacing w:val="-7"/>
                <w:sz w:val="20"/>
              </w:rPr>
              <w:t xml:space="preserve"> </w:t>
            </w:r>
            <w:r>
              <w:rPr>
                <w:spacing w:val="-2"/>
                <w:sz w:val="20"/>
              </w:rPr>
              <w:t>Europe</w:t>
            </w:r>
          </w:p>
        </w:tc>
      </w:tr>
    </w:tbl>
    <w:p w:rsidR="005340DC" w:rsidRDefault="005340DC">
      <w:pPr>
        <w:pStyle w:val="BodyText"/>
        <w:spacing w:before="1"/>
        <w:rPr>
          <w:b/>
          <w:sz w:val="24"/>
        </w:rPr>
      </w:pPr>
    </w:p>
    <w:p w:rsidR="005340DC" w:rsidRDefault="00007469">
      <w:pPr>
        <w:pStyle w:val="ListParagraph"/>
        <w:numPr>
          <w:ilvl w:val="0"/>
          <w:numId w:val="6"/>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5340DC" w:rsidRDefault="005340DC">
      <w:pPr>
        <w:pStyle w:val="BodyText"/>
        <w:spacing w:before="9"/>
        <w:rPr>
          <w:b/>
          <w:sz w:val="15"/>
        </w:rPr>
      </w:pPr>
    </w:p>
    <w:p w:rsidR="005340DC" w:rsidRDefault="00007469">
      <w:pPr>
        <w:spacing w:before="91"/>
        <w:ind w:left="372"/>
        <w:rPr>
          <w:sz w:val="20"/>
        </w:rPr>
      </w:pPr>
      <w:r>
        <w:rPr>
          <w:sz w:val="20"/>
        </w:rPr>
        <w:t>The</w:t>
      </w:r>
      <w:r>
        <w:rPr>
          <w:spacing w:val="-6"/>
          <w:sz w:val="20"/>
        </w:rPr>
        <w:t xml:space="preserve"> </w:t>
      </w:r>
      <w:r>
        <w:rPr>
          <w:sz w:val="20"/>
        </w:rPr>
        <w:t>seconded</w:t>
      </w:r>
      <w:r>
        <w:rPr>
          <w:spacing w:val="-5"/>
          <w:sz w:val="20"/>
        </w:rPr>
        <w:t xml:space="preserve"> </w:t>
      </w:r>
      <w:r>
        <w:rPr>
          <w:sz w:val="20"/>
        </w:rPr>
        <w:t>national</w:t>
      </w:r>
      <w:r>
        <w:rPr>
          <w:spacing w:val="-6"/>
          <w:sz w:val="20"/>
        </w:rPr>
        <w:t xml:space="preserve"> </w:t>
      </w:r>
      <w:r>
        <w:rPr>
          <w:sz w:val="20"/>
        </w:rPr>
        <w:t>expert</w:t>
      </w:r>
      <w:r>
        <w:rPr>
          <w:spacing w:val="-4"/>
          <w:sz w:val="20"/>
        </w:rPr>
        <w:t xml:space="preserve"> </w:t>
      </w:r>
      <w:r>
        <w:rPr>
          <w:sz w:val="20"/>
        </w:rPr>
        <w:t>will</w:t>
      </w:r>
      <w:r>
        <w:rPr>
          <w:spacing w:val="-6"/>
          <w:sz w:val="20"/>
        </w:rPr>
        <w:t xml:space="preserve"> </w:t>
      </w:r>
      <w:r>
        <w:rPr>
          <w:sz w:val="20"/>
        </w:rPr>
        <w:t>assist</w:t>
      </w:r>
      <w:r>
        <w:rPr>
          <w:spacing w:val="-7"/>
          <w:sz w:val="20"/>
        </w:rPr>
        <w:t xml:space="preserve"> </w:t>
      </w:r>
      <w:r>
        <w:rPr>
          <w:sz w:val="20"/>
        </w:rPr>
        <w:t>the</w:t>
      </w:r>
      <w:r>
        <w:rPr>
          <w:spacing w:val="-6"/>
          <w:sz w:val="20"/>
        </w:rPr>
        <w:t xml:space="preserve"> </w:t>
      </w:r>
      <w:r>
        <w:rPr>
          <w:sz w:val="20"/>
        </w:rPr>
        <w:t>Commission</w:t>
      </w:r>
      <w:r>
        <w:rPr>
          <w:spacing w:val="-7"/>
          <w:sz w:val="20"/>
        </w:rPr>
        <w:t xml:space="preserve"> </w:t>
      </w:r>
      <w:r>
        <w:rPr>
          <w:sz w:val="20"/>
        </w:rPr>
        <w:t>official</w:t>
      </w:r>
      <w:r>
        <w:rPr>
          <w:spacing w:val="-5"/>
          <w:sz w:val="20"/>
        </w:rPr>
        <w:t xml:space="preserve"> to:</w:t>
      </w:r>
    </w:p>
    <w:p w:rsidR="005340DC" w:rsidRDefault="005340DC">
      <w:pPr>
        <w:pStyle w:val="BodyText"/>
        <w:spacing w:before="10"/>
        <w:rPr>
          <w:sz w:val="19"/>
        </w:rPr>
      </w:pPr>
    </w:p>
    <w:p w:rsidR="005340DC" w:rsidRDefault="00007469">
      <w:pPr>
        <w:pStyle w:val="ListParagraph"/>
        <w:numPr>
          <w:ilvl w:val="1"/>
          <w:numId w:val="6"/>
        </w:numPr>
        <w:tabs>
          <w:tab w:val="left" w:pos="732"/>
        </w:tabs>
        <w:ind w:right="1424"/>
        <w:rPr>
          <w:rFonts w:ascii="Symbol" w:hAnsi="Symbol"/>
          <w:sz w:val="20"/>
        </w:rPr>
      </w:pPr>
      <w:r>
        <w:rPr>
          <w:sz w:val="20"/>
        </w:rPr>
        <w:t xml:space="preserve">Contribute to the development of Research and Innovation (R&amp;I) policies, </w:t>
      </w:r>
      <w:proofErr w:type="spellStart"/>
      <w:r>
        <w:rPr>
          <w:sz w:val="20"/>
        </w:rPr>
        <w:t>programmes</w:t>
      </w:r>
      <w:proofErr w:type="spellEnd"/>
      <w:r>
        <w:rPr>
          <w:sz w:val="20"/>
        </w:rPr>
        <w:t xml:space="preserve"> and initiatives in the field of climate science (spanning Earth System science, adaptation to climate change and mitigation pathways) to support the implementation of the E</w:t>
      </w:r>
      <w:r>
        <w:rPr>
          <w:sz w:val="20"/>
        </w:rPr>
        <w:t>uropean Green Deal;</w:t>
      </w:r>
    </w:p>
    <w:p w:rsidR="005340DC" w:rsidRDefault="00007469">
      <w:pPr>
        <w:pStyle w:val="ListParagraph"/>
        <w:numPr>
          <w:ilvl w:val="1"/>
          <w:numId w:val="6"/>
        </w:numPr>
        <w:tabs>
          <w:tab w:val="left" w:pos="732"/>
        </w:tabs>
        <w:spacing w:before="1"/>
        <w:ind w:right="1426"/>
        <w:rPr>
          <w:rFonts w:ascii="Symbol" w:hAnsi="Symbol"/>
          <w:sz w:val="20"/>
        </w:rPr>
      </w:pPr>
      <w:r>
        <w:rPr>
          <w:sz w:val="20"/>
        </w:rPr>
        <w:t>Coordinate the co-creation activities in Destination 1 of Cluster 5 of Horizon Europe (Climate sciences and responses for the transformation towards climate neutrality); conception, drafting and monitoring of topics for calls for propos</w:t>
      </w:r>
      <w:r>
        <w:rPr>
          <w:sz w:val="20"/>
        </w:rPr>
        <w:t>als;</w:t>
      </w:r>
    </w:p>
    <w:p w:rsidR="005340DC" w:rsidRDefault="00007469">
      <w:pPr>
        <w:pStyle w:val="ListParagraph"/>
        <w:numPr>
          <w:ilvl w:val="1"/>
          <w:numId w:val="6"/>
        </w:numPr>
        <w:tabs>
          <w:tab w:val="left" w:pos="732"/>
        </w:tabs>
        <w:ind w:right="1421"/>
        <w:rPr>
          <w:rFonts w:ascii="Symbol" w:hAnsi="Symbol"/>
          <w:sz w:val="20"/>
        </w:rPr>
      </w:pPr>
      <w:r>
        <w:rPr>
          <w:sz w:val="20"/>
        </w:rPr>
        <w:t>Coordinate</w:t>
      </w:r>
      <w:r>
        <w:rPr>
          <w:spacing w:val="-2"/>
          <w:sz w:val="20"/>
        </w:rPr>
        <w:t xml:space="preserve"> </w:t>
      </w:r>
      <w:r>
        <w:rPr>
          <w:sz w:val="20"/>
        </w:rPr>
        <w:t>the R&amp;I</w:t>
      </w:r>
      <w:r>
        <w:rPr>
          <w:spacing w:val="-2"/>
          <w:sz w:val="20"/>
        </w:rPr>
        <w:t xml:space="preserve"> </w:t>
      </w:r>
      <w:r>
        <w:rPr>
          <w:sz w:val="20"/>
        </w:rPr>
        <w:t>inputs</w:t>
      </w:r>
      <w:r>
        <w:rPr>
          <w:spacing w:val="-3"/>
          <w:sz w:val="20"/>
        </w:rPr>
        <w:t xml:space="preserve"> </w:t>
      </w:r>
      <w:r>
        <w:rPr>
          <w:sz w:val="20"/>
        </w:rPr>
        <w:t>to the</w:t>
      </w:r>
      <w:r>
        <w:rPr>
          <w:spacing w:val="-2"/>
          <w:sz w:val="20"/>
        </w:rPr>
        <w:t xml:space="preserve"> </w:t>
      </w:r>
      <w:r>
        <w:rPr>
          <w:sz w:val="20"/>
        </w:rPr>
        <w:t>design</w:t>
      </w:r>
      <w:r>
        <w:rPr>
          <w:spacing w:val="-3"/>
          <w:sz w:val="20"/>
        </w:rPr>
        <w:t xml:space="preserve"> </w:t>
      </w:r>
      <w:r>
        <w:rPr>
          <w:sz w:val="20"/>
        </w:rPr>
        <w:t>and</w:t>
      </w:r>
      <w:r>
        <w:rPr>
          <w:spacing w:val="-1"/>
          <w:sz w:val="20"/>
        </w:rPr>
        <w:t xml:space="preserve"> </w:t>
      </w:r>
      <w:r>
        <w:rPr>
          <w:sz w:val="20"/>
        </w:rPr>
        <w:t>implementation</w:t>
      </w:r>
      <w:r>
        <w:rPr>
          <w:spacing w:val="-1"/>
          <w:sz w:val="20"/>
        </w:rPr>
        <w:t xml:space="preserve"> </w:t>
      </w:r>
      <w:r>
        <w:rPr>
          <w:sz w:val="20"/>
        </w:rPr>
        <w:t>of</w:t>
      </w:r>
      <w:r>
        <w:rPr>
          <w:spacing w:val="-4"/>
          <w:sz w:val="20"/>
        </w:rPr>
        <w:t xml:space="preserve"> </w:t>
      </w:r>
      <w:r>
        <w:rPr>
          <w:sz w:val="20"/>
        </w:rPr>
        <w:t>relevant</w:t>
      </w:r>
      <w:r>
        <w:rPr>
          <w:spacing w:val="-3"/>
          <w:sz w:val="20"/>
        </w:rPr>
        <w:t xml:space="preserve"> </w:t>
      </w:r>
      <w:r>
        <w:rPr>
          <w:sz w:val="20"/>
        </w:rPr>
        <w:t>EU</w:t>
      </w:r>
      <w:r>
        <w:rPr>
          <w:spacing w:val="-2"/>
          <w:sz w:val="20"/>
        </w:rPr>
        <w:t xml:space="preserve"> </w:t>
      </w:r>
      <w:r>
        <w:rPr>
          <w:sz w:val="20"/>
        </w:rPr>
        <w:t>policies in</w:t>
      </w:r>
      <w:r>
        <w:rPr>
          <w:spacing w:val="-3"/>
          <w:sz w:val="20"/>
        </w:rPr>
        <w:t xml:space="preserve"> </w:t>
      </w:r>
      <w:r>
        <w:rPr>
          <w:sz w:val="20"/>
        </w:rPr>
        <w:t>support</w:t>
      </w:r>
      <w:r>
        <w:rPr>
          <w:spacing w:val="-1"/>
          <w:sz w:val="20"/>
        </w:rPr>
        <w:t xml:space="preserve"> </w:t>
      </w:r>
      <w:r>
        <w:rPr>
          <w:sz w:val="20"/>
        </w:rPr>
        <w:t>of</w:t>
      </w:r>
      <w:r>
        <w:rPr>
          <w:spacing w:val="-3"/>
          <w:sz w:val="20"/>
        </w:rPr>
        <w:t xml:space="preserve"> </w:t>
      </w:r>
      <w:r>
        <w:rPr>
          <w:sz w:val="20"/>
        </w:rPr>
        <w:t>science- based policymaking through close cooperation with other policy Directorates General;</w:t>
      </w:r>
    </w:p>
    <w:p w:rsidR="005340DC" w:rsidRDefault="00007469">
      <w:pPr>
        <w:pStyle w:val="ListParagraph"/>
        <w:numPr>
          <w:ilvl w:val="1"/>
          <w:numId w:val="6"/>
        </w:numPr>
        <w:tabs>
          <w:tab w:val="left" w:pos="732"/>
        </w:tabs>
        <w:ind w:right="1425"/>
        <w:rPr>
          <w:rFonts w:ascii="Symbol" w:hAnsi="Symbol"/>
          <w:sz w:val="20"/>
        </w:rPr>
      </w:pPr>
      <w:r>
        <w:rPr>
          <w:sz w:val="20"/>
        </w:rPr>
        <w:t>Strengthen the synergies and promote complementarity between EU R&amp;I on climate science and national activities in the Member States and Horizon Europe Associated Countries;</w:t>
      </w:r>
    </w:p>
    <w:p w:rsidR="005340DC" w:rsidRDefault="00007469">
      <w:pPr>
        <w:pStyle w:val="ListParagraph"/>
        <w:numPr>
          <w:ilvl w:val="1"/>
          <w:numId w:val="6"/>
        </w:numPr>
        <w:tabs>
          <w:tab w:val="left" w:pos="732"/>
        </w:tabs>
        <w:ind w:right="1423"/>
        <w:rPr>
          <w:rFonts w:ascii="Symbol" w:hAnsi="Symbol"/>
          <w:sz w:val="20"/>
        </w:rPr>
      </w:pPr>
      <w:r>
        <w:rPr>
          <w:sz w:val="20"/>
        </w:rPr>
        <w:t>Monitor key developments in the interface of climate science and policy, in particu</w:t>
      </w:r>
      <w:r>
        <w:rPr>
          <w:sz w:val="20"/>
        </w:rPr>
        <w:t>lar those related to the IPCC and the UNFCCC, and feed the research and innovation needs into the Horizon Europe programming cycle;</w:t>
      </w:r>
    </w:p>
    <w:p w:rsidR="005340DC" w:rsidRDefault="00007469">
      <w:pPr>
        <w:pStyle w:val="ListParagraph"/>
        <w:numPr>
          <w:ilvl w:val="1"/>
          <w:numId w:val="6"/>
        </w:numPr>
        <w:tabs>
          <w:tab w:val="left" w:pos="732"/>
        </w:tabs>
        <w:spacing w:before="1" w:line="235" w:lineRule="auto"/>
        <w:ind w:right="1424"/>
        <w:rPr>
          <w:rFonts w:ascii="Symbol" w:hAnsi="Symbol"/>
        </w:rPr>
      </w:pPr>
      <w:r>
        <w:rPr>
          <w:sz w:val="20"/>
        </w:rPr>
        <w:t>Facilitate</w:t>
      </w:r>
      <w:r>
        <w:rPr>
          <w:spacing w:val="-2"/>
          <w:sz w:val="20"/>
        </w:rPr>
        <w:t xml:space="preserve"> </w:t>
      </w:r>
      <w:r>
        <w:rPr>
          <w:sz w:val="20"/>
        </w:rPr>
        <w:t>dissemination</w:t>
      </w:r>
      <w:r>
        <w:rPr>
          <w:spacing w:val="-2"/>
          <w:sz w:val="20"/>
        </w:rPr>
        <w:t xml:space="preserve"> </w:t>
      </w:r>
      <w:r>
        <w:rPr>
          <w:sz w:val="20"/>
        </w:rPr>
        <w:t>and</w:t>
      </w:r>
      <w:r>
        <w:rPr>
          <w:spacing w:val="-2"/>
          <w:sz w:val="20"/>
        </w:rPr>
        <w:t xml:space="preserve"> </w:t>
      </w:r>
      <w:r>
        <w:rPr>
          <w:sz w:val="20"/>
        </w:rPr>
        <w:t>exploitation</w:t>
      </w:r>
      <w:r>
        <w:rPr>
          <w:spacing w:val="-3"/>
          <w:sz w:val="20"/>
        </w:rPr>
        <w:t xml:space="preserve"> </w:t>
      </w:r>
      <w:r>
        <w:rPr>
          <w:sz w:val="20"/>
        </w:rPr>
        <w:t>of</w:t>
      </w:r>
      <w:r>
        <w:rPr>
          <w:spacing w:val="-4"/>
          <w:sz w:val="20"/>
        </w:rPr>
        <w:t xml:space="preserve"> </w:t>
      </w:r>
      <w:r>
        <w:rPr>
          <w:sz w:val="20"/>
        </w:rPr>
        <w:t>results</w:t>
      </w:r>
      <w:r>
        <w:rPr>
          <w:spacing w:val="-3"/>
          <w:sz w:val="20"/>
        </w:rPr>
        <w:t xml:space="preserve"> </w:t>
      </w:r>
      <w:r>
        <w:rPr>
          <w:sz w:val="20"/>
        </w:rPr>
        <w:t>emerging</w:t>
      </w:r>
      <w:r>
        <w:rPr>
          <w:spacing w:val="-2"/>
          <w:sz w:val="20"/>
        </w:rPr>
        <w:t xml:space="preserve"> </w:t>
      </w:r>
      <w:r>
        <w:rPr>
          <w:sz w:val="20"/>
        </w:rPr>
        <w:t>from</w:t>
      </w:r>
      <w:r>
        <w:rPr>
          <w:spacing w:val="-6"/>
          <w:sz w:val="20"/>
        </w:rPr>
        <w:t xml:space="preserve"> </w:t>
      </w:r>
      <w:r>
        <w:rPr>
          <w:sz w:val="20"/>
        </w:rPr>
        <w:t>the</w:t>
      </w:r>
      <w:r>
        <w:rPr>
          <w:spacing w:val="-3"/>
          <w:sz w:val="20"/>
        </w:rPr>
        <w:t xml:space="preserve"> </w:t>
      </w:r>
      <w:r>
        <w:rPr>
          <w:sz w:val="20"/>
        </w:rPr>
        <w:t>research</w:t>
      </w:r>
      <w:r>
        <w:rPr>
          <w:spacing w:val="-3"/>
          <w:sz w:val="20"/>
        </w:rPr>
        <w:t xml:space="preserve"> </w:t>
      </w:r>
      <w:r>
        <w:rPr>
          <w:sz w:val="20"/>
        </w:rPr>
        <w:t>and</w:t>
      </w:r>
      <w:r>
        <w:rPr>
          <w:spacing w:val="-2"/>
          <w:sz w:val="20"/>
        </w:rPr>
        <w:t xml:space="preserve"> </w:t>
      </w:r>
      <w:r>
        <w:rPr>
          <w:sz w:val="20"/>
        </w:rPr>
        <w:t>innovation activities</w:t>
      </w:r>
      <w:r>
        <w:rPr>
          <w:spacing w:val="-2"/>
          <w:sz w:val="20"/>
        </w:rPr>
        <w:t xml:space="preserve"> </w:t>
      </w:r>
      <w:r>
        <w:rPr>
          <w:sz w:val="20"/>
        </w:rPr>
        <w:t>in the portfolio o</w:t>
      </w:r>
      <w:r>
        <w:rPr>
          <w:sz w:val="20"/>
        </w:rPr>
        <w:t>f the sector, including feedback to policy;</w:t>
      </w:r>
    </w:p>
    <w:p w:rsidR="005340DC" w:rsidRDefault="00007469">
      <w:pPr>
        <w:pStyle w:val="ListParagraph"/>
        <w:numPr>
          <w:ilvl w:val="1"/>
          <w:numId w:val="6"/>
        </w:numPr>
        <w:tabs>
          <w:tab w:val="left" w:pos="732"/>
        </w:tabs>
        <w:rPr>
          <w:rFonts w:ascii="Symbol" w:hAnsi="Symbol"/>
        </w:rPr>
      </w:pPr>
      <w:r>
        <w:rPr>
          <w:sz w:val="20"/>
        </w:rPr>
        <w:t>Deal</w:t>
      </w:r>
      <w:r>
        <w:rPr>
          <w:spacing w:val="-4"/>
          <w:sz w:val="20"/>
        </w:rPr>
        <w:t xml:space="preserve"> </w:t>
      </w:r>
      <w:r>
        <w:rPr>
          <w:sz w:val="20"/>
        </w:rPr>
        <w:t>with</w:t>
      </w:r>
      <w:r>
        <w:rPr>
          <w:spacing w:val="-4"/>
          <w:sz w:val="20"/>
        </w:rPr>
        <w:t xml:space="preserve"> </w:t>
      </w:r>
      <w:r>
        <w:rPr>
          <w:sz w:val="20"/>
        </w:rPr>
        <w:t>selected</w:t>
      </w:r>
      <w:r>
        <w:rPr>
          <w:spacing w:val="-5"/>
          <w:sz w:val="20"/>
        </w:rPr>
        <w:t xml:space="preserve"> </w:t>
      </w:r>
      <w:r>
        <w:rPr>
          <w:sz w:val="20"/>
        </w:rPr>
        <w:t>international</w:t>
      </w:r>
      <w:r>
        <w:rPr>
          <w:spacing w:val="-5"/>
          <w:sz w:val="20"/>
        </w:rPr>
        <w:t xml:space="preserve"> </w:t>
      </w:r>
      <w:r>
        <w:rPr>
          <w:sz w:val="20"/>
        </w:rPr>
        <w:t>cooperation</w:t>
      </w:r>
      <w:r>
        <w:rPr>
          <w:spacing w:val="-6"/>
          <w:sz w:val="20"/>
        </w:rPr>
        <w:t xml:space="preserve"> </w:t>
      </w:r>
      <w:r>
        <w:rPr>
          <w:sz w:val="20"/>
        </w:rPr>
        <w:t>files</w:t>
      </w:r>
      <w:r>
        <w:rPr>
          <w:spacing w:val="-2"/>
          <w:sz w:val="20"/>
        </w:rPr>
        <w:t xml:space="preserve"> </w:t>
      </w:r>
      <w:r>
        <w:rPr>
          <w:sz w:val="20"/>
        </w:rPr>
        <w:t>on</w:t>
      </w:r>
      <w:r>
        <w:rPr>
          <w:spacing w:val="-6"/>
          <w:sz w:val="20"/>
        </w:rPr>
        <w:t xml:space="preserve"> </w:t>
      </w:r>
      <w:r>
        <w:rPr>
          <w:sz w:val="20"/>
        </w:rPr>
        <w:t>climate</w:t>
      </w:r>
      <w:r>
        <w:rPr>
          <w:spacing w:val="-3"/>
          <w:sz w:val="20"/>
        </w:rPr>
        <w:t xml:space="preserve"> </w:t>
      </w:r>
      <w:r>
        <w:rPr>
          <w:spacing w:val="-2"/>
          <w:sz w:val="20"/>
        </w:rPr>
        <w:t>science.</w:t>
      </w:r>
    </w:p>
    <w:p w:rsidR="005340DC" w:rsidRDefault="005340DC">
      <w:pPr>
        <w:pStyle w:val="BodyText"/>
      </w:pPr>
    </w:p>
    <w:p w:rsidR="005340DC" w:rsidRDefault="00007469">
      <w:pPr>
        <w:pStyle w:val="ListParagraph"/>
        <w:numPr>
          <w:ilvl w:val="0"/>
          <w:numId w:val="6"/>
        </w:numPr>
        <w:tabs>
          <w:tab w:val="left" w:pos="800"/>
        </w:tabs>
        <w:rPr>
          <w:b/>
          <w:sz w:val="24"/>
        </w:rPr>
      </w:pPr>
      <w:r>
        <w:rPr>
          <w:b/>
          <w:sz w:val="24"/>
          <w:u w:val="single"/>
        </w:rPr>
        <w:t>Main</w:t>
      </w:r>
      <w:r>
        <w:rPr>
          <w:b/>
          <w:spacing w:val="-2"/>
          <w:sz w:val="24"/>
          <w:u w:val="single"/>
        </w:rPr>
        <w:t xml:space="preserve"> qualifications</w:t>
      </w:r>
    </w:p>
    <w:p w:rsidR="005340DC" w:rsidRDefault="005340DC">
      <w:pPr>
        <w:pStyle w:val="BodyText"/>
        <w:rPr>
          <w:b/>
          <w:sz w:val="20"/>
        </w:rPr>
      </w:pPr>
    </w:p>
    <w:p w:rsidR="005340DC" w:rsidRDefault="00007469">
      <w:pPr>
        <w:pStyle w:val="BodyText"/>
        <w:spacing w:before="7"/>
        <w:rPr>
          <w:b/>
          <w:sz w:val="21"/>
        </w:rPr>
      </w:pPr>
      <w:r>
        <w:pict>
          <v:rect id="docshape3" o:spid="_x0000_s1027" style="position:absolute;margin-left:42.6pt;margin-top:13.65pt;width:2in;height:.6pt;z-index:-15728640;mso-wrap-distance-left:0;mso-wrap-distance-right:0;mso-position-horizontal-relative:page" fillcolor="black" stroked="f">
            <w10:wrap type="topAndBottom" anchorx="page"/>
          </v:rect>
        </w:pict>
      </w:r>
    </w:p>
    <w:p w:rsidR="005340DC" w:rsidRDefault="00007469">
      <w:pPr>
        <w:spacing w:before="101"/>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5340DC" w:rsidRDefault="005340DC">
      <w:pPr>
        <w:rPr>
          <w:sz w:val="20"/>
        </w:rPr>
        <w:sectPr w:rsidR="005340DC">
          <w:footerReference w:type="default" r:id="rId9"/>
          <w:type w:val="continuous"/>
          <w:pgSz w:w="11910" w:h="16840"/>
          <w:pgMar w:top="520" w:right="740" w:bottom="880" w:left="480" w:header="0" w:footer="690" w:gutter="0"/>
          <w:pgNumType w:start="1"/>
          <w:cols w:space="720"/>
        </w:sectPr>
      </w:pPr>
    </w:p>
    <w:p w:rsidR="005340DC" w:rsidRDefault="00007469">
      <w:pPr>
        <w:pStyle w:val="Heading1"/>
        <w:numPr>
          <w:ilvl w:val="0"/>
          <w:numId w:val="3"/>
        </w:numPr>
        <w:tabs>
          <w:tab w:val="left" w:pos="1040"/>
        </w:tabs>
        <w:spacing w:before="73"/>
        <w:ind w:hanging="241"/>
      </w:pPr>
      <w:r>
        <w:lastRenderedPageBreak/>
        <w:t>Eligibility</w:t>
      </w:r>
      <w:r>
        <w:rPr>
          <w:spacing w:val="-10"/>
        </w:rPr>
        <w:t xml:space="preserve"> </w:t>
      </w:r>
      <w:r>
        <w:rPr>
          <w:spacing w:val="-2"/>
        </w:rPr>
        <w:t>criteria</w:t>
      </w:r>
    </w:p>
    <w:p w:rsidR="005340DC" w:rsidRDefault="005340DC">
      <w:pPr>
        <w:pStyle w:val="BodyText"/>
        <w:spacing w:before="7"/>
        <w:rPr>
          <w:b/>
          <w:sz w:val="21"/>
        </w:rPr>
      </w:pPr>
    </w:p>
    <w:p w:rsidR="005340DC" w:rsidRDefault="00007469">
      <w:pPr>
        <w:pStyle w:val="BodyText"/>
        <w:ind w:left="799" w:right="108"/>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5340DC" w:rsidRDefault="005340DC">
      <w:pPr>
        <w:pStyle w:val="BodyText"/>
        <w:spacing w:before="1"/>
      </w:pPr>
    </w:p>
    <w:p w:rsidR="005340DC" w:rsidRDefault="00007469">
      <w:pPr>
        <w:pStyle w:val="ListParagraph"/>
        <w:numPr>
          <w:ilvl w:val="0"/>
          <w:numId w:val="2"/>
        </w:numPr>
        <w:tabs>
          <w:tab w:val="left" w:pos="1081"/>
        </w:tabs>
        <w:ind w:right="114"/>
      </w:pPr>
      <w:r>
        <w:rPr>
          <w:u w:val="single"/>
        </w:rPr>
        <w:t>Professional experience</w:t>
      </w:r>
      <w:r>
        <w:t>: at least three years of professional experience in administrative, legal, scientifi</w:t>
      </w:r>
      <w:r>
        <w:t>c, technical, advisory or supervisory functions which are equivalent to those of function group AD;</w:t>
      </w:r>
    </w:p>
    <w:p w:rsidR="005340DC" w:rsidRDefault="005340DC">
      <w:pPr>
        <w:pStyle w:val="BodyText"/>
        <w:spacing w:before="11"/>
        <w:rPr>
          <w:sz w:val="21"/>
        </w:rPr>
      </w:pPr>
    </w:p>
    <w:p w:rsidR="005340DC" w:rsidRDefault="00007469">
      <w:pPr>
        <w:pStyle w:val="ListParagraph"/>
        <w:numPr>
          <w:ilvl w:val="0"/>
          <w:numId w:val="2"/>
        </w:numPr>
        <w:tabs>
          <w:tab w:val="left" w:pos="1081"/>
        </w:tabs>
        <w:ind w:right="119"/>
      </w:pPr>
      <w:r>
        <w:rPr>
          <w:u w:val="single"/>
        </w:rPr>
        <w:t>Seniority</w:t>
      </w:r>
      <w:r>
        <w:t xml:space="preserve">: candidates must have at least </w:t>
      </w:r>
      <w:proofErr w:type="gramStart"/>
      <w:r>
        <w:t>one year</w:t>
      </w:r>
      <w:proofErr w:type="gramEnd"/>
      <w:r>
        <w:t xml:space="preserve"> seniority with their employer, that means having worked for an eligible employer as described in Art. 1 o</w:t>
      </w:r>
      <w:r>
        <w:t xml:space="preserve">f the SNE decision on a permanent or contract basis for at least one year before the </w:t>
      </w:r>
      <w:proofErr w:type="spellStart"/>
      <w:r>
        <w:t>secondment</w:t>
      </w:r>
      <w:proofErr w:type="spellEnd"/>
      <w:r>
        <w:t>;</w:t>
      </w:r>
    </w:p>
    <w:p w:rsidR="005340DC" w:rsidRDefault="005340DC">
      <w:pPr>
        <w:pStyle w:val="BodyText"/>
        <w:spacing w:before="1"/>
      </w:pPr>
    </w:p>
    <w:p w:rsidR="005340DC" w:rsidRDefault="00007469">
      <w:pPr>
        <w:pStyle w:val="ListParagraph"/>
        <w:numPr>
          <w:ilvl w:val="0"/>
          <w:numId w:val="2"/>
        </w:numPr>
        <w:tabs>
          <w:tab w:val="left" w:pos="1081"/>
        </w:tabs>
        <w:ind w:right="112"/>
      </w:pPr>
      <w:r>
        <w:rPr>
          <w:u w:val="single"/>
        </w:rPr>
        <w:t>Linguistic skills</w:t>
      </w:r>
      <w:r>
        <w:t>: thorough knowledge of one of the EU languages and a satisfactory knowledge of another EU language to the extent necessary for the performance of the duties. SNE from a third country must produce evidence of a thorough knowledge of one EU language necessa</w:t>
      </w:r>
      <w:r>
        <w:t>ry for the performance of his</w:t>
      </w:r>
      <w:r>
        <w:rPr>
          <w:spacing w:val="80"/>
        </w:rPr>
        <w:t xml:space="preserve"> </w:t>
      </w:r>
      <w:r>
        <w:rPr>
          <w:spacing w:val="-2"/>
        </w:rPr>
        <w:t>duties.</w:t>
      </w:r>
    </w:p>
    <w:p w:rsidR="005340DC" w:rsidRDefault="005340DC">
      <w:pPr>
        <w:pStyle w:val="BodyText"/>
        <w:spacing w:before="4"/>
        <w:rPr>
          <w:sz w:val="24"/>
        </w:rPr>
      </w:pPr>
    </w:p>
    <w:p w:rsidR="005340DC" w:rsidRDefault="00007469">
      <w:pPr>
        <w:pStyle w:val="Heading1"/>
        <w:numPr>
          <w:ilvl w:val="0"/>
          <w:numId w:val="3"/>
        </w:numPr>
        <w:tabs>
          <w:tab w:val="left" w:pos="1081"/>
        </w:tabs>
        <w:ind w:left="1080" w:hanging="282"/>
      </w:pPr>
      <w:r>
        <w:rPr>
          <w:u w:val="single"/>
        </w:rPr>
        <w:t>Selection</w:t>
      </w:r>
      <w:r>
        <w:rPr>
          <w:spacing w:val="-5"/>
          <w:u w:val="single"/>
        </w:rPr>
        <w:t xml:space="preserve"> </w:t>
      </w:r>
      <w:r>
        <w:rPr>
          <w:spacing w:val="-2"/>
          <w:u w:val="single"/>
        </w:rPr>
        <w:t>criteria</w:t>
      </w:r>
    </w:p>
    <w:p w:rsidR="005340DC" w:rsidRDefault="005340DC">
      <w:pPr>
        <w:pStyle w:val="BodyText"/>
        <w:spacing w:before="8"/>
        <w:rPr>
          <w:b/>
          <w:sz w:val="15"/>
        </w:rPr>
      </w:pPr>
    </w:p>
    <w:p w:rsidR="005340DC" w:rsidRDefault="00007469">
      <w:pPr>
        <w:pStyle w:val="BodyText"/>
        <w:spacing w:before="92" w:line="252" w:lineRule="exact"/>
        <w:ind w:left="1080"/>
      </w:pPr>
      <w:r>
        <w:rPr>
          <w:spacing w:val="-2"/>
          <w:u w:val="single"/>
        </w:rPr>
        <w:t>Diploma</w:t>
      </w:r>
    </w:p>
    <w:p w:rsidR="005340DC" w:rsidRDefault="00007469">
      <w:pPr>
        <w:pStyle w:val="ListParagraph"/>
        <w:numPr>
          <w:ilvl w:val="1"/>
          <w:numId w:val="3"/>
        </w:numPr>
        <w:tabs>
          <w:tab w:val="left" w:pos="1206"/>
        </w:tabs>
        <w:spacing w:line="252" w:lineRule="exact"/>
        <w:ind w:hanging="126"/>
        <w:jc w:val="left"/>
      </w:pPr>
      <w:r>
        <w:t>university</w:t>
      </w:r>
      <w:r>
        <w:rPr>
          <w:spacing w:val="-5"/>
        </w:rPr>
        <w:t xml:space="preserve"> </w:t>
      </w:r>
      <w:r>
        <w:t>degree</w:t>
      </w:r>
      <w:r>
        <w:rPr>
          <w:spacing w:val="-1"/>
        </w:rPr>
        <w:t xml:space="preserve"> </w:t>
      </w:r>
      <w:r>
        <w:rPr>
          <w:spacing w:val="-5"/>
        </w:rPr>
        <w:t>or</w:t>
      </w:r>
    </w:p>
    <w:p w:rsidR="005340DC" w:rsidRDefault="00007469">
      <w:pPr>
        <w:pStyle w:val="ListParagraph"/>
        <w:numPr>
          <w:ilvl w:val="1"/>
          <w:numId w:val="3"/>
        </w:numPr>
        <w:tabs>
          <w:tab w:val="left" w:pos="1206"/>
        </w:tabs>
        <w:spacing w:before="1"/>
        <w:ind w:hanging="126"/>
        <w:jc w:val="left"/>
      </w:pPr>
      <w:r>
        <w:t>professional</w:t>
      </w:r>
      <w:r>
        <w:rPr>
          <w:spacing w:val="-4"/>
        </w:rPr>
        <w:t xml:space="preserve"> </w:t>
      </w:r>
      <w:r>
        <w:t>training</w:t>
      </w:r>
      <w:r>
        <w:rPr>
          <w:spacing w:val="-6"/>
        </w:rPr>
        <w:t xml:space="preserve"> </w:t>
      </w:r>
      <w:r>
        <w:t>or</w:t>
      </w:r>
      <w:r>
        <w:rPr>
          <w:spacing w:val="-3"/>
        </w:rPr>
        <w:t xml:space="preserve"> </w:t>
      </w:r>
      <w:r>
        <w:t>professional</w:t>
      </w:r>
      <w:r>
        <w:rPr>
          <w:spacing w:val="-5"/>
        </w:rPr>
        <w:t xml:space="preserve"> </w:t>
      </w:r>
      <w:r>
        <w:t>experience</w:t>
      </w:r>
      <w:r>
        <w:rPr>
          <w:spacing w:val="-4"/>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rsidR="005340DC" w:rsidRDefault="005340DC">
      <w:pPr>
        <w:pStyle w:val="BodyText"/>
        <w:spacing w:before="10"/>
        <w:rPr>
          <w:sz w:val="21"/>
        </w:rPr>
      </w:pPr>
    </w:p>
    <w:p w:rsidR="005340DC" w:rsidRDefault="00007469">
      <w:pPr>
        <w:pStyle w:val="BodyText"/>
        <w:ind w:left="1190"/>
        <w:jc w:val="both"/>
      </w:pPr>
      <w:proofErr w:type="gramStart"/>
      <w:r>
        <w:t>in</w:t>
      </w:r>
      <w:proofErr w:type="gramEnd"/>
      <w:r>
        <w:rPr>
          <w:spacing w:val="-6"/>
        </w:rPr>
        <w:t xml:space="preserve"> </w:t>
      </w:r>
      <w:r>
        <w:t>the</w:t>
      </w:r>
      <w:r>
        <w:rPr>
          <w:spacing w:val="-3"/>
        </w:rPr>
        <w:t xml:space="preserve"> </w:t>
      </w:r>
      <w:r>
        <w:t>field(s)</w:t>
      </w:r>
      <w:r>
        <w:rPr>
          <w:spacing w:val="-4"/>
        </w:rPr>
        <w:t xml:space="preserve"> </w:t>
      </w:r>
      <w:r>
        <w:rPr>
          <w:spacing w:val="-10"/>
        </w:rPr>
        <w:t>:</w:t>
      </w:r>
    </w:p>
    <w:p w:rsidR="005340DC" w:rsidRDefault="00007469">
      <w:pPr>
        <w:pStyle w:val="BodyText"/>
        <w:spacing w:before="1"/>
        <w:ind w:left="1080" w:right="165"/>
        <w:jc w:val="both"/>
      </w:pPr>
      <w:r>
        <w:t>Climate science, adaptation to climate change, mitigation pathways, environmental sciences and economics, environmental engineering, geography, biology, resource economics, natural resource management, environmental-related social sciences and humanities.</w:t>
      </w:r>
    </w:p>
    <w:p w:rsidR="005340DC" w:rsidRDefault="005340DC">
      <w:pPr>
        <w:pStyle w:val="BodyText"/>
        <w:spacing w:before="10"/>
        <w:rPr>
          <w:sz w:val="21"/>
        </w:rPr>
      </w:pPr>
    </w:p>
    <w:p w:rsidR="005340DC" w:rsidRDefault="00007469">
      <w:pPr>
        <w:pStyle w:val="BodyText"/>
        <w:ind w:left="1080"/>
        <w:jc w:val="both"/>
      </w:pPr>
      <w:r>
        <w:rPr>
          <w:u w:val="single"/>
        </w:rPr>
        <w:t>Professional</w:t>
      </w:r>
      <w:r>
        <w:rPr>
          <w:spacing w:val="-4"/>
          <w:u w:val="single"/>
        </w:rPr>
        <w:t xml:space="preserve"> </w:t>
      </w:r>
      <w:r>
        <w:rPr>
          <w:spacing w:val="-2"/>
          <w:u w:val="single"/>
        </w:rPr>
        <w:t>experience</w:t>
      </w:r>
    </w:p>
    <w:p w:rsidR="005340DC" w:rsidRDefault="005340DC">
      <w:pPr>
        <w:pStyle w:val="BodyText"/>
        <w:spacing w:before="2"/>
        <w:rPr>
          <w:sz w:val="14"/>
        </w:rPr>
      </w:pPr>
    </w:p>
    <w:p w:rsidR="005340DC" w:rsidRDefault="00007469">
      <w:pPr>
        <w:pStyle w:val="BodyText"/>
        <w:spacing w:before="91"/>
        <w:ind w:left="1080" w:right="1296"/>
      </w:pPr>
      <w:r>
        <w:t>At</w:t>
      </w:r>
      <w:r>
        <w:rPr>
          <w:spacing w:val="-1"/>
        </w:rPr>
        <w:t xml:space="preserve"> </w:t>
      </w:r>
      <w:r>
        <w:t>least</w:t>
      </w:r>
      <w:r>
        <w:rPr>
          <w:spacing w:val="-3"/>
        </w:rPr>
        <w:t xml:space="preserve"> </w:t>
      </w:r>
      <w:r>
        <w:t>3</w:t>
      </w:r>
      <w:r>
        <w:rPr>
          <w:spacing w:val="-2"/>
        </w:rPr>
        <w:t xml:space="preserve"> </w:t>
      </w:r>
      <w:r>
        <w:t>years</w:t>
      </w:r>
      <w:r>
        <w:rPr>
          <w:spacing w:val="-4"/>
        </w:rPr>
        <w:t xml:space="preserve"> </w:t>
      </w:r>
      <w:r>
        <w:t>of</w:t>
      </w:r>
      <w:r>
        <w:rPr>
          <w:spacing w:val="-2"/>
        </w:rPr>
        <w:t xml:space="preserve"> </w:t>
      </w:r>
      <w:r>
        <w:t>experience</w:t>
      </w:r>
      <w:r>
        <w:rPr>
          <w:spacing w:val="-2"/>
        </w:rPr>
        <w:t xml:space="preserve"> </w:t>
      </w:r>
      <w:r>
        <w:t>in</w:t>
      </w:r>
      <w:r>
        <w:rPr>
          <w:spacing w:val="-5"/>
        </w:rPr>
        <w:t xml:space="preserve"> </w:t>
      </w:r>
      <w:r>
        <w:t>the</w:t>
      </w:r>
      <w:r>
        <w:rPr>
          <w:spacing w:val="-4"/>
        </w:rPr>
        <w:t xml:space="preserve"> </w:t>
      </w:r>
      <w:r>
        <w:t>areas</w:t>
      </w:r>
      <w:r>
        <w:rPr>
          <w:spacing w:val="-4"/>
        </w:rPr>
        <w:t xml:space="preserve"> </w:t>
      </w:r>
      <w:r>
        <w:t>described</w:t>
      </w:r>
      <w:r>
        <w:rPr>
          <w:spacing w:val="-4"/>
        </w:rPr>
        <w:t xml:space="preserve"> </w:t>
      </w:r>
      <w:r>
        <w:t>in</w:t>
      </w:r>
      <w:r>
        <w:rPr>
          <w:spacing w:val="-5"/>
        </w:rPr>
        <w:t xml:space="preserve"> </w:t>
      </w:r>
      <w:r>
        <w:t>the</w:t>
      </w:r>
      <w:r>
        <w:rPr>
          <w:spacing w:val="-2"/>
        </w:rPr>
        <w:t xml:space="preserve"> </w:t>
      </w:r>
      <w:r>
        <w:t>eligibility</w:t>
      </w:r>
      <w:r>
        <w:rPr>
          <w:spacing w:val="-5"/>
        </w:rPr>
        <w:t xml:space="preserve"> </w:t>
      </w:r>
      <w:r>
        <w:t>criteria</w:t>
      </w:r>
      <w:r>
        <w:rPr>
          <w:spacing w:val="-4"/>
        </w:rPr>
        <w:t xml:space="preserve"> </w:t>
      </w:r>
      <w:r>
        <w:t xml:space="preserve">above </w:t>
      </w:r>
      <w:r>
        <w:rPr>
          <w:u w:val="single"/>
        </w:rPr>
        <w:t>Language(s) necessary for the performance of duties</w:t>
      </w:r>
    </w:p>
    <w:p w:rsidR="005340DC" w:rsidRDefault="005340DC">
      <w:pPr>
        <w:pStyle w:val="BodyText"/>
        <w:spacing w:before="3"/>
        <w:rPr>
          <w:sz w:val="14"/>
        </w:rPr>
      </w:pPr>
    </w:p>
    <w:p w:rsidR="005340DC" w:rsidRDefault="00007469">
      <w:pPr>
        <w:pStyle w:val="BodyText"/>
        <w:spacing w:before="91"/>
        <w:ind w:left="1080"/>
      </w:pPr>
      <w:r>
        <w:rPr>
          <w:u w:val="single"/>
        </w:rPr>
        <w:t>P</w:t>
      </w:r>
      <w:r>
        <w:t>roficiency</w:t>
      </w:r>
      <w:r>
        <w:rPr>
          <w:spacing w:val="-5"/>
        </w:rPr>
        <w:t xml:space="preserve"> </w:t>
      </w:r>
      <w:r>
        <w:t>in</w:t>
      </w:r>
      <w:r>
        <w:rPr>
          <w:spacing w:val="-2"/>
        </w:rPr>
        <w:t xml:space="preserve"> </w:t>
      </w:r>
      <w:r>
        <w:t>English</w:t>
      </w:r>
      <w:r>
        <w:rPr>
          <w:spacing w:val="-5"/>
        </w:rPr>
        <w:t xml:space="preserve"> </w:t>
      </w:r>
      <w:r>
        <w:t>is</w:t>
      </w:r>
      <w:r>
        <w:rPr>
          <w:spacing w:val="-2"/>
        </w:rPr>
        <w:t xml:space="preserve"> mandatory.</w:t>
      </w:r>
    </w:p>
    <w:p w:rsidR="005340DC" w:rsidRDefault="005340DC">
      <w:pPr>
        <w:pStyle w:val="BodyText"/>
        <w:spacing w:before="5"/>
        <w:rPr>
          <w:sz w:val="14"/>
        </w:rPr>
      </w:pPr>
    </w:p>
    <w:p w:rsidR="005340DC" w:rsidRDefault="00007469">
      <w:pPr>
        <w:pStyle w:val="ListParagraph"/>
        <w:numPr>
          <w:ilvl w:val="0"/>
          <w:numId w:val="6"/>
        </w:numPr>
        <w:tabs>
          <w:tab w:val="left" w:pos="799"/>
          <w:tab w:val="left" w:pos="800"/>
        </w:tabs>
        <w:spacing w:before="90"/>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5340DC" w:rsidRDefault="005340DC">
      <w:pPr>
        <w:pStyle w:val="BodyText"/>
        <w:spacing w:before="7"/>
        <w:rPr>
          <w:b/>
          <w:sz w:val="15"/>
        </w:rPr>
      </w:pPr>
    </w:p>
    <w:p w:rsidR="005340DC" w:rsidRDefault="00007469">
      <w:pPr>
        <w:spacing w:before="92"/>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 deadline fixed by the latter. The CV must mention the date of birth and the nationality of th</w:t>
      </w:r>
      <w:r>
        <w:t xml:space="preserve">e candidate. </w:t>
      </w:r>
      <w:r>
        <w:rPr>
          <w:b/>
        </w:rPr>
        <w:t>Not respecting this procedure or deadlines will automatically invalidate the application.</w:t>
      </w:r>
    </w:p>
    <w:p w:rsidR="005340DC" w:rsidRDefault="005340DC">
      <w:pPr>
        <w:pStyle w:val="BodyText"/>
        <w:rPr>
          <w:b/>
        </w:rPr>
      </w:pPr>
    </w:p>
    <w:p w:rsidR="005340DC" w:rsidRDefault="00007469">
      <w:pPr>
        <w:pStyle w:val="BodyText"/>
        <w:spacing w:before="1"/>
        <w:ind w:left="799"/>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5340DC" w:rsidRDefault="00007469">
      <w:pPr>
        <w:pStyle w:val="BodyText"/>
        <w:ind w:left="799"/>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5340DC" w:rsidRDefault="00007469">
      <w:pPr>
        <w:pStyle w:val="ListParagraph"/>
        <w:numPr>
          <w:ilvl w:val="0"/>
          <w:numId w:val="6"/>
        </w:numPr>
        <w:tabs>
          <w:tab w:val="left" w:pos="799"/>
          <w:tab w:val="left" w:pos="800"/>
        </w:tabs>
        <w:spacing w:before="4"/>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5"/>
          <w:sz w:val="24"/>
          <w:u w:val="single"/>
        </w:rPr>
        <w:t xml:space="preserve"> </w:t>
      </w:r>
      <w:proofErr w:type="spellStart"/>
      <w:r>
        <w:rPr>
          <w:b/>
          <w:spacing w:val="-2"/>
          <w:sz w:val="24"/>
          <w:u w:val="single"/>
        </w:rPr>
        <w:t>secondment</w:t>
      </w:r>
      <w:proofErr w:type="spellEnd"/>
    </w:p>
    <w:p w:rsidR="005340DC" w:rsidRDefault="005340DC">
      <w:pPr>
        <w:pStyle w:val="BodyText"/>
        <w:spacing w:before="7"/>
        <w:rPr>
          <w:b/>
          <w:sz w:val="15"/>
        </w:rPr>
      </w:pPr>
    </w:p>
    <w:p w:rsidR="005340DC" w:rsidRDefault="00007469">
      <w:pPr>
        <w:pStyle w:val="BodyText"/>
        <w:spacing w:before="92"/>
        <w:ind w:left="799" w:right="278"/>
        <w:jc w:val="both"/>
      </w:pPr>
      <w:r>
        <w:t xml:space="preserve">The </w:t>
      </w:r>
      <w:proofErr w:type="spellStart"/>
      <w:r>
        <w:t>secondment</w:t>
      </w:r>
      <w:proofErr w:type="spellEnd"/>
      <w:r>
        <w:t xml:space="preserve"> will be governed by</w:t>
      </w:r>
      <w:r>
        <w:t xml:space="preserve">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 This decision is available on </w:t>
      </w:r>
      <w:hyperlink r:id="rId11">
        <w:r>
          <w:rPr>
            <w:color w:val="0000FF"/>
            <w:u w:val="single" w:color="0000FF"/>
          </w:rPr>
          <w:t>http://ec.europa.eu/civil_service/job/sne/index_en.htm</w:t>
        </w:r>
      </w:hyperlink>
      <w:r>
        <w:t>.</w:t>
      </w:r>
    </w:p>
    <w:p w:rsidR="005340DC" w:rsidRDefault="00007469">
      <w:pPr>
        <w:pStyle w:val="BodyText"/>
        <w:spacing w:before="1"/>
        <w:ind w:left="799" w:right="287"/>
        <w:jc w:val="both"/>
      </w:pPr>
      <w:r>
        <w:t xml:space="preserve">The SNE will remain employed and remunerated by his/her employer during the </w:t>
      </w:r>
      <w:proofErr w:type="spellStart"/>
      <w:r>
        <w:t>secondment</w:t>
      </w:r>
      <w:proofErr w:type="spellEnd"/>
      <w:r>
        <w:t>. He/she will equally remain covered by the national social security system.</w:t>
      </w:r>
    </w:p>
    <w:p w:rsidR="005340DC" w:rsidRDefault="00007469">
      <w:pPr>
        <w:pStyle w:val="BodyText"/>
        <w:ind w:left="799" w:right="282"/>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5340DC" w:rsidRDefault="005340DC">
      <w:pPr>
        <w:jc w:val="both"/>
        <w:sectPr w:rsidR="005340DC">
          <w:pgSz w:w="11910" w:h="16840"/>
          <w:pgMar w:top="1040" w:right="740" w:bottom="880" w:left="480" w:header="0" w:footer="690" w:gutter="0"/>
          <w:cols w:space="720"/>
        </w:sectPr>
      </w:pPr>
    </w:p>
    <w:p w:rsidR="005340DC" w:rsidRDefault="00007469">
      <w:pPr>
        <w:pStyle w:val="BodyText"/>
        <w:spacing w:before="62"/>
        <w:ind w:left="799" w:right="290"/>
        <w:jc w:val="both"/>
      </w:pPr>
      <w:r>
        <w:lastRenderedPageBreak/>
        <w:t xml:space="preserve">During the </w:t>
      </w:r>
      <w:proofErr w:type="spellStart"/>
      <w:r>
        <w:t>secondment</w:t>
      </w:r>
      <w:proofErr w:type="spellEnd"/>
      <w:r>
        <w:t>, SNE are subject to confidentiality, loyalty and absence of conflict</w:t>
      </w:r>
      <w:r>
        <w:t xml:space="preserve"> of interest obligations, as provided for in Art. </w:t>
      </w:r>
      <w:proofErr w:type="gramStart"/>
      <w:r>
        <w:t>6</w:t>
      </w:r>
      <w:proofErr w:type="gramEnd"/>
      <w:r>
        <w:t xml:space="preserve"> and 7 of the SNE Decision.</w:t>
      </w:r>
    </w:p>
    <w:p w:rsidR="005340DC" w:rsidRDefault="00007469">
      <w:pPr>
        <w:pStyle w:val="BodyText"/>
        <w:spacing w:before="1"/>
        <w:ind w:left="799"/>
        <w:jc w:val="both"/>
      </w:pPr>
      <w:r>
        <w:t>If</w:t>
      </w:r>
      <w:r>
        <w:rPr>
          <w:spacing w:val="-5"/>
        </w:rPr>
        <w:t xml:space="preserve"> </w:t>
      </w:r>
      <w:r>
        <w:t>any</w:t>
      </w:r>
      <w:r>
        <w:rPr>
          <w:spacing w:val="-5"/>
        </w:rPr>
        <w:t xml:space="preserve"> </w:t>
      </w:r>
      <w:r>
        <w:t>document</w:t>
      </w:r>
      <w:r>
        <w:rPr>
          <w:spacing w:val="-2"/>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5340DC" w:rsidRDefault="005340DC">
      <w:pPr>
        <w:pStyle w:val="BodyText"/>
      </w:pPr>
    </w:p>
    <w:p w:rsidR="005340DC" w:rsidRDefault="00007469">
      <w:pPr>
        <w:pStyle w:val="BodyText"/>
        <w:spacing w:before="1"/>
        <w:ind w:left="799" w:right="282"/>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5340DC" w:rsidRDefault="00007469">
      <w:pPr>
        <w:pStyle w:val="BodyText"/>
        <w:ind w:left="799" w:right="116"/>
        <w:jc w:val="both"/>
      </w:pPr>
      <w:r>
        <w:t>The selected candidate has the obligation to launch the vetting procedure befo</w:t>
      </w:r>
      <w:r>
        <w:t xml:space="preserve">re getting the </w:t>
      </w:r>
      <w:proofErr w:type="spellStart"/>
      <w:r>
        <w:t>secondment</w:t>
      </w:r>
      <w:proofErr w:type="spellEnd"/>
      <w:r>
        <w:t xml:space="preserve"> </w:t>
      </w:r>
      <w:r>
        <w:rPr>
          <w:spacing w:val="-2"/>
        </w:rPr>
        <w:t>confirmation.</w:t>
      </w:r>
    </w:p>
    <w:p w:rsidR="005340DC" w:rsidRDefault="005340DC">
      <w:pPr>
        <w:pStyle w:val="BodyText"/>
        <w:spacing w:before="5"/>
        <w:rPr>
          <w:sz w:val="24"/>
        </w:rPr>
      </w:pPr>
    </w:p>
    <w:p w:rsidR="005340DC" w:rsidRDefault="00007469">
      <w:pPr>
        <w:pStyle w:val="ListParagraph"/>
        <w:numPr>
          <w:ilvl w:val="0"/>
          <w:numId w:val="6"/>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5340DC" w:rsidRDefault="005340DC">
      <w:pPr>
        <w:pStyle w:val="BodyText"/>
        <w:spacing w:before="7"/>
        <w:rPr>
          <w:b/>
          <w:sz w:val="15"/>
        </w:rPr>
      </w:pPr>
    </w:p>
    <w:p w:rsidR="005340DC" w:rsidRDefault="00007469">
      <w:pPr>
        <w:pStyle w:val="BodyText"/>
        <w:spacing w:before="91"/>
        <w:ind w:left="799" w:right="285"/>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w:t>
      </w:r>
      <w:r>
        <w:t>ersonal data concerning the person to be seconded, under the responsibility of the Head of Unit of DG HR.DDG.B4. The data processing is subject to the SNE Decision as well as the Regulation (EU) 2018/1725.</w:t>
      </w:r>
    </w:p>
    <w:p w:rsidR="005340DC" w:rsidRDefault="00007469">
      <w:pPr>
        <w:pStyle w:val="BodyText"/>
        <w:ind w:left="799" w:right="291"/>
        <w:jc w:val="both"/>
      </w:pPr>
      <w:r>
        <w:t xml:space="preserve">Data </w:t>
      </w:r>
      <w:proofErr w:type="gramStart"/>
      <w:r>
        <w:t>is kept</w:t>
      </w:r>
      <w:proofErr w:type="gramEnd"/>
      <w:r>
        <w:t xml:space="preserve"> by the competent services for 10 year</w:t>
      </w:r>
      <w:r>
        <w:t xml:space="preserve">s after the </w:t>
      </w:r>
      <w:proofErr w:type="spellStart"/>
      <w:r>
        <w:t>secondment</w:t>
      </w:r>
      <w:proofErr w:type="spellEnd"/>
      <w:r>
        <w:t xml:space="preserve"> (2 years for not selected or not seconded experts).</w:t>
      </w:r>
    </w:p>
    <w:p w:rsidR="005340DC" w:rsidRDefault="00007469">
      <w:pPr>
        <w:pStyle w:val="BodyText"/>
        <w:ind w:left="799" w:right="284"/>
        <w:jc w:val="both"/>
      </w:pPr>
      <w:r>
        <w:t>You have specific rights as a ‘data subject’ under Chapter III (Articles 14-25) of Regulation (EU)</w:t>
      </w:r>
      <w:r>
        <w:rPr>
          <w:spacing w:val="40"/>
        </w:rPr>
        <w:t xml:space="preserve"> </w:t>
      </w:r>
      <w:r>
        <w:t xml:space="preserve">2018/1725, in particular the right to access, rectify or erase your personal data </w:t>
      </w:r>
      <w:r>
        <w:t>and the right to restrict 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5340DC" w:rsidRDefault="00007469">
      <w:pPr>
        <w:pStyle w:val="BodyText"/>
        <w:ind w:left="799" w:right="283"/>
        <w:jc w:val="both"/>
      </w:pPr>
      <w:r>
        <w:t xml:space="preserve">You can exercise your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5340DC" w:rsidRDefault="005340DC">
      <w:pPr>
        <w:pStyle w:val="BodyText"/>
        <w:spacing w:before="4"/>
      </w:pPr>
    </w:p>
    <w:p w:rsidR="005340DC" w:rsidRDefault="00007469">
      <w:pPr>
        <w:pStyle w:val="Heading1"/>
        <w:ind w:left="799" w:firstLine="0"/>
      </w:pPr>
      <w:r>
        <w:rPr>
          <w:u w:val="single"/>
        </w:rPr>
        <w:t>Contact</w:t>
      </w:r>
      <w:r>
        <w:rPr>
          <w:spacing w:val="-4"/>
          <w:u w:val="single"/>
        </w:rPr>
        <w:t xml:space="preserve"> </w:t>
      </w:r>
      <w:r>
        <w:rPr>
          <w:spacing w:val="-2"/>
          <w:u w:val="single"/>
        </w:rPr>
        <w:t>information</w:t>
      </w:r>
    </w:p>
    <w:p w:rsidR="005340DC" w:rsidRDefault="005340DC">
      <w:pPr>
        <w:pStyle w:val="BodyText"/>
        <w:spacing w:before="1"/>
        <w:rPr>
          <w:b/>
        </w:rPr>
      </w:pPr>
    </w:p>
    <w:p w:rsidR="005340DC" w:rsidRDefault="00007469">
      <w:pPr>
        <w:pStyle w:val="ListParagraph"/>
        <w:numPr>
          <w:ilvl w:val="0"/>
          <w:numId w:val="1"/>
        </w:numPr>
        <w:tabs>
          <w:tab w:val="left" w:pos="1081"/>
        </w:tabs>
        <w:ind w:hanging="282"/>
        <w:rPr>
          <w:b/>
        </w:rPr>
      </w:pPr>
      <w:r>
        <w:rPr>
          <w:b/>
        </w:rPr>
        <w:t>The</w:t>
      </w:r>
      <w:r>
        <w:rPr>
          <w:b/>
          <w:spacing w:val="-2"/>
        </w:rPr>
        <w:t xml:space="preserve"> </w:t>
      </w:r>
      <w:r>
        <w:rPr>
          <w:b/>
        </w:rPr>
        <w:t>Data</w:t>
      </w:r>
      <w:r>
        <w:rPr>
          <w:b/>
          <w:spacing w:val="-1"/>
        </w:rPr>
        <w:t xml:space="preserve"> </w:t>
      </w:r>
      <w:r>
        <w:rPr>
          <w:b/>
          <w:spacing w:val="-2"/>
        </w:rPr>
        <w:t>Controller</w:t>
      </w:r>
    </w:p>
    <w:p w:rsidR="005340DC" w:rsidRDefault="00007469">
      <w:pPr>
        <w:pStyle w:val="BodyText"/>
        <w:spacing w:before="33"/>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your personal data, please feel fr</w:t>
      </w:r>
      <w:r>
        <w:t xml:space="preserve">ee to contact the Data Controller, HR.DDG.B.4, </w:t>
      </w:r>
      <w:hyperlink r:id="rId12">
        <w:r>
          <w:rPr>
            <w:color w:val="0000FF"/>
            <w:u w:val="single" w:color="0000FF"/>
          </w:rPr>
          <w:t>HR-MAIL-</w:t>
        </w:r>
      </w:hyperlink>
      <w:r>
        <w:rPr>
          <w:color w:val="0000FF"/>
          <w:spacing w:val="40"/>
        </w:rPr>
        <w:t xml:space="preserve"> </w:t>
      </w:r>
      <w:hyperlink r:id="rId13">
        <w:r>
          <w:rPr>
            <w:color w:val="0000FF"/>
            <w:spacing w:val="-2"/>
            <w:u w:val="single" w:color="0000FF"/>
          </w:rPr>
          <w:t>B4@ec.europa.eu</w:t>
        </w:r>
        <w:r>
          <w:rPr>
            <w:spacing w:val="-2"/>
          </w:rPr>
          <w:t>.</w:t>
        </w:r>
      </w:hyperlink>
    </w:p>
    <w:p w:rsidR="005340DC" w:rsidRDefault="005340DC">
      <w:pPr>
        <w:pStyle w:val="BodyText"/>
        <w:spacing w:before="6"/>
      </w:pPr>
    </w:p>
    <w:p w:rsidR="005340DC" w:rsidRDefault="00007469">
      <w:pPr>
        <w:pStyle w:val="Heading1"/>
        <w:numPr>
          <w:ilvl w:val="0"/>
          <w:numId w:val="1"/>
        </w:numPr>
        <w:tabs>
          <w:tab w:val="left" w:pos="1081"/>
        </w:tabs>
        <w:ind w:hanging="284"/>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5340DC" w:rsidRDefault="00007469">
      <w:pPr>
        <w:pStyle w:val="BodyText"/>
        <w:spacing w:before="33"/>
        <w:ind w:left="1080" w:right="280"/>
        <w:jc w:val="both"/>
      </w:pPr>
      <w:r>
        <w:t>You may contact the Data Protection Officer (</w:t>
      </w:r>
      <w:hyperlink r:id="rId14">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5340DC" w:rsidRDefault="005340DC">
      <w:pPr>
        <w:pStyle w:val="BodyText"/>
        <w:spacing w:before="5"/>
      </w:pPr>
    </w:p>
    <w:p w:rsidR="005340DC" w:rsidRDefault="00007469">
      <w:pPr>
        <w:pStyle w:val="Heading1"/>
        <w:numPr>
          <w:ilvl w:val="0"/>
          <w:numId w:val="1"/>
        </w:numPr>
        <w:tabs>
          <w:tab w:val="left" w:pos="1081"/>
        </w:tabs>
        <w:ind w:hanging="284"/>
      </w:pPr>
      <w:r>
        <w:t>The</w:t>
      </w:r>
      <w:r>
        <w:rPr>
          <w:spacing w:val="-3"/>
        </w:rPr>
        <w:t xml:space="preserve"> </w:t>
      </w:r>
      <w:r>
        <w:t>Eu</w:t>
      </w:r>
      <w:r>
        <w:t>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5340DC" w:rsidRDefault="00007469">
      <w:pPr>
        <w:pStyle w:val="BodyText"/>
        <w:spacing w:before="32"/>
        <w:ind w:left="1080" w:right="284"/>
        <w:jc w:val="both"/>
      </w:pPr>
      <w:r>
        <w:pict>
          <v:rect id="docshape4" o:spid="_x0000_s1026" style="position:absolute;left:0;text-align:left;margin-left:230.35pt;margin-top:25.65pt;width:3.7pt;height:.5pt;z-index:-15819776;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5">
        <w:r>
          <w:rPr>
            <w:color w:val="0000FF"/>
            <w:u w:val="single" w:color="000000"/>
          </w:rPr>
          <w:t>edps@edps.europa.eu</w:t>
        </w:r>
      </w:hyperlink>
      <w:r>
        <w:t>) if you consider that your rights u</w:t>
      </w:r>
      <w:r>
        <w:t xml:space="preserve">nder Regulation (EU) 2018/1725 have been infringed </w:t>
      </w:r>
      <w:proofErr w:type="gramStart"/>
      <w:r>
        <w:t>as a result</w:t>
      </w:r>
      <w:proofErr w:type="gramEnd"/>
      <w:r>
        <w:t xml:space="preserve"> of the processing of your personal data by the Data Controller.</w:t>
      </w:r>
    </w:p>
    <w:p w:rsidR="005340DC" w:rsidRDefault="00007469">
      <w:pPr>
        <w:pStyle w:val="BodyText"/>
        <w:spacing w:line="252" w:lineRule="exact"/>
        <w:ind w:left="1080"/>
        <w:jc w:val="both"/>
      </w:pPr>
      <w:r>
        <w:t>To</w:t>
      </w:r>
      <w:r>
        <w:rPr>
          <w:spacing w:val="-8"/>
        </w:rPr>
        <w:t xml:space="preserve"> </w:t>
      </w:r>
      <w:r>
        <w:t>the</w:t>
      </w:r>
      <w:r>
        <w:rPr>
          <w:spacing w:val="-5"/>
        </w:rPr>
        <w:t xml:space="preserve"> </w:t>
      </w:r>
      <w:r>
        <w:t>attention</w:t>
      </w:r>
      <w:r>
        <w:rPr>
          <w:spacing w:val="-3"/>
        </w:rPr>
        <w:t xml:space="preserve"> </w:t>
      </w:r>
      <w:r>
        <w:t>of</w:t>
      </w:r>
      <w:r>
        <w:rPr>
          <w:spacing w:val="-5"/>
        </w:rPr>
        <w:t xml:space="preserve"> </w:t>
      </w:r>
      <w:r>
        <w:t>candidates</w:t>
      </w:r>
      <w:r>
        <w:rPr>
          <w:spacing w:val="-2"/>
        </w:rPr>
        <w:t xml:space="preserve"> </w:t>
      </w:r>
      <w:r>
        <w:t>from</w:t>
      </w:r>
      <w:r>
        <w:rPr>
          <w:spacing w:val="-7"/>
        </w:rPr>
        <w:t xml:space="preserve"> </w:t>
      </w:r>
      <w:r>
        <w:t>third</w:t>
      </w:r>
      <w:r>
        <w:rPr>
          <w:spacing w:val="-6"/>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proofErr w:type="gramStart"/>
      <w:r>
        <w:t>can</w:t>
      </w:r>
      <w:r>
        <w:rPr>
          <w:spacing w:val="-3"/>
        </w:rPr>
        <w:t xml:space="preserve"> </w:t>
      </w:r>
      <w:r>
        <w:t>be</w:t>
      </w:r>
      <w:r>
        <w:rPr>
          <w:spacing w:val="-3"/>
        </w:rPr>
        <w:t xml:space="preserve"> </w:t>
      </w:r>
      <w:r>
        <w:t>used</w:t>
      </w:r>
      <w:proofErr w:type="gramEnd"/>
      <w:r>
        <w:rPr>
          <w:spacing w:val="-5"/>
        </w:rPr>
        <w:t xml:space="preserve"> </w:t>
      </w:r>
      <w:r>
        <w:t>for</w:t>
      </w:r>
      <w:r>
        <w:rPr>
          <w:spacing w:val="-3"/>
        </w:rPr>
        <w:t xml:space="preserve"> </w:t>
      </w:r>
      <w:r>
        <w:t>necessary</w:t>
      </w:r>
      <w:r>
        <w:rPr>
          <w:spacing w:val="-5"/>
        </w:rPr>
        <w:t xml:space="preserve"> </w:t>
      </w:r>
      <w:r>
        <w:rPr>
          <w:spacing w:val="-2"/>
        </w:rPr>
        <w:t>checks.</w:t>
      </w:r>
    </w:p>
    <w:sectPr w:rsidR="005340DC">
      <w:pgSz w:w="11910" w:h="16840"/>
      <w:pgMar w:top="130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07469">
      <w:r>
        <w:separator/>
      </w:r>
    </w:p>
  </w:endnote>
  <w:endnote w:type="continuationSeparator" w:id="0">
    <w:p w:rsidR="00000000" w:rsidRDefault="00007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0DC" w:rsidRDefault="00007469">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5340DC" w:rsidRDefault="00007469">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07469">
      <w:r>
        <w:separator/>
      </w:r>
    </w:p>
  </w:footnote>
  <w:footnote w:type="continuationSeparator" w:id="0">
    <w:p w:rsidR="00000000" w:rsidRDefault="000074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84B1C"/>
    <w:multiLevelType w:val="hybridMultilevel"/>
    <w:tmpl w:val="5D66974E"/>
    <w:lvl w:ilvl="0" w:tplc="3A16AE30">
      <w:numFmt w:val="bullet"/>
      <w:lvlText w:val=""/>
      <w:lvlJc w:val="left"/>
      <w:pPr>
        <w:ind w:left="441" w:hanging="337"/>
      </w:pPr>
      <w:rPr>
        <w:rFonts w:ascii="Wingdings 2" w:eastAsia="Wingdings 2" w:hAnsi="Wingdings 2" w:cs="Wingdings 2" w:hint="default"/>
        <w:b/>
        <w:bCs/>
        <w:i w:val="0"/>
        <w:iCs w:val="0"/>
        <w:w w:val="99"/>
        <w:sz w:val="24"/>
        <w:szCs w:val="24"/>
        <w:lang w:val="en-US" w:eastAsia="en-US" w:bidi="ar-SA"/>
      </w:rPr>
    </w:lvl>
    <w:lvl w:ilvl="1" w:tplc="18AE15E6">
      <w:numFmt w:val="bullet"/>
      <w:lvlText w:val="•"/>
      <w:lvlJc w:val="left"/>
      <w:pPr>
        <w:ind w:left="1390" w:hanging="337"/>
      </w:pPr>
      <w:rPr>
        <w:rFonts w:hint="default"/>
        <w:lang w:val="en-US" w:eastAsia="en-US" w:bidi="ar-SA"/>
      </w:rPr>
    </w:lvl>
    <w:lvl w:ilvl="2" w:tplc="92AA0D1E">
      <w:numFmt w:val="bullet"/>
      <w:lvlText w:val="•"/>
      <w:lvlJc w:val="left"/>
      <w:pPr>
        <w:ind w:left="2341" w:hanging="337"/>
      </w:pPr>
      <w:rPr>
        <w:rFonts w:hint="default"/>
        <w:lang w:val="en-US" w:eastAsia="en-US" w:bidi="ar-SA"/>
      </w:rPr>
    </w:lvl>
    <w:lvl w:ilvl="3" w:tplc="9A2894E6">
      <w:numFmt w:val="bullet"/>
      <w:lvlText w:val="•"/>
      <w:lvlJc w:val="left"/>
      <w:pPr>
        <w:ind w:left="3291" w:hanging="337"/>
      </w:pPr>
      <w:rPr>
        <w:rFonts w:hint="default"/>
        <w:lang w:val="en-US" w:eastAsia="en-US" w:bidi="ar-SA"/>
      </w:rPr>
    </w:lvl>
    <w:lvl w:ilvl="4" w:tplc="CC50B8B0">
      <w:numFmt w:val="bullet"/>
      <w:lvlText w:val="•"/>
      <w:lvlJc w:val="left"/>
      <w:pPr>
        <w:ind w:left="4242" w:hanging="337"/>
      </w:pPr>
      <w:rPr>
        <w:rFonts w:hint="default"/>
        <w:lang w:val="en-US" w:eastAsia="en-US" w:bidi="ar-SA"/>
      </w:rPr>
    </w:lvl>
    <w:lvl w:ilvl="5" w:tplc="B42EDFF2">
      <w:numFmt w:val="bullet"/>
      <w:lvlText w:val="•"/>
      <w:lvlJc w:val="left"/>
      <w:pPr>
        <w:ind w:left="5193" w:hanging="337"/>
      </w:pPr>
      <w:rPr>
        <w:rFonts w:hint="default"/>
        <w:lang w:val="en-US" w:eastAsia="en-US" w:bidi="ar-SA"/>
      </w:rPr>
    </w:lvl>
    <w:lvl w:ilvl="6" w:tplc="E208D2D6">
      <w:numFmt w:val="bullet"/>
      <w:lvlText w:val="•"/>
      <w:lvlJc w:val="left"/>
      <w:pPr>
        <w:ind w:left="6143" w:hanging="337"/>
      </w:pPr>
      <w:rPr>
        <w:rFonts w:hint="default"/>
        <w:lang w:val="en-US" w:eastAsia="en-US" w:bidi="ar-SA"/>
      </w:rPr>
    </w:lvl>
    <w:lvl w:ilvl="7" w:tplc="F7589C8E">
      <w:numFmt w:val="bullet"/>
      <w:lvlText w:val="•"/>
      <w:lvlJc w:val="left"/>
      <w:pPr>
        <w:ind w:left="7094" w:hanging="337"/>
      </w:pPr>
      <w:rPr>
        <w:rFonts w:hint="default"/>
        <w:lang w:val="en-US" w:eastAsia="en-US" w:bidi="ar-SA"/>
      </w:rPr>
    </w:lvl>
    <w:lvl w:ilvl="8" w:tplc="5FAE1492">
      <w:numFmt w:val="bullet"/>
      <w:lvlText w:val="•"/>
      <w:lvlJc w:val="left"/>
      <w:pPr>
        <w:ind w:left="8044" w:hanging="337"/>
      </w:pPr>
      <w:rPr>
        <w:rFonts w:hint="default"/>
        <w:lang w:val="en-US" w:eastAsia="en-US" w:bidi="ar-SA"/>
      </w:rPr>
    </w:lvl>
  </w:abstractNum>
  <w:abstractNum w:abstractNumId="1" w15:restartNumberingAfterBreak="0">
    <w:nsid w:val="25061967"/>
    <w:multiLevelType w:val="hybridMultilevel"/>
    <w:tmpl w:val="80F00B0A"/>
    <w:lvl w:ilvl="0" w:tplc="F1C0F5E4">
      <w:start w:val="1"/>
      <w:numFmt w:val="lowerLetter"/>
      <w:lvlText w:val="%1)"/>
      <w:lvlJc w:val="left"/>
      <w:pPr>
        <w:ind w:left="1039" w:hanging="240"/>
      </w:pPr>
      <w:rPr>
        <w:rFonts w:ascii="Times New Roman" w:eastAsia="Times New Roman" w:hAnsi="Times New Roman" w:cs="Times New Roman" w:hint="default"/>
        <w:b/>
        <w:bCs/>
        <w:i w:val="0"/>
        <w:iCs w:val="0"/>
        <w:w w:val="100"/>
        <w:sz w:val="22"/>
        <w:szCs w:val="22"/>
        <w:lang w:val="en-US" w:eastAsia="en-US" w:bidi="ar-SA"/>
      </w:rPr>
    </w:lvl>
    <w:lvl w:ilvl="1" w:tplc="CC4AD2BC">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2" w:tplc="2214AD82">
      <w:numFmt w:val="bullet"/>
      <w:lvlText w:val="•"/>
      <w:lvlJc w:val="left"/>
      <w:pPr>
        <w:ind w:left="2254" w:hanging="125"/>
      </w:pPr>
      <w:rPr>
        <w:rFonts w:hint="default"/>
        <w:lang w:val="en-US" w:eastAsia="en-US" w:bidi="ar-SA"/>
      </w:rPr>
    </w:lvl>
    <w:lvl w:ilvl="3" w:tplc="F522C7E8">
      <w:numFmt w:val="bullet"/>
      <w:lvlText w:val="•"/>
      <w:lvlJc w:val="left"/>
      <w:pPr>
        <w:ind w:left="3308" w:hanging="125"/>
      </w:pPr>
      <w:rPr>
        <w:rFonts w:hint="default"/>
        <w:lang w:val="en-US" w:eastAsia="en-US" w:bidi="ar-SA"/>
      </w:rPr>
    </w:lvl>
    <w:lvl w:ilvl="4" w:tplc="C7801296">
      <w:numFmt w:val="bullet"/>
      <w:lvlText w:val="•"/>
      <w:lvlJc w:val="left"/>
      <w:pPr>
        <w:ind w:left="4362" w:hanging="125"/>
      </w:pPr>
      <w:rPr>
        <w:rFonts w:hint="default"/>
        <w:lang w:val="en-US" w:eastAsia="en-US" w:bidi="ar-SA"/>
      </w:rPr>
    </w:lvl>
    <w:lvl w:ilvl="5" w:tplc="5BE6ECD2">
      <w:numFmt w:val="bullet"/>
      <w:lvlText w:val="•"/>
      <w:lvlJc w:val="left"/>
      <w:pPr>
        <w:ind w:left="5416" w:hanging="125"/>
      </w:pPr>
      <w:rPr>
        <w:rFonts w:hint="default"/>
        <w:lang w:val="en-US" w:eastAsia="en-US" w:bidi="ar-SA"/>
      </w:rPr>
    </w:lvl>
    <w:lvl w:ilvl="6" w:tplc="F92CB748">
      <w:numFmt w:val="bullet"/>
      <w:lvlText w:val="•"/>
      <w:lvlJc w:val="left"/>
      <w:pPr>
        <w:ind w:left="6470" w:hanging="125"/>
      </w:pPr>
      <w:rPr>
        <w:rFonts w:hint="default"/>
        <w:lang w:val="en-US" w:eastAsia="en-US" w:bidi="ar-SA"/>
      </w:rPr>
    </w:lvl>
    <w:lvl w:ilvl="7" w:tplc="FE581A3A">
      <w:numFmt w:val="bullet"/>
      <w:lvlText w:val="•"/>
      <w:lvlJc w:val="left"/>
      <w:pPr>
        <w:ind w:left="7524" w:hanging="125"/>
      </w:pPr>
      <w:rPr>
        <w:rFonts w:hint="default"/>
        <w:lang w:val="en-US" w:eastAsia="en-US" w:bidi="ar-SA"/>
      </w:rPr>
    </w:lvl>
    <w:lvl w:ilvl="8" w:tplc="8BC2F308">
      <w:numFmt w:val="bullet"/>
      <w:lvlText w:val="•"/>
      <w:lvlJc w:val="left"/>
      <w:pPr>
        <w:ind w:left="8578" w:hanging="125"/>
      </w:pPr>
      <w:rPr>
        <w:rFonts w:hint="default"/>
        <w:lang w:val="en-US" w:eastAsia="en-US" w:bidi="ar-SA"/>
      </w:rPr>
    </w:lvl>
  </w:abstractNum>
  <w:abstractNum w:abstractNumId="2" w15:restartNumberingAfterBreak="0">
    <w:nsid w:val="25C2394D"/>
    <w:multiLevelType w:val="hybridMultilevel"/>
    <w:tmpl w:val="E138ADBA"/>
    <w:lvl w:ilvl="0" w:tplc="42704C24">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1" w:tplc="534277B6">
      <w:numFmt w:val="bullet"/>
      <w:lvlText w:val="•"/>
      <w:lvlJc w:val="left"/>
      <w:pPr>
        <w:ind w:left="2040" w:hanging="281"/>
      </w:pPr>
      <w:rPr>
        <w:rFonts w:hint="default"/>
        <w:lang w:val="en-US" w:eastAsia="en-US" w:bidi="ar-SA"/>
      </w:rPr>
    </w:lvl>
    <w:lvl w:ilvl="2" w:tplc="E996D980">
      <w:numFmt w:val="bullet"/>
      <w:lvlText w:val="•"/>
      <w:lvlJc w:val="left"/>
      <w:pPr>
        <w:ind w:left="3001" w:hanging="281"/>
      </w:pPr>
      <w:rPr>
        <w:rFonts w:hint="default"/>
        <w:lang w:val="en-US" w:eastAsia="en-US" w:bidi="ar-SA"/>
      </w:rPr>
    </w:lvl>
    <w:lvl w:ilvl="3" w:tplc="A54859A2">
      <w:numFmt w:val="bullet"/>
      <w:lvlText w:val="•"/>
      <w:lvlJc w:val="left"/>
      <w:pPr>
        <w:ind w:left="3961" w:hanging="281"/>
      </w:pPr>
      <w:rPr>
        <w:rFonts w:hint="default"/>
        <w:lang w:val="en-US" w:eastAsia="en-US" w:bidi="ar-SA"/>
      </w:rPr>
    </w:lvl>
    <w:lvl w:ilvl="4" w:tplc="14D456FA">
      <w:numFmt w:val="bullet"/>
      <w:lvlText w:val="•"/>
      <w:lvlJc w:val="left"/>
      <w:pPr>
        <w:ind w:left="4922" w:hanging="281"/>
      </w:pPr>
      <w:rPr>
        <w:rFonts w:hint="default"/>
        <w:lang w:val="en-US" w:eastAsia="en-US" w:bidi="ar-SA"/>
      </w:rPr>
    </w:lvl>
    <w:lvl w:ilvl="5" w:tplc="1F2E83FA">
      <w:numFmt w:val="bullet"/>
      <w:lvlText w:val="•"/>
      <w:lvlJc w:val="left"/>
      <w:pPr>
        <w:ind w:left="5883" w:hanging="281"/>
      </w:pPr>
      <w:rPr>
        <w:rFonts w:hint="default"/>
        <w:lang w:val="en-US" w:eastAsia="en-US" w:bidi="ar-SA"/>
      </w:rPr>
    </w:lvl>
    <w:lvl w:ilvl="6" w:tplc="B2E487EC">
      <w:numFmt w:val="bullet"/>
      <w:lvlText w:val="•"/>
      <w:lvlJc w:val="left"/>
      <w:pPr>
        <w:ind w:left="6843" w:hanging="281"/>
      </w:pPr>
      <w:rPr>
        <w:rFonts w:hint="default"/>
        <w:lang w:val="en-US" w:eastAsia="en-US" w:bidi="ar-SA"/>
      </w:rPr>
    </w:lvl>
    <w:lvl w:ilvl="7" w:tplc="095C7F66">
      <w:numFmt w:val="bullet"/>
      <w:lvlText w:val="•"/>
      <w:lvlJc w:val="left"/>
      <w:pPr>
        <w:ind w:left="7804" w:hanging="281"/>
      </w:pPr>
      <w:rPr>
        <w:rFonts w:hint="default"/>
        <w:lang w:val="en-US" w:eastAsia="en-US" w:bidi="ar-SA"/>
      </w:rPr>
    </w:lvl>
    <w:lvl w:ilvl="8" w:tplc="D92C2B38">
      <w:numFmt w:val="bullet"/>
      <w:lvlText w:val="•"/>
      <w:lvlJc w:val="left"/>
      <w:pPr>
        <w:ind w:left="8765" w:hanging="281"/>
      </w:pPr>
      <w:rPr>
        <w:rFonts w:hint="default"/>
        <w:lang w:val="en-US" w:eastAsia="en-US" w:bidi="ar-SA"/>
      </w:rPr>
    </w:lvl>
  </w:abstractNum>
  <w:abstractNum w:abstractNumId="3" w15:restartNumberingAfterBreak="0">
    <w:nsid w:val="303E0414"/>
    <w:multiLevelType w:val="hybridMultilevel"/>
    <w:tmpl w:val="2860427E"/>
    <w:lvl w:ilvl="0" w:tplc="68363942">
      <w:start w:val="1"/>
      <w:numFmt w:val="decimal"/>
      <w:lvlText w:val="%1."/>
      <w:lvlJc w:val="left"/>
      <w:pPr>
        <w:ind w:left="799" w:hanging="428"/>
      </w:pPr>
      <w:rPr>
        <w:rFonts w:ascii="Times New Roman" w:eastAsia="Times New Roman" w:hAnsi="Times New Roman" w:cs="Times New Roman" w:hint="default"/>
        <w:b/>
        <w:bCs/>
        <w:i w:val="0"/>
        <w:iCs w:val="0"/>
        <w:w w:val="100"/>
        <w:sz w:val="24"/>
        <w:szCs w:val="24"/>
        <w:lang w:val="en-US" w:eastAsia="en-US" w:bidi="ar-SA"/>
      </w:rPr>
    </w:lvl>
    <w:lvl w:ilvl="1" w:tplc="F778702E">
      <w:numFmt w:val="bullet"/>
      <w:lvlText w:val=""/>
      <w:lvlJc w:val="left"/>
      <w:pPr>
        <w:ind w:left="732" w:hanging="360"/>
      </w:pPr>
      <w:rPr>
        <w:rFonts w:ascii="Symbol" w:eastAsia="Symbol" w:hAnsi="Symbol" w:cs="Symbol" w:hint="default"/>
        <w:w w:val="99"/>
        <w:lang w:val="en-US" w:eastAsia="en-US" w:bidi="ar-SA"/>
      </w:rPr>
    </w:lvl>
    <w:lvl w:ilvl="2" w:tplc="269EF36C">
      <w:numFmt w:val="bullet"/>
      <w:lvlText w:val="•"/>
      <w:lvlJc w:val="left"/>
      <w:pPr>
        <w:ind w:left="1898" w:hanging="360"/>
      </w:pPr>
      <w:rPr>
        <w:rFonts w:hint="default"/>
        <w:lang w:val="en-US" w:eastAsia="en-US" w:bidi="ar-SA"/>
      </w:rPr>
    </w:lvl>
    <w:lvl w:ilvl="3" w:tplc="1C425AEA">
      <w:numFmt w:val="bullet"/>
      <w:lvlText w:val="•"/>
      <w:lvlJc w:val="left"/>
      <w:pPr>
        <w:ind w:left="2996" w:hanging="360"/>
      </w:pPr>
      <w:rPr>
        <w:rFonts w:hint="default"/>
        <w:lang w:val="en-US" w:eastAsia="en-US" w:bidi="ar-SA"/>
      </w:rPr>
    </w:lvl>
    <w:lvl w:ilvl="4" w:tplc="355EC8EA">
      <w:numFmt w:val="bullet"/>
      <w:lvlText w:val="•"/>
      <w:lvlJc w:val="left"/>
      <w:pPr>
        <w:ind w:left="4095" w:hanging="360"/>
      </w:pPr>
      <w:rPr>
        <w:rFonts w:hint="default"/>
        <w:lang w:val="en-US" w:eastAsia="en-US" w:bidi="ar-SA"/>
      </w:rPr>
    </w:lvl>
    <w:lvl w:ilvl="5" w:tplc="3F2E41BC">
      <w:numFmt w:val="bullet"/>
      <w:lvlText w:val="•"/>
      <w:lvlJc w:val="left"/>
      <w:pPr>
        <w:ind w:left="5193" w:hanging="360"/>
      </w:pPr>
      <w:rPr>
        <w:rFonts w:hint="default"/>
        <w:lang w:val="en-US" w:eastAsia="en-US" w:bidi="ar-SA"/>
      </w:rPr>
    </w:lvl>
    <w:lvl w:ilvl="6" w:tplc="24866FFE">
      <w:numFmt w:val="bullet"/>
      <w:lvlText w:val="•"/>
      <w:lvlJc w:val="left"/>
      <w:pPr>
        <w:ind w:left="6292" w:hanging="360"/>
      </w:pPr>
      <w:rPr>
        <w:rFonts w:hint="default"/>
        <w:lang w:val="en-US" w:eastAsia="en-US" w:bidi="ar-SA"/>
      </w:rPr>
    </w:lvl>
    <w:lvl w:ilvl="7" w:tplc="F3325936">
      <w:numFmt w:val="bullet"/>
      <w:lvlText w:val="•"/>
      <w:lvlJc w:val="left"/>
      <w:pPr>
        <w:ind w:left="7390" w:hanging="360"/>
      </w:pPr>
      <w:rPr>
        <w:rFonts w:hint="default"/>
        <w:lang w:val="en-US" w:eastAsia="en-US" w:bidi="ar-SA"/>
      </w:rPr>
    </w:lvl>
    <w:lvl w:ilvl="8" w:tplc="BE0C8764">
      <w:numFmt w:val="bullet"/>
      <w:lvlText w:val="•"/>
      <w:lvlJc w:val="left"/>
      <w:pPr>
        <w:ind w:left="8489" w:hanging="360"/>
      </w:pPr>
      <w:rPr>
        <w:rFonts w:hint="default"/>
        <w:lang w:val="en-US" w:eastAsia="en-US" w:bidi="ar-SA"/>
      </w:rPr>
    </w:lvl>
  </w:abstractNum>
  <w:abstractNum w:abstractNumId="4" w15:restartNumberingAfterBreak="0">
    <w:nsid w:val="32B335DB"/>
    <w:multiLevelType w:val="hybridMultilevel"/>
    <w:tmpl w:val="BE460608"/>
    <w:lvl w:ilvl="0" w:tplc="E382A0D4">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1" w:tplc="51467586">
      <w:numFmt w:val="bullet"/>
      <w:lvlText w:val="•"/>
      <w:lvlJc w:val="left"/>
      <w:pPr>
        <w:ind w:left="1966" w:hanging="276"/>
      </w:pPr>
      <w:rPr>
        <w:rFonts w:hint="default"/>
        <w:lang w:val="en-US" w:eastAsia="en-US" w:bidi="ar-SA"/>
      </w:rPr>
    </w:lvl>
    <w:lvl w:ilvl="2" w:tplc="2046657C">
      <w:numFmt w:val="bullet"/>
      <w:lvlText w:val="•"/>
      <w:lvlJc w:val="left"/>
      <w:pPr>
        <w:ind w:left="2853" w:hanging="276"/>
      </w:pPr>
      <w:rPr>
        <w:rFonts w:hint="default"/>
        <w:lang w:val="en-US" w:eastAsia="en-US" w:bidi="ar-SA"/>
      </w:rPr>
    </w:lvl>
    <w:lvl w:ilvl="3" w:tplc="E160BF56">
      <w:numFmt w:val="bullet"/>
      <w:lvlText w:val="•"/>
      <w:lvlJc w:val="left"/>
      <w:pPr>
        <w:ind w:left="3739" w:hanging="276"/>
      </w:pPr>
      <w:rPr>
        <w:rFonts w:hint="default"/>
        <w:lang w:val="en-US" w:eastAsia="en-US" w:bidi="ar-SA"/>
      </w:rPr>
    </w:lvl>
    <w:lvl w:ilvl="4" w:tplc="CAB2A10C">
      <w:numFmt w:val="bullet"/>
      <w:lvlText w:val="•"/>
      <w:lvlJc w:val="left"/>
      <w:pPr>
        <w:ind w:left="4626" w:hanging="276"/>
      </w:pPr>
      <w:rPr>
        <w:rFonts w:hint="default"/>
        <w:lang w:val="en-US" w:eastAsia="en-US" w:bidi="ar-SA"/>
      </w:rPr>
    </w:lvl>
    <w:lvl w:ilvl="5" w:tplc="F4D2A9EC">
      <w:numFmt w:val="bullet"/>
      <w:lvlText w:val="•"/>
      <w:lvlJc w:val="left"/>
      <w:pPr>
        <w:ind w:left="5513" w:hanging="276"/>
      </w:pPr>
      <w:rPr>
        <w:rFonts w:hint="default"/>
        <w:lang w:val="en-US" w:eastAsia="en-US" w:bidi="ar-SA"/>
      </w:rPr>
    </w:lvl>
    <w:lvl w:ilvl="6" w:tplc="6B4CE126">
      <w:numFmt w:val="bullet"/>
      <w:lvlText w:val="•"/>
      <w:lvlJc w:val="left"/>
      <w:pPr>
        <w:ind w:left="6399" w:hanging="276"/>
      </w:pPr>
      <w:rPr>
        <w:rFonts w:hint="default"/>
        <w:lang w:val="en-US" w:eastAsia="en-US" w:bidi="ar-SA"/>
      </w:rPr>
    </w:lvl>
    <w:lvl w:ilvl="7" w:tplc="016E3956">
      <w:numFmt w:val="bullet"/>
      <w:lvlText w:val="•"/>
      <w:lvlJc w:val="left"/>
      <w:pPr>
        <w:ind w:left="7286" w:hanging="276"/>
      </w:pPr>
      <w:rPr>
        <w:rFonts w:hint="default"/>
        <w:lang w:val="en-US" w:eastAsia="en-US" w:bidi="ar-SA"/>
      </w:rPr>
    </w:lvl>
    <w:lvl w:ilvl="8" w:tplc="17322B24">
      <w:numFmt w:val="bullet"/>
      <w:lvlText w:val="•"/>
      <w:lvlJc w:val="left"/>
      <w:pPr>
        <w:ind w:left="8172" w:hanging="276"/>
      </w:pPr>
      <w:rPr>
        <w:rFonts w:hint="default"/>
        <w:lang w:val="en-US" w:eastAsia="en-US" w:bidi="ar-SA"/>
      </w:rPr>
    </w:lvl>
  </w:abstractNum>
  <w:abstractNum w:abstractNumId="5" w15:restartNumberingAfterBreak="0">
    <w:nsid w:val="705954E5"/>
    <w:multiLevelType w:val="hybridMultilevel"/>
    <w:tmpl w:val="4A286616"/>
    <w:lvl w:ilvl="0" w:tplc="DDCA1A3A">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78ACB974">
      <w:numFmt w:val="bullet"/>
      <w:lvlText w:val="•"/>
      <w:lvlJc w:val="left"/>
      <w:pPr>
        <w:ind w:left="2040" w:hanging="281"/>
      </w:pPr>
      <w:rPr>
        <w:rFonts w:hint="default"/>
        <w:lang w:val="en-US" w:eastAsia="en-US" w:bidi="ar-SA"/>
      </w:rPr>
    </w:lvl>
    <w:lvl w:ilvl="2" w:tplc="1F5A3C48">
      <w:numFmt w:val="bullet"/>
      <w:lvlText w:val="•"/>
      <w:lvlJc w:val="left"/>
      <w:pPr>
        <w:ind w:left="3001" w:hanging="281"/>
      </w:pPr>
      <w:rPr>
        <w:rFonts w:hint="default"/>
        <w:lang w:val="en-US" w:eastAsia="en-US" w:bidi="ar-SA"/>
      </w:rPr>
    </w:lvl>
    <w:lvl w:ilvl="3" w:tplc="1E1205B2">
      <w:numFmt w:val="bullet"/>
      <w:lvlText w:val="•"/>
      <w:lvlJc w:val="left"/>
      <w:pPr>
        <w:ind w:left="3961" w:hanging="281"/>
      </w:pPr>
      <w:rPr>
        <w:rFonts w:hint="default"/>
        <w:lang w:val="en-US" w:eastAsia="en-US" w:bidi="ar-SA"/>
      </w:rPr>
    </w:lvl>
    <w:lvl w:ilvl="4" w:tplc="ED662642">
      <w:numFmt w:val="bullet"/>
      <w:lvlText w:val="•"/>
      <w:lvlJc w:val="left"/>
      <w:pPr>
        <w:ind w:left="4922" w:hanging="281"/>
      </w:pPr>
      <w:rPr>
        <w:rFonts w:hint="default"/>
        <w:lang w:val="en-US" w:eastAsia="en-US" w:bidi="ar-SA"/>
      </w:rPr>
    </w:lvl>
    <w:lvl w:ilvl="5" w:tplc="0E5882DA">
      <w:numFmt w:val="bullet"/>
      <w:lvlText w:val="•"/>
      <w:lvlJc w:val="left"/>
      <w:pPr>
        <w:ind w:left="5883" w:hanging="281"/>
      </w:pPr>
      <w:rPr>
        <w:rFonts w:hint="default"/>
        <w:lang w:val="en-US" w:eastAsia="en-US" w:bidi="ar-SA"/>
      </w:rPr>
    </w:lvl>
    <w:lvl w:ilvl="6" w:tplc="445ABF0A">
      <w:numFmt w:val="bullet"/>
      <w:lvlText w:val="•"/>
      <w:lvlJc w:val="left"/>
      <w:pPr>
        <w:ind w:left="6843" w:hanging="281"/>
      </w:pPr>
      <w:rPr>
        <w:rFonts w:hint="default"/>
        <w:lang w:val="en-US" w:eastAsia="en-US" w:bidi="ar-SA"/>
      </w:rPr>
    </w:lvl>
    <w:lvl w:ilvl="7" w:tplc="7A58EBD8">
      <w:numFmt w:val="bullet"/>
      <w:lvlText w:val="•"/>
      <w:lvlJc w:val="left"/>
      <w:pPr>
        <w:ind w:left="7804" w:hanging="281"/>
      </w:pPr>
      <w:rPr>
        <w:rFonts w:hint="default"/>
        <w:lang w:val="en-US" w:eastAsia="en-US" w:bidi="ar-SA"/>
      </w:rPr>
    </w:lvl>
    <w:lvl w:ilvl="8" w:tplc="5C1AE4C8">
      <w:numFmt w:val="bullet"/>
      <w:lvlText w:val="•"/>
      <w:lvlJc w:val="left"/>
      <w:pPr>
        <w:ind w:left="8765" w:hanging="281"/>
      </w:pPr>
      <w:rPr>
        <w:rFonts w:hint="default"/>
        <w:lang w:val="en-US" w:eastAsia="en-US" w:bidi="ar-SA"/>
      </w:r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5340DC"/>
    <w:rsid w:val="00007469"/>
    <w:rsid w:val="005340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FCC411F"/>
  <w15:docId w15:val="{0F187414-1EE8-43C3-854E-5A58EDF38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32" w:hanging="360"/>
      <w:jc w:val="both"/>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hilippe.Tulkens@ec.europa.eu" TargetMode="External"/><Relationship Id="rId13" Type="http://schemas.openxmlformats.org/officeDocument/2006/relationships/hyperlink" Target="mailto:HR-MAIL-B4@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en.htm" TargetMode="External"/><Relationship Id="rId5" Type="http://schemas.openxmlformats.org/officeDocument/2006/relationships/footnotes" Target="footnotes.xml"/><Relationship Id="rId15" Type="http://schemas.openxmlformats.org/officeDocument/2006/relationships/hyperlink" Target="mailto:edps@edps.europa.eu" TargetMode="Externa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1312</Words>
  <Characters>7561</Characters>
  <Application>Microsoft Office Word</Application>
  <DocSecurity>0</DocSecurity>
  <Lines>175</Lines>
  <Paragraphs>90</Paragraphs>
  <ScaleCrop>false</ScaleCrop>
  <Company>European Commission</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2023-02-16T16:54:00Z</dcterms:created>
  <dcterms:modified xsi:type="dcterms:W3CDTF">2023-02-16T16:56:00Z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