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8"/>
        <w:gridCol w:w="3089"/>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gridSpan w:val="2"/>
          </w:tcPr>
          <w:p>
            <w:pPr>
              <w:pStyle w:val="TableParagraph"/>
              <w:spacing w:before="167"/>
              <w:rPr>
                <w:b/>
                <w:sz w:val="24"/>
              </w:rPr>
            </w:pPr>
            <w:r>
              <w:rPr>
                <w:b/>
                <w:spacing w:val="-2"/>
                <w:sz w:val="24"/>
              </w:rPr>
              <w:t>ECFIN-D-</w:t>
            </w:r>
            <w:r>
              <w:rPr>
                <w:b/>
                <w:spacing w:val="-10"/>
                <w:sz w:val="24"/>
              </w:rPr>
              <w:t>2</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7" w:type="dxa"/>
            <w:gridSpan w:val="2"/>
            <w:tcBorders>
              <w:bottom w:val="nil"/>
            </w:tcBorders>
          </w:tcPr>
          <w:p>
            <w:pPr>
              <w:pStyle w:val="TableParagraph"/>
              <w:spacing w:line="237" w:lineRule="exact"/>
              <w:rPr>
                <w:b/>
                <w:sz w:val="22"/>
              </w:rPr>
            </w:pPr>
            <w:r>
              <w:rPr>
                <w:b/>
                <w:sz w:val="22"/>
              </w:rPr>
              <w:t>Bettina</w:t>
            </w:r>
            <w:r>
              <w:rPr>
                <w:b/>
                <w:spacing w:val="-8"/>
                <w:sz w:val="22"/>
              </w:rPr>
              <w:t> </w:t>
            </w:r>
            <w:r>
              <w:rPr>
                <w:b/>
                <w:spacing w:val="-2"/>
                <w:sz w:val="22"/>
              </w:rPr>
              <w:t>KROMEN</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7" w:type="dxa"/>
            <w:gridSpan w:val="2"/>
            <w:tcBorders>
              <w:top w:val="nil"/>
              <w:bottom w:val="nil"/>
            </w:tcBorders>
          </w:tcPr>
          <w:p>
            <w:pPr>
              <w:pStyle w:val="TableParagraph"/>
              <w:spacing w:line="233" w:lineRule="exact"/>
              <w:rPr>
                <w:b/>
                <w:sz w:val="22"/>
              </w:rPr>
            </w:pPr>
            <w:hyperlink r:id="rId7">
              <w:r>
                <w:rPr>
                  <w:b/>
                  <w:spacing w:val="-2"/>
                  <w:sz w:val="22"/>
                </w:rPr>
                <w:t>Bettina-Maria.Kromen@ec.europa.eu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7" w:type="dxa"/>
            <w:gridSpan w:val="2"/>
            <w:tcBorders>
              <w:top w:val="nil"/>
              <w:bottom w:val="nil"/>
            </w:tcBorders>
          </w:tcPr>
          <w:p>
            <w:pPr>
              <w:pStyle w:val="TableParagraph"/>
              <w:spacing w:line="233" w:lineRule="exact"/>
              <w:rPr>
                <w:b/>
                <w:sz w:val="22"/>
              </w:rPr>
            </w:pPr>
            <w:r>
              <w:rPr>
                <w:b/>
                <w:spacing w:val="-2"/>
                <w:sz w:val="22"/>
              </w:rPr>
              <w:t>+32-2-2967156</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7"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7" w:type="dxa"/>
            <w:gridSpan w:val="2"/>
            <w:tcBorders>
              <w:top w:val="nil"/>
              <w:bottom w:val="nil"/>
            </w:tcBorders>
          </w:tcPr>
          <w:p>
            <w:pPr>
              <w:pStyle w:val="TableParagraph"/>
              <w:spacing w:line="232" w:lineRule="exact"/>
              <w:rPr>
                <w:b/>
                <w:sz w:val="22"/>
              </w:rPr>
            </w:pPr>
            <w:r>
              <w:rPr>
                <w:b/>
                <w:sz w:val="22"/>
              </w:rPr>
              <w:t>Second</w:t>
            </w:r>
            <w:r>
              <w:rPr>
                <w:b/>
                <w:spacing w:val="-3"/>
                <w:sz w:val="22"/>
              </w:rPr>
              <w:t> </w:t>
            </w:r>
            <w:r>
              <w:rPr>
                <w:b/>
                <w:sz w:val="22"/>
              </w:rPr>
              <w:t>quarter</w:t>
            </w:r>
            <w:r>
              <w:rPr>
                <w:b/>
                <w:spacing w:val="-2"/>
                <w:sz w:val="22"/>
              </w:rPr>
              <w:t> </w:t>
            </w:r>
            <w:r>
              <w:rPr>
                <w:b/>
                <w:sz w:val="22"/>
              </w:rPr>
              <w:t>2023</w:t>
            </w:r>
            <w:r>
              <w:rPr>
                <w:b/>
                <w:spacing w:val="-3"/>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7" w:type="dxa"/>
            <w:gridSpan w:val="2"/>
            <w:tcBorders>
              <w:top w:val="nil"/>
              <w:bottom w:val="nil"/>
            </w:tcBorders>
          </w:tcPr>
          <w:p>
            <w:pPr>
              <w:pStyle w:val="TableParagraph"/>
              <w:spacing w:line="233" w:lineRule="exact"/>
              <w:rPr>
                <w:b/>
                <w:sz w:val="22"/>
              </w:rPr>
            </w:pPr>
            <w:r>
              <w:rPr>
                <w:b/>
                <w:sz w:val="22"/>
              </w:rPr>
              <w:t>1 </w:t>
            </w:r>
            <w:r>
              <w:rPr>
                <w:b/>
                <w:spacing w:val="-2"/>
                <w:sz w:val="22"/>
              </w:rPr>
              <w:t>year</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7"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8" w:type="dxa"/>
            <w:tcBorders>
              <w:right w:val="nil"/>
            </w:tcBorders>
          </w:tcPr>
          <w:p>
            <w:pPr>
              <w:pStyle w:val="TableParagraph"/>
              <w:numPr>
                <w:ilvl w:val="0"/>
                <w:numId w:val="1"/>
              </w:numPr>
              <w:tabs>
                <w:tab w:pos="523" w:val="left" w:leader="none"/>
                <w:tab w:pos="524" w:val="left" w:leader="none"/>
              </w:tabs>
              <w:spacing w:line="240" w:lineRule="auto" w:before="145" w:after="0"/>
              <w:ind w:left="523" w:right="0" w:hanging="419"/>
              <w:jc w:val="left"/>
              <w:rPr>
                <w:b/>
                <w:sz w:val="22"/>
              </w:rPr>
            </w:pPr>
            <w:r>
              <w:rPr>
                <w:b/>
                <w:sz w:val="22"/>
              </w:rPr>
              <w:t>With</w:t>
            </w:r>
            <w:r>
              <w:rPr>
                <w:b/>
                <w:spacing w:val="-2"/>
                <w:sz w:val="22"/>
              </w:rPr>
              <w:t> allowances</w:t>
            </w:r>
          </w:p>
        </w:tc>
        <w:tc>
          <w:tcPr>
            <w:tcW w:w="3089" w:type="dxa"/>
            <w:tcBorders>
              <w:left w:val="nil"/>
            </w:tcBorders>
          </w:tcPr>
          <w:p>
            <w:pPr>
              <w:pStyle w:val="TableParagraph"/>
              <w:spacing w:before="145"/>
              <w:ind w:left="444"/>
              <w:rPr>
                <w:b/>
                <w:sz w:val="22"/>
              </w:rPr>
            </w:pPr>
            <w:r>
              <w:rPr>
                <w:rFonts w:ascii="Wingdings 2" w:hAnsi="Wingdings 2"/>
                <w:b/>
                <w:sz w:val="22"/>
              </w:rPr>
              <w:t></w:t>
            </w:r>
            <w:r>
              <w:rPr>
                <w:spacing w:val="50"/>
                <w:sz w:val="22"/>
              </w:rPr>
              <w:t> </w:t>
            </w:r>
            <w:r>
              <w:rPr>
                <w:b/>
                <w:sz w:val="22"/>
              </w:rPr>
              <w:t>Cost-</w:t>
            </w:r>
            <w:r>
              <w:rPr>
                <w:b/>
                <w:spacing w:val="-4"/>
                <w:sz w:val="22"/>
              </w:rPr>
              <w:t>free</w:t>
            </w:r>
          </w:p>
        </w:tc>
      </w:tr>
      <w:tr>
        <w:trPr>
          <w:trHeight w:val="2114" w:hRule="atLeast"/>
        </w:trPr>
        <w:tc>
          <w:tcPr>
            <w:tcW w:w="9956"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4"/>
        <w:jc w:val="both"/>
      </w:pPr>
      <w:r>
        <w:rPr/>
        <w:t>The unit is urgently looking to strengthen its Ukraine team, which is in the lead of ensuring the EU’s financial assistance</w:t>
      </w:r>
      <w:r>
        <w:rPr>
          <w:spacing w:val="-3"/>
        </w:rPr>
        <w:t> </w:t>
      </w:r>
      <w:r>
        <w:rPr/>
        <w:t>to</w:t>
      </w:r>
      <w:r>
        <w:rPr>
          <w:spacing w:val="-1"/>
        </w:rPr>
        <w:t> </w:t>
      </w:r>
      <w:r>
        <w:rPr/>
        <w:t>Ukraine</w:t>
      </w:r>
      <w:r>
        <w:rPr>
          <w:spacing w:val="-1"/>
        </w:rPr>
        <w:t> </w:t>
      </w:r>
      <w:r>
        <w:rPr/>
        <w:t>at present and</w:t>
      </w:r>
      <w:r>
        <w:rPr>
          <w:spacing w:val="-1"/>
        </w:rPr>
        <w:t> </w:t>
      </w:r>
      <w:r>
        <w:rPr/>
        <w:t>thus</w:t>
      </w:r>
      <w:r>
        <w:rPr>
          <w:spacing w:val="-1"/>
        </w:rPr>
        <w:t> </w:t>
      </w:r>
      <w:r>
        <w:rPr/>
        <w:t>proposes</w:t>
      </w:r>
      <w:r>
        <w:rPr>
          <w:spacing w:val="-1"/>
        </w:rPr>
        <w:t> </w:t>
      </w:r>
      <w:r>
        <w:rPr/>
        <w:t>an</w:t>
      </w:r>
      <w:r>
        <w:rPr>
          <w:spacing w:val="-1"/>
        </w:rPr>
        <w:t> </w:t>
      </w:r>
      <w:r>
        <w:rPr/>
        <w:t>extremely</w:t>
      </w:r>
      <w:r>
        <w:rPr>
          <w:spacing w:val="-4"/>
        </w:rPr>
        <w:t> </w:t>
      </w:r>
      <w:r>
        <w:rPr/>
        <w:t>meaningful</w:t>
      </w:r>
      <w:r>
        <w:rPr>
          <w:spacing w:val="-3"/>
        </w:rPr>
        <w:t> </w:t>
      </w:r>
      <w:r>
        <w:rPr/>
        <w:t>job</w:t>
      </w:r>
      <w:r>
        <w:rPr>
          <w:spacing w:val="-1"/>
        </w:rPr>
        <w:t> </w:t>
      </w:r>
      <w:r>
        <w:rPr/>
        <w:t>at</w:t>
      </w:r>
      <w:r>
        <w:rPr>
          <w:spacing w:val="-3"/>
        </w:rPr>
        <w:t> </w:t>
      </w:r>
      <w:r>
        <w:rPr/>
        <w:t>a</w:t>
      </w:r>
      <w:r>
        <w:rPr>
          <w:spacing w:val="-1"/>
        </w:rPr>
        <w:t> </w:t>
      </w:r>
      <w:r>
        <w:rPr/>
        <w:t>critical</w:t>
      </w:r>
      <w:r>
        <w:rPr>
          <w:spacing w:val="-3"/>
        </w:rPr>
        <w:t> </w:t>
      </w:r>
      <w:r>
        <w:rPr/>
        <w:t>juncture.</w:t>
      </w:r>
      <w:r>
        <w:rPr>
          <w:spacing w:val="-1"/>
        </w:rPr>
        <w:t> </w:t>
      </w:r>
      <w:r>
        <w:rPr/>
        <w:t>It offers</w:t>
      </w:r>
      <w:r>
        <w:rPr>
          <w:spacing w:val="-3"/>
        </w:rPr>
        <w:t> </w:t>
      </w:r>
      <w:r>
        <w:rPr/>
        <w:t>a challenging and interesting position for a Seconded national expert in a friendly and stimulating working environment. With work on Ukraine currently being among the unit’s top priorities, the successful candidate, an economist with a sound background in macroeconomics (or a related discipline) and experience in</w:t>
      </w:r>
      <w:r>
        <w:rPr>
          <w:spacing w:val="40"/>
        </w:rPr>
        <w:t> </w:t>
      </w:r>
      <w:r>
        <w:rPr/>
        <w:t>analysing macroeconomic and financial issues in general and/or in the EU Neighbourhood countries, will in particular contribute to the monitoring and analysis of economic, fiscal and structural developments in this country, to the provision of short-term financial assistance, as well as to the development of the EU’s</w:t>
      </w:r>
      <w:r>
        <w:rPr>
          <w:spacing w:val="40"/>
        </w:rPr>
        <w:t> </w:t>
      </w:r>
      <w:r>
        <w:rPr/>
        <w:t>economic policy stance to the country, including in relation to the Enlargement process. Depending on the successful candidate’s profile, s/he will notably be involved in one or several of the following areas:</w:t>
      </w:r>
    </w:p>
    <w:p>
      <w:pPr>
        <w:pStyle w:val="ListParagraph"/>
        <w:numPr>
          <w:ilvl w:val="1"/>
          <w:numId w:val="3"/>
        </w:numPr>
        <w:tabs>
          <w:tab w:pos="1520" w:val="left" w:leader="none"/>
        </w:tabs>
        <w:spacing w:line="240" w:lineRule="auto" w:before="0" w:after="0"/>
        <w:ind w:left="1519" w:right="104" w:hanging="360"/>
        <w:jc w:val="both"/>
        <w:rPr>
          <w:sz w:val="22"/>
        </w:rPr>
      </w:pPr>
      <w:r>
        <w:rPr>
          <w:sz w:val="22"/>
        </w:rPr>
        <w:t>implementation of the EU’s short-term financial assistance (“MFA+”) to Ukraine, and follow-up of related aspects;</w:t>
      </w:r>
    </w:p>
    <w:p>
      <w:pPr>
        <w:pStyle w:val="ListParagraph"/>
        <w:numPr>
          <w:ilvl w:val="1"/>
          <w:numId w:val="3"/>
        </w:numPr>
        <w:tabs>
          <w:tab w:pos="1520" w:val="left" w:leader="none"/>
        </w:tabs>
        <w:spacing w:line="240" w:lineRule="auto" w:before="1" w:after="0"/>
        <w:ind w:left="1519" w:right="112" w:hanging="360"/>
        <w:jc w:val="both"/>
        <w:rPr>
          <w:sz w:val="22"/>
        </w:rPr>
      </w:pPr>
      <w:r>
        <w:rPr>
          <w:sz w:val="22"/>
        </w:rPr>
        <w:t>setting up an appropriate forecasting framework, notwithstanding the ongoing war context, for Ukraine’s short and medium-term economic and fiscal developments; and/or</w:t>
      </w:r>
    </w:p>
    <w:p>
      <w:pPr>
        <w:pStyle w:val="ListParagraph"/>
        <w:numPr>
          <w:ilvl w:val="1"/>
          <w:numId w:val="3"/>
        </w:numPr>
        <w:tabs>
          <w:tab w:pos="1520" w:val="left" w:leader="none"/>
        </w:tabs>
        <w:spacing w:line="240" w:lineRule="auto" w:before="0" w:after="0"/>
        <w:ind w:left="1519" w:right="103" w:hanging="360"/>
        <w:jc w:val="both"/>
        <w:rPr>
          <w:sz w:val="22"/>
        </w:rPr>
      </w:pPr>
      <w:r>
        <w:rPr>
          <w:sz w:val="22"/>
        </w:rPr>
        <w:t>supporting the development of the EU’s policy towards Ukraine as a candidate for EU Membership, including by monitoring developments and providing analysis in relation to the economic accession criteria in the context of the Enlargement Process.</w:t>
      </w:r>
    </w:p>
    <w:p>
      <w:pPr>
        <w:pStyle w:val="BodyText"/>
        <w:spacing w:before="10"/>
        <w:rPr>
          <w:sz w:val="21"/>
        </w:rPr>
      </w:pPr>
    </w:p>
    <w:p>
      <w:pPr>
        <w:pStyle w:val="BodyText"/>
        <w:ind w:left="799" w:right="105"/>
        <w:jc w:val="both"/>
      </w:pPr>
      <w:r>
        <w:rPr/>
        <w:t>The</w:t>
      </w:r>
      <w:r>
        <w:rPr>
          <w:spacing w:val="-1"/>
        </w:rPr>
        <w:t> </w:t>
      </w:r>
      <w:r>
        <w:rPr/>
        <w:t>successful candidate will co-operate closely</w:t>
      </w:r>
      <w:r>
        <w:rPr>
          <w:spacing w:val="-2"/>
        </w:rPr>
        <w:t> </w:t>
      </w:r>
      <w:r>
        <w:rPr/>
        <w:t>with colleagues in</w:t>
      </w:r>
      <w:r>
        <w:rPr>
          <w:spacing w:val="-1"/>
        </w:rPr>
        <w:t> </w:t>
      </w:r>
      <w:r>
        <w:rPr/>
        <w:t>the unit and elsewhere in DG ECFIN. S/he will also keep contacts on these issues with other parts of the Commission, the EU and international institutions, as well with official and private sector bodies in the Neighbourhood countries, notably Ukraine. The successful applicant should be able to produce high quality output, often within short deadlines.</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spacing w:before="7"/>
        <w:rPr>
          <w:b/>
          <w:sz w:val="28"/>
        </w:rPr>
      </w:pPr>
      <w:r>
        <w:rPr/>
        <w:pict>
          <v:rect style="position:absolute;margin-left:42.599998pt;margin-top:17.688877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Heading1"/>
        <w:numPr>
          <w:ilvl w:val="0"/>
          <w:numId w:val="4"/>
        </w:numPr>
        <w:tabs>
          <w:tab w:pos="1040" w:val="left" w:leader="none"/>
        </w:tabs>
        <w:spacing w:line="240" w:lineRule="auto" w:before="69"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1"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3"/>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8"/>
        <w:rPr>
          <w:b/>
          <w:sz w:val="15"/>
        </w:rPr>
      </w:pPr>
    </w:p>
    <w:p>
      <w:pPr>
        <w:pStyle w:val="BodyText"/>
        <w:spacing w:line="252" w:lineRule="exact" w:before="92"/>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1"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0"/>
        <w:rPr>
          <w:sz w:val="21"/>
        </w:rPr>
      </w:pPr>
    </w:p>
    <w:p>
      <w:pPr>
        <w:pStyle w:val="BodyText"/>
        <w:spacing w:line="480" w:lineRule="auto"/>
        <w:ind w:left="1080" w:right="1921"/>
      </w:pPr>
      <w:r>
        <w:rPr/>
        <w:t>in</w:t>
      </w:r>
      <w:r>
        <w:rPr>
          <w:spacing w:val="-4"/>
        </w:rPr>
        <w:t> </w:t>
      </w:r>
      <w:r>
        <w:rPr/>
        <w:t>the</w:t>
      </w:r>
      <w:r>
        <w:rPr>
          <w:spacing w:val="-4"/>
        </w:rPr>
        <w:t> </w:t>
      </w:r>
      <w:r>
        <w:rPr/>
        <w:t>field(s):</w:t>
      </w:r>
      <w:r>
        <w:rPr>
          <w:spacing w:val="-8"/>
        </w:rPr>
        <w:t> </w:t>
      </w:r>
      <w:r>
        <w:rPr/>
        <w:t>Economics,</w:t>
      </w:r>
      <w:r>
        <w:rPr>
          <w:spacing w:val="-7"/>
        </w:rPr>
        <w:t> </w:t>
      </w:r>
      <w:r>
        <w:rPr/>
        <w:t>macroeconomics,</w:t>
      </w:r>
      <w:r>
        <w:rPr>
          <w:spacing w:val="-7"/>
        </w:rPr>
        <w:t> </w:t>
      </w:r>
      <w:r>
        <w:rPr/>
        <w:t>international</w:t>
      </w:r>
      <w:r>
        <w:rPr>
          <w:spacing w:val="-4"/>
        </w:rPr>
        <w:t> </w:t>
      </w:r>
      <w:r>
        <w:rPr/>
        <w:t>economics</w:t>
      </w:r>
      <w:r>
        <w:rPr>
          <w:spacing w:val="-4"/>
        </w:rPr>
        <w:t> </w:t>
      </w:r>
      <w:r>
        <w:rPr/>
        <w:t>or equivalent. </w:t>
      </w:r>
      <w:r>
        <w:rPr>
          <w:u w:val="single"/>
        </w:rPr>
        <w:t>Professional experience</w:t>
      </w:r>
    </w:p>
    <w:p>
      <w:pPr>
        <w:pStyle w:val="BodyText"/>
        <w:spacing w:line="480" w:lineRule="auto" w:before="1"/>
        <w:ind w:left="1080" w:right="1921"/>
      </w:pPr>
      <w:r>
        <w:rPr/>
        <w:t>At</w:t>
      </w:r>
      <w:r>
        <w:rPr>
          <w:spacing w:val="-1"/>
        </w:rPr>
        <w:t> </w:t>
      </w:r>
      <w:r>
        <w:rPr/>
        <w:t>least</w:t>
      </w:r>
      <w:r>
        <w:rPr>
          <w:spacing w:val="-4"/>
        </w:rPr>
        <w:t> </w:t>
      </w:r>
      <w:r>
        <w:rPr/>
        <w:t>3</w:t>
      </w:r>
      <w:r>
        <w:rPr>
          <w:spacing w:val="-2"/>
        </w:rPr>
        <w:t> </w:t>
      </w:r>
      <w:r>
        <w:rPr/>
        <w:t>years</w:t>
      </w:r>
      <w:r>
        <w:rPr>
          <w:spacing w:val="-4"/>
        </w:rPr>
        <w:t> </w:t>
      </w:r>
      <w:r>
        <w:rPr/>
        <w:t>of</w:t>
      </w:r>
      <w:r>
        <w:rPr>
          <w:spacing w:val="-2"/>
        </w:rPr>
        <w:t> </w:t>
      </w:r>
      <w:r>
        <w:rPr/>
        <w:t>professional</w:t>
      </w:r>
      <w:r>
        <w:rPr>
          <w:spacing w:val="-4"/>
        </w:rPr>
        <w:t> </w:t>
      </w:r>
      <w:r>
        <w:rPr/>
        <w:t>experience</w:t>
      </w:r>
      <w:r>
        <w:rPr>
          <w:spacing w:val="-4"/>
        </w:rPr>
        <w:t> </w:t>
      </w:r>
      <w:r>
        <w:rPr/>
        <w:t>relevant</w:t>
      </w:r>
      <w:r>
        <w:rPr>
          <w:spacing w:val="-4"/>
        </w:rPr>
        <w:t> </w:t>
      </w:r>
      <w:r>
        <w:rPr/>
        <w:t>for</w:t>
      </w:r>
      <w:r>
        <w:rPr>
          <w:spacing w:val="-2"/>
        </w:rPr>
        <w:t> </w:t>
      </w:r>
      <w:r>
        <w:rPr/>
        <w:t>the</w:t>
      </w:r>
      <w:r>
        <w:rPr>
          <w:spacing w:val="-2"/>
        </w:rPr>
        <w:t> </w:t>
      </w:r>
      <w:r>
        <w:rPr/>
        <w:t>tasks</w:t>
      </w:r>
      <w:r>
        <w:rPr>
          <w:spacing w:val="-2"/>
        </w:rPr>
        <w:t> </w:t>
      </w:r>
      <w:r>
        <w:rPr/>
        <w:t>of</w:t>
      </w:r>
      <w:r>
        <w:rPr>
          <w:spacing w:val="-4"/>
        </w:rPr>
        <w:t> </w:t>
      </w:r>
      <w:r>
        <w:rPr/>
        <w:t>the</w:t>
      </w:r>
      <w:r>
        <w:rPr>
          <w:spacing w:val="-2"/>
        </w:rPr>
        <w:t> </w:t>
      </w:r>
      <w:r>
        <w:rPr/>
        <w:t>unit. </w:t>
      </w:r>
      <w:r>
        <w:rPr>
          <w:u w:val="single"/>
        </w:rPr>
        <w:t>Language(s) necessary for the performance of duties</w:t>
      </w:r>
    </w:p>
    <w:p>
      <w:pPr>
        <w:pStyle w:val="BodyText"/>
        <w:spacing w:before="1"/>
        <w:ind w:left="1080"/>
      </w:pPr>
      <w:r>
        <w:rPr/>
        <w:t>Excellent</w:t>
      </w:r>
      <w:r>
        <w:rPr>
          <w:spacing w:val="-3"/>
        </w:rPr>
        <w:t> </w:t>
      </w:r>
      <w:r>
        <w:rPr/>
        <w:t>written</w:t>
      </w:r>
      <w:r>
        <w:rPr>
          <w:spacing w:val="-6"/>
        </w:rPr>
        <w:t> </w:t>
      </w:r>
      <w:r>
        <w:rPr/>
        <w:t>and</w:t>
      </w:r>
      <w:r>
        <w:rPr>
          <w:spacing w:val="-3"/>
        </w:rPr>
        <w:t> </w:t>
      </w:r>
      <w:r>
        <w:rPr/>
        <w:t>oral</w:t>
      </w:r>
      <w:r>
        <w:rPr>
          <w:spacing w:val="-5"/>
        </w:rPr>
        <w:t> </w:t>
      </w:r>
      <w:r>
        <w:rPr>
          <w:spacing w:val="-2"/>
        </w:rPr>
        <w:t>English.</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7"/>
          <w:sz w:val="24"/>
          <w:u w:val="single"/>
        </w:rPr>
        <w:t> </w:t>
      </w:r>
      <w:r>
        <w:rPr>
          <w:b/>
          <w:sz w:val="24"/>
          <w:u w:val="single"/>
        </w:rPr>
        <w:t>and</w:t>
      </w:r>
      <w:r>
        <w:rPr>
          <w:b/>
          <w:spacing w:val="-8"/>
          <w:sz w:val="24"/>
          <w:u w:val="single"/>
        </w:rPr>
        <w:t> </w:t>
      </w:r>
      <w:r>
        <w:rPr>
          <w:b/>
          <w:sz w:val="24"/>
          <w:u w:val="single"/>
        </w:rPr>
        <w:t>selection</w:t>
      </w:r>
      <w:r>
        <w:rPr>
          <w:b/>
          <w:spacing w:val="-4"/>
          <w:sz w:val="24"/>
          <w:u w:val="single"/>
        </w:rPr>
        <w:t> </w:t>
      </w:r>
      <w:r>
        <w:rPr>
          <w:b/>
          <w:spacing w:val="-2"/>
          <w:sz w:val="24"/>
          <w:u w:val="single"/>
        </w:rPr>
        <w:t>procedure</w:t>
      </w:r>
    </w:p>
    <w:p>
      <w:pPr>
        <w:pStyle w:val="BodyText"/>
        <w:spacing w:before="4"/>
        <w:rPr>
          <w:b/>
          <w:sz w:val="15"/>
        </w:rPr>
      </w:pPr>
    </w:p>
    <w:p>
      <w:pPr>
        <w:spacing w:line="242"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8"/>
        <w:rPr>
          <w:b/>
          <w:sz w:val="20"/>
        </w:rPr>
      </w:pPr>
    </w:p>
    <w:p>
      <w:pPr>
        <w:pStyle w:val="BodyText"/>
        <w:spacing w:before="1"/>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3"/>
          <w:sz w:val="24"/>
          <w:u w:val="single"/>
        </w:rPr>
        <w:t> </w:t>
      </w:r>
      <w:r>
        <w:rPr>
          <w:b/>
          <w:sz w:val="24"/>
          <w:u w:val="single"/>
        </w:rPr>
        <w:t>the</w:t>
      </w:r>
      <w:r>
        <w:rPr>
          <w:b/>
          <w:spacing w:val="-6"/>
          <w:sz w:val="24"/>
          <w:u w:val="single"/>
        </w:rPr>
        <w:t> </w:t>
      </w:r>
      <w:r>
        <w:rPr>
          <w:b/>
          <w:spacing w:val="-2"/>
          <w:sz w:val="24"/>
          <w:u w:val="single"/>
        </w:rPr>
        <w:t>secondment</w:t>
      </w:r>
    </w:p>
    <w:p>
      <w:pPr>
        <w:pStyle w:val="BodyText"/>
        <w:spacing w:before="6"/>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5"/>
        <w:jc w:val="both"/>
      </w:pPr>
      <w:r>
        <w:rPr/>
        <w:t>The SNE will remain employed and remunerated by his/her employer during the secondment. He/she will equally remain covered by the national social security system.</w:t>
      </w:r>
    </w:p>
    <w:p>
      <w:pPr>
        <w:spacing w:after="0"/>
        <w:jc w:val="both"/>
        <w:sectPr>
          <w:pgSz w:w="11910" w:h="16840"/>
          <w:pgMar w:header="0" w:footer="690" w:top="1320" w:bottom="880" w:left="480" w:right="740"/>
        </w:sectPr>
      </w:pPr>
    </w:p>
    <w:p>
      <w:pPr>
        <w:pStyle w:val="BodyText"/>
        <w:spacing w:before="68"/>
        <w:ind w:left="799" w:right="286"/>
        <w:jc w:val="both"/>
      </w:pPr>
      <w:r>
        <w:rPr/>
        <w:t>Unless for cost-free SNE, allowances may be granted by the Commission to SNE fulfilling the conditions provided for in Art. 17 of the SNE decision.</w:t>
      </w:r>
    </w:p>
    <w:p>
      <w:pPr>
        <w:pStyle w:val="BodyText"/>
        <w:spacing w:before="2"/>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3"/>
        </w:rPr>
        <w:t> </w:t>
      </w:r>
      <w:r>
        <w:rPr/>
        <w:t>any</w:t>
      </w:r>
      <w:r>
        <w:rPr>
          <w:spacing w:val="-4"/>
        </w:rPr>
        <w:t> </w:t>
      </w:r>
      <w:r>
        <w:rPr/>
        <w:t>document</w:t>
      </w:r>
      <w:r>
        <w:rPr>
          <w:spacing w:val="-2"/>
        </w:rPr>
        <w:t> </w:t>
      </w:r>
      <w:r>
        <w:rPr/>
        <w:t>is</w:t>
      </w:r>
      <w:r>
        <w:rPr>
          <w:spacing w:val="-5"/>
        </w:rPr>
        <w:t> </w:t>
      </w:r>
      <w:r>
        <w:rPr/>
        <w:t>inexact,</w:t>
      </w:r>
      <w:r>
        <w:rPr>
          <w:spacing w:val="-5"/>
        </w:rPr>
        <w:t> </w:t>
      </w:r>
      <w:r>
        <w:rPr/>
        <w:t>incomplete</w:t>
      </w:r>
      <w:r>
        <w:rPr>
          <w:spacing w:val="-2"/>
        </w:rPr>
        <w:t> </w:t>
      </w:r>
      <w:r>
        <w:rPr/>
        <w:t>or</w:t>
      </w:r>
      <w:r>
        <w:rPr>
          <w:spacing w:val="-4"/>
        </w:rPr>
        <w:t> </w:t>
      </w:r>
      <w:r>
        <w:rPr/>
        <w:t>missing,</w:t>
      </w:r>
      <w:r>
        <w:rPr>
          <w:spacing w:val="-3"/>
        </w:rPr>
        <w:t> </w:t>
      </w:r>
      <w:r>
        <w:rPr/>
        <w:t>the</w:t>
      </w:r>
      <w:r>
        <w:rPr>
          <w:spacing w:val="-4"/>
        </w:rPr>
        <w:t> </w:t>
      </w:r>
      <w:r>
        <w:rPr/>
        <w:t>application</w:t>
      </w:r>
      <w:r>
        <w:rPr>
          <w:spacing w:val="-2"/>
        </w:rPr>
        <w:t> </w:t>
      </w:r>
      <w:r>
        <w:rPr/>
        <w:t>may</w:t>
      </w:r>
      <w:r>
        <w:rPr>
          <w:spacing w:val="-5"/>
        </w:rPr>
        <w:t> </w:t>
      </w:r>
      <w:r>
        <w:rPr/>
        <w:t>be</w:t>
      </w:r>
      <w:r>
        <w:rPr>
          <w:spacing w:val="-2"/>
        </w:rPr>
        <w:t> cancelled.</w:t>
      </w:r>
    </w:p>
    <w:p>
      <w:pPr>
        <w:pStyle w:val="BodyText"/>
        <w:spacing w:before="9"/>
        <w:rPr>
          <w:sz w:val="21"/>
        </w:rPr>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16"/>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8"/>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5"/>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0"/>
        <w:rPr>
          <w:b/>
          <w:sz w:val="21"/>
        </w:rPr>
      </w:pPr>
    </w:p>
    <w:p>
      <w:pPr>
        <w:pStyle w:val="ListParagraph"/>
        <w:numPr>
          <w:ilvl w:val="0"/>
          <w:numId w:val="6"/>
        </w:numPr>
        <w:tabs>
          <w:tab w:pos="1081" w:val="left" w:leader="none"/>
        </w:tabs>
        <w:spacing w:line="266" w:lineRule="exact" w:before="1"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49pt;width:5.16pt;height:.4799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30.330002pt;margin-top:24.189564pt;width:3.72pt;height:.4799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3"/>
        </w:rPr>
        <w:t> </w:t>
      </w:r>
      <w:r>
        <w:rPr/>
        <w:t>from</w:t>
      </w:r>
      <w:r>
        <w:rPr>
          <w:spacing w:val="-6"/>
        </w:rPr>
        <w:t> </w:t>
      </w:r>
      <w:r>
        <w:rPr/>
        <w:t>third</w:t>
      </w:r>
      <w:r>
        <w:rPr>
          <w:spacing w:val="-6"/>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3"/>
        </w:rPr>
        <w:t> </w:t>
      </w:r>
      <w:r>
        <w:rPr/>
        <w:t>used</w:t>
      </w:r>
      <w:r>
        <w:rPr>
          <w:spacing w:val="-4"/>
        </w:rPr>
        <w:t> </w:t>
      </w:r>
      <w:r>
        <w:rPr/>
        <w:t>for</w:t>
      </w:r>
      <w:r>
        <w:rPr>
          <w:spacing w:val="1"/>
        </w:rPr>
        <w:t> </w:t>
      </w:r>
      <w:r>
        <w:rPr/>
        <w:t>security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206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718" w:hanging="418"/>
      </w:pPr>
      <w:rPr>
        <w:rFonts w:hint="default"/>
        <w:lang w:val="en-US" w:eastAsia="en-US" w:bidi="ar-SA"/>
      </w:rPr>
    </w:lvl>
    <w:lvl w:ilvl="2">
      <w:start w:val="0"/>
      <w:numFmt w:val="bullet"/>
      <w:lvlText w:val="•"/>
      <w:lvlJc w:val="left"/>
      <w:pPr>
        <w:ind w:left="916" w:hanging="418"/>
      </w:pPr>
      <w:rPr>
        <w:rFonts w:hint="default"/>
        <w:lang w:val="en-US" w:eastAsia="en-US" w:bidi="ar-SA"/>
      </w:rPr>
    </w:lvl>
    <w:lvl w:ilvl="3">
      <w:start w:val="0"/>
      <w:numFmt w:val="bullet"/>
      <w:lvlText w:val="•"/>
      <w:lvlJc w:val="left"/>
      <w:pPr>
        <w:ind w:left="1114" w:hanging="418"/>
      </w:pPr>
      <w:rPr>
        <w:rFonts w:hint="default"/>
        <w:lang w:val="en-US" w:eastAsia="en-US" w:bidi="ar-SA"/>
      </w:rPr>
    </w:lvl>
    <w:lvl w:ilvl="4">
      <w:start w:val="0"/>
      <w:numFmt w:val="bullet"/>
      <w:lvlText w:val="•"/>
      <w:lvlJc w:val="left"/>
      <w:pPr>
        <w:ind w:left="1313" w:hanging="418"/>
      </w:pPr>
      <w:rPr>
        <w:rFonts w:hint="default"/>
        <w:lang w:val="en-US" w:eastAsia="en-US" w:bidi="ar-SA"/>
      </w:rPr>
    </w:lvl>
    <w:lvl w:ilvl="5">
      <w:start w:val="0"/>
      <w:numFmt w:val="bullet"/>
      <w:lvlText w:val="•"/>
      <w:lvlJc w:val="left"/>
      <w:pPr>
        <w:ind w:left="1511" w:hanging="418"/>
      </w:pPr>
      <w:rPr>
        <w:rFonts w:hint="default"/>
        <w:lang w:val="en-US" w:eastAsia="en-US" w:bidi="ar-SA"/>
      </w:rPr>
    </w:lvl>
    <w:lvl w:ilvl="6">
      <w:start w:val="0"/>
      <w:numFmt w:val="bullet"/>
      <w:lvlText w:val="•"/>
      <w:lvlJc w:val="left"/>
      <w:pPr>
        <w:ind w:left="1709" w:hanging="418"/>
      </w:pPr>
      <w:rPr>
        <w:rFonts w:hint="default"/>
        <w:lang w:val="en-US" w:eastAsia="en-US" w:bidi="ar-SA"/>
      </w:rPr>
    </w:lvl>
    <w:lvl w:ilvl="7">
      <w:start w:val="0"/>
      <w:numFmt w:val="bullet"/>
      <w:lvlText w:val="•"/>
      <w:lvlJc w:val="left"/>
      <w:pPr>
        <w:ind w:left="1908" w:hanging="418"/>
      </w:pPr>
      <w:rPr>
        <w:rFonts w:hint="default"/>
        <w:lang w:val="en-US" w:eastAsia="en-US" w:bidi="ar-SA"/>
      </w:rPr>
    </w:lvl>
    <w:lvl w:ilvl="8">
      <w:start w:val="0"/>
      <w:numFmt w:val="bullet"/>
      <w:lvlText w:val="•"/>
      <w:lvlJc w:val="left"/>
      <w:pPr>
        <w:ind w:left="2106" w:hanging="418"/>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Roman"/>
      <w:lvlText w:val="(%2)"/>
      <w:lvlJc w:val="left"/>
      <w:pPr>
        <w:ind w:left="1519" w:hanging="360"/>
        <w:jc w:val="left"/>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Bettina-Maria.Krome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2023-02-16T16:41:16Z</dcterms:created>
  <dcterms:modified xsi:type="dcterms:W3CDTF">2023-02-16T16:41:16Z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