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35"/>
        <w:ind w:left="1944" w:right="2279" w:firstLine="0"/>
        <w:jc w:val="center"/>
        <w:rPr>
          <w:b/>
          <w:sz w:val="24"/>
        </w:rPr>
      </w:pPr>
      <w:r>
        <w:rPr>
          <w:b/>
          <w:spacing w:val="-2"/>
          <w:sz w:val="24"/>
        </w:rPr>
        <w:t>STELLENAUSSCHREIBUNG</w:t>
      </w:r>
    </w:p>
    <w:p>
      <w:pPr>
        <w:pStyle w:val="BodyText"/>
        <w:rPr>
          <w:b/>
          <w:sz w:val="24"/>
        </w:rPr>
      </w:pPr>
    </w:p>
    <w:p>
      <w:pPr>
        <w:spacing w:before="0"/>
        <w:ind w:left="1944" w:right="2281" w:firstLine="0"/>
        <w:jc w:val="center"/>
        <w:rPr>
          <w:b/>
          <w:sz w:val="24"/>
        </w:rPr>
      </w:pPr>
      <w:r>
        <w:rPr>
          <w:b/>
          <w:sz w:val="24"/>
        </w:rPr>
        <w:t>ZUR</w:t>
      </w:r>
      <w:r>
        <w:rPr>
          <w:b/>
          <w:spacing w:val="-13"/>
          <w:sz w:val="24"/>
        </w:rPr>
        <w:t> </w:t>
      </w:r>
      <w:r>
        <w:rPr>
          <w:b/>
          <w:sz w:val="24"/>
        </w:rPr>
        <w:t>EUROPÄISCHEN</w:t>
      </w:r>
      <w:r>
        <w:rPr>
          <w:b/>
          <w:spacing w:val="-12"/>
          <w:sz w:val="24"/>
        </w:rPr>
        <w:t> </w:t>
      </w:r>
      <w:r>
        <w:rPr>
          <w:b/>
          <w:sz w:val="24"/>
        </w:rPr>
        <w:t>KOMMISSION</w:t>
      </w:r>
      <w:r>
        <w:rPr>
          <w:b/>
          <w:spacing w:val="-12"/>
          <w:sz w:val="24"/>
        </w:rPr>
        <w:t> </w:t>
      </w:r>
      <w:r>
        <w:rPr>
          <w:b/>
          <w:sz w:val="24"/>
        </w:rPr>
        <w:t>ABGEORDNETE(R) NATIONALE(R) SACHVERSTÄNDIGE(R)</w:t>
      </w:r>
    </w:p>
    <w:p>
      <w:pPr>
        <w:pStyle w:val="BodyText"/>
        <w:spacing w:before="2"/>
        <w:rPr>
          <w:b/>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655" w:hRule="atLeast"/>
        </w:trPr>
        <w:tc>
          <w:tcPr>
            <w:tcW w:w="4359" w:type="dxa"/>
          </w:tcPr>
          <w:p>
            <w:pPr>
              <w:pStyle w:val="TableParagraph"/>
              <w:spacing w:line="273" w:lineRule="exact"/>
              <w:rPr>
                <w:b/>
                <w:sz w:val="24"/>
              </w:rPr>
            </w:pPr>
            <w:r>
              <w:rPr>
                <w:b/>
                <w:sz w:val="24"/>
              </w:rPr>
              <w:t>Bezeichnung</w:t>
            </w:r>
            <w:r>
              <w:rPr>
                <w:b/>
                <w:spacing w:val="-6"/>
                <w:sz w:val="24"/>
              </w:rPr>
              <w:t> </w:t>
            </w:r>
            <w:r>
              <w:rPr>
                <w:b/>
                <w:sz w:val="24"/>
              </w:rPr>
              <w:t>der</w:t>
            </w:r>
            <w:r>
              <w:rPr>
                <w:b/>
                <w:spacing w:val="-7"/>
                <w:sz w:val="24"/>
              </w:rPr>
              <w:t> </w:t>
            </w:r>
            <w:r>
              <w:rPr>
                <w:b/>
                <w:spacing w:val="-2"/>
                <w:sz w:val="24"/>
              </w:rPr>
              <w:t>Dienststelle:</w:t>
            </w:r>
          </w:p>
          <w:p>
            <w:pPr>
              <w:pStyle w:val="TableParagraph"/>
              <w:spacing w:line="274" w:lineRule="exact"/>
              <w:rPr>
                <w:sz w:val="24"/>
              </w:rPr>
            </w:pPr>
            <w:r>
              <w:rPr>
                <w:spacing w:val="-2"/>
                <w:sz w:val="24"/>
              </w:rPr>
              <w:t>(GD-DIR-REFERAT)</w:t>
            </w:r>
          </w:p>
        </w:tc>
        <w:tc>
          <w:tcPr>
            <w:tcW w:w="5597" w:type="dxa"/>
          </w:tcPr>
          <w:p>
            <w:pPr>
              <w:pStyle w:val="TableParagraph"/>
              <w:ind w:right="1188"/>
              <w:rPr>
                <w:b/>
                <w:sz w:val="24"/>
              </w:rPr>
            </w:pPr>
            <w:r>
              <w:rPr>
                <w:b/>
                <w:sz w:val="24"/>
              </w:rPr>
              <w:t>GD Internationale Partnerschaften Politik</w:t>
            </w:r>
            <w:r>
              <w:rPr>
                <w:b/>
                <w:spacing w:val="-10"/>
                <w:sz w:val="24"/>
              </w:rPr>
              <w:t> </w:t>
            </w:r>
            <w:r>
              <w:rPr>
                <w:b/>
                <w:sz w:val="24"/>
              </w:rPr>
              <w:t>der</w:t>
            </w:r>
            <w:r>
              <w:rPr>
                <w:b/>
                <w:spacing w:val="-11"/>
                <w:sz w:val="24"/>
              </w:rPr>
              <w:t> </w:t>
            </w:r>
            <w:r>
              <w:rPr>
                <w:b/>
                <w:sz w:val="24"/>
              </w:rPr>
              <w:t>nachhaltigen</w:t>
            </w:r>
            <w:r>
              <w:rPr>
                <w:b/>
                <w:spacing w:val="-10"/>
                <w:sz w:val="24"/>
              </w:rPr>
              <w:t> </w:t>
            </w:r>
            <w:r>
              <w:rPr>
                <w:b/>
                <w:sz w:val="24"/>
              </w:rPr>
              <w:t>Entwicklung</w:t>
            </w:r>
            <w:r>
              <w:rPr>
                <w:b/>
                <w:spacing w:val="-10"/>
                <w:sz w:val="24"/>
              </w:rPr>
              <w:t> </w:t>
            </w:r>
            <w:r>
              <w:rPr>
                <w:b/>
                <w:sz w:val="24"/>
              </w:rPr>
              <w:t>und </w:t>
            </w:r>
            <w:r>
              <w:rPr>
                <w:b/>
                <w:spacing w:val="-2"/>
                <w:sz w:val="24"/>
              </w:rPr>
              <w:t>Koordinierung</w:t>
            </w:r>
          </w:p>
          <w:p>
            <w:pPr>
              <w:pStyle w:val="TableParagraph"/>
              <w:spacing w:line="270" w:lineRule="atLeast"/>
              <w:rPr>
                <w:b/>
                <w:sz w:val="24"/>
              </w:rPr>
            </w:pPr>
            <w:r>
              <w:rPr>
                <w:b/>
                <w:sz w:val="24"/>
              </w:rPr>
              <w:t>Leistung,</w:t>
            </w:r>
            <w:r>
              <w:rPr>
                <w:b/>
                <w:spacing w:val="-9"/>
                <w:sz w:val="24"/>
              </w:rPr>
              <w:t> </w:t>
            </w:r>
            <w:r>
              <w:rPr>
                <w:b/>
                <w:sz w:val="24"/>
              </w:rPr>
              <w:t>Ergebnisse</w:t>
            </w:r>
            <w:r>
              <w:rPr>
                <w:b/>
                <w:spacing w:val="-11"/>
                <w:sz w:val="24"/>
              </w:rPr>
              <w:t> </w:t>
            </w:r>
            <w:r>
              <w:rPr>
                <w:b/>
                <w:sz w:val="24"/>
              </w:rPr>
              <w:t>und</w:t>
            </w:r>
            <w:r>
              <w:rPr>
                <w:b/>
                <w:spacing w:val="-10"/>
                <w:sz w:val="24"/>
              </w:rPr>
              <w:t> </w:t>
            </w:r>
            <w:r>
              <w:rPr>
                <w:b/>
                <w:sz w:val="24"/>
              </w:rPr>
              <w:t>Evaluierung;</w:t>
            </w:r>
            <w:r>
              <w:rPr>
                <w:b/>
                <w:spacing w:val="-10"/>
                <w:sz w:val="24"/>
              </w:rPr>
              <w:t> </w:t>
            </w:r>
            <w:r>
              <w:rPr>
                <w:b/>
                <w:sz w:val="24"/>
              </w:rPr>
              <w:t>interne Kommunikation, Wissensmanagement und kooperative Methoden</w:t>
            </w:r>
          </w:p>
        </w:tc>
      </w:tr>
      <w:tr>
        <w:trPr>
          <w:trHeight w:val="197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z w:val="22"/>
              </w:rPr>
              <w:t>E-</w:t>
            </w:r>
            <w:r>
              <w:rPr>
                <w:b/>
                <w:spacing w:val="-2"/>
                <w:sz w:val="22"/>
              </w:rPr>
              <w:t>Mail:</w:t>
            </w:r>
          </w:p>
          <w:p>
            <w:pPr>
              <w:pStyle w:val="TableParagraph"/>
              <w:spacing w:line="252" w:lineRule="exact" w:before="1"/>
              <w:rPr>
                <w:b/>
                <w:sz w:val="22"/>
              </w:rPr>
            </w:pPr>
            <w:r>
              <w:rPr>
                <w:b/>
                <w:spacing w:val="-2"/>
                <w:sz w:val="22"/>
              </w:rPr>
              <w:t>Tel.:</w:t>
            </w:r>
          </w:p>
          <w:p>
            <w:pPr>
              <w:pStyle w:val="TableParagraph"/>
              <w:ind w:right="530"/>
              <w:rPr>
                <w:b/>
                <w:sz w:val="22"/>
              </w:rPr>
            </w:pPr>
            <w:r>
              <w:rPr>
                <w:b/>
                <w:sz w:val="22"/>
              </w:rPr>
              <w:t>Anzahl der zu besetzenden Stellen: Gewünschter Dienstantritt: Gewünschte</w:t>
            </w:r>
            <w:r>
              <w:rPr>
                <w:b/>
                <w:spacing w:val="-9"/>
                <w:sz w:val="22"/>
              </w:rPr>
              <w:t> </w:t>
            </w:r>
            <w:r>
              <w:rPr>
                <w:b/>
                <w:sz w:val="22"/>
              </w:rPr>
              <w:t>Dauer</w:t>
            </w:r>
            <w:r>
              <w:rPr>
                <w:b/>
                <w:spacing w:val="-9"/>
                <w:sz w:val="22"/>
              </w:rPr>
              <w:t> </w:t>
            </w:r>
            <w:r>
              <w:rPr>
                <w:b/>
                <w:sz w:val="22"/>
              </w:rPr>
              <w:t>der</w:t>
            </w:r>
            <w:r>
              <w:rPr>
                <w:b/>
                <w:spacing w:val="-9"/>
                <w:sz w:val="22"/>
              </w:rPr>
              <w:t> </w:t>
            </w:r>
            <w:r>
              <w:rPr>
                <w:b/>
                <w:sz w:val="22"/>
              </w:rPr>
              <w:t>1.</w:t>
            </w:r>
            <w:r>
              <w:rPr>
                <w:b/>
                <w:spacing w:val="-10"/>
                <w:sz w:val="22"/>
              </w:rPr>
              <w:t> </w:t>
            </w:r>
            <w:r>
              <w:rPr>
                <w:b/>
                <w:sz w:val="22"/>
              </w:rPr>
              <w:t>Abordnung: </w:t>
            </w:r>
            <w:r>
              <w:rPr>
                <w:b/>
                <w:spacing w:val="-2"/>
                <w:sz w:val="22"/>
              </w:rPr>
              <w:t>Dienstort:</w:t>
            </w:r>
          </w:p>
        </w:tc>
        <w:tc>
          <w:tcPr>
            <w:tcW w:w="5597" w:type="dxa"/>
          </w:tcPr>
          <w:p>
            <w:pPr>
              <w:pStyle w:val="TableParagraph"/>
              <w:spacing w:line="275" w:lineRule="exact"/>
              <w:rPr>
                <w:b/>
                <w:sz w:val="24"/>
              </w:rPr>
            </w:pPr>
            <w:r>
              <w:rPr>
                <w:b/>
                <w:sz w:val="24"/>
              </w:rPr>
              <w:t>Jean-Hervé</w:t>
            </w:r>
            <w:r>
              <w:rPr>
                <w:b/>
                <w:spacing w:val="-13"/>
                <w:sz w:val="24"/>
              </w:rPr>
              <w:t> </w:t>
            </w:r>
            <w:r>
              <w:rPr>
                <w:b/>
                <w:spacing w:val="-2"/>
                <w:sz w:val="24"/>
              </w:rPr>
              <w:t>RAMAT</w:t>
            </w:r>
          </w:p>
          <w:p>
            <w:pPr>
              <w:pStyle w:val="TableParagraph"/>
              <w:rPr>
                <w:b/>
                <w:sz w:val="24"/>
              </w:rPr>
            </w:pPr>
            <w:hyperlink r:id="rId7">
              <w:r>
                <w:rPr>
                  <w:b/>
                  <w:color w:val="0000FF"/>
                  <w:spacing w:val="-2"/>
                  <w:sz w:val="24"/>
                  <w:u w:val="single" w:color="0000FF"/>
                </w:rPr>
                <w:t>Jean-Herve.RAMAT@ec.europa.eu</w:t>
              </w:r>
            </w:hyperlink>
          </w:p>
          <w:p>
            <w:pPr>
              <w:pStyle w:val="TableParagraph"/>
              <w:rPr>
                <w:b/>
                <w:sz w:val="24"/>
              </w:rPr>
            </w:pPr>
            <w:r>
              <w:rPr>
                <w:b/>
                <w:sz w:val="24"/>
              </w:rPr>
              <w:t>+32</w:t>
            </w:r>
            <w:r>
              <w:rPr>
                <w:b/>
                <w:spacing w:val="-2"/>
                <w:sz w:val="24"/>
              </w:rPr>
              <w:t> </w:t>
            </w:r>
            <w:r>
              <w:rPr>
                <w:b/>
                <w:sz w:val="24"/>
              </w:rPr>
              <w:t>229-</w:t>
            </w:r>
            <w:r>
              <w:rPr>
                <w:b/>
                <w:spacing w:val="-2"/>
                <w:sz w:val="24"/>
              </w:rPr>
              <w:t>52621</w:t>
            </w:r>
          </w:p>
          <w:p>
            <w:pPr>
              <w:pStyle w:val="TableParagraph"/>
              <w:spacing w:before="10"/>
              <w:ind w:left="0"/>
              <w:rPr>
                <w:b/>
                <w:sz w:val="21"/>
              </w:rPr>
            </w:pPr>
          </w:p>
          <w:p>
            <w:pPr>
              <w:pStyle w:val="TableParagraph"/>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line="252" w:lineRule="exact" w:before="1"/>
              <w:rPr>
                <w:b/>
                <w:sz w:val="22"/>
              </w:rPr>
            </w:pPr>
            <w:r>
              <w:rPr>
                <w:b/>
                <w:sz w:val="22"/>
              </w:rPr>
              <w:t>2 </w:t>
            </w:r>
            <w:r>
              <w:rPr>
                <w:b/>
                <w:spacing w:val="-2"/>
                <w:sz w:val="22"/>
              </w:rPr>
              <w:t>Jahre(s)</w:t>
            </w:r>
            <w:r>
              <w:rPr>
                <w:b/>
                <w:spacing w:val="-2"/>
                <w:sz w:val="22"/>
                <w:vertAlign w:val="superscript"/>
              </w:rPr>
              <w:t>1</w:t>
            </w:r>
          </w:p>
          <w:p>
            <w:pPr>
              <w:pStyle w:val="TableParagraph"/>
              <w:tabs>
                <w:tab w:pos="1301" w:val="left" w:leader="none"/>
                <w:tab w:pos="2693" w:val="left" w:leader="none"/>
              </w:tabs>
              <w:spacing w:line="252" w:lineRule="exact"/>
              <w:rPr>
                <w:b/>
                <w:sz w:val="22"/>
              </w:rPr>
            </w:pPr>
            <w:r>
              <w:rPr>
                <w:b/>
                <w:sz w:val="22"/>
              </w:rPr>
              <w:t>X</w:t>
            </w:r>
            <w:r>
              <w:rPr>
                <w:b/>
                <w:spacing w:val="-1"/>
                <w:sz w:val="22"/>
              </w:rPr>
              <w:t> </w:t>
            </w:r>
            <w:r>
              <w:rPr>
                <w:b/>
                <w:spacing w:val="-2"/>
                <w:sz w:val="22"/>
              </w:rPr>
              <w:t>Brüssel</w:t>
            </w:r>
            <w:r>
              <w:rPr>
                <w:b/>
                <w:sz w:val="22"/>
              </w:rPr>
              <w:tab/>
            </w:r>
            <w:r>
              <w:rPr>
                <w:b/>
                <w:spacing w:val="-2"/>
                <w:sz w:val="22"/>
              </w:rPr>
              <w:t>Luxemburg</w:t>
            </w:r>
            <w:r>
              <w:rPr>
                <w:b/>
                <w:sz w:val="22"/>
              </w:rPr>
              <w:tab/>
              <w:t>Andere: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3334" w:val="left" w:leader="none"/>
              </w:tabs>
              <w:spacing w:before="124"/>
              <w:rPr>
                <w:b/>
                <w:sz w:val="22"/>
              </w:rPr>
            </w:pPr>
            <w:r>
              <w:rPr>
                <w:rFonts w:ascii="Calibri" w:hAnsi="Calibri"/>
                <w:sz w:val="24"/>
              </w:rPr>
              <w:t>x</w:t>
            </w:r>
            <w:r>
              <w:rPr>
                <w:rFonts w:ascii="Calibri" w:hAnsi="Calibri"/>
                <w:spacing w:val="28"/>
                <w:sz w:val="24"/>
              </w:rPr>
              <w:t>  </w:t>
            </w:r>
            <w:r>
              <w:rPr>
                <w:b/>
                <w:sz w:val="22"/>
              </w:rPr>
              <w:t>Mit </w:t>
            </w:r>
            <w:r>
              <w:rPr>
                <w:b/>
                <w:spacing w:val="-2"/>
                <w:sz w:val="22"/>
              </w:rPr>
              <w:t>Vergütungen</w:t>
            </w:r>
            <w:r>
              <w:rPr>
                <w:b/>
                <w:sz w:val="22"/>
              </w:rPr>
              <w:tab/>
            </w:r>
            <w:r>
              <w:rPr>
                <w:b/>
                <w:spacing w:val="-2"/>
                <w:sz w:val="22"/>
              </w:rPr>
              <w:t>Unentgeldlich</w:t>
            </w:r>
          </w:p>
        </w:tc>
      </w:tr>
      <w:tr>
        <w:trPr>
          <w:trHeight w:val="2111" w:hRule="atLeast"/>
        </w:trPr>
        <w:tc>
          <w:tcPr>
            <w:tcW w:w="9956" w:type="dxa"/>
            <w:gridSpan w:val="2"/>
          </w:tcPr>
          <w:p>
            <w:pPr>
              <w:pStyle w:val="TableParagraph"/>
              <w:spacing w:before="9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3"/>
                <w:sz w:val="22"/>
              </w:rPr>
              <w:t> </w:t>
            </w:r>
            <w:r>
              <w:rPr>
                <w:b/>
                <w:sz w:val="22"/>
              </w:rPr>
              <w:t>können</w:t>
            </w:r>
            <w:r>
              <w:rPr>
                <w:b/>
                <w:spacing w:val="-5"/>
                <w:sz w:val="22"/>
              </w:rPr>
              <w:t> </w:t>
            </w:r>
            <w:r>
              <w:rPr>
                <w:b/>
                <w:sz w:val="22"/>
              </w:rPr>
              <w:t>sich</w:t>
            </w:r>
            <w:r>
              <w:rPr>
                <w:b/>
                <w:spacing w:val="-4"/>
                <w:sz w:val="22"/>
              </w:rPr>
              <w:t> auch</w:t>
            </w:r>
          </w:p>
          <w:p>
            <w:pPr>
              <w:pStyle w:val="TableParagraph"/>
              <w:spacing w:before="2"/>
              <w:ind w:left="0"/>
              <w:rPr>
                <w:b/>
                <w:sz w:val="24"/>
              </w:rPr>
            </w:pPr>
          </w:p>
          <w:p>
            <w:pPr>
              <w:pStyle w:val="TableParagraph"/>
              <w:numPr>
                <w:ilvl w:val="0"/>
                <w:numId w:val="1"/>
              </w:numPr>
              <w:tabs>
                <w:tab w:pos="502" w:val="left" w:leader="none"/>
              </w:tabs>
              <w:spacing w:line="240" w:lineRule="auto" w:before="0" w:after="0"/>
              <w:ind w:left="501" w:right="0" w:hanging="397"/>
              <w:jc w:val="left"/>
              <w:rPr>
                <w:b/>
                <w:sz w:val="24"/>
              </w:rPr>
            </w:pPr>
            <w:r>
              <w:rPr>
                <w:b/>
                <w:sz w:val="24"/>
              </w:rPr>
              <w:t>Bedienstete</w:t>
            </w:r>
            <w:r>
              <w:rPr>
                <w:b/>
                <w:spacing w:val="-12"/>
                <w:sz w:val="24"/>
              </w:rPr>
              <w:t> </w:t>
            </w:r>
            <w:r>
              <w:rPr>
                <w:b/>
                <w:sz w:val="24"/>
              </w:rPr>
              <w:t>aus</w:t>
            </w:r>
            <w:r>
              <w:rPr>
                <w:b/>
                <w:spacing w:val="-9"/>
                <w:sz w:val="24"/>
              </w:rPr>
              <w:t> </w:t>
            </w:r>
            <w:r>
              <w:rPr>
                <w:b/>
                <w:sz w:val="24"/>
              </w:rPr>
              <w:t>folgenden</w:t>
            </w:r>
            <w:r>
              <w:rPr>
                <w:b/>
                <w:spacing w:val="-10"/>
                <w:sz w:val="24"/>
              </w:rPr>
              <w:t> </w:t>
            </w:r>
            <w:r>
              <w:rPr>
                <w:b/>
                <w:sz w:val="24"/>
              </w:rPr>
              <w:t>EFTA-Staaten</w:t>
            </w:r>
            <w:r>
              <w:rPr>
                <w:b/>
                <w:spacing w:val="-9"/>
                <w:sz w:val="24"/>
              </w:rPr>
              <w:t> </w:t>
            </w:r>
            <w:r>
              <w:rPr>
                <w:b/>
                <w:spacing w:val="-2"/>
                <w:sz w:val="24"/>
              </w:rPr>
              <w:t>bewerben:</w:t>
            </w:r>
          </w:p>
          <w:p>
            <w:pPr>
              <w:pStyle w:val="TableParagraph"/>
              <w:numPr>
                <w:ilvl w:val="1"/>
                <w:numId w:val="1"/>
              </w:numPr>
              <w:tabs>
                <w:tab w:pos="1102" w:val="left" w:leader="none"/>
              </w:tabs>
              <w:spacing w:line="240" w:lineRule="auto" w:before="0" w:after="0"/>
              <w:ind w:left="1101" w:right="0" w:hanging="277"/>
              <w:jc w:val="left"/>
              <w:rPr>
                <w:b/>
                <w:sz w:val="24"/>
              </w:rPr>
            </w:pPr>
            <w:r>
              <w:rPr>
                <w:b/>
                <w:sz w:val="24"/>
              </w:rPr>
              <w:t>Island</w:t>
            </w:r>
            <w:r>
              <w:rPr>
                <w:b/>
                <w:spacing w:val="46"/>
                <w:sz w:val="24"/>
              </w:rPr>
              <w:t> </w:t>
            </w:r>
            <w:r>
              <w:rPr>
                <w:rFonts w:ascii="Wingdings 2" w:hAnsi="Wingdings 2"/>
                <w:b/>
                <w:sz w:val="24"/>
              </w:rPr>
              <w:t></w:t>
            </w:r>
            <w:r>
              <w:rPr>
                <w:spacing w:val="-5"/>
                <w:sz w:val="24"/>
              </w:rPr>
              <w:t> </w:t>
            </w:r>
            <w:r>
              <w:rPr>
                <w:b/>
                <w:sz w:val="24"/>
              </w:rPr>
              <w:t>Liechtenstein</w:t>
            </w:r>
            <w:r>
              <w:rPr>
                <w:b/>
                <w:spacing w:val="-4"/>
                <w:sz w:val="24"/>
              </w:rPr>
              <w:t> </w:t>
            </w:r>
            <w:r>
              <w:rPr>
                <w:rFonts w:ascii="Wingdings 2" w:hAnsi="Wingdings 2"/>
                <w:b/>
                <w:sz w:val="24"/>
              </w:rPr>
              <w:t></w:t>
            </w:r>
            <w:r>
              <w:rPr>
                <w:b/>
                <w:sz w:val="24"/>
              </w:rPr>
              <w:t>Norwegen</w:t>
            </w:r>
            <w:r>
              <w:rPr>
                <w:b/>
                <w:spacing w:val="-8"/>
                <w:sz w:val="24"/>
              </w:rPr>
              <w:t> </w:t>
            </w:r>
            <w:r>
              <w:rPr>
                <w:rFonts w:ascii="Wingdings 2" w:hAnsi="Wingdings 2"/>
                <w:b/>
                <w:sz w:val="24"/>
              </w:rPr>
              <w:t></w:t>
            </w:r>
            <w:r>
              <w:rPr>
                <w:spacing w:val="-10"/>
                <w:sz w:val="24"/>
              </w:rPr>
              <w:t> </w:t>
            </w:r>
            <w:r>
              <w:rPr>
                <w:b/>
                <w:spacing w:val="-2"/>
                <w:sz w:val="24"/>
              </w:rPr>
              <w:t>Schweiz</w:t>
            </w:r>
          </w:p>
          <w:p>
            <w:pPr>
              <w:pStyle w:val="TableParagraph"/>
              <w:numPr>
                <w:ilvl w:val="1"/>
                <w:numId w:val="1"/>
              </w:numPr>
              <w:tabs>
                <w:tab w:pos="1102" w:val="left" w:leader="none"/>
              </w:tabs>
              <w:spacing w:line="240" w:lineRule="auto" w:before="0" w:after="0"/>
              <w:ind w:left="1101" w:right="0" w:hanging="277"/>
              <w:jc w:val="left"/>
              <w:rPr>
                <w:b/>
                <w:sz w:val="24"/>
              </w:rPr>
            </w:pPr>
            <w:r>
              <w:rPr>
                <w:b/>
                <w:spacing w:val="-2"/>
                <w:sz w:val="24"/>
              </w:rPr>
              <w:t>EFTA-EEA</w:t>
            </w:r>
            <w:r>
              <w:rPr>
                <w:b/>
                <w:spacing w:val="7"/>
                <w:sz w:val="24"/>
              </w:rPr>
              <w:t> </w:t>
            </w:r>
            <w:r>
              <w:rPr>
                <w:b/>
                <w:spacing w:val="-2"/>
                <w:sz w:val="24"/>
              </w:rPr>
              <w:t>In-Kind-Abkommen</w:t>
            </w:r>
            <w:r>
              <w:rPr>
                <w:b/>
                <w:spacing w:val="8"/>
                <w:sz w:val="24"/>
              </w:rPr>
              <w:t> </w:t>
            </w:r>
            <w:r>
              <w:rPr>
                <w:b/>
                <w:spacing w:val="-2"/>
                <w:sz w:val="24"/>
              </w:rPr>
              <w:t>(Island,</w:t>
            </w:r>
            <w:r>
              <w:rPr>
                <w:b/>
                <w:spacing w:val="8"/>
                <w:sz w:val="24"/>
              </w:rPr>
              <w:t> </w:t>
            </w:r>
            <w:r>
              <w:rPr>
                <w:b/>
                <w:spacing w:val="-2"/>
                <w:sz w:val="24"/>
              </w:rPr>
              <w:t>Liechtenstein,</w:t>
            </w:r>
            <w:r>
              <w:rPr>
                <w:b/>
                <w:spacing w:val="8"/>
                <w:sz w:val="24"/>
              </w:rPr>
              <w:t> </w:t>
            </w:r>
            <w:r>
              <w:rPr>
                <w:b/>
                <w:spacing w:val="-2"/>
                <w:sz w:val="24"/>
              </w:rPr>
              <w:t>Norwegen)</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Bedienstete</w:t>
            </w:r>
            <w:r>
              <w:rPr>
                <w:b/>
                <w:spacing w:val="-12"/>
                <w:sz w:val="24"/>
              </w:rPr>
              <w:t> </w:t>
            </w:r>
            <w:r>
              <w:rPr>
                <w:b/>
                <w:sz w:val="24"/>
              </w:rPr>
              <w:t>aus</w:t>
            </w:r>
            <w:r>
              <w:rPr>
                <w:b/>
                <w:spacing w:val="-9"/>
                <w:sz w:val="24"/>
              </w:rPr>
              <w:t> </w:t>
            </w:r>
            <w:r>
              <w:rPr>
                <w:b/>
                <w:sz w:val="24"/>
              </w:rPr>
              <w:t>folgenden</w:t>
            </w:r>
            <w:r>
              <w:rPr>
                <w:b/>
                <w:spacing w:val="-9"/>
                <w:sz w:val="24"/>
              </w:rPr>
              <w:t> </w:t>
            </w:r>
            <w:r>
              <w:rPr>
                <w:b/>
                <w:sz w:val="24"/>
              </w:rPr>
              <w:t>Drittländern</w:t>
            </w:r>
            <w:r>
              <w:rPr>
                <w:b/>
                <w:spacing w:val="-10"/>
                <w:sz w:val="24"/>
              </w:rPr>
              <w:t> </w:t>
            </w:r>
            <w:r>
              <w:rPr>
                <w:b/>
                <w:spacing w:val="-2"/>
                <w:sz w:val="24"/>
              </w:rPr>
              <w:t>bewerben:</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Bedienstete</w:t>
            </w:r>
            <w:r>
              <w:rPr>
                <w:b/>
                <w:spacing w:val="-15"/>
                <w:sz w:val="24"/>
              </w:rPr>
              <w:t> </w:t>
            </w:r>
            <w:r>
              <w:rPr>
                <w:b/>
                <w:sz w:val="24"/>
              </w:rPr>
              <w:t>folgender</w:t>
            </w:r>
            <w:r>
              <w:rPr>
                <w:b/>
                <w:spacing w:val="-14"/>
                <w:sz w:val="24"/>
              </w:rPr>
              <w:t> </w:t>
            </w:r>
            <w:r>
              <w:rPr>
                <w:b/>
                <w:sz w:val="24"/>
              </w:rPr>
              <w:t>zwischenstaatlicher</w:t>
            </w:r>
            <w:r>
              <w:rPr>
                <w:b/>
                <w:spacing w:val="-11"/>
                <w:sz w:val="24"/>
              </w:rPr>
              <w:t> </w:t>
            </w:r>
            <w:r>
              <w:rPr>
                <w:b/>
                <w:sz w:val="24"/>
              </w:rPr>
              <w:t>Organisationen</w:t>
            </w:r>
            <w:r>
              <w:rPr>
                <w:b/>
                <w:spacing w:val="-13"/>
                <w:sz w:val="24"/>
              </w:rPr>
              <w:t> </w:t>
            </w:r>
            <w:r>
              <w:rPr>
                <w:b/>
                <w:spacing w:val="-2"/>
                <w:sz w:val="24"/>
              </w:rPr>
              <w:t>bewerben:</w:t>
            </w:r>
          </w:p>
        </w:tc>
      </w:tr>
    </w:tbl>
    <w:p>
      <w:pPr>
        <w:pStyle w:val="BodyText"/>
        <w:spacing w:before="2"/>
        <w:rPr>
          <w:b/>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drawing>
          <wp:anchor distT="0" distB="0" distL="0" distR="0" allowOverlap="1" layoutInCell="1" locked="0" behindDoc="1" simplePos="0" relativeHeight="487489024">
            <wp:simplePos x="0" y="0"/>
            <wp:positionH relativeFrom="page">
              <wp:posOffset>4069969</wp:posOffset>
            </wp:positionH>
            <wp:positionV relativeFrom="paragraph">
              <wp:posOffset>-2112859</wp:posOffset>
            </wp:positionV>
            <wp:extent cx="219455" cy="155448"/>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219455" cy="155448"/>
                    </a:xfrm>
                    <a:prstGeom prst="rect">
                      <a:avLst/>
                    </a:prstGeom>
                  </pic:spPr>
                </pic:pic>
              </a:graphicData>
            </a:graphic>
          </wp:anchor>
        </w:drawing>
      </w:r>
      <w:r>
        <w:rPr/>
        <w:drawing>
          <wp:anchor distT="0" distB="0" distL="0" distR="0" allowOverlap="1" layoutInCell="1" locked="0" behindDoc="1" simplePos="0" relativeHeight="487489536">
            <wp:simplePos x="0" y="0"/>
            <wp:positionH relativeFrom="page">
              <wp:posOffset>4953889</wp:posOffset>
            </wp:positionH>
            <wp:positionV relativeFrom="paragraph">
              <wp:posOffset>-2112859</wp:posOffset>
            </wp:positionV>
            <wp:extent cx="219456" cy="155448"/>
            <wp:effectExtent l="0" t="0" r="0" b="0"/>
            <wp:wrapNone/>
            <wp:docPr id="5" name="image2.png"/>
            <wp:cNvGraphicFramePr>
              <a:graphicFrameLocks noChangeAspect="1"/>
            </wp:cNvGraphicFramePr>
            <a:graphic>
              <a:graphicData uri="http://schemas.openxmlformats.org/drawingml/2006/picture">
                <pic:pic>
                  <pic:nvPicPr>
                    <pic:cNvPr id="6" name="image2.png"/>
                    <pic:cNvPicPr/>
                  </pic:nvPicPr>
                  <pic:blipFill>
                    <a:blip r:embed="rId8" cstate="print"/>
                    <a:stretch>
                      <a:fillRect/>
                    </a:stretch>
                  </pic:blipFill>
                  <pic:spPr>
                    <a:xfrm>
                      <a:off x="0" y="0"/>
                      <a:ext cx="219456" cy="155448"/>
                    </a:xfrm>
                    <a:prstGeom prst="rect">
                      <a:avLst/>
                    </a:prstGeom>
                  </pic:spPr>
                </pic:pic>
              </a:graphicData>
            </a:graphic>
          </wp:anchor>
        </w:drawing>
      </w:r>
      <w:r>
        <w:rPr/>
        <w:drawing>
          <wp:anchor distT="0" distB="0" distL="0" distR="0" allowOverlap="1" layoutInCell="1" locked="0" behindDoc="1" simplePos="0" relativeHeight="487490048">
            <wp:simplePos x="0" y="0"/>
            <wp:positionH relativeFrom="page">
              <wp:posOffset>5327269</wp:posOffset>
            </wp:positionH>
            <wp:positionV relativeFrom="paragraph">
              <wp:posOffset>-1760815</wp:posOffset>
            </wp:positionV>
            <wp:extent cx="216408" cy="155448"/>
            <wp:effectExtent l="0" t="0" r="0" b="0"/>
            <wp:wrapNone/>
            <wp:docPr id="7" name="image3.png"/>
            <wp:cNvGraphicFramePr>
              <a:graphicFrameLocks noChangeAspect="1"/>
            </wp:cNvGraphicFramePr>
            <a:graphic>
              <a:graphicData uri="http://schemas.openxmlformats.org/drawingml/2006/picture">
                <pic:pic>
                  <pic:nvPicPr>
                    <pic:cNvPr id="8" name="image3.png"/>
                    <pic:cNvPicPr/>
                  </pic:nvPicPr>
                  <pic:blipFill>
                    <a:blip r:embed="rId9" cstate="print"/>
                    <a:stretch>
                      <a:fillRect/>
                    </a:stretch>
                  </pic:blipFill>
                  <pic:spPr>
                    <a:xfrm>
                      <a:off x="0" y="0"/>
                      <a:ext cx="216408" cy="155448"/>
                    </a:xfrm>
                    <a:prstGeom prst="rect">
                      <a:avLst/>
                    </a:prstGeom>
                  </pic:spPr>
                </pic:pic>
              </a:graphicData>
            </a:graphic>
          </wp:anchor>
        </w:drawing>
      </w: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5"/>
        <w:rPr>
          <w:b/>
          <w:sz w:val="13"/>
        </w:rPr>
      </w:pPr>
    </w:p>
    <w:p>
      <w:pPr>
        <w:pStyle w:val="BodyText"/>
        <w:spacing w:before="92"/>
        <w:ind w:left="372" w:right="104"/>
        <w:jc w:val="both"/>
      </w:pPr>
      <w:r>
        <w:rPr/>
        <w:t>Der/die ANS wird zum Referat INTPA.D4 der Generaldirektion für Internationale Partnerschaften (GD</w:t>
      </w:r>
      <w:r>
        <w:rPr>
          <w:spacing w:val="-3"/>
        </w:rPr>
        <w:t> </w:t>
      </w:r>
      <w:r>
        <w:rPr/>
        <w:t>INTPA) gehören, dessen Aufgabe es ist, die Qualität und die Wirkung der Entwicklungszusammenarbeit der EU in jeder Phase</w:t>
      </w:r>
      <w:r>
        <w:rPr>
          <w:spacing w:val="-2"/>
        </w:rPr>
        <w:t> </w:t>
      </w:r>
      <w:r>
        <w:rPr/>
        <w:t>des</w:t>
      </w:r>
      <w:r>
        <w:rPr>
          <w:spacing w:val="-2"/>
        </w:rPr>
        <w:t> </w:t>
      </w:r>
      <w:r>
        <w:rPr/>
        <w:t>Interventionszyklus zu verbessern.</w:t>
      </w:r>
      <w:r>
        <w:rPr>
          <w:spacing w:val="-3"/>
        </w:rPr>
        <w:t> </w:t>
      </w:r>
      <w:r>
        <w:rPr/>
        <w:t>Das</w:t>
      </w:r>
      <w:r>
        <w:rPr>
          <w:spacing w:val="-2"/>
        </w:rPr>
        <w:t> </w:t>
      </w:r>
      <w:r>
        <w:rPr/>
        <w:t>Referat</w:t>
      </w:r>
      <w:r>
        <w:rPr>
          <w:spacing w:val="-1"/>
        </w:rPr>
        <w:t> </w:t>
      </w:r>
      <w:r>
        <w:rPr/>
        <w:t>leitet</w:t>
      </w:r>
      <w:r>
        <w:rPr>
          <w:spacing w:val="-1"/>
        </w:rPr>
        <w:t> </w:t>
      </w:r>
      <w:r>
        <w:rPr/>
        <w:t>und</w:t>
      </w:r>
      <w:r>
        <w:rPr>
          <w:spacing w:val="-3"/>
        </w:rPr>
        <w:t> </w:t>
      </w:r>
      <w:r>
        <w:rPr/>
        <w:t>koordiniert</w:t>
      </w:r>
      <w:r>
        <w:rPr>
          <w:spacing w:val="-1"/>
        </w:rPr>
        <w:t> </w:t>
      </w:r>
      <w:r>
        <w:rPr/>
        <w:t>die evidenzbasierte Ergebnisagenda der GD</w:t>
      </w:r>
      <w:r>
        <w:rPr>
          <w:spacing w:val="-1"/>
        </w:rPr>
        <w:t> </w:t>
      </w:r>
      <w:r>
        <w:rPr/>
        <w:t>INTPA (in enger Zusammenarbeit mit der GD NEAR, dem FPI, EEAS) aus methodischer Sicht (Strategieentwicklung und Bereitstellung von Leitlinien für die Konzeption, das Monitoring sowie die Evaluierung von Maßnahmen und Messung ihrer Ergebnisse).</w:t>
      </w:r>
    </w:p>
    <w:p>
      <w:pPr>
        <w:pStyle w:val="BodyText"/>
        <w:spacing w:before="1"/>
      </w:pPr>
    </w:p>
    <w:p>
      <w:pPr>
        <w:pStyle w:val="BodyText"/>
        <w:ind w:left="372" w:right="116"/>
        <w:jc w:val="both"/>
      </w:pPr>
      <w:r>
        <w:rPr/>
        <w:t>Er/sie wird für die Organisation und Verwaltung von Tätigkeiten im Zusammenhang mit der Entwicklung bewährter Verfahren und der Verbesserung der Methodik in den Bereichen Konzeption, Monitoring und Ergebnismessung und Evaluierung zuständig sein, insbesondere was Folgendes betrifft:</w:t>
      </w:r>
    </w:p>
    <w:p>
      <w:pPr>
        <w:pStyle w:val="BodyText"/>
        <w:spacing w:before="2"/>
      </w:pP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Methoden</w:t>
      </w:r>
      <w:r>
        <w:rPr>
          <w:spacing w:val="-8"/>
          <w:sz w:val="22"/>
        </w:rPr>
        <w:t> </w:t>
      </w:r>
      <w:r>
        <w:rPr>
          <w:sz w:val="22"/>
        </w:rPr>
        <w:t>und</w:t>
      </w:r>
      <w:r>
        <w:rPr>
          <w:spacing w:val="-3"/>
          <w:sz w:val="22"/>
        </w:rPr>
        <w:t> </w:t>
      </w:r>
      <w:r>
        <w:rPr>
          <w:sz w:val="22"/>
        </w:rPr>
        <w:t>Instrumente</w:t>
      </w:r>
      <w:r>
        <w:rPr>
          <w:spacing w:val="-5"/>
          <w:sz w:val="22"/>
        </w:rPr>
        <w:t> </w:t>
      </w:r>
      <w:r>
        <w:rPr>
          <w:sz w:val="22"/>
        </w:rPr>
        <w:t>für</w:t>
      </w:r>
      <w:r>
        <w:rPr>
          <w:spacing w:val="-3"/>
          <w:sz w:val="22"/>
        </w:rPr>
        <w:t> </w:t>
      </w:r>
      <w:r>
        <w:rPr>
          <w:sz w:val="22"/>
        </w:rPr>
        <w:t>Evaluierung,</w:t>
      </w:r>
      <w:r>
        <w:rPr>
          <w:spacing w:val="-4"/>
          <w:sz w:val="22"/>
        </w:rPr>
        <w:t> </w:t>
      </w:r>
      <w:r>
        <w:rPr>
          <w:sz w:val="22"/>
        </w:rPr>
        <w:t>interne</w:t>
      </w:r>
      <w:r>
        <w:rPr>
          <w:spacing w:val="-3"/>
          <w:sz w:val="22"/>
        </w:rPr>
        <w:t> </w:t>
      </w:r>
      <w:r>
        <w:rPr>
          <w:sz w:val="22"/>
        </w:rPr>
        <w:t>Monitoring-</w:t>
      </w:r>
      <w:r>
        <w:rPr>
          <w:spacing w:val="-7"/>
          <w:sz w:val="22"/>
        </w:rPr>
        <w:t> </w:t>
      </w:r>
      <w:r>
        <w:rPr>
          <w:sz w:val="22"/>
        </w:rPr>
        <w:t>und</w:t>
      </w:r>
      <w:r>
        <w:rPr>
          <w:spacing w:val="-3"/>
          <w:sz w:val="22"/>
        </w:rPr>
        <w:t> </w:t>
      </w:r>
      <w:r>
        <w:rPr>
          <w:spacing w:val="-2"/>
          <w:sz w:val="22"/>
        </w:rPr>
        <w:t>Berichterstattungssysteme;</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Definition</w:t>
      </w:r>
      <w:r>
        <w:rPr>
          <w:spacing w:val="-6"/>
          <w:sz w:val="22"/>
        </w:rPr>
        <w:t> </w:t>
      </w:r>
      <w:r>
        <w:rPr>
          <w:sz w:val="22"/>
        </w:rPr>
        <w:t>und</w:t>
      </w:r>
      <w:r>
        <w:rPr>
          <w:spacing w:val="-8"/>
          <w:sz w:val="22"/>
        </w:rPr>
        <w:t> </w:t>
      </w:r>
      <w:r>
        <w:rPr>
          <w:sz w:val="22"/>
        </w:rPr>
        <w:t>Verbesserung</w:t>
      </w:r>
      <w:r>
        <w:rPr>
          <w:spacing w:val="-6"/>
          <w:sz w:val="22"/>
        </w:rPr>
        <w:t> </w:t>
      </w:r>
      <w:r>
        <w:rPr>
          <w:sz w:val="22"/>
        </w:rPr>
        <w:t>von</w:t>
      </w:r>
      <w:r>
        <w:rPr>
          <w:spacing w:val="-5"/>
          <w:sz w:val="22"/>
        </w:rPr>
        <w:t> </w:t>
      </w:r>
      <w:r>
        <w:rPr>
          <w:spacing w:val="-2"/>
          <w:sz w:val="22"/>
        </w:rPr>
        <w:t>Geschäftsabläufen;</w:t>
      </w:r>
    </w:p>
    <w:p>
      <w:pPr>
        <w:pStyle w:val="ListParagraph"/>
        <w:numPr>
          <w:ilvl w:val="1"/>
          <w:numId w:val="2"/>
        </w:numPr>
        <w:tabs>
          <w:tab w:pos="1092" w:val="left" w:leader="none"/>
          <w:tab w:pos="1093" w:val="left" w:leader="none"/>
          <w:tab w:pos="2569" w:val="left" w:leader="none"/>
          <w:tab w:pos="4030" w:val="left" w:leader="none"/>
          <w:tab w:pos="4567" w:val="left" w:leader="none"/>
          <w:tab w:pos="5791" w:val="left" w:leader="none"/>
          <w:tab w:pos="6374" w:val="left" w:leader="none"/>
          <w:tab w:pos="8362" w:val="left" w:leader="none"/>
          <w:tab w:pos="8911" w:val="left" w:leader="none"/>
          <w:tab w:pos="10245" w:val="left" w:leader="none"/>
        </w:tabs>
        <w:spacing w:line="240" w:lineRule="auto" w:before="0" w:after="0"/>
        <w:ind w:left="1092" w:right="105" w:hanging="361"/>
        <w:jc w:val="left"/>
        <w:rPr>
          <w:sz w:val="22"/>
        </w:rPr>
      </w:pPr>
      <w:r>
        <w:rPr>
          <w:spacing w:val="-2"/>
          <w:sz w:val="22"/>
        </w:rPr>
        <w:t>systematische</w:t>
      </w:r>
      <w:r>
        <w:rPr>
          <w:sz w:val="22"/>
        </w:rPr>
        <w:tab/>
      </w:r>
      <w:r>
        <w:rPr>
          <w:spacing w:val="-2"/>
          <w:sz w:val="22"/>
        </w:rPr>
        <w:t>Einbeziehung</w:t>
      </w:r>
      <w:r>
        <w:rPr>
          <w:sz w:val="22"/>
        </w:rPr>
        <w:tab/>
      </w:r>
      <w:r>
        <w:rPr>
          <w:spacing w:val="-4"/>
          <w:sz w:val="22"/>
        </w:rPr>
        <w:t>der</w:t>
      </w:r>
      <w:r>
        <w:rPr>
          <w:sz w:val="22"/>
        </w:rPr>
        <w:tab/>
      </w:r>
      <w:r>
        <w:rPr>
          <w:spacing w:val="-2"/>
          <w:sz w:val="22"/>
        </w:rPr>
        <w:t>Ergebnisse</w:t>
      </w:r>
      <w:r>
        <w:rPr>
          <w:sz w:val="22"/>
        </w:rPr>
        <w:tab/>
      </w:r>
      <w:r>
        <w:rPr>
          <w:spacing w:val="-4"/>
          <w:sz w:val="22"/>
        </w:rPr>
        <w:t>und</w:t>
      </w:r>
      <w:r>
        <w:rPr>
          <w:sz w:val="22"/>
        </w:rPr>
        <w:tab/>
      </w:r>
      <w:r>
        <w:rPr>
          <w:spacing w:val="-2"/>
          <w:sz w:val="22"/>
        </w:rPr>
        <w:t>Schlussfolgerungen</w:t>
      </w:r>
      <w:r>
        <w:rPr>
          <w:sz w:val="22"/>
        </w:rPr>
        <w:tab/>
      </w:r>
      <w:r>
        <w:rPr>
          <w:spacing w:val="-4"/>
          <w:sz w:val="22"/>
        </w:rPr>
        <w:t>aus</w:t>
      </w:r>
      <w:r>
        <w:rPr>
          <w:sz w:val="22"/>
        </w:rPr>
        <w:tab/>
      </w:r>
      <w:r>
        <w:rPr>
          <w:spacing w:val="-2"/>
          <w:sz w:val="22"/>
        </w:rPr>
        <w:t>Monitoring-</w:t>
      </w:r>
      <w:r>
        <w:rPr>
          <w:sz w:val="22"/>
        </w:rPr>
        <w:tab/>
      </w:r>
      <w:r>
        <w:rPr>
          <w:spacing w:val="-4"/>
          <w:sz w:val="22"/>
        </w:rPr>
        <w:t>und</w:t>
      </w:r>
      <w:r>
        <w:rPr>
          <w:spacing w:val="-4"/>
          <w:sz w:val="22"/>
        </w:rPr>
        <w:t> </w:t>
      </w:r>
      <w:r>
        <w:rPr>
          <w:sz w:val="22"/>
        </w:rPr>
        <w:t>Evaluierungsberichten in die Interventionskonzeption;</w:t>
      </w:r>
    </w:p>
    <w:p>
      <w:pPr>
        <w:pStyle w:val="ListParagraph"/>
        <w:numPr>
          <w:ilvl w:val="1"/>
          <w:numId w:val="2"/>
        </w:numPr>
        <w:tabs>
          <w:tab w:pos="1092" w:val="left" w:leader="none"/>
          <w:tab w:pos="1093" w:val="left" w:leader="none"/>
        </w:tabs>
        <w:spacing w:line="240" w:lineRule="auto" w:before="0" w:after="0"/>
        <w:ind w:left="1092" w:right="106" w:hanging="361"/>
        <w:jc w:val="left"/>
        <w:rPr>
          <w:sz w:val="22"/>
        </w:rPr>
      </w:pPr>
      <w:r>
        <w:rPr>
          <w:sz w:val="22"/>
        </w:rPr>
        <w:t>Überarbeitung</w:t>
      </w:r>
      <w:r>
        <w:rPr>
          <w:spacing w:val="-4"/>
          <w:sz w:val="22"/>
        </w:rPr>
        <w:t> </w:t>
      </w:r>
      <w:r>
        <w:rPr>
          <w:sz w:val="22"/>
        </w:rPr>
        <w:t>von</w:t>
      </w:r>
      <w:r>
        <w:rPr>
          <w:spacing w:val="-1"/>
          <w:sz w:val="22"/>
        </w:rPr>
        <w:t> </w:t>
      </w:r>
      <w:r>
        <w:rPr>
          <w:sz w:val="22"/>
        </w:rPr>
        <w:t>Ergebnisrahmenn</w:t>
      </w:r>
      <w:r>
        <w:rPr>
          <w:spacing w:val="-1"/>
          <w:sz w:val="22"/>
        </w:rPr>
        <w:t> </w:t>
      </w:r>
      <w:r>
        <w:rPr>
          <w:sz w:val="22"/>
        </w:rPr>
        <w:t>und</w:t>
      </w:r>
      <w:r>
        <w:rPr>
          <w:spacing w:val="-1"/>
          <w:sz w:val="22"/>
        </w:rPr>
        <w:t> </w:t>
      </w:r>
      <w:r>
        <w:rPr>
          <w:sz w:val="22"/>
        </w:rPr>
        <w:t>der Ergebnisberichterstattung</w:t>
      </w:r>
      <w:r>
        <w:rPr>
          <w:spacing w:val="-2"/>
          <w:sz w:val="22"/>
        </w:rPr>
        <w:t> </w:t>
      </w:r>
      <w:r>
        <w:rPr>
          <w:sz w:val="22"/>
        </w:rPr>
        <w:t>(einschließlich</w:t>
      </w:r>
      <w:r>
        <w:rPr>
          <w:spacing w:val="-1"/>
          <w:sz w:val="22"/>
        </w:rPr>
        <w:t> </w:t>
      </w:r>
      <w:r>
        <w:rPr>
          <w:sz w:val="22"/>
        </w:rPr>
        <w:t>Europäischer Fonds für nachhaltige Entwicklung (EFSD+)</w:t>
      </w:r>
    </w:p>
    <w:p>
      <w:pPr>
        <w:pStyle w:val="BodyText"/>
        <w:rPr>
          <w:sz w:val="20"/>
        </w:rPr>
      </w:pPr>
    </w:p>
    <w:p>
      <w:pPr>
        <w:pStyle w:val="BodyText"/>
        <w:rPr>
          <w:sz w:val="20"/>
        </w:rPr>
      </w:pPr>
    </w:p>
    <w:p>
      <w:pPr>
        <w:pStyle w:val="BodyText"/>
        <w:rPr>
          <w:sz w:val="20"/>
        </w:rPr>
      </w:pPr>
    </w:p>
    <w:p>
      <w:pPr>
        <w:pStyle w:val="BodyText"/>
        <w:rPr>
          <w:sz w:val="14"/>
        </w:rPr>
      </w:pPr>
      <w:r>
        <w:rPr/>
        <w:pict>
          <v:rect style="position:absolute;margin-left:42.599998pt;margin-top:9.274627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3" w:val="left" w:leader="none"/>
        </w:tabs>
        <w:spacing w:line="240" w:lineRule="auto" w:before="89" w:after="0"/>
        <w:ind w:left="1092" w:right="107" w:hanging="361"/>
        <w:jc w:val="both"/>
        <w:rPr>
          <w:sz w:val="22"/>
        </w:rPr>
      </w:pPr>
      <w:r>
        <w:rPr>
          <w:sz w:val="22"/>
        </w:rPr>
        <w:t>Unterstützung der EU-Delegationen und der Referate der GD INTPA in Bezug auf die Qualität der Ergebnisse und Indikatoren in allen Phasen des Projektzyklus, u. a. im Zusammenhang mit Strategiepapieren, Programmplanungsdokumenten, einzelnen Maßnahmendokumenten sowie</w:t>
      </w:r>
    </w:p>
    <w:p>
      <w:pPr>
        <w:pStyle w:val="ListParagraph"/>
        <w:numPr>
          <w:ilvl w:val="1"/>
          <w:numId w:val="2"/>
        </w:numPr>
        <w:tabs>
          <w:tab w:pos="1093" w:val="left" w:leader="none"/>
        </w:tabs>
        <w:spacing w:line="240" w:lineRule="auto" w:before="0" w:after="0"/>
        <w:ind w:left="1092" w:right="108" w:hanging="361"/>
        <w:jc w:val="both"/>
        <w:rPr>
          <w:sz w:val="22"/>
        </w:rPr>
      </w:pPr>
      <w:r>
        <w:rPr>
          <w:sz w:val="22"/>
        </w:rPr>
        <w:t>Beitrag zu thematischen Netzen, Arbeitsgruppen und Taskforces der GD INTPA und anderer für Außenbeziehungen zuständiger Dienststellen, die sich mit spezifischen Fragen der internationalen Zusammenarbeit und Entwicklung befassen;</w:t>
      </w:r>
    </w:p>
    <w:p>
      <w:pPr>
        <w:pStyle w:val="ListParagraph"/>
        <w:numPr>
          <w:ilvl w:val="1"/>
          <w:numId w:val="2"/>
        </w:numPr>
        <w:tabs>
          <w:tab w:pos="1093" w:val="left" w:leader="none"/>
        </w:tabs>
        <w:spacing w:line="240" w:lineRule="auto" w:before="0" w:after="0"/>
        <w:ind w:left="1092" w:right="105" w:hanging="361"/>
        <w:jc w:val="both"/>
        <w:rPr>
          <w:sz w:val="22"/>
        </w:rPr>
      </w:pPr>
      <w:r>
        <w:rPr>
          <w:sz w:val="22"/>
        </w:rPr>
        <w:t>gemeinsame Tätigkeiten mit anderen Gebern (gemeinsame Evaluierung, Ergebnisberichterstattung, Erörterungen der Methodik und andere thematische Aufgaben) sowie Monitoring-/Evaluierungsforen im Bereich der internationalen Zusammenarbeit und Entwicklung (OECD/DAC, Weltbank, VN);</w:t>
      </w:r>
    </w:p>
    <w:p>
      <w:pPr>
        <w:pStyle w:val="ListParagraph"/>
        <w:numPr>
          <w:ilvl w:val="1"/>
          <w:numId w:val="2"/>
        </w:numPr>
        <w:tabs>
          <w:tab w:pos="1093" w:val="left" w:leader="none"/>
        </w:tabs>
        <w:spacing w:line="240" w:lineRule="auto" w:before="0" w:after="0"/>
        <w:ind w:left="1092" w:right="107" w:hanging="361"/>
        <w:jc w:val="both"/>
        <w:rPr>
          <w:sz w:val="22"/>
        </w:rPr>
      </w:pPr>
      <w:r>
        <w:rPr>
          <w:sz w:val="22"/>
        </w:rPr>
        <w:t>Zusammenarbeit mit EU-Mitgliedstaaten, anderen Gebern, Finanzinstitutionen und Partnerländern bei Evaluierungen, ergebnisorientiertem Management, Qualitätssicherung und Kapazitätsaufbau</w:t>
      </w:r>
      <w:r>
        <w:rPr>
          <w:spacing w:val="40"/>
          <w:sz w:val="22"/>
        </w:rPr>
        <w:t> </w:t>
      </w:r>
      <w:r>
        <w:rPr>
          <w:sz w:val="22"/>
        </w:rPr>
        <w:t>(einschließlich Twinning-Pilotprojekten);</w:t>
      </w:r>
    </w:p>
    <w:p>
      <w:pPr>
        <w:pStyle w:val="ListParagraph"/>
        <w:numPr>
          <w:ilvl w:val="1"/>
          <w:numId w:val="2"/>
        </w:numPr>
        <w:tabs>
          <w:tab w:pos="1093" w:val="left" w:leader="none"/>
        </w:tabs>
        <w:spacing w:line="240" w:lineRule="auto" w:before="0" w:after="0"/>
        <w:ind w:left="1092" w:right="109" w:hanging="361"/>
        <w:jc w:val="both"/>
        <w:rPr>
          <w:sz w:val="22"/>
        </w:rPr>
      </w:pPr>
      <w:r>
        <w:rPr>
          <w:sz w:val="22"/>
        </w:rPr>
        <w:t>Organisation von Informationsmaßnahmen für Interessenträger und die breite Öffentlichkeit sowie Förderung von Rückmeldungen zu den legislativen, budgetären und strategischen Programmplanungsprozessen in der GD INTPA;</w:t>
      </w:r>
    </w:p>
    <w:p>
      <w:pPr>
        <w:pStyle w:val="ListParagraph"/>
        <w:numPr>
          <w:ilvl w:val="1"/>
          <w:numId w:val="2"/>
        </w:numPr>
        <w:tabs>
          <w:tab w:pos="1093" w:val="left" w:leader="none"/>
        </w:tabs>
        <w:spacing w:line="240" w:lineRule="auto" w:before="0" w:after="0"/>
        <w:ind w:left="1092" w:right="101" w:hanging="361"/>
        <w:jc w:val="both"/>
        <w:rPr>
          <w:sz w:val="22"/>
        </w:rPr>
      </w:pPr>
      <w:r>
        <w:rPr>
          <w:sz w:val="22"/>
        </w:rPr>
        <w:t>Beratung und Schulung zu Evaluierungen, Konzeptions- und Monitoringverfahren, -methoden und - techniken sowie Wissensaustausch.</w:t>
      </w:r>
    </w:p>
    <w:p>
      <w:pPr>
        <w:pStyle w:val="BodyText"/>
        <w:spacing w:before="1"/>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2"/>
        <w:rPr>
          <w:b/>
          <w:sz w:val="14"/>
        </w:rPr>
      </w:pPr>
    </w:p>
    <w:p>
      <w:pPr>
        <w:pStyle w:val="Heading1"/>
        <w:numPr>
          <w:ilvl w:val="0"/>
          <w:numId w:val="3"/>
        </w:numPr>
        <w:tabs>
          <w:tab w:pos="1040" w:val="left" w:leader="none"/>
        </w:tabs>
        <w:spacing w:line="240" w:lineRule="auto" w:before="91" w:after="0"/>
        <w:ind w:left="1039" w:right="0" w:hanging="241"/>
        <w:jc w:val="left"/>
      </w:pPr>
      <w:r>
        <w:rPr>
          <w:spacing w:val="-2"/>
        </w:rPr>
        <w:t>Zulassungskriterien</w:t>
      </w:r>
    </w:p>
    <w:p>
      <w:pPr>
        <w:pStyle w:val="BodyText"/>
        <w:spacing w:before="7"/>
        <w:rPr>
          <w:b/>
          <w:sz w:val="21"/>
        </w:rPr>
      </w:pPr>
    </w:p>
    <w:p>
      <w:pPr>
        <w:pStyle w:val="BodyText"/>
        <w:ind w:left="799" w:right="108"/>
        <w:jc w:val="both"/>
      </w:pPr>
      <w:r>
        <w:rPr/>
        <w:t>Für eine Abordnung zur Kommission sind sämtliche der folgenden Zulassungskriterien zu erfüllen. Bewerberinnen und Bewerber, die nicht alle dieser Kriterien erfüllen, werden automatisch vom Auswahlverfahren ausgeschlossen.</w:t>
      </w:r>
    </w:p>
    <w:p>
      <w:pPr>
        <w:pStyle w:val="BodyText"/>
        <w:spacing w:before="10"/>
        <w:rPr>
          <w:sz w:val="21"/>
        </w:rPr>
      </w:pPr>
    </w:p>
    <w:p>
      <w:pPr>
        <w:pStyle w:val="ListParagraph"/>
        <w:numPr>
          <w:ilvl w:val="0"/>
          <w:numId w:val="4"/>
        </w:numPr>
        <w:tabs>
          <w:tab w:pos="1081" w:val="left" w:leader="none"/>
        </w:tabs>
        <w:spacing w:line="240" w:lineRule="auto" w:before="1" w:after="0"/>
        <w:ind w:left="1080" w:right="104" w:hanging="281"/>
        <w:jc w:val="both"/>
        <w:rPr>
          <w:sz w:val="22"/>
        </w:rPr>
      </w:pPr>
      <w:r>
        <w:rPr>
          <w:sz w:val="22"/>
          <w:u w:val="single"/>
        </w:rPr>
        <w:t>Berufserfahrung</w:t>
      </w:r>
      <w:r>
        <w:rPr>
          <w:sz w:val="22"/>
        </w:rPr>
        <w:t>: Bewerberinnen und Bewerber müssen über eine mindestens dreijährige Berufserfahrung mit Aufgaben im administrativen, juristischen, naturwissenschaftlichen oder technischen Bereich in beratender oder leitender Funktion verfügen, die den Tätigkeiten der Funktionsgruppe AD der EU- Bediensteten entsprechen.</w:t>
      </w:r>
    </w:p>
    <w:p>
      <w:pPr>
        <w:pStyle w:val="BodyText"/>
        <w:spacing w:before="11"/>
        <w:rPr>
          <w:sz w:val="21"/>
        </w:rPr>
      </w:pPr>
    </w:p>
    <w:p>
      <w:pPr>
        <w:pStyle w:val="ListParagraph"/>
        <w:numPr>
          <w:ilvl w:val="0"/>
          <w:numId w:val="4"/>
        </w:numPr>
        <w:tabs>
          <w:tab w:pos="1081" w:val="left" w:leader="none"/>
        </w:tabs>
        <w:spacing w:line="240" w:lineRule="auto" w:before="0" w:after="0"/>
        <w:ind w:left="1080" w:right="104" w:hanging="281"/>
        <w:jc w:val="both"/>
        <w:rPr>
          <w:sz w:val="22"/>
        </w:rPr>
      </w:pPr>
      <w:r>
        <w:rPr>
          <w:sz w:val="22"/>
          <w:u w:val="single"/>
        </w:rPr>
        <w:t>Dienstalter</w:t>
      </w:r>
      <w:r>
        <w:rPr>
          <w:sz w:val="22"/>
        </w:rPr>
        <w:t>: Bewerberinnen und Bewerber müssen ein Dienstalter von mindestens einem Jahr bei ihrem Arbeitgeber nachweisen, d. h. vor ihrer Abordnung seit mindestens einem Jahr in einem dienst- oder vertragsrechtlichen</w:t>
      </w:r>
      <w:r>
        <w:rPr>
          <w:spacing w:val="-1"/>
          <w:sz w:val="22"/>
        </w:rPr>
        <w:t> </w:t>
      </w:r>
      <w:r>
        <w:rPr>
          <w:sz w:val="22"/>
        </w:rPr>
        <w:t>Verhältnis</w:t>
      </w:r>
      <w:r>
        <w:rPr>
          <w:spacing w:val="-1"/>
          <w:sz w:val="22"/>
        </w:rPr>
        <w:t> </w:t>
      </w:r>
      <w:r>
        <w:rPr>
          <w:sz w:val="22"/>
        </w:rPr>
        <w:t>mit einem</w:t>
      </w:r>
      <w:r>
        <w:rPr>
          <w:spacing w:val="-5"/>
          <w:sz w:val="22"/>
        </w:rPr>
        <w:t> </w:t>
      </w:r>
      <w:r>
        <w:rPr>
          <w:sz w:val="22"/>
        </w:rPr>
        <w:t>Arbeitgeber im</w:t>
      </w:r>
      <w:r>
        <w:rPr>
          <w:spacing w:val="-5"/>
          <w:sz w:val="22"/>
        </w:rPr>
        <w:t> </w:t>
      </w:r>
      <w:r>
        <w:rPr>
          <w:sz w:val="22"/>
        </w:rPr>
        <w:t>Sinne des</w:t>
      </w:r>
      <w:r>
        <w:rPr>
          <w:spacing w:val="-1"/>
          <w:sz w:val="22"/>
        </w:rPr>
        <w:t> </w:t>
      </w:r>
      <w:r>
        <w:rPr>
          <w:sz w:val="22"/>
        </w:rPr>
        <w:t>Artikels 1</w:t>
      </w:r>
      <w:r>
        <w:rPr>
          <w:spacing w:val="-1"/>
          <w:sz w:val="22"/>
        </w:rPr>
        <w:t> </w:t>
      </w:r>
      <w:r>
        <w:rPr>
          <w:sz w:val="22"/>
        </w:rPr>
        <w:t>des</w:t>
      </w:r>
      <w:r>
        <w:rPr>
          <w:spacing w:val="-3"/>
          <w:sz w:val="22"/>
        </w:rPr>
        <w:t> </w:t>
      </w:r>
      <w:r>
        <w:rPr>
          <w:sz w:val="22"/>
        </w:rPr>
        <w:t>ANS-Beschlusses</w:t>
      </w:r>
      <w:r>
        <w:rPr>
          <w:spacing w:val="-1"/>
          <w:sz w:val="22"/>
        </w:rPr>
        <w:t> </w:t>
      </w:r>
      <w:r>
        <w:rPr>
          <w:sz w:val="22"/>
        </w:rPr>
        <w:t>stehen.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Bewerberinnen und Bewerber müssen gründliche Kenntnisse in einer EU-Amtssprache und ausreichende Kenntnisse in einer weiteren EU-Amtssprache in dem für die Wahrnehmung ihrer Aufgaben erforderlichen Maß besitzen. ANS aus einem Drittland müssen nachweisen, dass sie gründliche Kenntnisse in einer für die Wahrnehmung ihrer Aufgaben erforderlichen EU-Amtssprache besitzen.</w:t>
      </w:r>
    </w:p>
    <w:p>
      <w:pPr>
        <w:pStyle w:val="BodyText"/>
        <w:spacing w:before="5"/>
      </w:pPr>
    </w:p>
    <w:p>
      <w:pPr>
        <w:pStyle w:val="Heading1"/>
        <w:numPr>
          <w:ilvl w:val="0"/>
          <w:numId w:val="3"/>
        </w:numPr>
        <w:tabs>
          <w:tab w:pos="1093" w:val="left" w:leader="none"/>
        </w:tabs>
        <w:spacing w:line="240" w:lineRule="auto" w:before="0" w:after="0"/>
        <w:ind w:left="1092" w:right="0" w:hanging="294"/>
        <w:jc w:val="left"/>
      </w:pPr>
      <w:r>
        <w:rPr>
          <w:spacing w:val="-2"/>
          <w:u w:val="single"/>
        </w:rPr>
        <w:t>Auswahlkriterien</w:t>
      </w:r>
    </w:p>
    <w:p>
      <w:pPr>
        <w:pStyle w:val="BodyText"/>
        <w:spacing w:before="8"/>
        <w:rPr>
          <w:b/>
          <w:sz w:val="13"/>
        </w:rPr>
      </w:pPr>
    </w:p>
    <w:p>
      <w:pPr>
        <w:pStyle w:val="BodyText"/>
        <w:spacing w:line="252" w:lineRule="exact" w:before="91"/>
        <w:ind w:left="1080"/>
      </w:pPr>
      <w:r>
        <w:rPr>
          <w:spacing w:val="-2"/>
          <w:u w:val="single"/>
        </w:rPr>
        <w:t>Bildungsabschluss</w:t>
      </w:r>
    </w:p>
    <w:p>
      <w:pPr>
        <w:pStyle w:val="ListParagraph"/>
        <w:numPr>
          <w:ilvl w:val="1"/>
          <w:numId w:val="3"/>
        </w:numPr>
        <w:tabs>
          <w:tab w:pos="1247" w:val="left" w:leader="none"/>
        </w:tabs>
        <w:spacing w:line="252" w:lineRule="exact" w:before="0" w:after="0"/>
        <w:ind w:left="1246" w:right="0" w:hanging="167"/>
        <w:jc w:val="left"/>
        <w:rPr>
          <w:sz w:val="22"/>
        </w:rPr>
      </w:pPr>
      <w:r>
        <w:rPr>
          <w:sz w:val="22"/>
        </w:rPr>
        <w:t>Hochschulabschluss</w:t>
      </w:r>
      <w:r>
        <w:rPr>
          <w:spacing w:val="-13"/>
          <w:sz w:val="22"/>
        </w:rPr>
        <w:t> </w:t>
      </w:r>
      <w:r>
        <w:rPr>
          <w:spacing w:val="-4"/>
          <w:sz w:val="22"/>
        </w:rPr>
        <w:t>oder</w:t>
      </w:r>
    </w:p>
    <w:p>
      <w:pPr>
        <w:pStyle w:val="ListParagraph"/>
        <w:numPr>
          <w:ilvl w:val="1"/>
          <w:numId w:val="3"/>
        </w:numPr>
        <w:tabs>
          <w:tab w:pos="1247" w:val="left" w:leader="none"/>
        </w:tabs>
        <w:spacing w:line="252" w:lineRule="exact" w:before="0" w:after="0"/>
        <w:ind w:left="1246" w:right="0" w:hanging="167"/>
        <w:jc w:val="left"/>
        <w:rPr>
          <w:sz w:val="22"/>
        </w:rPr>
      </w:pPr>
      <w:r>
        <w:rPr>
          <w:sz w:val="22"/>
        </w:rPr>
        <w:t>eine</w:t>
      </w:r>
      <w:r>
        <w:rPr>
          <w:spacing w:val="-6"/>
          <w:sz w:val="22"/>
        </w:rPr>
        <w:t> </w:t>
      </w:r>
      <w:r>
        <w:rPr>
          <w:sz w:val="22"/>
        </w:rPr>
        <w:t>gleichwertige</w:t>
      </w:r>
      <w:r>
        <w:rPr>
          <w:spacing w:val="-5"/>
          <w:sz w:val="22"/>
        </w:rPr>
        <w:t> </w:t>
      </w:r>
      <w:r>
        <w:rPr>
          <w:sz w:val="22"/>
        </w:rPr>
        <w:t>Berufsausbildung</w:t>
      </w:r>
      <w:r>
        <w:rPr>
          <w:spacing w:val="-8"/>
          <w:sz w:val="22"/>
        </w:rPr>
        <w:t> </w:t>
      </w:r>
      <w:r>
        <w:rPr>
          <w:sz w:val="22"/>
        </w:rPr>
        <w:t>oder</w:t>
      </w:r>
      <w:r>
        <w:rPr>
          <w:spacing w:val="-4"/>
          <w:sz w:val="22"/>
        </w:rPr>
        <w:t> </w:t>
      </w:r>
      <w:r>
        <w:rPr>
          <w:spacing w:val="-2"/>
          <w:sz w:val="22"/>
        </w:rPr>
        <w:t>Berufserfahrung</w:t>
      </w:r>
    </w:p>
    <w:p>
      <w:pPr>
        <w:pStyle w:val="BodyText"/>
        <w:spacing w:before="1"/>
      </w:pPr>
    </w:p>
    <w:p>
      <w:pPr>
        <w:pStyle w:val="BodyText"/>
        <w:ind w:left="1190"/>
      </w:pPr>
      <w:r>
        <w:rPr/>
        <w:t>in </w:t>
      </w:r>
      <w:r>
        <w:rPr>
          <w:spacing w:val="-2"/>
        </w:rPr>
        <w:t>Bereichen</w:t>
      </w:r>
    </w:p>
    <w:p>
      <w:pPr>
        <w:pStyle w:val="BodyText"/>
        <w:tabs>
          <w:tab w:pos="1701" w:val="left" w:leader="none"/>
          <w:tab w:pos="2926" w:val="left" w:leader="none"/>
          <w:tab w:pos="3734" w:val="left" w:leader="none"/>
          <w:tab w:pos="5814" w:val="left" w:leader="none"/>
          <w:tab w:pos="7174" w:val="left" w:leader="none"/>
          <w:tab w:pos="8191" w:val="left" w:leader="none"/>
          <w:tab w:pos="9649" w:val="left" w:leader="none"/>
        </w:tabs>
        <w:spacing w:before="1"/>
        <w:ind w:left="1080" w:right="173"/>
      </w:pPr>
      <w:r>
        <w:rPr>
          <w:spacing w:val="-4"/>
        </w:rPr>
        <w:t>wie:</w:t>
      </w:r>
      <w:r>
        <w:rPr/>
        <w:tab/>
      </w:r>
      <w:r>
        <w:rPr>
          <w:spacing w:val="-2"/>
        </w:rPr>
        <w:t>Wirtschaft,</w:t>
      </w:r>
      <w:r>
        <w:rPr/>
        <w:tab/>
      </w:r>
      <w:r>
        <w:rPr>
          <w:spacing w:val="-2"/>
        </w:rPr>
        <w:t>Recht,</w:t>
      </w:r>
      <w:r>
        <w:rPr/>
        <w:tab/>
      </w:r>
      <w:r>
        <w:rPr>
          <w:spacing w:val="-2"/>
        </w:rPr>
        <w:t>Entwicklungspolitik,</w:t>
      </w:r>
      <w:r>
        <w:rPr/>
        <w:tab/>
      </w:r>
      <w:r>
        <w:rPr>
          <w:spacing w:val="-2"/>
        </w:rPr>
        <w:t>Mathematik,</w:t>
      </w:r>
      <w:r>
        <w:rPr/>
        <w:tab/>
      </w:r>
      <w:r>
        <w:rPr>
          <w:spacing w:val="-2"/>
        </w:rPr>
        <w:t>Statistik,</w:t>
      </w:r>
      <w:r>
        <w:rPr/>
        <w:tab/>
      </w:r>
      <w:r>
        <w:rPr>
          <w:spacing w:val="-2"/>
        </w:rPr>
        <w:t>Ökonometrie,</w:t>
      </w:r>
      <w:r>
        <w:rPr/>
        <w:tab/>
      </w:r>
      <w:r>
        <w:rPr>
          <w:spacing w:val="-2"/>
        </w:rPr>
        <w:t>Finanzen, </w:t>
      </w:r>
      <w:r>
        <w:rPr/>
        <w:t>Ingenieurwesen usw.</w:t>
      </w:r>
    </w:p>
    <w:p>
      <w:pPr>
        <w:pStyle w:val="BodyText"/>
        <w:spacing w:before="11"/>
        <w:rPr>
          <w:sz w:val="21"/>
        </w:rPr>
      </w:pPr>
    </w:p>
    <w:p>
      <w:pPr>
        <w:pStyle w:val="BodyText"/>
        <w:ind w:left="1080"/>
      </w:pPr>
      <w:r>
        <w:rPr>
          <w:spacing w:val="-2"/>
          <w:u w:val="single"/>
        </w:rPr>
        <w:t>Berufserfahrung</w:t>
      </w:r>
    </w:p>
    <w:p>
      <w:pPr>
        <w:pStyle w:val="BodyText"/>
        <w:spacing w:before="1"/>
        <w:rPr>
          <w:sz w:val="14"/>
        </w:rPr>
      </w:pPr>
    </w:p>
    <w:p>
      <w:pPr>
        <w:pStyle w:val="BodyText"/>
        <w:spacing w:before="92"/>
        <w:ind w:left="1080" w:right="169"/>
        <w:jc w:val="both"/>
      </w:pPr>
      <w:r>
        <w:rPr/>
        <w:t>Drei Jahre Erfahrung im Bereich der Politik und der Programme der EU auf dem Gebiet der</w:t>
      </w:r>
      <w:r>
        <w:rPr>
          <w:spacing w:val="40"/>
        </w:rPr>
        <w:t> </w:t>
      </w:r>
      <w:r>
        <w:rPr/>
        <w:t>internationalen Zusammenarbeit und Entwicklungszusammenarbeit wird als wichtig erachtet. Erfahrung</w:t>
      </w:r>
      <w:r>
        <w:rPr>
          <w:spacing w:val="40"/>
        </w:rPr>
        <w:t> </w:t>
      </w:r>
      <w:r>
        <w:rPr/>
        <w:t>im Projektzyklusmanagement, insbesondere der Projektdurchführung und Evaluierung.</w:t>
      </w:r>
    </w:p>
    <w:p>
      <w:pPr>
        <w:pStyle w:val="BodyText"/>
        <w:spacing w:line="252" w:lineRule="exact"/>
        <w:ind w:left="1080"/>
        <w:jc w:val="both"/>
      </w:pPr>
      <w:r>
        <w:rPr/>
        <w:t>Die</w:t>
      </w:r>
      <w:r>
        <w:rPr>
          <w:spacing w:val="-7"/>
        </w:rPr>
        <w:t> </w:t>
      </w:r>
      <w:r>
        <w:rPr/>
        <w:t>Bewerberinnen</w:t>
      </w:r>
      <w:r>
        <w:rPr>
          <w:spacing w:val="-5"/>
        </w:rPr>
        <w:t> </w:t>
      </w:r>
      <w:r>
        <w:rPr/>
        <w:t>und</w:t>
      </w:r>
      <w:r>
        <w:rPr>
          <w:spacing w:val="-5"/>
        </w:rPr>
        <w:t> </w:t>
      </w:r>
      <w:r>
        <w:rPr/>
        <w:t>Bewerber</w:t>
      </w:r>
      <w:r>
        <w:rPr>
          <w:spacing w:val="-5"/>
        </w:rPr>
        <w:t> </w:t>
      </w:r>
      <w:r>
        <w:rPr/>
        <w:t>müssen</w:t>
      </w:r>
      <w:r>
        <w:rPr>
          <w:spacing w:val="-4"/>
        </w:rPr>
        <w:t> </w:t>
      </w:r>
      <w:r>
        <w:rPr/>
        <w:t>über</w:t>
      </w:r>
      <w:r>
        <w:rPr>
          <w:spacing w:val="-5"/>
        </w:rPr>
        <w:t> </w:t>
      </w:r>
      <w:r>
        <w:rPr/>
        <w:t>solide</w:t>
      </w:r>
      <w:r>
        <w:rPr>
          <w:spacing w:val="-7"/>
        </w:rPr>
        <w:t> </w:t>
      </w:r>
      <w:r>
        <w:rPr/>
        <w:t>redaktionelle</w:t>
      </w:r>
      <w:r>
        <w:rPr>
          <w:spacing w:val="-7"/>
        </w:rPr>
        <w:t> </w:t>
      </w:r>
      <w:r>
        <w:rPr/>
        <w:t>Fähigkeiten</w:t>
      </w:r>
      <w:r>
        <w:rPr>
          <w:spacing w:val="-4"/>
        </w:rPr>
        <w:t> </w:t>
      </w:r>
      <w:r>
        <w:rPr>
          <w:spacing w:val="-2"/>
        </w:rPr>
        <w:t>verfügen.</w:t>
      </w:r>
    </w:p>
    <w:p>
      <w:pPr>
        <w:spacing w:after="0" w:line="252" w:lineRule="exact"/>
        <w:jc w:val="both"/>
        <w:sectPr>
          <w:pgSz w:w="11910" w:h="16840"/>
          <w:pgMar w:header="0" w:footer="690" w:top="1020" w:bottom="880" w:left="480" w:right="740"/>
        </w:sectPr>
      </w:pPr>
    </w:p>
    <w:p>
      <w:pPr>
        <w:pStyle w:val="BodyText"/>
        <w:spacing w:before="68"/>
        <w:ind w:left="1080"/>
      </w:pPr>
      <w:r>
        <w:rPr>
          <w:u w:val="single"/>
        </w:rPr>
        <w:t>Zur</w:t>
      </w:r>
      <w:r>
        <w:rPr>
          <w:spacing w:val="-7"/>
          <w:u w:val="single"/>
        </w:rPr>
        <w:t> </w:t>
      </w:r>
      <w:r>
        <w:rPr>
          <w:u w:val="single"/>
        </w:rPr>
        <w:t>Ausübung</w:t>
      </w:r>
      <w:r>
        <w:rPr>
          <w:spacing w:val="-6"/>
          <w:u w:val="single"/>
        </w:rPr>
        <w:t> </w:t>
      </w:r>
      <w:r>
        <w:rPr>
          <w:u w:val="single"/>
        </w:rPr>
        <w:t>der</w:t>
      </w:r>
      <w:r>
        <w:rPr>
          <w:spacing w:val="-6"/>
          <w:u w:val="single"/>
        </w:rPr>
        <w:t> </w:t>
      </w:r>
      <w:r>
        <w:rPr>
          <w:u w:val="single"/>
        </w:rPr>
        <w:t>Tätigkeiten</w:t>
      </w:r>
      <w:r>
        <w:rPr>
          <w:spacing w:val="-4"/>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1080"/>
      </w:pPr>
      <w:r>
        <w:rPr/>
        <w:t>Hervorragende</w:t>
      </w:r>
      <w:r>
        <w:rPr>
          <w:spacing w:val="40"/>
        </w:rPr>
        <w:t> </w:t>
      </w:r>
      <w:r>
        <w:rPr/>
        <w:t>Kenntnisse</w:t>
      </w:r>
      <w:r>
        <w:rPr>
          <w:spacing w:val="40"/>
        </w:rPr>
        <w:t> </w:t>
      </w:r>
      <w:r>
        <w:rPr/>
        <w:t>der</w:t>
      </w:r>
      <w:r>
        <w:rPr>
          <w:spacing w:val="40"/>
        </w:rPr>
        <w:t> </w:t>
      </w:r>
      <w:r>
        <w:rPr/>
        <w:t>englischen</w:t>
      </w:r>
      <w:r>
        <w:rPr>
          <w:spacing w:val="40"/>
        </w:rPr>
        <w:t> </w:t>
      </w:r>
      <w:r>
        <w:rPr/>
        <w:t>Sprache</w:t>
      </w:r>
      <w:r>
        <w:rPr>
          <w:spacing w:val="40"/>
        </w:rPr>
        <w:t> </w:t>
      </w:r>
      <w:r>
        <w:rPr/>
        <w:t>sind</w:t>
      </w:r>
      <w:r>
        <w:rPr>
          <w:spacing w:val="40"/>
        </w:rPr>
        <w:t> </w:t>
      </w:r>
      <w:r>
        <w:rPr/>
        <w:t>unerlässlich.</w:t>
      </w:r>
      <w:r>
        <w:rPr>
          <w:spacing w:val="40"/>
        </w:rPr>
        <w:t> </w:t>
      </w:r>
      <w:r>
        <w:rPr/>
        <w:t>Gute</w:t>
      </w:r>
      <w:r>
        <w:rPr>
          <w:spacing w:val="40"/>
        </w:rPr>
        <w:t> </w:t>
      </w:r>
      <w:r>
        <w:rPr/>
        <w:t>Französischkenntnisse</w:t>
      </w:r>
      <w:r>
        <w:rPr>
          <w:spacing w:val="40"/>
        </w:rPr>
        <w:t> </w:t>
      </w:r>
      <w:r>
        <w:rPr/>
        <w:t>sind </w:t>
      </w:r>
      <w:r>
        <w:rPr>
          <w:spacing w:val="-2"/>
        </w:rPr>
        <w:t>wünschenswert.</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8"/>
        <w:rPr>
          <w:b/>
          <w:sz w:val="13"/>
        </w:rPr>
      </w:pPr>
    </w:p>
    <w:p>
      <w:pPr>
        <w:spacing w:line="240" w:lineRule="auto" w:before="91"/>
        <w:ind w:left="799" w:right="279" w:firstLine="0"/>
        <w:jc w:val="both"/>
        <w:rPr>
          <w:b/>
          <w:sz w:val="22"/>
        </w:rPr>
      </w:pPr>
      <w:r>
        <w:rPr>
          <w:sz w:val="22"/>
        </w:rPr>
        <w:t>Die Bewerberinnen und Bewerber senden ihre Bewerbung mit </w:t>
      </w:r>
      <w:r>
        <w:rPr>
          <w:b/>
          <w:sz w:val="22"/>
        </w:rPr>
        <w:t>Lebenslauf im Europass-Format </w:t>
      </w:r>
      <w:r>
        <w:rPr>
          <w:sz w:val="22"/>
        </w:rPr>
        <w:t>(</w:t>
      </w:r>
      <w:hyperlink r:id="rId10">
        <w:r>
          <w:rPr>
            <w:color w:val="0000FF"/>
            <w:sz w:val="22"/>
            <w:u w:val="single" w:color="0000FF"/>
          </w:rPr>
          <w:t>https://europass.cedefop.europa.eu/de/documents/curriculum-vitae</w:t>
        </w:r>
      </w:hyperlink>
      <w:r>
        <w:rPr>
          <w:sz w:val="22"/>
        </w:rPr>
        <w:t>) auf Englisch Französisch oder Deutsch </w:t>
      </w:r>
      <w:r>
        <w:rPr>
          <w:b/>
          <w:sz w:val="22"/>
          <w:u w:val="single"/>
        </w:rPr>
        <w:t>ausschließlich an die Ständige Vertretung/diplomatische Mission ihres Landes bei der EU</w:t>
      </w:r>
      <w:r>
        <w:rPr>
          <w:sz w:val="22"/>
        </w:rPr>
        <w:t>. Diese leitet die Bewerbungen an</w:t>
      </w:r>
      <w:r>
        <w:rPr>
          <w:spacing w:val="-1"/>
          <w:sz w:val="22"/>
        </w:rPr>
        <w:t> </w:t>
      </w:r>
      <w:r>
        <w:rPr>
          <w:sz w:val="22"/>
        </w:rPr>
        <w:t>die zuständigen</w:t>
      </w:r>
      <w:r>
        <w:rPr>
          <w:spacing w:val="-1"/>
          <w:sz w:val="22"/>
        </w:rPr>
        <w:t> </w:t>
      </w:r>
      <w:r>
        <w:rPr>
          <w:sz w:val="22"/>
        </w:rPr>
        <w:t>Kommissionsdienststellen innerhalb der von diesen vorgesehenen Frist weiter. Im Lebenslauf sind das Geburtsdatum und die Staatsangehörigkeit der Bewerberin/des Bewerbers anzugeben. </w:t>
      </w:r>
      <w:r>
        <w:rPr>
          <w:b/>
          <w:sz w:val="22"/>
        </w:rPr>
        <w:t>Bei Nichteinhaltung dieses Verfahrens oder der Fristen wird die Bewerbung automatisch </w:t>
      </w:r>
      <w:r>
        <w:rPr>
          <w:b/>
          <w:spacing w:val="-2"/>
          <w:sz w:val="22"/>
        </w:rPr>
        <w:t>ungültig.</w:t>
      </w:r>
    </w:p>
    <w:p>
      <w:pPr>
        <w:pStyle w:val="BodyText"/>
        <w:rPr>
          <w:b/>
        </w:rPr>
      </w:pPr>
    </w:p>
    <w:p>
      <w:pPr>
        <w:pStyle w:val="BodyText"/>
        <w:ind w:left="799" w:right="267"/>
        <w:jc w:val="both"/>
      </w:pPr>
      <w:r>
        <w:rPr/>
        <w:t>Die Bewerberinnen und Bewerber werden gebeten,</w:t>
      </w:r>
      <w:r>
        <w:rPr>
          <w:spacing w:val="-1"/>
        </w:rPr>
        <w:t> </w:t>
      </w:r>
      <w:r>
        <w:rPr/>
        <w:t>ihrer Bewerbung</w:t>
      </w:r>
      <w:r>
        <w:rPr>
          <w:spacing w:val="-1"/>
        </w:rPr>
        <w:t> </w:t>
      </w:r>
      <w:r>
        <w:rPr/>
        <w:t>keine anderen Dokumente (wie</w:t>
      </w:r>
      <w:r>
        <w:rPr>
          <w:spacing w:val="-1"/>
        </w:rPr>
        <w:t> </w:t>
      </w:r>
      <w:r>
        <w:rPr/>
        <w:t>Kopien des Personalausweises oder von Abschlusszeugnissen, Nachweise der Berufserfahrung usw.) beizufügen. Diese Dokumente sind gegebenenfalls in einem späteren Stadium des Auswahlverfahrens vorzulegen.</w:t>
      </w:r>
    </w:p>
    <w:p>
      <w:pPr>
        <w:pStyle w:val="BodyText"/>
        <w:ind w:left="799" w:right="892"/>
        <w:jc w:val="both"/>
      </w:pPr>
      <w:r>
        <w:rPr/>
        <w:t>Die</w:t>
      </w:r>
      <w:r>
        <w:rPr>
          <w:spacing w:val="-3"/>
        </w:rPr>
        <w:t> </w:t>
      </w:r>
      <w:r>
        <w:rPr/>
        <w:t>Bewerberinnen</w:t>
      </w:r>
      <w:r>
        <w:rPr>
          <w:spacing w:val="-3"/>
        </w:rPr>
        <w:t> </w:t>
      </w:r>
      <w:r>
        <w:rPr/>
        <w:t>und</w:t>
      </w:r>
      <w:r>
        <w:rPr>
          <w:spacing w:val="-3"/>
        </w:rPr>
        <w:t> </w:t>
      </w:r>
      <w:r>
        <w:rPr/>
        <w:t>Bewerber</w:t>
      </w:r>
      <w:r>
        <w:rPr>
          <w:spacing w:val="-3"/>
        </w:rPr>
        <w:t> </w:t>
      </w:r>
      <w:r>
        <w:rPr/>
        <w:t>werden</w:t>
      </w:r>
      <w:r>
        <w:rPr>
          <w:spacing w:val="-3"/>
        </w:rPr>
        <w:t> </w:t>
      </w:r>
      <w:r>
        <w:rPr/>
        <w:t>vom</w:t>
      </w:r>
      <w:r>
        <w:rPr>
          <w:spacing w:val="-7"/>
        </w:rPr>
        <w:t> </w:t>
      </w:r>
      <w:r>
        <w:rPr/>
        <w:t>einstellenden</w:t>
      </w:r>
      <w:r>
        <w:rPr>
          <w:spacing w:val="-3"/>
        </w:rPr>
        <w:t> </w:t>
      </w:r>
      <w:r>
        <w:rPr/>
        <w:t>Referat</w:t>
      </w:r>
      <w:r>
        <w:rPr>
          <w:spacing w:val="-4"/>
        </w:rPr>
        <w:t> </w:t>
      </w:r>
      <w:r>
        <w:rPr/>
        <w:t>über</w:t>
      </w:r>
      <w:r>
        <w:rPr>
          <w:spacing w:val="-3"/>
        </w:rPr>
        <w:t> </w:t>
      </w:r>
      <w:r>
        <w:rPr/>
        <w:t>den</w:t>
      </w:r>
      <w:r>
        <w:rPr>
          <w:spacing w:val="-3"/>
        </w:rPr>
        <w:t> </w:t>
      </w:r>
      <w:r>
        <w:rPr/>
        <w:t>Stand</w:t>
      </w:r>
      <w:r>
        <w:rPr>
          <w:spacing w:val="-3"/>
        </w:rPr>
        <w:t> </w:t>
      </w:r>
      <w:r>
        <w:rPr/>
        <w:t>ihrer</w:t>
      </w:r>
      <w:r>
        <w:rPr>
          <w:spacing w:val="-2"/>
        </w:rPr>
        <w:t> </w:t>
      </w:r>
      <w:r>
        <w:rPr/>
        <w:t>Bewerbung </w:t>
      </w:r>
      <w:r>
        <w:rPr>
          <w:spacing w:val="-2"/>
        </w:rPr>
        <w:t>informiert.</w:t>
      </w:r>
    </w:p>
    <w:p>
      <w:pPr>
        <w:pStyle w:val="ListParagraph"/>
        <w:numPr>
          <w:ilvl w:val="0"/>
          <w:numId w:val="2"/>
        </w:numPr>
        <w:tabs>
          <w:tab w:pos="800" w:val="left" w:leader="none"/>
        </w:tabs>
        <w:spacing w:line="240" w:lineRule="auto" w:before="5" w:after="0"/>
        <w:ind w:left="799" w:right="0" w:hanging="428"/>
        <w:jc w:val="both"/>
        <w:rPr>
          <w:b/>
          <w:sz w:val="24"/>
        </w:rPr>
      </w:pPr>
      <w:r>
        <w:rPr>
          <w:b/>
          <w:sz w:val="24"/>
          <w:u w:val="single"/>
        </w:rPr>
        <w:t>Bedingungen</w:t>
      </w:r>
      <w:r>
        <w:rPr>
          <w:b/>
          <w:spacing w:val="-8"/>
          <w:sz w:val="24"/>
          <w:u w:val="single"/>
        </w:rPr>
        <w:t> </w:t>
      </w:r>
      <w:r>
        <w:rPr>
          <w:b/>
          <w:sz w:val="24"/>
          <w:u w:val="single"/>
        </w:rPr>
        <w:t>für</w:t>
      </w:r>
      <w:r>
        <w:rPr>
          <w:b/>
          <w:spacing w:val="-7"/>
          <w:sz w:val="24"/>
          <w:u w:val="single"/>
        </w:rPr>
        <w:t> </w:t>
      </w:r>
      <w:r>
        <w:rPr>
          <w:b/>
          <w:sz w:val="24"/>
          <w:u w:val="single"/>
        </w:rPr>
        <w:t>die</w:t>
      </w:r>
      <w:r>
        <w:rPr>
          <w:b/>
          <w:spacing w:val="-8"/>
          <w:sz w:val="24"/>
          <w:u w:val="single"/>
        </w:rPr>
        <w:t> </w:t>
      </w:r>
      <w:r>
        <w:rPr>
          <w:b/>
          <w:sz w:val="24"/>
          <w:u w:val="single"/>
        </w:rPr>
        <w:t>Abordnung</w:t>
      </w:r>
      <w:r>
        <w:rPr>
          <w:b/>
          <w:spacing w:val="-7"/>
          <w:sz w:val="24"/>
          <w:u w:val="single"/>
        </w:rPr>
        <w:t> </w:t>
      </w:r>
      <w:r>
        <w:rPr>
          <w:b/>
          <w:sz w:val="24"/>
          <w:u w:val="single"/>
        </w:rPr>
        <w:t>als</w:t>
      </w:r>
      <w:r>
        <w:rPr>
          <w:b/>
          <w:spacing w:val="-7"/>
          <w:sz w:val="24"/>
          <w:u w:val="single"/>
        </w:rPr>
        <w:t> </w:t>
      </w:r>
      <w:r>
        <w:rPr>
          <w:b/>
          <w:sz w:val="24"/>
          <w:u w:val="single"/>
        </w:rPr>
        <w:t>nationale/r</w:t>
      </w:r>
      <w:r>
        <w:rPr>
          <w:b/>
          <w:spacing w:val="-9"/>
          <w:sz w:val="24"/>
          <w:u w:val="single"/>
        </w:rPr>
        <w:t> </w:t>
      </w:r>
      <w:r>
        <w:rPr>
          <w:b/>
          <w:spacing w:val="-2"/>
          <w:sz w:val="24"/>
          <w:u w:val="single"/>
        </w:rPr>
        <w:t>Sachverständige/r</w:t>
      </w:r>
    </w:p>
    <w:p>
      <w:pPr>
        <w:pStyle w:val="BodyText"/>
        <w:spacing w:before="6"/>
        <w:rPr>
          <w:b/>
          <w:sz w:val="13"/>
        </w:rPr>
      </w:pPr>
    </w:p>
    <w:p>
      <w:pPr>
        <w:pStyle w:val="BodyText"/>
        <w:spacing w:before="92"/>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11">
        <w:r>
          <w:rPr>
            <w:color w:val="0000FF"/>
            <w:u w:val="single" w:color="0000FF"/>
          </w:rPr>
          <w:t>http://ec.europa.eu/civil_service/job/sne/index_de.htm</w:t>
        </w:r>
      </w:hyperlink>
      <w:r>
        <w:rPr/>
        <w:t>.</w:t>
      </w:r>
    </w:p>
    <w:p>
      <w:pPr>
        <w:pStyle w:val="BodyText"/>
        <w:ind w:left="799" w:right="280"/>
        <w:jc w:val="both"/>
      </w:pPr>
      <w:r>
        <w:rPr/>
        <w:t>Die ANS bleiben während der Dauer der Abordnung bei ihrem Arbeitgeber angestellt und erhalten ihre Bezüge von diesem. Zudem sind sie während der Abordnung auch weiterhin dem nationalen Sozialversicherungssystem angeschlossen.</w:t>
      </w: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pPr>
    </w:p>
    <w:p>
      <w:pPr>
        <w:pStyle w:val="BodyText"/>
        <w:ind w:left="799" w:right="281"/>
        <w:jc w:val="both"/>
      </w:pPr>
      <w:r>
        <w:rPr/>
        <w:t>Während der Abordnung unterliegen die ANS den in den Artikeln 6 und 7 des ANS-Beschlusses vorgesehenen Verpflichtungen zur Vertraulichkeit, zur Loyalität und zum Ausschluss von </w:t>
      </w:r>
      <w:r>
        <w:rPr>
          <w:spacing w:val="-2"/>
        </w:rPr>
        <w:t>Interessenkonflikten.</w:t>
      </w:r>
    </w:p>
    <w:p>
      <w:pPr>
        <w:pStyle w:val="BodyText"/>
        <w:spacing w:before="2"/>
        <w:ind w:left="799"/>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1"/>
        </w:rPr>
        <w:t> </w:t>
      </w:r>
      <w:r>
        <w:rPr>
          <w:spacing w:val="-2"/>
        </w:rPr>
        <w:t>werden.</w:t>
      </w:r>
    </w:p>
    <w:p>
      <w:pPr>
        <w:pStyle w:val="BodyText"/>
        <w:spacing w:before="9"/>
        <w:rPr>
          <w:sz w:val="21"/>
        </w:rPr>
      </w:pPr>
    </w:p>
    <w:p>
      <w:pPr>
        <w:pStyle w:val="BodyText"/>
        <w:ind w:left="799" w:right="173"/>
      </w:pPr>
      <w:r>
        <w:rPr/>
        <w:t>Bedienstete,</w:t>
      </w:r>
      <w:r>
        <w:rPr>
          <w:spacing w:val="80"/>
          <w:w w:val="150"/>
        </w:rPr>
        <w:t> </w:t>
      </w:r>
      <w:r>
        <w:rPr/>
        <w:t>die</w:t>
      </w:r>
      <w:r>
        <w:rPr>
          <w:spacing w:val="80"/>
          <w:w w:val="150"/>
        </w:rPr>
        <w:t> </w:t>
      </w:r>
      <w:r>
        <w:rPr/>
        <w:t>in</w:t>
      </w:r>
      <w:r>
        <w:rPr>
          <w:spacing w:val="80"/>
          <w:w w:val="150"/>
        </w:rPr>
        <w:t> </w:t>
      </w:r>
      <w:r>
        <w:rPr/>
        <w:t>einer</w:t>
      </w:r>
      <w:r>
        <w:rPr>
          <w:spacing w:val="80"/>
          <w:w w:val="150"/>
        </w:rPr>
        <w:t> </w:t>
      </w:r>
      <w:r>
        <w:rPr>
          <w:b/>
        </w:rPr>
        <w:t>Delegation</w:t>
      </w:r>
      <w:r>
        <w:rPr>
          <w:b/>
          <w:spacing w:val="80"/>
          <w:w w:val="150"/>
        </w:rPr>
        <w:t> </w:t>
      </w:r>
      <w:r>
        <w:rPr>
          <w:b/>
        </w:rPr>
        <w:t>der</w:t>
      </w:r>
      <w:r>
        <w:rPr>
          <w:b/>
          <w:spacing w:val="80"/>
          <w:w w:val="150"/>
        </w:rPr>
        <w:t> </w:t>
      </w:r>
      <w:r>
        <w:rPr>
          <w:b/>
        </w:rPr>
        <w:t>Europäischen</w:t>
      </w:r>
      <w:r>
        <w:rPr>
          <w:b/>
          <w:spacing w:val="80"/>
          <w:w w:val="150"/>
        </w:rPr>
        <w:t> </w:t>
      </w:r>
      <w:r>
        <w:rPr>
          <w:b/>
        </w:rPr>
        <w:t>Union</w:t>
      </w:r>
      <w:r>
        <w:rPr>
          <w:b/>
          <w:spacing w:val="80"/>
          <w:w w:val="150"/>
        </w:rPr>
        <w:t> </w:t>
      </w:r>
      <w:r>
        <w:rPr/>
        <w:t>Dienst</w:t>
      </w:r>
      <w:r>
        <w:rPr>
          <w:spacing w:val="80"/>
          <w:w w:val="150"/>
        </w:rPr>
        <w:t> </w:t>
      </w:r>
      <w:r>
        <w:rPr/>
        <w:t>tun,</w:t>
      </w:r>
      <w:r>
        <w:rPr>
          <w:spacing w:val="80"/>
          <w:w w:val="150"/>
        </w:rPr>
        <w:t> </w:t>
      </w:r>
      <w:r>
        <w:rPr/>
        <w:t>müssen</w:t>
      </w:r>
      <w:r>
        <w:rPr>
          <w:spacing w:val="80"/>
          <w:w w:val="150"/>
        </w:rPr>
        <w:t> </w:t>
      </w:r>
      <w:r>
        <w:rPr/>
        <w:t>über</w:t>
      </w:r>
      <w:r>
        <w:rPr>
          <w:spacing w:val="80"/>
          <w:w w:val="150"/>
        </w:rPr>
        <w:t> </w:t>
      </w:r>
      <w:r>
        <w:rPr/>
        <w:t>eine Sicherheitsermächtigung (bis zum Geheimhaltungsgrad SECRET UE/EU SECRET gemäß dem Beschluss</w:t>
      </w:r>
      <w:r>
        <w:rPr>
          <w:spacing w:val="40"/>
        </w:rPr>
        <w:t> </w:t>
      </w:r>
      <w:r>
        <w:rPr/>
        <w:t>(EU, Euratom) 2015/444 der Kommission vom 13. März 2015, ABl. L 72 vom 17.3.2015, S. 53) verfügen.</w:t>
      </w:r>
      <w:r>
        <w:rPr>
          <w:spacing w:val="40"/>
        </w:rPr>
        <w:t> </w:t>
      </w:r>
      <w:r>
        <w:rPr/>
        <w:t>Der</w:t>
      </w:r>
      <w:r>
        <w:rPr>
          <w:spacing w:val="40"/>
        </w:rPr>
        <w:t> </w:t>
      </w:r>
      <w:r>
        <w:rPr/>
        <w:t>ausgewählte</w:t>
      </w:r>
      <w:r>
        <w:rPr>
          <w:spacing w:val="40"/>
        </w:rPr>
        <w:t> </w:t>
      </w:r>
      <w:r>
        <w:rPr/>
        <w:t>Bewerber</w:t>
      </w:r>
      <w:r>
        <w:rPr>
          <w:spacing w:val="40"/>
        </w:rPr>
        <w:t> </w:t>
      </w:r>
      <w:r>
        <w:rPr/>
        <w:t>ist</w:t>
      </w:r>
      <w:r>
        <w:rPr>
          <w:spacing w:val="40"/>
        </w:rPr>
        <w:t> </w:t>
      </w:r>
      <w:r>
        <w:rPr/>
        <w:t>verpflichtet,</w:t>
      </w:r>
      <w:r>
        <w:rPr>
          <w:spacing w:val="40"/>
        </w:rPr>
        <w:t> </w:t>
      </w:r>
      <w:r>
        <w:rPr/>
        <w:t>das</w:t>
      </w:r>
      <w:r>
        <w:rPr>
          <w:spacing w:val="40"/>
        </w:rPr>
        <w:t> </w:t>
      </w:r>
      <w:r>
        <w:rPr/>
        <w:t>Überprüfungsverfahren</w:t>
      </w:r>
      <w:r>
        <w:rPr>
          <w:spacing w:val="40"/>
        </w:rPr>
        <w:t> </w:t>
      </w:r>
      <w:r>
        <w:rPr/>
        <w:t>einzuleiten,</w:t>
      </w:r>
      <w:r>
        <w:rPr>
          <w:spacing w:val="40"/>
        </w:rPr>
        <w:t> </w:t>
      </w:r>
      <w:r>
        <w:rPr/>
        <w:t>bevor</w:t>
      </w:r>
      <w:r>
        <w:rPr>
          <w:spacing w:val="40"/>
        </w:rPr>
        <w:t> </w:t>
      </w:r>
      <w:r>
        <w:rPr/>
        <w:t>die</w:t>
      </w:r>
      <w:r>
        <w:rPr>
          <w:spacing w:val="40"/>
        </w:rPr>
        <w:t> </w:t>
      </w:r>
      <w:r>
        <w:rPr/>
        <w:t>Abordnung bestätigt wird.</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6"/>
        <w:rPr>
          <w:b/>
          <w:sz w:val="13"/>
        </w:rPr>
      </w:pPr>
    </w:p>
    <w:p>
      <w:pPr>
        <w:pStyle w:val="BodyText"/>
        <w:spacing w:before="92"/>
        <w:ind w:left="799" w:right="283"/>
        <w:jc w:val="both"/>
      </w:pPr>
      <w:r>
        <w:rPr/>
        <w:t>Bei der Durchführung</w:t>
      </w:r>
      <w:r>
        <w:rPr>
          <w:spacing w:val="-3"/>
        </w:rPr>
        <w:t> </w:t>
      </w:r>
      <w:r>
        <w:rPr/>
        <w:t>des</w:t>
      </w:r>
      <w:r>
        <w:rPr>
          <w:spacing w:val="-2"/>
        </w:rPr>
        <w:t> </w:t>
      </w:r>
      <w:r>
        <w:rPr/>
        <w:t>Auswahlverfahrens, der Abordnung</w:t>
      </w:r>
      <w:r>
        <w:rPr>
          <w:spacing w:val="-3"/>
        </w:rPr>
        <w:t> </w:t>
      </w:r>
      <w:r>
        <w:rPr/>
        <w:t>und der Beendigung</w:t>
      </w:r>
      <w:r>
        <w:rPr>
          <w:spacing w:val="-3"/>
        </w:rPr>
        <w:t> </w:t>
      </w:r>
      <w:r>
        <w:rPr/>
        <w:t>der Abordnung</w:t>
      </w:r>
      <w:r>
        <w:rPr>
          <w:spacing w:val="-3"/>
        </w:rPr>
        <w:t> </w:t>
      </w:r>
      <w:r>
        <w:rPr/>
        <w:t>der ANS verarbeiten die zuständigen Dienststellen der GD HR, der GD</w:t>
      </w:r>
      <w:r>
        <w:rPr>
          <w:spacing w:val="-3"/>
        </w:rPr>
        <w:t> </w:t>
      </w:r>
      <w:r>
        <w:rPr/>
        <w:t>BUDG, des PMO und der ausschreibenden GD personenbezogene Daten der ANS unter der Verantwortung des Leiters des Referats HR.DDG.B4. Die Datenverarbeitung unterliegt dem ANS-Beschluss sowie der Verordnung (EU) Nr. 2018/1725.</w:t>
      </w:r>
    </w:p>
    <w:p>
      <w:pPr>
        <w:pStyle w:val="BodyText"/>
        <w:spacing w:before="1"/>
        <w:ind w:left="799" w:right="290"/>
        <w:jc w:val="both"/>
      </w:pPr>
      <w:r>
        <w:rPr/>
        <w:t>Die Daten der ANS werden nach der Abordnung zehn Jahre aufbewahrt (zwei Jahre im Falle von ANS, deren Bewerbung zurückgezogen oder nicht berücksichtigt wurde).</w:t>
      </w:r>
    </w:p>
    <w:p>
      <w:pPr>
        <w:pStyle w:val="BodyText"/>
        <w:ind w:left="799" w:right="280"/>
        <w:jc w:val="both"/>
      </w:pPr>
      <w:r>
        <w:rPr/>
        <w:t>Als „betroffene Person“ haben Sie gemäß Kapitel</w:t>
      </w:r>
      <w:r>
        <w:rPr>
          <w:spacing w:val="-2"/>
        </w:rPr>
        <w:t> </w:t>
      </w:r>
      <w:r>
        <w:rPr/>
        <w:t>III (Artikel 14-25) der Verordnung (EU) Nr. 2018/1725 insbesondere das Recht auf Einsicht, Berichtigung oder Löschung Ihrer personenbezogenen Daten und das Recht auf Einschränkung der Verarbeitung dieser Daten. Gegebenenfalls haben Sie auch das Recht auf Widerspruch gegen die Verarbeitung Ihrer personenbezogenen Daten oder das Recht auf </w:t>
      </w:r>
      <w:r>
        <w:rPr>
          <w:spacing w:val="-2"/>
        </w:rPr>
        <w:t>Datenübertragbarkeit.</w:t>
      </w:r>
    </w:p>
    <w:p>
      <w:pPr>
        <w:spacing w:after="0"/>
        <w:jc w:val="both"/>
        <w:sectPr>
          <w:pgSz w:w="11910" w:h="16840"/>
          <w:pgMar w:header="0" w:footer="690" w:top="1040" w:bottom="880" w:left="480" w:right="740"/>
        </w:sectPr>
      </w:pPr>
    </w:p>
    <w:p>
      <w:pPr>
        <w:pStyle w:val="BodyText"/>
        <w:spacing w:before="68"/>
        <w:ind w:left="799" w:right="283"/>
        <w:jc w:val="both"/>
      </w:pPr>
      <w:r>
        <w:rPr/>
        <w:t>Sie können diese Rechte ausüben, indem Sie Kontakt mit dem Datenverantwortlichen oder, im Konfliktfall, mit dem Datenschutzbeauftragten aufnehmen. Wenn nötig, können Sie sich auch an den Europäischen Datenschutzbeauftragten wenden. Die entsprechenden Kontaktinformationen finden Sie nachstehend.</w:t>
      </w:r>
    </w:p>
    <w:p>
      <w:pPr>
        <w:pStyle w:val="BodyText"/>
        <w:spacing w:before="6"/>
      </w:pPr>
    </w:p>
    <w:p>
      <w:pPr>
        <w:pStyle w:val="Heading1"/>
        <w:ind w:left="799" w:firstLine="0"/>
      </w:pPr>
      <w:r>
        <w:rPr>
          <w:spacing w:val="-2"/>
          <w:u w:val="single"/>
        </w:rPr>
        <w:t>Kontaktinformationen</w:t>
      </w:r>
    </w:p>
    <w:p>
      <w:pPr>
        <w:pStyle w:val="BodyText"/>
        <w:spacing w:before="1"/>
        <w:rPr>
          <w:b/>
        </w:rPr>
      </w:pPr>
    </w:p>
    <w:p>
      <w:pPr>
        <w:pStyle w:val="ListParagraph"/>
        <w:numPr>
          <w:ilvl w:val="0"/>
          <w:numId w:val="5"/>
        </w:numPr>
        <w:tabs>
          <w:tab w:pos="1093" w:val="left" w:leader="none"/>
        </w:tabs>
        <w:spacing w:line="240" w:lineRule="auto" w:before="0" w:after="0"/>
        <w:ind w:left="1092" w:right="0" w:hanging="294"/>
        <w:jc w:val="both"/>
        <w:rPr>
          <w:b/>
          <w:sz w:val="22"/>
        </w:rPr>
      </w:pPr>
      <w:r>
        <w:rPr>
          <w:b/>
          <w:spacing w:val="-2"/>
          <w:sz w:val="22"/>
        </w:rPr>
        <w:t>Datenverantwortlicher</w:t>
      </w:r>
    </w:p>
    <w:p>
      <w:pPr>
        <w:pStyle w:val="BodyText"/>
        <w:spacing w:before="33"/>
        <w:ind w:left="1080" w:right="286"/>
        <w:jc w:val="both"/>
      </w:pPr>
      <w:r>
        <w:rPr/>
        <w:t>Wenn Sie Ihre Rechte gemäß der Verordnung (EU) 2018/1725 ausüben möchten, Kommentare, Fragen oder Bedenken haben oder eine Beschwerde bezüglich der Erhebung und Verwendung Ihrer personenbezogenen Daten einreichen möchten, wenden Sie sich bitte an den für die Datenverarbeitung Verantwortlichen, HR.DDG.B.4‚ </w:t>
      </w:r>
      <w:hyperlink r:id="rId12">
        <w:r>
          <w:rPr>
            <w:color w:val="0000FF"/>
            <w:u w:val="single" w:color="0000FF"/>
          </w:rPr>
          <w:t>HR-MAIL-B4@ec.europa.eu</w:t>
        </w:r>
      </w:hyperlink>
      <w:r>
        <w:rPr/>
        <w:t>.</w:t>
      </w:r>
    </w:p>
    <w:p>
      <w:pPr>
        <w:pStyle w:val="BodyText"/>
        <w:spacing w:before="6"/>
      </w:pPr>
    </w:p>
    <w:p>
      <w:pPr>
        <w:pStyle w:val="Heading1"/>
        <w:numPr>
          <w:ilvl w:val="0"/>
          <w:numId w:val="5"/>
        </w:numPr>
        <w:tabs>
          <w:tab w:pos="1093" w:val="left" w:leader="none"/>
        </w:tabs>
        <w:spacing w:line="240" w:lineRule="auto" w:before="0" w:after="0"/>
        <w:ind w:left="1092" w:right="0" w:hanging="296"/>
        <w:jc w:val="both"/>
      </w:pPr>
      <w:r>
        <w:rPr/>
        <w:t>Datenschutzbeauftragter</w:t>
      </w:r>
      <w:r>
        <w:rPr>
          <w:spacing w:val="-9"/>
        </w:rPr>
        <w:t> </w:t>
      </w:r>
      <w:r>
        <w:rPr/>
        <w:t>der</w:t>
      </w:r>
      <w:r>
        <w:rPr>
          <w:spacing w:val="-7"/>
        </w:rPr>
        <w:t> </w:t>
      </w:r>
      <w:r>
        <w:rPr/>
        <w:t>Europäischen</w:t>
      </w:r>
      <w:r>
        <w:rPr>
          <w:spacing w:val="-9"/>
        </w:rPr>
        <w:t> </w:t>
      </w:r>
      <w:r>
        <w:rPr>
          <w:spacing w:val="-2"/>
        </w:rPr>
        <w:t>Kommission</w:t>
      </w:r>
    </w:p>
    <w:p>
      <w:pPr>
        <w:pStyle w:val="BodyText"/>
        <w:spacing w:before="32"/>
        <w:ind w:left="1080" w:right="279"/>
        <w:jc w:val="both"/>
      </w:pPr>
      <w:r>
        <w:rPr/>
        <w:t>Für Fragen im Zusammenhang mit der Verarbeitung Ihrer personenbezogenen Daten gemäß der Verordnung (EU) 2018/1725 können Sie sich an den Datenschutzbeauftragten (</w:t>
      </w:r>
      <w:hyperlink r:id="rId13">
        <w:r>
          <w:rPr>
            <w:color w:val="0000FF"/>
            <w:u w:val="single" w:color="0000FF"/>
          </w:rPr>
          <w:t>DATA-PROTECTION-</w:t>
        </w:r>
      </w:hyperlink>
      <w:r>
        <w:rPr>
          <w:color w:val="0000FF"/>
        </w:rPr>
        <w:t> </w:t>
      </w:r>
      <w:hyperlink r:id="rId13">
        <w:r>
          <w:rPr>
            <w:color w:val="0000FF"/>
            <w:u w:val="single" w:color="0000FF"/>
          </w:rPr>
          <w:t>OFFICER@ec.europa.eu</w:t>
        </w:r>
      </w:hyperlink>
      <w:r>
        <w:rPr/>
        <w:t>) wenden.</w:t>
      </w:r>
    </w:p>
    <w:p>
      <w:pPr>
        <w:pStyle w:val="BodyText"/>
        <w:spacing w:before="5"/>
      </w:pPr>
    </w:p>
    <w:p>
      <w:pPr>
        <w:pStyle w:val="Heading1"/>
        <w:numPr>
          <w:ilvl w:val="0"/>
          <w:numId w:val="5"/>
        </w:numPr>
        <w:tabs>
          <w:tab w:pos="1093" w:val="left" w:leader="none"/>
        </w:tabs>
        <w:spacing w:line="240" w:lineRule="auto" w:before="0" w:after="0"/>
        <w:ind w:left="1092" w:right="0" w:hanging="296"/>
        <w:jc w:val="both"/>
      </w:pPr>
      <w:r>
        <w:rPr/>
        <w:t>Europäischer</w:t>
      </w:r>
      <w:r>
        <w:rPr>
          <w:spacing w:val="-3"/>
        </w:rPr>
        <w:t> </w:t>
      </w:r>
      <w:r>
        <w:rPr>
          <w:spacing w:val="-2"/>
        </w:rPr>
        <w:t>Datenschutzbeauftragter</w:t>
      </w:r>
    </w:p>
    <w:p>
      <w:pPr>
        <w:pStyle w:val="BodyText"/>
        <w:spacing w:before="33"/>
        <w:ind w:left="1080" w:right="281"/>
        <w:jc w:val="both"/>
      </w:pPr>
      <w:r>
        <w:rPr/>
        <w:t>Sie haben das Recht, Beschwerde beim Europäischen Datenschutzbeauftragten (</w:t>
      </w:r>
      <w:hyperlink r:id="rId14">
        <w:r>
          <w:rPr>
            <w:color w:val="0000FF"/>
            <w:u w:val="single" w:color="0000FF"/>
          </w:rPr>
          <w:t>edps@edps.europa.eu</w:t>
        </w:r>
      </w:hyperlink>
      <w:r>
        <w:rPr/>
        <w:t>) einzulegen, wenn Sie der Ansicht sind, dass die Verarbeitung Ihrer personenbezogenen Daten durch den Datenverantwortlichen zu einer Verletzung Ihrer Rechte gemäß der Verordnung (EU) 2018/1725 geführt </w:t>
      </w:r>
      <w:r>
        <w:rPr>
          <w:spacing w:val="-4"/>
        </w:rPr>
        <w:t>hat.</w:t>
      </w:r>
    </w:p>
    <w:p>
      <w:pPr>
        <w:pStyle w:val="BodyText"/>
        <w:spacing w:before="1"/>
        <w:ind w:left="1080" w:right="112"/>
        <w:jc w:val="both"/>
      </w:pPr>
      <w:r>
        <w:rPr/>
        <w:t>Hinweis für Bewerberinnen und Bewerber aus Drittländern: Ihre personenbezogenen Daten können bei Bedarf überprüft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100006pt;margin-top:796.435425pt;width:56.9pt;height:10.95pt;mso-position-horizontal-relative:page;mso-position-vertical-relative:page;z-index:-15827968" type="#_x0000_t202" id="docshape1" filled="false" stroked="false">
          <v:textbox inset="0,0,0,0">
            <w:txbxContent>
              <w:p>
                <w:pPr>
                  <w:spacing w:before="14"/>
                  <w:ind w:left="20" w:right="0" w:firstLine="0"/>
                  <w:jc w:val="left"/>
                  <w:rPr>
                    <w:sz w:val="16"/>
                  </w:rPr>
                </w:pPr>
                <w:r>
                  <w:rPr>
                    <w:sz w:val="16"/>
                  </w:rPr>
                  <w:t>Fassung</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92" w:hanging="293"/>
      </w:pPr>
      <w:rPr>
        <w:rFonts w:hint="default" w:ascii="Verdana" w:hAnsi="Verdana" w:eastAsia="Verdana" w:cs="Verdana"/>
        <w:b w:val="0"/>
        <w:bCs w:val="0"/>
        <w:i w:val="0"/>
        <w:iCs w:val="0"/>
        <w:w w:val="100"/>
        <w:sz w:val="22"/>
        <w:szCs w:val="22"/>
        <w:lang w:val="de-DE" w:eastAsia="en-US" w:bidi="ar-SA"/>
      </w:rPr>
    </w:lvl>
    <w:lvl w:ilvl="1">
      <w:start w:val="0"/>
      <w:numFmt w:val="bullet"/>
      <w:lvlText w:val="•"/>
      <w:lvlJc w:val="left"/>
      <w:pPr>
        <w:ind w:left="2058" w:hanging="293"/>
      </w:pPr>
      <w:rPr>
        <w:rFonts w:hint="default"/>
        <w:lang w:val="de-DE" w:eastAsia="en-US" w:bidi="ar-SA"/>
      </w:rPr>
    </w:lvl>
    <w:lvl w:ilvl="2">
      <w:start w:val="0"/>
      <w:numFmt w:val="bullet"/>
      <w:lvlText w:val="•"/>
      <w:lvlJc w:val="left"/>
      <w:pPr>
        <w:ind w:left="3017" w:hanging="293"/>
      </w:pPr>
      <w:rPr>
        <w:rFonts w:hint="default"/>
        <w:lang w:val="de-DE" w:eastAsia="en-US" w:bidi="ar-SA"/>
      </w:rPr>
    </w:lvl>
    <w:lvl w:ilvl="3">
      <w:start w:val="0"/>
      <w:numFmt w:val="bullet"/>
      <w:lvlText w:val="•"/>
      <w:lvlJc w:val="left"/>
      <w:pPr>
        <w:ind w:left="3975" w:hanging="293"/>
      </w:pPr>
      <w:rPr>
        <w:rFonts w:hint="default"/>
        <w:lang w:val="de-DE" w:eastAsia="en-US" w:bidi="ar-SA"/>
      </w:rPr>
    </w:lvl>
    <w:lvl w:ilvl="4">
      <w:start w:val="0"/>
      <w:numFmt w:val="bullet"/>
      <w:lvlText w:val="•"/>
      <w:lvlJc w:val="left"/>
      <w:pPr>
        <w:ind w:left="4934" w:hanging="293"/>
      </w:pPr>
      <w:rPr>
        <w:rFonts w:hint="default"/>
        <w:lang w:val="de-DE" w:eastAsia="en-US" w:bidi="ar-SA"/>
      </w:rPr>
    </w:lvl>
    <w:lvl w:ilvl="5">
      <w:start w:val="0"/>
      <w:numFmt w:val="bullet"/>
      <w:lvlText w:val="•"/>
      <w:lvlJc w:val="left"/>
      <w:pPr>
        <w:ind w:left="5893" w:hanging="293"/>
      </w:pPr>
      <w:rPr>
        <w:rFonts w:hint="default"/>
        <w:lang w:val="de-DE" w:eastAsia="en-US" w:bidi="ar-SA"/>
      </w:rPr>
    </w:lvl>
    <w:lvl w:ilvl="6">
      <w:start w:val="0"/>
      <w:numFmt w:val="bullet"/>
      <w:lvlText w:val="•"/>
      <w:lvlJc w:val="left"/>
      <w:pPr>
        <w:ind w:left="6851" w:hanging="293"/>
      </w:pPr>
      <w:rPr>
        <w:rFonts w:hint="default"/>
        <w:lang w:val="de-DE" w:eastAsia="en-US" w:bidi="ar-SA"/>
      </w:rPr>
    </w:lvl>
    <w:lvl w:ilvl="7">
      <w:start w:val="0"/>
      <w:numFmt w:val="bullet"/>
      <w:lvlText w:val="•"/>
      <w:lvlJc w:val="left"/>
      <w:pPr>
        <w:ind w:left="7810" w:hanging="293"/>
      </w:pPr>
      <w:rPr>
        <w:rFonts w:hint="default"/>
        <w:lang w:val="de-DE" w:eastAsia="en-US" w:bidi="ar-SA"/>
      </w:rPr>
    </w:lvl>
    <w:lvl w:ilvl="8">
      <w:start w:val="0"/>
      <w:numFmt w:val="bullet"/>
      <w:lvlText w:val="•"/>
      <w:lvlJc w:val="left"/>
      <w:pPr>
        <w:ind w:left="8769" w:hanging="293"/>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46" w:hanging="166"/>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89" w:hanging="166"/>
      </w:pPr>
      <w:rPr>
        <w:rFonts w:hint="default"/>
        <w:lang w:val="de-DE" w:eastAsia="en-US" w:bidi="ar-SA"/>
      </w:rPr>
    </w:lvl>
    <w:lvl w:ilvl="3">
      <w:start w:val="0"/>
      <w:numFmt w:val="bullet"/>
      <w:lvlText w:val="•"/>
      <w:lvlJc w:val="left"/>
      <w:pPr>
        <w:ind w:left="3339" w:hanging="166"/>
      </w:pPr>
      <w:rPr>
        <w:rFonts w:hint="default"/>
        <w:lang w:val="de-DE" w:eastAsia="en-US" w:bidi="ar-SA"/>
      </w:rPr>
    </w:lvl>
    <w:lvl w:ilvl="4">
      <w:start w:val="0"/>
      <w:numFmt w:val="bullet"/>
      <w:lvlText w:val="•"/>
      <w:lvlJc w:val="left"/>
      <w:pPr>
        <w:ind w:left="4388" w:hanging="166"/>
      </w:pPr>
      <w:rPr>
        <w:rFonts w:hint="default"/>
        <w:lang w:val="de-DE" w:eastAsia="en-US" w:bidi="ar-SA"/>
      </w:rPr>
    </w:lvl>
    <w:lvl w:ilvl="5">
      <w:start w:val="0"/>
      <w:numFmt w:val="bullet"/>
      <w:lvlText w:val="•"/>
      <w:lvlJc w:val="left"/>
      <w:pPr>
        <w:ind w:left="5438" w:hanging="166"/>
      </w:pPr>
      <w:rPr>
        <w:rFonts w:hint="default"/>
        <w:lang w:val="de-DE" w:eastAsia="en-US" w:bidi="ar-SA"/>
      </w:rPr>
    </w:lvl>
    <w:lvl w:ilvl="6">
      <w:start w:val="0"/>
      <w:numFmt w:val="bullet"/>
      <w:lvlText w:val="•"/>
      <w:lvlJc w:val="left"/>
      <w:pPr>
        <w:ind w:left="6488" w:hanging="166"/>
      </w:pPr>
      <w:rPr>
        <w:rFonts w:hint="default"/>
        <w:lang w:val="de-DE" w:eastAsia="en-US" w:bidi="ar-SA"/>
      </w:rPr>
    </w:lvl>
    <w:lvl w:ilvl="7">
      <w:start w:val="0"/>
      <w:numFmt w:val="bullet"/>
      <w:lvlText w:val="•"/>
      <w:lvlJc w:val="left"/>
      <w:pPr>
        <w:ind w:left="7537" w:hanging="166"/>
      </w:pPr>
      <w:rPr>
        <w:rFonts w:hint="default"/>
        <w:lang w:val="de-DE" w:eastAsia="en-US" w:bidi="ar-SA"/>
      </w:rPr>
    </w:lvl>
    <w:lvl w:ilvl="8">
      <w:start w:val="0"/>
      <w:numFmt w:val="bullet"/>
      <w:lvlText w:val="•"/>
      <w:lvlJc w:val="left"/>
      <w:pPr>
        <w:ind w:left="8587" w:hanging="166"/>
      </w:pPr>
      <w:rPr>
        <w:rFonts w:hint="default"/>
        <w:lang w:val="de-DE" w:eastAsia="en-US" w:bidi="ar-SA"/>
      </w:rPr>
    </w:lvl>
  </w:abstractNum>
  <w:abstractNum w:abstractNumId="0">
    <w:multiLevelType w:val="hybridMultilevel"/>
    <w:lvl w:ilvl="0">
      <w:start w:val="0"/>
      <w:numFmt w:val="bullet"/>
      <w:lvlText w:val=""/>
      <w:lvlJc w:val="left"/>
      <w:pPr>
        <w:ind w:left="501" w:hanging="397"/>
      </w:pPr>
      <w:rPr>
        <w:rFonts w:hint="default" w:ascii="Wingdings 2" w:hAnsi="Wingdings 2" w:eastAsia="Wingdings 2" w:cs="Wingdings 2"/>
        <w:b/>
        <w:bCs/>
        <w:i w:val="0"/>
        <w:iCs w:val="0"/>
        <w:w w:val="99"/>
        <w:sz w:val="24"/>
        <w:szCs w:val="24"/>
        <w:lang w:val="de-DE" w:eastAsia="en-US" w:bidi="ar-SA"/>
      </w:rPr>
    </w:lvl>
    <w:lvl w:ilvl="1">
      <w:start w:val="0"/>
      <w:numFmt w:val="bullet"/>
      <w:lvlText w:val=""/>
      <w:lvlJc w:val="left"/>
      <w:pPr>
        <w:ind w:left="1101" w:hanging="276"/>
      </w:pPr>
      <w:rPr>
        <w:rFonts w:hint="default" w:ascii="Wingdings 2" w:hAnsi="Wingdings 2" w:eastAsia="Wingdings 2" w:cs="Wingdings 2"/>
        <w:b/>
        <w:bCs/>
        <w:i w:val="0"/>
        <w:iCs w:val="0"/>
        <w:w w:val="99"/>
        <w:sz w:val="24"/>
        <w:szCs w:val="24"/>
        <w:lang w:val="de-DE" w:eastAsia="en-US" w:bidi="ar-SA"/>
      </w:rPr>
    </w:lvl>
    <w:lvl w:ilvl="2">
      <w:start w:val="0"/>
      <w:numFmt w:val="bullet"/>
      <w:lvlText w:val="•"/>
      <w:lvlJc w:val="left"/>
      <w:pPr>
        <w:ind w:left="2082" w:hanging="276"/>
      </w:pPr>
      <w:rPr>
        <w:rFonts w:hint="default"/>
        <w:lang w:val="de-DE" w:eastAsia="en-US" w:bidi="ar-SA"/>
      </w:rPr>
    </w:lvl>
    <w:lvl w:ilvl="3">
      <w:start w:val="0"/>
      <w:numFmt w:val="bullet"/>
      <w:lvlText w:val="•"/>
      <w:lvlJc w:val="left"/>
      <w:pPr>
        <w:ind w:left="3065" w:hanging="276"/>
      </w:pPr>
      <w:rPr>
        <w:rFonts w:hint="default"/>
        <w:lang w:val="de-DE" w:eastAsia="en-US" w:bidi="ar-SA"/>
      </w:rPr>
    </w:lvl>
    <w:lvl w:ilvl="4">
      <w:start w:val="0"/>
      <w:numFmt w:val="bullet"/>
      <w:lvlText w:val="•"/>
      <w:lvlJc w:val="left"/>
      <w:pPr>
        <w:ind w:left="4048" w:hanging="276"/>
      </w:pPr>
      <w:rPr>
        <w:rFonts w:hint="default"/>
        <w:lang w:val="de-DE" w:eastAsia="en-US" w:bidi="ar-SA"/>
      </w:rPr>
    </w:lvl>
    <w:lvl w:ilvl="5">
      <w:start w:val="0"/>
      <w:numFmt w:val="bullet"/>
      <w:lvlText w:val="•"/>
      <w:lvlJc w:val="left"/>
      <w:pPr>
        <w:ind w:left="5031" w:hanging="276"/>
      </w:pPr>
      <w:rPr>
        <w:rFonts w:hint="default"/>
        <w:lang w:val="de-DE" w:eastAsia="en-US" w:bidi="ar-SA"/>
      </w:rPr>
    </w:lvl>
    <w:lvl w:ilvl="6">
      <w:start w:val="0"/>
      <w:numFmt w:val="bullet"/>
      <w:lvlText w:val="•"/>
      <w:lvlJc w:val="left"/>
      <w:pPr>
        <w:ind w:left="6014" w:hanging="276"/>
      </w:pPr>
      <w:rPr>
        <w:rFonts w:hint="default"/>
        <w:lang w:val="de-DE" w:eastAsia="en-US" w:bidi="ar-SA"/>
      </w:rPr>
    </w:lvl>
    <w:lvl w:ilvl="7">
      <w:start w:val="0"/>
      <w:numFmt w:val="bullet"/>
      <w:lvlText w:val="•"/>
      <w:lvlJc w:val="left"/>
      <w:pPr>
        <w:ind w:left="6997" w:hanging="276"/>
      </w:pPr>
      <w:rPr>
        <w:rFonts w:hint="default"/>
        <w:lang w:val="de-DE" w:eastAsia="en-US" w:bidi="ar-SA"/>
      </w:rPr>
    </w:lvl>
    <w:lvl w:ilvl="8">
      <w:start w:val="0"/>
      <w:numFmt w:val="bullet"/>
      <w:lvlText w:val="•"/>
      <w:lvlJc w:val="left"/>
      <w:pPr>
        <w:ind w:left="7980" w:hanging="276"/>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92" w:hanging="296"/>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an-Herve.RAMAT@ec.europa.eu" TargetMode="Externa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yperlink" Target="http://europass.cedefop.europa.eu/en/documents/curriculum-vitae" TargetMode="External"/><Relationship Id="rId11" Type="http://schemas.openxmlformats.org/officeDocument/2006/relationships/hyperlink" Target="http://ec.europa.eu/civil_service/job/sne/index_de.htm" TargetMode="External"/><Relationship Id="rId12" Type="http://schemas.openxmlformats.org/officeDocument/2006/relationships/hyperlink" Target="mailto:HR-MAIL-B4@ec.europa.eu" TargetMode="External"/><Relationship Id="rId13" Type="http://schemas.openxmlformats.org/officeDocument/2006/relationships/hyperlink" Target="mailto:DATA-PROTECTION-OFFICER@ec.europa.eu" TargetMode="External"/><Relationship Id="rId14" Type="http://schemas.openxmlformats.org/officeDocument/2006/relationships/hyperlink" Target="mailto:edps@edps.europa.eu"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2023-02-16T17:02:34Z</dcterms:created>
  <dcterms:modified xsi:type="dcterms:W3CDTF">2023-02-16T17:02:34Z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