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657"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
              <w:rPr>
                <w:b/>
                <w:sz w:val="24"/>
              </w:rPr>
            </w:pPr>
            <w:r>
              <w:rPr>
                <w:b/>
                <w:sz w:val="24"/>
              </w:rPr>
              <w:t>Europäischer</w:t>
            </w:r>
            <w:r>
              <w:rPr>
                <w:b/>
                <w:spacing w:val="-14"/>
                <w:sz w:val="24"/>
              </w:rPr>
              <w:t> </w:t>
            </w:r>
            <w:r>
              <w:rPr>
                <w:b/>
                <w:sz w:val="24"/>
              </w:rPr>
              <w:t>Katastrophenschutz</w:t>
            </w:r>
            <w:r>
              <w:rPr>
                <w:b/>
                <w:spacing w:val="-14"/>
                <w:sz w:val="24"/>
              </w:rPr>
              <w:t> </w:t>
            </w:r>
            <w:r>
              <w:rPr>
                <w:b/>
                <w:sz w:val="24"/>
              </w:rPr>
              <w:t>und</w:t>
            </w:r>
            <w:r>
              <w:rPr>
                <w:b/>
                <w:spacing w:val="-9"/>
                <w:sz w:val="24"/>
              </w:rPr>
              <w:t> </w:t>
            </w:r>
            <w:r>
              <w:rPr>
                <w:b/>
                <w:sz w:val="24"/>
              </w:rPr>
              <w:t>humanitäre </w:t>
            </w:r>
            <w:r>
              <w:rPr>
                <w:b/>
                <w:spacing w:val="-2"/>
                <w:sz w:val="24"/>
              </w:rPr>
              <w:t>Hilfe</w:t>
            </w:r>
          </w:p>
          <w:p>
            <w:pPr>
              <w:pStyle w:val="TableParagraph"/>
              <w:ind w:right="4607"/>
              <w:rPr>
                <w:b/>
                <w:sz w:val="24"/>
              </w:rPr>
            </w:pPr>
            <w:r>
              <w:rPr>
                <w:b/>
                <w:spacing w:val="-2"/>
                <w:sz w:val="24"/>
              </w:rPr>
              <w:t>(ECHO) </w:t>
            </w:r>
            <w:r>
              <w:rPr>
                <w:b/>
                <w:spacing w:val="-10"/>
                <w:sz w:val="24"/>
              </w:rPr>
              <w:t>A</w:t>
            </w:r>
          </w:p>
          <w:p>
            <w:pPr>
              <w:pStyle w:val="TableParagraph"/>
              <w:spacing w:line="270" w:lineRule="atLeast"/>
              <w:rPr>
                <w:b/>
                <w:sz w:val="24"/>
              </w:rPr>
            </w:pPr>
            <w:r>
              <w:rPr>
                <w:b/>
                <w:sz w:val="24"/>
              </w:rPr>
              <w:t>A1-</w:t>
            </w:r>
            <w:r>
              <w:rPr>
                <w:b/>
                <w:spacing w:val="-8"/>
                <w:sz w:val="24"/>
              </w:rPr>
              <w:t> </w:t>
            </w:r>
            <w:r>
              <w:rPr>
                <w:b/>
                <w:sz w:val="24"/>
              </w:rPr>
              <w:t>Zentrum</w:t>
            </w:r>
            <w:r>
              <w:rPr>
                <w:b/>
                <w:spacing w:val="-11"/>
                <w:sz w:val="24"/>
              </w:rPr>
              <w:t> </w:t>
            </w:r>
            <w:r>
              <w:rPr>
                <w:b/>
                <w:sz w:val="24"/>
              </w:rPr>
              <w:t>für</w:t>
            </w:r>
            <w:r>
              <w:rPr>
                <w:b/>
                <w:spacing w:val="-7"/>
                <w:sz w:val="24"/>
              </w:rPr>
              <w:t> </w:t>
            </w:r>
            <w:r>
              <w:rPr>
                <w:b/>
                <w:sz w:val="24"/>
              </w:rPr>
              <w:t>die</w:t>
            </w:r>
            <w:r>
              <w:rPr>
                <w:b/>
                <w:spacing w:val="-6"/>
                <w:sz w:val="24"/>
              </w:rPr>
              <w:t> </w:t>
            </w:r>
            <w:r>
              <w:rPr>
                <w:b/>
                <w:sz w:val="24"/>
              </w:rPr>
              <w:t>Koordination</w:t>
            </w:r>
            <w:r>
              <w:rPr>
                <w:b/>
                <w:spacing w:val="-7"/>
                <w:sz w:val="24"/>
              </w:rPr>
              <w:t> </w:t>
            </w:r>
            <w:r>
              <w:rPr>
                <w:b/>
                <w:sz w:val="24"/>
              </w:rPr>
              <w:t>von </w:t>
            </w:r>
            <w:r>
              <w:rPr>
                <w:b/>
                <w:spacing w:val="-2"/>
                <w:sz w:val="24"/>
              </w:rPr>
              <w:t>Notfallmaßnahmen</w:t>
            </w:r>
          </w:p>
        </w:tc>
      </w:tr>
      <w:tr>
        <w:trPr>
          <w:trHeight w:val="2208"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spacing w:line="252" w:lineRule="exact" w:before="2"/>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rPr>
                <w:b/>
                <w:sz w:val="24"/>
              </w:rPr>
            </w:pPr>
            <w:r>
              <w:rPr>
                <w:b/>
                <w:sz w:val="24"/>
              </w:rPr>
              <w:t>Antoine LEMASSON </w:t>
            </w:r>
            <w:hyperlink r:id="rId7">
              <w:r>
                <w:rPr>
                  <w:b/>
                  <w:spacing w:val="-2"/>
                  <w:sz w:val="24"/>
                </w:rPr>
                <w:t>Antoine.LEMASSON@ec.europa.eu</w:t>
              </w:r>
            </w:hyperlink>
          </w:p>
          <w:p>
            <w:pPr>
              <w:pStyle w:val="TableParagraph"/>
              <w:rPr>
                <w:b/>
                <w:sz w:val="24"/>
              </w:rPr>
            </w:pPr>
            <w:r>
              <w:rPr>
                <w:b/>
                <w:sz w:val="24"/>
              </w:rPr>
              <w:t>+32</w:t>
            </w:r>
            <w:r>
              <w:rPr>
                <w:b/>
                <w:spacing w:val="-2"/>
                <w:sz w:val="24"/>
              </w:rPr>
              <w:t> </w:t>
            </w:r>
            <w:r>
              <w:rPr>
                <w:b/>
                <w:sz w:val="24"/>
              </w:rPr>
              <w:t>229-</w:t>
            </w:r>
            <w:r>
              <w:rPr>
                <w:b/>
                <w:spacing w:val="-2"/>
                <w:sz w:val="24"/>
              </w:rPr>
              <w:t>94691</w:t>
            </w:r>
          </w:p>
          <w:p>
            <w:pPr>
              <w:pStyle w:val="TableParagraph"/>
              <w:rPr>
                <w:b/>
                <w:sz w:val="24"/>
              </w:rPr>
            </w:pPr>
            <w:r>
              <w:rPr>
                <w:b/>
                <w:sz w:val="24"/>
              </w:rPr>
              <w:t>1</w:t>
            </w:r>
          </w:p>
          <w:p>
            <w:pPr>
              <w:pStyle w:val="TableParagraph"/>
              <w:ind w:left="139"/>
              <w:rPr>
                <w:b/>
                <w:sz w:val="14"/>
              </w:rPr>
            </w:pPr>
            <w:r>
              <w:rPr>
                <w:b/>
                <w:sz w:val="24"/>
              </w:rPr>
              <w:t>Zweite</w:t>
            </w:r>
            <w:r>
              <w:rPr>
                <w:b/>
                <w:spacing w:val="-5"/>
                <w:sz w:val="24"/>
              </w:rPr>
              <w:t> </w:t>
            </w:r>
            <w:r>
              <w:rPr>
                <w:b/>
                <w:sz w:val="24"/>
              </w:rPr>
              <w:t>quartal</w:t>
            </w:r>
            <w:r>
              <w:rPr>
                <w:b/>
                <w:spacing w:val="-4"/>
                <w:sz w:val="24"/>
              </w:rPr>
              <w:t> 2023</w:t>
            </w:r>
            <w:r>
              <w:rPr>
                <w:b/>
                <w:spacing w:val="-4"/>
                <w:position w:val="8"/>
                <w:sz w:val="14"/>
              </w:rPr>
              <w:t>1</w:t>
            </w:r>
          </w:p>
          <w:p>
            <w:pPr>
              <w:pStyle w:val="TableParagraph"/>
              <w:rPr>
                <w:b/>
                <w:sz w:val="14"/>
              </w:rPr>
            </w:pPr>
            <w:r>
              <w:rPr>
                <w:b/>
                <w:sz w:val="24"/>
              </w:rPr>
              <w:t>2</w:t>
            </w:r>
            <w:r>
              <w:rPr>
                <w:b/>
                <w:spacing w:val="-3"/>
                <w:sz w:val="24"/>
              </w:rPr>
              <w:t> </w:t>
            </w:r>
            <w:r>
              <w:rPr>
                <w:b/>
                <w:sz w:val="24"/>
              </w:rPr>
              <w:t>Jahr(e)</w:t>
            </w:r>
            <w:r>
              <w:rPr>
                <w:b/>
                <w:spacing w:val="-25"/>
                <w:sz w:val="24"/>
              </w:rPr>
              <w:t> </w:t>
            </w:r>
            <w:r>
              <w:rPr>
                <w:b/>
                <w:spacing w:val="-10"/>
                <w:position w:val="8"/>
                <w:sz w:val="14"/>
              </w:rPr>
              <w:t>1</w:t>
            </w:r>
          </w:p>
          <w:p>
            <w:pPr>
              <w:pStyle w:val="TableParagraph"/>
              <w:rPr>
                <w:b/>
                <w:sz w:val="24"/>
              </w:rPr>
            </w:pPr>
            <w:r>
              <w:rPr>
                <w:b/>
                <w:spacing w:val="-2"/>
                <w:sz w:val="24"/>
              </w:rPr>
              <w:t>Brüssel</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385" w:val="left" w:leader="none"/>
              </w:tabs>
              <w:spacing w:line="240" w:lineRule="auto" w:before="145" w:after="0"/>
              <w:ind w:left="384" w:right="0" w:hanging="280"/>
              <w:jc w:val="left"/>
              <w:rPr>
                <w:b/>
                <w:sz w:val="22"/>
              </w:rPr>
            </w:pPr>
            <w:r>
              <w:rPr>
                <w:b/>
                <w:sz w:val="22"/>
              </w:rPr>
              <w:t>Mit</w:t>
            </w:r>
            <w:r>
              <w:rPr>
                <w:b/>
                <w:spacing w:val="-4"/>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4"/>
                <w:sz w:val="22"/>
              </w:rPr>
              <w:t> </w:t>
            </w:r>
            <w:r>
              <w:rPr>
                <w:b/>
                <w:sz w:val="22"/>
              </w:rPr>
              <w:t>EFTA-</w:t>
            </w:r>
            <w:r>
              <w:rPr>
                <w:b/>
                <w:spacing w:val="-2"/>
                <w:sz w:val="22"/>
              </w:rPr>
              <w:t>Staaten:</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3"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5"/>
                <w:sz w:val="22"/>
              </w:rPr>
              <w:t> </w:t>
            </w:r>
            <w:r>
              <w:rPr>
                <w:b/>
                <w:sz w:val="22"/>
              </w:rPr>
              <w:t>der</w:t>
            </w:r>
            <w:r>
              <w:rPr>
                <w:b/>
                <w:spacing w:val="-6"/>
                <w:sz w:val="22"/>
              </w:rPr>
              <w:t> </w:t>
            </w:r>
            <w:r>
              <w:rPr>
                <w:b/>
                <w:sz w:val="22"/>
              </w:rPr>
              <w:t>folgenden</w:t>
            </w:r>
            <w:r>
              <w:rPr>
                <w:b/>
                <w:spacing w:val="-4"/>
                <w:sz w:val="22"/>
              </w:rPr>
              <w:t> </w:t>
            </w:r>
            <w:r>
              <w:rPr>
                <w:b/>
                <w:spacing w:val="-2"/>
                <w:sz w:val="22"/>
              </w:rPr>
              <w:t>Drittländer:</w:t>
            </w:r>
          </w:p>
          <w:p>
            <w:pPr>
              <w:pStyle w:val="TableParagraph"/>
              <w:numPr>
                <w:ilvl w:val="0"/>
                <w:numId w:val="2"/>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9"/>
                <w:sz w:val="22"/>
              </w:rPr>
              <w:t> </w:t>
            </w:r>
            <w:r>
              <w:rPr>
                <w:b/>
                <w:sz w:val="22"/>
              </w:rPr>
              <w:t>folgender</w:t>
            </w:r>
            <w:r>
              <w:rPr>
                <w:b/>
                <w:spacing w:val="-8"/>
                <w:sz w:val="22"/>
              </w:rPr>
              <w:t> </w:t>
            </w:r>
            <w:r>
              <w:rPr>
                <w:b/>
                <w:sz w:val="22"/>
              </w:rPr>
              <w:t>zwischenstaatlicher</w:t>
            </w:r>
            <w:r>
              <w:rPr>
                <w:b/>
                <w:spacing w:val="-8"/>
                <w:sz w:val="22"/>
              </w:rPr>
              <w:t> </w:t>
            </w:r>
            <w:r>
              <w:rPr>
                <w:b/>
                <w:spacing w:val="-2"/>
                <w:sz w:val="22"/>
              </w:rPr>
              <w:t>Organisationen:</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04"/>
        <w:jc w:val="both"/>
      </w:pPr>
      <w:r>
        <w:rPr/>
        <w:t>Die Generaldirektion Europäischer Katastrophenschutz und humanitäre Hilfe der Europäischen Kommission (ECHO) reagiert auf großer Krisen in der ganzen Welt durch die Mobilisierung von EU-Katastrophenschutzmittel und die Bereitstellung humanitärer Hilfen. Der/die Stelleninhaber/in wird der Abteilung für Krisenreaktion </w:t>
      </w:r>
      <w:r>
        <w:rPr>
          <w:spacing w:val="-2"/>
        </w:rPr>
        <w:t>zugewiesen.</w:t>
      </w:r>
    </w:p>
    <w:p>
      <w:pPr>
        <w:pStyle w:val="BodyText"/>
      </w:pPr>
    </w:p>
    <w:p>
      <w:pPr>
        <w:pStyle w:val="BodyText"/>
        <w:ind w:left="372" w:right="103"/>
        <w:jc w:val="both"/>
      </w:pPr>
      <w:r>
        <w:rPr/>
        <w:t>Er/sie</w:t>
      </w:r>
      <w:r>
        <w:rPr>
          <w:spacing w:val="-1"/>
        </w:rPr>
        <w:t> </w:t>
      </w:r>
      <w:r>
        <w:rPr/>
        <w:t>wird das Zentrums für die</w:t>
      </w:r>
      <w:r>
        <w:rPr>
          <w:spacing w:val="-3"/>
        </w:rPr>
        <w:t> </w:t>
      </w:r>
      <w:r>
        <w:rPr/>
        <w:t>Koordination von</w:t>
      </w:r>
      <w:r>
        <w:rPr>
          <w:spacing w:val="-1"/>
        </w:rPr>
        <w:t> </w:t>
      </w:r>
      <w:r>
        <w:rPr/>
        <w:t>Notfallmaßnahmen (Emergency</w:t>
      </w:r>
      <w:r>
        <w:rPr>
          <w:spacing w:val="-1"/>
        </w:rPr>
        <w:t> </w:t>
      </w:r>
      <w:r>
        <w:rPr/>
        <w:t>Response Coordination</w:t>
      </w:r>
      <w:r>
        <w:rPr>
          <w:spacing w:val="-1"/>
        </w:rPr>
        <w:t> </w:t>
      </w:r>
      <w:r>
        <w:rPr/>
        <w:t>Centre, ERCC) unterstützen, das rund um die Uhr an sieben Tagen der Woche einsatzbereit ist. Die Aufgaben bestehen unter anderem im Informationsmanagement, der Koordinierung mit den teilnehmenden Ländern, der Verbindung</w:t>
      </w:r>
      <w:r>
        <w:rPr>
          <w:spacing w:val="40"/>
        </w:rPr>
        <w:t> </w:t>
      </w:r>
      <w:r>
        <w:rPr/>
        <w:t>zu den betroffenen Ländern und der Zusammenarbeit mit internationalen Partnern. Im weiteren Sinne wird er/sie dazu beitragen, eine effiziente, kohärente und gut koordinierte Krisenbewältigungsreaktion der EU sicherzustellen. Dazu zählen:</w:t>
      </w:r>
    </w:p>
    <w:p>
      <w:pPr>
        <w:pStyle w:val="BodyText"/>
        <w:spacing w:before="2"/>
      </w:pPr>
    </w:p>
    <w:p>
      <w:pPr>
        <w:pStyle w:val="ListParagraph"/>
        <w:numPr>
          <w:ilvl w:val="1"/>
          <w:numId w:val="3"/>
        </w:numPr>
        <w:tabs>
          <w:tab w:pos="1093" w:val="left" w:leader="none"/>
        </w:tabs>
        <w:spacing w:line="240" w:lineRule="auto" w:before="0" w:after="0"/>
        <w:ind w:left="1092" w:right="104" w:hanging="361"/>
        <w:jc w:val="both"/>
        <w:rPr>
          <w:sz w:val="22"/>
        </w:rPr>
      </w:pPr>
      <w:r>
        <w:rPr>
          <w:sz w:val="22"/>
        </w:rPr>
        <w:t>Beiträge zur Koordinierung in Notfällen (z. B. Erstellung und Pflege des gemeinsamen Lagebilds,</w:t>
      </w:r>
      <w:r>
        <w:rPr>
          <w:spacing w:val="40"/>
          <w:sz w:val="22"/>
        </w:rPr>
        <w:t> </w:t>
      </w:r>
      <w:r>
        <w:rPr>
          <w:sz w:val="22"/>
        </w:rPr>
        <w:t>operative Aufgaben zur Erleichterung des Einsatzes von Fähigkeiten und Experten im Rahmen des EU- Katastrophenschutzverfahren (Union Civil Protection Mechanism/UCPM).</w:t>
      </w:r>
    </w:p>
    <w:p>
      <w:pPr>
        <w:pStyle w:val="ListParagraph"/>
        <w:numPr>
          <w:ilvl w:val="1"/>
          <w:numId w:val="3"/>
        </w:numPr>
        <w:tabs>
          <w:tab w:pos="1093" w:val="left" w:leader="none"/>
        </w:tabs>
        <w:spacing w:line="240" w:lineRule="auto" w:before="0" w:after="0"/>
        <w:ind w:left="1092" w:right="103" w:hanging="361"/>
        <w:jc w:val="both"/>
        <w:rPr>
          <w:sz w:val="22"/>
        </w:rPr>
      </w:pPr>
      <w:r>
        <w:rPr>
          <w:sz w:val="22"/>
        </w:rPr>
        <w:t>Beiträge zur Erstellung und Umsetzung von Einsatzplänen für die UCPM-Reaktionskapazitäten, Vorbereitung und Durchführung von Aktivitäten für die Waldbrandsaison, Unterstützung der Vorbereitung</w:t>
      </w:r>
    </w:p>
    <w:p>
      <w:pPr>
        <w:pStyle w:val="BodyText"/>
        <w:spacing w:before="9"/>
        <w:rPr>
          <w:sz w:val="26"/>
        </w:rPr>
      </w:pPr>
      <w:r>
        <w:rPr/>
        <w:pict>
          <v:rect style="position:absolute;margin-left:42.599998pt;margin-top:16.618006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1092" w:right="109"/>
        <w:jc w:val="both"/>
      </w:pPr>
      <w:r>
        <w:rPr/>
        <w:t>und Entsendung von EU Zivilschutz -Bewertungs- und Koordinierungsteams in Notstandsgebiete und Erleichterung des Transports von Hilfe in Katastrophengebiete (z. B. Vorbereitung von Briefings für die entsendenden EU-Katastrophenschutzteams sowie logistische Vorkehrungen, Ermittlung von Möglichkeiten zur gemeinsamen Nutzung von Frachtflügen zwischen Mitgliedstaaten).</w:t>
      </w:r>
    </w:p>
    <w:p>
      <w:pPr>
        <w:pStyle w:val="ListParagraph"/>
        <w:numPr>
          <w:ilvl w:val="1"/>
          <w:numId w:val="3"/>
        </w:numPr>
        <w:tabs>
          <w:tab w:pos="1093" w:val="left" w:leader="none"/>
        </w:tabs>
        <w:spacing w:line="269" w:lineRule="exact" w:before="2" w:after="0"/>
        <w:ind w:left="1092" w:right="0" w:hanging="361"/>
        <w:jc w:val="both"/>
        <w:rPr>
          <w:sz w:val="22"/>
        </w:rPr>
      </w:pPr>
      <w:r>
        <w:rPr>
          <w:sz w:val="22"/>
        </w:rPr>
        <w:t>Interinstitutionelle</w:t>
      </w:r>
      <w:r>
        <w:rPr>
          <w:spacing w:val="-7"/>
          <w:sz w:val="22"/>
        </w:rPr>
        <w:t> </w:t>
      </w:r>
      <w:r>
        <w:rPr>
          <w:sz w:val="22"/>
        </w:rPr>
        <w:t>Beziehungen</w:t>
      </w:r>
      <w:r>
        <w:rPr>
          <w:spacing w:val="-5"/>
          <w:sz w:val="22"/>
        </w:rPr>
        <w:t> </w:t>
      </w:r>
      <w:r>
        <w:rPr>
          <w:sz w:val="22"/>
        </w:rPr>
        <w:t>zu</w:t>
      </w:r>
      <w:r>
        <w:rPr>
          <w:spacing w:val="-5"/>
          <w:sz w:val="22"/>
        </w:rPr>
        <w:t> </w:t>
      </w:r>
      <w:r>
        <w:rPr>
          <w:sz w:val="22"/>
        </w:rPr>
        <w:t>Fragen</w:t>
      </w:r>
      <w:r>
        <w:rPr>
          <w:spacing w:val="-5"/>
          <w:sz w:val="22"/>
        </w:rPr>
        <w:t> </w:t>
      </w:r>
      <w:r>
        <w:rPr>
          <w:sz w:val="22"/>
        </w:rPr>
        <w:t>im</w:t>
      </w:r>
      <w:r>
        <w:rPr>
          <w:spacing w:val="-7"/>
          <w:sz w:val="22"/>
        </w:rPr>
        <w:t> </w:t>
      </w:r>
      <w:r>
        <w:rPr>
          <w:sz w:val="22"/>
        </w:rPr>
        <w:t>Zusammenhang</w:t>
      </w:r>
      <w:r>
        <w:rPr>
          <w:spacing w:val="-6"/>
          <w:sz w:val="22"/>
        </w:rPr>
        <w:t> </w:t>
      </w:r>
      <w:r>
        <w:rPr>
          <w:sz w:val="22"/>
        </w:rPr>
        <w:t>mit</w:t>
      </w:r>
      <w:r>
        <w:rPr>
          <w:spacing w:val="-4"/>
          <w:sz w:val="22"/>
        </w:rPr>
        <w:t> </w:t>
      </w:r>
      <w:r>
        <w:rPr>
          <w:sz w:val="22"/>
        </w:rPr>
        <w:t>der</w:t>
      </w:r>
      <w:r>
        <w:rPr>
          <w:spacing w:val="-4"/>
          <w:sz w:val="22"/>
        </w:rPr>
        <w:t> </w:t>
      </w:r>
      <w:r>
        <w:rPr>
          <w:sz w:val="22"/>
        </w:rPr>
        <w:t>Arbeit</w:t>
      </w:r>
      <w:r>
        <w:rPr>
          <w:spacing w:val="-4"/>
          <w:sz w:val="22"/>
        </w:rPr>
        <w:t> </w:t>
      </w:r>
      <w:r>
        <w:rPr>
          <w:sz w:val="22"/>
        </w:rPr>
        <w:t>des</w:t>
      </w:r>
      <w:r>
        <w:rPr>
          <w:spacing w:val="-6"/>
          <w:sz w:val="22"/>
        </w:rPr>
        <w:t> </w:t>
      </w:r>
      <w:r>
        <w:rPr>
          <w:spacing w:val="-2"/>
          <w:sz w:val="22"/>
        </w:rPr>
        <w:t>Referats.</w:t>
      </w:r>
    </w:p>
    <w:p>
      <w:pPr>
        <w:pStyle w:val="ListParagraph"/>
        <w:numPr>
          <w:ilvl w:val="1"/>
          <w:numId w:val="3"/>
        </w:numPr>
        <w:tabs>
          <w:tab w:pos="1093" w:val="left" w:leader="none"/>
        </w:tabs>
        <w:spacing w:line="269" w:lineRule="exact" w:before="0" w:after="0"/>
        <w:ind w:left="1092" w:right="0" w:hanging="361"/>
        <w:jc w:val="both"/>
        <w:rPr>
          <w:sz w:val="22"/>
        </w:rPr>
      </w:pPr>
      <w:r>
        <w:rPr>
          <w:sz w:val="22"/>
        </w:rPr>
        <w:t>Koordinierung</w:t>
      </w:r>
      <w:r>
        <w:rPr>
          <w:spacing w:val="-10"/>
          <w:sz w:val="22"/>
        </w:rPr>
        <w:t> </w:t>
      </w:r>
      <w:r>
        <w:rPr>
          <w:sz w:val="22"/>
        </w:rPr>
        <w:t>mit</w:t>
      </w:r>
      <w:r>
        <w:rPr>
          <w:spacing w:val="-6"/>
          <w:sz w:val="22"/>
        </w:rPr>
        <w:t> </w:t>
      </w:r>
      <w:r>
        <w:rPr>
          <w:sz w:val="22"/>
        </w:rPr>
        <w:t>internationalen</w:t>
      </w:r>
      <w:r>
        <w:rPr>
          <w:spacing w:val="-6"/>
          <w:sz w:val="22"/>
        </w:rPr>
        <w:t> </w:t>
      </w:r>
      <w:r>
        <w:rPr>
          <w:spacing w:val="-2"/>
          <w:sz w:val="22"/>
        </w:rPr>
        <w:t>Organisationen.</w:t>
      </w:r>
    </w:p>
    <w:p>
      <w:pPr>
        <w:pStyle w:val="BodyText"/>
        <w:rPr>
          <w:sz w:val="26"/>
        </w:rPr>
      </w:pPr>
    </w:p>
    <w:p>
      <w:pPr>
        <w:pStyle w:val="ListParagraph"/>
        <w:numPr>
          <w:ilvl w:val="0"/>
          <w:numId w:val="3"/>
        </w:numPr>
        <w:tabs>
          <w:tab w:pos="799" w:val="left" w:leader="none"/>
          <w:tab w:pos="800" w:val="left" w:leader="none"/>
        </w:tabs>
        <w:spacing w:line="240" w:lineRule="auto" w:before="21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0"/>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0"/>
          <w:numId w:val="5"/>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5"/>
        </w:numPr>
        <w:tabs>
          <w:tab w:pos="1081" w:val="left" w:leader="none"/>
        </w:tabs>
        <w:spacing w:line="240" w:lineRule="auto" w:before="0" w:after="0"/>
        <w:ind w:left="1080" w:right="108"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7"/>
        <w:rPr>
          <w:b/>
          <w:sz w:val="15"/>
        </w:rPr>
      </w:pPr>
    </w:p>
    <w:p>
      <w:pPr>
        <w:pStyle w:val="BodyText"/>
        <w:spacing w:before="91"/>
        <w:ind w:left="1080"/>
      </w:pPr>
      <w:r>
        <w:rPr>
          <w:spacing w:val="-2"/>
          <w:u w:val="single"/>
        </w:rPr>
        <w:t>Bildungsabschluss</w:t>
      </w:r>
    </w:p>
    <w:p>
      <w:pPr>
        <w:pStyle w:val="ListParagraph"/>
        <w:numPr>
          <w:ilvl w:val="1"/>
          <w:numId w:val="4"/>
        </w:numPr>
        <w:tabs>
          <w:tab w:pos="1206" w:val="left" w:leader="none"/>
        </w:tabs>
        <w:spacing w:line="252" w:lineRule="exact" w:before="2"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spacing w:line="252" w:lineRule="exact"/>
        <w:ind w:left="1190"/>
      </w:pPr>
      <w:r>
        <w:rPr/>
        <w:t>im</w:t>
      </w:r>
      <w:r>
        <w:rPr>
          <w:spacing w:val="-6"/>
        </w:rPr>
        <w:t> </w:t>
      </w:r>
      <w:r>
        <w:rPr>
          <w:spacing w:val="-2"/>
        </w:rPr>
        <w:t>Bereich:</w:t>
      </w:r>
    </w:p>
    <w:p>
      <w:pPr>
        <w:pStyle w:val="BodyText"/>
        <w:spacing w:line="252" w:lineRule="exact"/>
        <w:ind w:left="1080"/>
      </w:pPr>
      <w:r>
        <w:rPr/>
        <w:t>Im</w:t>
      </w:r>
      <w:r>
        <w:rPr>
          <w:spacing w:val="-3"/>
        </w:rPr>
        <w:t> </w:t>
      </w:r>
      <w:r>
        <w:rPr/>
        <w:t>Zusammenhang</w:t>
      </w:r>
      <w:r>
        <w:rPr>
          <w:spacing w:val="-5"/>
        </w:rPr>
        <w:t> </w:t>
      </w:r>
      <w:r>
        <w:rPr/>
        <w:t>mit</w:t>
      </w:r>
      <w:r>
        <w:rPr>
          <w:spacing w:val="-3"/>
        </w:rPr>
        <w:t> </w:t>
      </w:r>
      <w:r>
        <w:rPr/>
        <w:t>dem</w:t>
      </w:r>
      <w:r>
        <w:rPr>
          <w:spacing w:val="-7"/>
        </w:rPr>
        <w:t> </w:t>
      </w:r>
      <w:r>
        <w:rPr>
          <w:spacing w:val="-2"/>
        </w:rPr>
        <w:t>Katastrophenschutz</w:t>
      </w:r>
    </w:p>
    <w:p>
      <w:pPr>
        <w:pStyle w:val="BodyText"/>
        <w:rPr>
          <w:sz w:val="24"/>
        </w:rPr>
      </w:pPr>
    </w:p>
    <w:p>
      <w:pPr>
        <w:pStyle w:val="BodyText"/>
        <w:spacing w:before="2"/>
        <w:rPr>
          <w:sz w:val="20"/>
        </w:rPr>
      </w:pPr>
    </w:p>
    <w:p>
      <w:pPr>
        <w:pStyle w:val="BodyText"/>
        <w:ind w:left="1080"/>
      </w:pPr>
      <w:r>
        <w:rPr>
          <w:spacing w:val="-2"/>
          <w:u w:val="single"/>
        </w:rPr>
        <w:t>Berufserfahrung</w:t>
      </w:r>
    </w:p>
    <w:p>
      <w:pPr>
        <w:pStyle w:val="BodyText"/>
        <w:spacing w:before="1"/>
        <w:rPr>
          <w:sz w:val="14"/>
        </w:rPr>
      </w:pPr>
    </w:p>
    <w:p>
      <w:pPr>
        <w:pStyle w:val="BodyText"/>
        <w:spacing w:before="91"/>
        <w:ind w:left="1080" w:right="165"/>
        <w:jc w:val="both"/>
      </w:pPr>
      <w:r>
        <w:rPr/>
        <w:t>Das Referat Krisenreaktion sucht eine/n erfahren/e, flexible/n und dienstleistungsorientierte/n Kollegen/in mit nachgewiesener Erfahrung im Krisenmanagement, insbesondre die Prävention, die Vorbereitung und die Reaktion auf Waldbrände. Der Bewerber sollte mit dem Katastrophenschutzverfahren der Union vertraut sein und vorzugsweise an EU Katastrophenschutzausbildungsprogrammes und Katastrophenschutzübungen absolviert haben. Erfahrungen mit internationalen Einsätzen sind </w:t>
      </w:r>
      <w:r>
        <w:rPr>
          <w:spacing w:val="-2"/>
        </w:rPr>
        <w:t>wünschenswert.</w:t>
      </w:r>
    </w:p>
    <w:p>
      <w:pPr>
        <w:pStyle w:val="BodyText"/>
        <w:spacing w:before="10"/>
        <w:rPr>
          <w:sz w:val="21"/>
        </w:rPr>
      </w:pPr>
    </w:p>
    <w:p>
      <w:pPr>
        <w:pStyle w:val="BodyText"/>
        <w:ind w:left="1080" w:right="176"/>
        <w:jc w:val="both"/>
      </w:pPr>
      <w:r>
        <w:rPr/>
        <w:t>Der/die Kandidat/in sollte über eine schnelle Auffassungsgabe verfügen und in der Lage sein sich schnell in neue Aufgaben einzuarbeiten sowie verschiedene Vorgänge simultan zu bearbeiten.</w:t>
      </w:r>
    </w:p>
    <w:p>
      <w:pPr>
        <w:pStyle w:val="BodyText"/>
        <w:spacing w:before="2"/>
      </w:pPr>
    </w:p>
    <w:p>
      <w:pPr>
        <w:pStyle w:val="BodyText"/>
        <w:ind w:left="1080" w:right="167"/>
        <w:jc w:val="both"/>
      </w:pPr>
      <w:r>
        <w:rPr/>
        <w:t>Er/sie sollte Organisationstalent besitzen, gute IT-Kenntnisse und schriftliche Ausdrucksfähigkeit haben. Teamfähigkeit ist essentiell.</w:t>
      </w:r>
    </w:p>
    <w:p>
      <w:pPr>
        <w:pStyle w:val="BodyText"/>
        <w:spacing w:before="11"/>
        <w:rPr>
          <w:sz w:val="21"/>
        </w:rPr>
      </w:pPr>
    </w:p>
    <w:p>
      <w:pPr>
        <w:pStyle w:val="BodyText"/>
        <w:ind w:left="1080"/>
        <w:jc w:val="both"/>
      </w:pPr>
      <w:r>
        <w:rPr/>
        <w:t>5</w:t>
      </w:r>
      <w:r>
        <w:rPr>
          <w:spacing w:val="-3"/>
        </w:rPr>
        <w:t> </w:t>
      </w:r>
      <w:r>
        <w:rPr/>
        <w:t>Jahre </w:t>
      </w:r>
      <w:r>
        <w:rPr>
          <w:spacing w:val="-2"/>
        </w:rPr>
        <w:t>Berufserfahrung</w:t>
      </w:r>
    </w:p>
    <w:p>
      <w:pPr>
        <w:spacing w:after="0"/>
        <w:jc w:val="both"/>
        <w:sectPr>
          <w:pgSz w:w="11910" w:h="16840"/>
          <w:pgMar w:header="0" w:footer="690" w:top="1040" w:bottom="880" w:left="480" w:right="740"/>
        </w:sectPr>
      </w:pPr>
    </w:p>
    <w:p>
      <w:pPr>
        <w:pStyle w:val="BodyText"/>
        <w:spacing w:before="6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2"/>
        <w:rPr>
          <w:sz w:val="14"/>
        </w:rPr>
      </w:pPr>
    </w:p>
    <w:p>
      <w:pPr>
        <w:pStyle w:val="BodyText"/>
        <w:spacing w:before="91"/>
        <w:ind w:left="1080"/>
      </w:pPr>
      <w:r>
        <w:rPr/>
        <w:t>Verhandlungsfähiges Englisch ist unabdingbar. Die Kenntnis weiterer Sprachen der Europäischen Union insbesondere Französisch von Vorteil.</w:t>
      </w:r>
    </w:p>
    <w:p>
      <w:pPr>
        <w:pStyle w:val="BodyText"/>
        <w:rPr>
          <w:sz w:val="24"/>
        </w:rPr>
      </w:pPr>
    </w:p>
    <w:p>
      <w:pPr>
        <w:pStyle w:val="BodyText"/>
        <w:rPr>
          <w:sz w:val="24"/>
        </w:rPr>
      </w:pPr>
    </w:p>
    <w:p>
      <w:pPr>
        <w:pStyle w:val="ListParagraph"/>
        <w:numPr>
          <w:ilvl w:val="0"/>
          <w:numId w:val="3"/>
        </w:numPr>
        <w:tabs>
          <w:tab w:pos="799" w:val="left" w:leader="none"/>
          <w:tab w:pos="800" w:val="left" w:leader="none"/>
        </w:tabs>
        <w:spacing w:line="240" w:lineRule="auto" w:before="212"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pStyle w:val="BodyText"/>
        <w:spacing w:before="92"/>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spacing w:before="1"/>
        <w:ind w:left="797"/>
        <w:jc w:val="both"/>
      </w:pPr>
      <w:r>
        <w:rPr/>
        <w:t>Bei</w:t>
      </w:r>
      <w:r>
        <w:rPr>
          <w:spacing w:val="-5"/>
        </w:rPr>
        <w:t> </w:t>
      </w:r>
      <w:r>
        <w:rPr/>
        <w:t>unvollständigen</w:t>
      </w:r>
      <w:r>
        <w:rPr>
          <w:spacing w:val="-3"/>
        </w:rPr>
        <w:t> </w:t>
      </w:r>
      <w:r>
        <w:rPr/>
        <w:t>oder</w:t>
      </w:r>
      <w:r>
        <w:rPr>
          <w:spacing w:val="-5"/>
        </w:rPr>
        <w:t> </w:t>
      </w:r>
      <w:r>
        <w:rPr/>
        <w:t>falschen</w:t>
      </w:r>
      <w:r>
        <w:rPr>
          <w:spacing w:val="-3"/>
        </w:rPr>
        <w:t> </w:t>
      </w:r>
      <w:r>
        <w:rPr/>
        <w:t>Angaben</w:t>
      </w:r>
      <w:r>
        <w:rPr>
          <w:spacing w:val="-4"/>
        </w:rPr>
        <w:t> </w:t>
      </w:r>
      <w:r>
        <w:rPr/>
        <w:t>kann</w:t>
      </w:r>
      <w:r>
        <w:rPr>
          <w:spacing w:val="-3"/>
        </w:rPr>
        <w:t> </w:t>
      </w:r>
      <w:r>
        <w:rPr/>
        <w:t>die</w:t>
      </w:r>
      <w:r>
        <w:rPr>
          <w:spacing w:val="-3"/>
        </w:rPr>
        <w:t> </w:t>
      </w:r>
      <w:r>
        <w:rPr/>
        <w:t>Bewerbung</w:t>
      </w:r>
      <w:r>
        <w:rPr>
          <w:spacing w:val="-5"/>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spacing w:after="0"/>
        <w:jc w:val="both"/>
        <w:sectPr>
          <w:pgSz w:w="11910" w:h="16840"/>
          <w:pgMar w:header="0" w:footer="690" w:top="1300" w:bottom="880" w:left="480" w:right="740"/>
        </w:sectPr>
      </w:pPr>
    </w:p>
    <w:p>
      <w:pPr>
        <w:pStyle w:val="BodyText"/>
        <w:spacing w:before="68"/>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3"/>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6"/>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3"/>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80" w:val="left" w:leader="none"/>
          <w:tab w:pos="1081" w:val="left" w:leader="none"/>
        </w:tabs>
        <w:spacing w:line="253"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6"/>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489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384" w:hanging="27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00" w:hanging="279"/>
      </w:pPr>
      <w:rPr>
        <w:rFonts w:hint="default"/>
        <w:lang w:val="de-DE" w:eastAsia="en-US" w:bidi="ar-SA"/>
      </w:rPr>
    </w:lvl>
    <w:lvl w:ilvl="2">
      <w:start w:val="0"/>
      <w:numFmt w:val="bullet"/>
      <w:lvlText w:val="•"/>
      <w:lvlJc w:val="left"/>
      <w:pPr>
        <w:ind w:left="1421" w:hanging="279"/>
      </w:pPr>
      <w:rPr>
        <w:rFonts w:hint="default"/>
        <w:lang w:val="de-DE" w:eastAsia="en-US" w:bidi="ar-SA"/>
      </w:rPr>
    </w:lvl>
    <w:lvl w:ilvl="3">
      <w:start w:val="0"/>
      <w:numFmt w:val="bullet"/>
      <w:lvlText w:val="•"/>
      <w:lvlJc w:val="left"/>
      <w:pPr>
        <w:ind w:left="1942" w:hanging="279"/>
      </w:pPr>
      <w:rPr>
        <w:rFonts w:hint="default"/>
        <w:lang w:val="de-DE" w:eastAsia="en-US" w:bidi="ar-SA"/>
      </w:rPr>
    </w:lvl>
    <w:lvl w:ilvl="4">
      <w:start w:val="0"/>
      <w:numFmt w:val="bullet"/>
      <w:lvlText w:val="•"/>
      <w:lvlJc w:val="left"/>
      <w:pPr>
        <w:ind w:left="2462" w:hanging="279"/>
      </w:pPr>
      <w:rPr>
        <w:rFonts w:hint="default"/>
        <w:lang w:val="de-DE" w:eastAsia="en-US" w:bidi="ar-SA"/>
      </w:rPr>
    </w:lvl>
    <w:lvl w:ilvl="5">
      <w:start w:val="0"/>
      <w:numFmt w:val="bullet"/>
      <w:lvlText w:val="•"/>
      <w:lvlJc w:val="left"/>
      <w:pPr>
        <w:ind w:left="2983" w:hanging="279"/>
      </w:pPr>
      <w:rPr>
        <w:rFonts w:hint="default"/>
        <w:lang w:val="de-DE" w:eastAsia="en-US" w:bidi="ar-SA"/>
      </w:rPr>
    </w:lvl>
    <w:lvl w:ilvl="6">
      <w:start w:val="0"/>
      <w:numFmt w:val="bullet"/>
      <w:lvlText w:val="•"/>
      <w:lvlJc w:val="left"/>
      <w:pPr>
        <w:ind w:left="3504" w:hanging="279"/>
      </w:pPr>
      <w:rPr>
        <w:rFonts w:hint="default"/>
        <w:lang w:val="de-DE" w:eastAsia="en-US" w:bidi="ar-SA"/>
      </w:rPr>
    </w:lvl>
    <w:lvl w:ilvl="7">
      <w:start w:val="0"/>
      <w:numFmt w:val="bullet"/>
      <w:lvlText w:val="•"/>
      <w:lvlJc w:val="left"/>
      <w:pPr>
        <w:ind w:left="4024" w:hanging="279"/>
      </w:pPr>
      <w:rPr>
        <w:rFonts w:hint="default"/>
        <w:lang w:val="de-DE" w:eastAsia="en-US" w:bidi="ar-SA"/>
      </w:rPr>
    </w:lvl>
    <w:lvl w:ilvl="8">
      <w:start w:val="0"/>
      <w:numFmt w:val="bullet"/>
      <w:lvlText w:val="•"/>
      <w:lvlJc w:val="left"/>
      <w:pPr>
        <w:ind w:left="4545" w:hanging="279"/>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2023-02-16T17:05:36Z</dcterms:created>
  <dcterms:modified xsi:type="dcterms:W3CDTF">2023-02-16T17:05:36Z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