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2"/>
                <w:sz w:val="24"/>
              </w:rPr>
              <w:t>INTPA.F.2</w:t>
            </w:r>
          </w:p>
        </w:tc>
      </w:tr>
      <w:tr>
        <w:trPr>
          <w:trHeight w:val="2131"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279"/>
              <w:rPr>
                <w:sz w:val="24"/>
              </w:rPr>
            </w:pPr>
            <w:r>
              <w:rPr>
                <w:sz w:val="24"/>
              </w:rPr>
              <w:t>Chantal Marijnissen </w:t>
            </w:r>
            <w:hyperlink r:id="rId7">
              <w:r>
                <w:rPr>
                  <w:spacing w:val="-2"/>
                  <w:sz w:val="24"/>
                </w:rPr>
                <w:t>Chantal.marijnissen@ec.europa.eu</w:t>
              </w:r>
            </w:hyperlink>
          </w:p>
          <w:p>
            <w:pPr>
              <w:pStyle w:val="TableParagraph"/>
              <w:rPr>
                <w:sz w:val="24"/>
              </w:rPr>
            </w:pPr>
            <w:r>
              <w:rPr>
                <w:sz w:val="24"/>
              </w:rPr>
              <w:t>+32</w:t>
            </w:r>
            <w:r>
              <w:rPr>
                <w:spacing w:val="-1"/>
                <w:sz w:val="24"/>
              </w:rPr>
              <w:t> </w:t>
            </w:r>
            <w:r>
              <w:rPr>
                <w:sz w:val="24"/>
              </w:rPr>
              <w:t>2 298 </w:t>
            </w:r>
            <w:r>
              <w:rPr>
                <w:spacing w:val="-4"/>
                <w:sz w:val="24"/>
              </w:rPr>
              <w:t>6565</w:t>
            </w:r>
          </w:p>
          <w:p>
            <w:pPr>
              <w:pStyle w:val="TableParagraph"/>
              <w:rPr>
                <w:sz w:val="24"/>
              </w:rPr>
            </w:pPr>
            <w:r>
              <w:rPr>
                <w:sz w:val="24"/>
              </w:rPr>
              <w:t>1</w:t>
            </w:r>
          </w:p>
          <w:p>
            <w:pPr>
              <w:pStyle w:val="TableParagraph"/>
              <w:spacing w:line="268" w:lineRule="exact"/>
              <w:ind w:left="139"/>
              <w:rPr>
                <w:b/>
                <w:sz w:val="22"/>
              </w:rPr>
            </w:pPr>
            <w:r>
              <w:rPr>
                <w:rFonts w:ascii="Calibri" w:hAnsi="Calibri"/>
                <w:b/>
                <w:sz w:val="22"/>
              </w:rPr>
              <w:t>nächstmöglicher</w:t>
            </w:r>
            <w:r>
              <w:rPr>
                <w:rFonts w:ascii="Calibri" w:hAnsi="Calibri"/>
                <w:b/>
                <w:spacing w:val="-10"/>
                <w:sz w:val="22"/>
              </w:rPr>
              <w:t> </w:t>
            </w:r>
            <w:r>
              <w:rPr>
                <w:rFonts w:ascii="Calibri" w:hAnsi="Calibri"/>
                <w:b/>
                <w:spacing w:val="-2"/>
                <w:sz w:val="22"/>
              </w:rPr>
              <w:t>Zeitpunkt</w:t>
            </w:r>
            <w:r>
              <w:rPr>
                <w:b/>
                <w:spacing w:val="-2"/>
                <w:sz w:val="22"/>
                <w:vertAlign w:val="superscript"/>
              </w:rPr>
              <w:t>1</w:t>
            </w:r>
          </w:p>
          <w:p>
            <w:pPr>
              <w:pStyle w:val="TableParagraph"/>
              <w:spacing w:line="253" w:lineRule="exact"/>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tabs>
                <w:tab w:pos="1522" w:val="left" w:leader="none"/>
              </w:tabs>
              <w:spacing w:line="233"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48"/>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3"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06"/>
        <w:jc w:val="both"/>
      </w:pPr>
      <w:r>
        <w:rPr/>
        <w:t>Das Referat F2 – Umwelt, nachhaltige natürliche Ressourcen bietet die Position abgeordnete(r) nationale(r) Sachverständige(r) (ANS) unter der Verantwortung der Referatsleitung an.</w:t>
      </w:r>
    </w:p>
    <w:p>
      <w:pPr>
        <w:pStyle w:val="BodyText"/>
      </w:pPr>
    </w:p>
    <w:p>
      <w:pPr>
        <w:pStyle w:val="BodyText"/>
        <w:ind w:left="372" w:right="105"/>
        <w:jc w:val="both"/>
      </w:pPr>
      <w:r>
        <w:rPr/>
        <w:t>Die EU befindet sich an einem entscheidenden Moment mit einer neuen Kommission, einem neuen und</w:t>
      </w:r>
      <w:r>
        <w:rPr>
          <w:spacing w:val="40"/>
        </w:rPr>
        <w:t> </w:t>
      </w:r>
      <w:r>
        <w:rPr/>
        <w:t>ehrgeizigen europäischen Green Deal, einem neuen mehrjährigen Finanzrahmen der EU sowie der Programmplanung und Umsetzung dieses neuen mehrjährigen Finanzrahmens der EU im Bereich der Zusammenarbeit für die Jahre 2021 bis 2027.</w:t>
      </w:r>
    </w:p>
    <w:p>
      <w:pPr>
        <w:pStyle w:val="BodyText"/>
        <w:spacing w:before="1"/>
        <w:ind w:left="372" w:right="107"/>
        <w:jc w:val="both"/>
      </w:pPr>
      <w:r>
        <w:rPr/>
        <w:t>Das Mandat des INTPA Referats F2 besteht darin, Entwicklungsländer bei der Bewältigung von</w:t>
      </w:r>
      <w:r>
        <w:rPr>
          <w:spacing w:val="40"/>
        </w:rPr>
        <w:t> </w:t>
      </w:r>
      <w:r>
        <w:rPr/>
        <w:t>Herausforderungen in den Bereichen Umwelt, Wald (Biodiversität, Klimawandel und nachhaltiges Management und Nutzung), Wasser sowie beim Übergang zu einer grünen Wirtschaft zu unterstützen.</w:t>
      </w:r>
    </w:p>
    <w:p>
      <w:pPr>
        <w:pStyle w:val="BodyText"/>
        <w:spacing w:before="10"/>
        <w:rPr>
          <w:sz w:val="21"/>
        </w:rPr>
      </w:pPr>
    </w:p>
    <w:p>
      <w:pPr>
        <w:pStyle w:val="BodyText"/>
        <w:ind w:left="372" w:right="105"/>
        <w:jc w:val="both"/>
      </w:pPr>
      <w:r>
        <w:rPr/>
        <w:t>Zu diesem Zweck entwickelt INTPA F2 drei Hauptarbeitsbereiche: Entwicklungspolitik; thematische und methodische Unterstützung von EU-Delegationen und Partnern sowie Programmierung und Durchführung. Dazu zählen auch die Vernetzung, die Zusammenarbeit, der politische Dialog und der Erfahrungs- und </w:t>
      </w:r>
      <w:r>
        <w:rPr>
          <w:spacing w:val="-2"/>
        </w:rPr>
        <w:t>Informationsaustausch.</w:t>
      </w:r>
    </w:p>
    <w:p>
      <w:pPr>
        <w:pStyle w:val="BodyText"/>
        <w:spacing w:before="3"/>
      </w:pPr>
    </w:p>
    <w:p>
      <w:pPr>
        <w:pStyle w:val="BodyText"/>
        <w:ind w:left="372" w:right="104"/>
        <w:jc w:val="both"/>
      </w:pPr>
      <w:r>
        <w:rPr/>
        <w:t>Das Referat F2 fördert die Gestaltung und Umsetzung der externen Dimensionen des europäischen Green Deals. Um die Wirkung seiner Unterstützung für Wälder zu verbessern und wirksam zur Umsetzung des Green Deals beizutragen, verfolgt das Referat F2, im Rahmen des Konzepts „Team Europa“, EU-Forstpartnerschaften mit Partnerländern oder -regionen zu entwickeln und umzusetzen. Mit diesem neuen, umfassenden und integrierten Ansatz werden die Verpflichtungen der EU, insbesondere in den Bereichen Klima und biologische Vielfalt, erfüllt</w:t>
      </w:r>
    </w:p>
    <w:p>
      <w:pPr>
        <w:pStyle w:val="BodyText"/>
        <w:rPr>
          <w:sz w:val="20"/>
        </w:rPr>
      </w:pPr>
    </w:p>
    <w:p>
      <w:pPr>
        <w:pStyle w:val="BodyText"/>
        <w:spacing w:before="6"/>
        <w:rPr>
          <w:sz w:val="19"/>
        </w:rPr>
      </w:pPr>
      <w:r>
        <w:rPr/>
        <w:pict>
          <v:rect style="position:absolute;margin-left:42.599998pt;margin-top:12.466598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37"/>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372" w:right="114"/>
        <w:jc w:val="both"/>
      </w:pPr>
      <w:r>
        <w:rPr/>
        <w:t>und gleichzeitig die Partner in die Lage versetzt, ihre sozioökonomischen Entwicklungsziele durch den Übergang zu einer umweltfreundlicheren Wirtschaft zu erreichen.</w:t>
      </w:r>
    </w:p>
    <w:p>
      <w:pPr>
        <w:pStyle w:val="BodyText"/>
        <w:spacing w:before="2"/>
      </w:pPr>
    </w:p>
    <w:p>
      <w:pPr>
        <w:pStyle w:val="BodyText"/>
        <w:ind w:left="372" w:right="104"/>
        <w:jc w:val="both"/>
      </w:pPr>
      <w:r>
        <w:rPr/>
        <w:t>Die Waldpartnerschaften unter der Verantwortung des Referats F2 bilden den Überbau für die Umsetzung der Rahmenbedingungen der EU Forstpolitik, insbesondere den Aktionsplan (Rechtsdurchsetzung, Politikgestaltung und Handel im Forstsektor), die Mitteilung KOM(2019) 352 „Intensivierung der EU-Maßnahmen zum Schutz und zur Wiederherstellung der Wälder in der Welt“ und Förderungen von Investitionen des Privatsektors durch nachhaltige forstbasierte Wertschöpfungsketten. Das Referat F2 wird auch zur Bekämpfung der Entwaldung und Waldschädigung in Partnerländern beitragen durch Mechanismen im Rahmen des Pariser Klimaschutzübereinkommens, einschließlich</w:t>
      </w:r>
      <w:r>
        <w:rPr>
          <w:spacing w:val="-1"/>
        </w:rPr>
        <w:t> </w:t>
      </w:r>
      <w:r>
        <w:rPr/>
        <w:t>innovativer Finanzierungen. Das Referat F2 trägt auch zur Gestaltung und</w:t>
      </w:r>
      <w:r>
        <w:rPr>
          <w:spacing w:val="20"/>
        </w:rPr>
        <w:t> </w:t>
      </w:r>
      <w:r>
        <w:rPr/>
        <w:t>Umsetzung</w:t>
      </w:r>
      <w:r>
        <w:rPr>
          <w:spacing w:val="17"/>
        </w:rPr>
        <w:t> </w:t>
      </w:r>
      <w:r>
        <w:rPr/>
        <w:t>der</w:t>
      </w:r>
      <w:r>
        <w:rPr>
          <w:spacing w:val="21"/>
        </w:rPr>
        <w:t> </w:t>
      </w:r>
      <w:r>
        <w:rPr/>
        <w:t>EU-Verordnung</w:t>
      </w:r>
      <w:r>
        <w:rPr>
          <w:spacing w:val="17"/>
        </w:rPr>
        <w:t> </w:t>
      </w:r>
      <w:r>
        <w:rPr/>
        <w:t>über</w:t>
      </w:r>
      <w:r>
        <w:rPr>
          <w:spacing w:val="21"/>
        </w:rPr>
        <w:t> </w:t>
      </w:r>
      <w:r>
        <w:rPr/>
        <w:t>entwaldungsfreie</w:t>
      </w:r>
      <w:r>
        <w:rPr>
          <w:spacing w:val="23"/>
        </w:rPr>
        <w:t> </w:t>
      </w:r>
      <w:r>
        <w:rPr/>
        <w:t>Produkte</w:t>
      </w:r>
      <w:r>
        <w:rPr>
          <w:spacing w:val="21"/>
        </w:rPr>
        <w:t> </w:t>
      </w:r>
      <w:r>
        <w:rPr/>
        <w:t>bei,</w:t>
      </w:r>
      <w:r>
        <w:rPr>
          <w:spacing w:val="20"/>
        </w:rPr>
        <w:t> </w:t>
      </w:r>
      <w:r>
        <w:rPr/>
        <w:t>wobei</w:t>
      </w:r>
      <w:r>
        <w:rPr>
          <w:spacing w:val="20"/>
        </w:rPr>
        <w:t> </w:t>
      </w:r>
      <w:r>
        <w:rPr/>
        <w:t>der</w:t>
      </w:r>
      <w:r>
        <w:rPr>
          <w:spacing w:val="21"/>
        </w:rPr>
        <w:t> </w:t>
      </w:r>
      <w:r>
        <w:rPr/>
        <w:t>Schwerpunkt</w:t>
      </w:r>
      <w:r>
        <w:rPr>
          <w:spacing w:val="20"/>
        </w:rPr>
        <w:t> </w:t>
      </w:r>
      <w:r>
        <w:rPr/>
        <w:t>auf</w:t>
      </w:r>
      <w:r>
        <w:rPr>
          <w:spacing w:val="21"/>
        </w:rPr>
        <w:t> </w:t>
      </w:r>
      <w:r>
        <w:rPr/>
        <w:t>Artikel</w:t>
      </w:r>
      <w:r>
        <w:rPr>
          <w:spacing w:val="22"/>
        </w:rPr>
        <w:t> </w:t>
      </w:r>
      <w:r>
        <w:rPr>
          <w:spacing w:val="-5"/>
        </w:rPr>
        <w:t>27</w:t>
      </w:r>
    </w:p>
    <w:p>
      <w:pPr>
        <w:pStyle w:val="BodyText"/>
        <w:spacing w:line="252" w:lineRule="exact"/>
        <w:ind w:left="372"/>
        <w:jc w:val="both"/>
      </w:pPr>
      <w:r>
        <w:rPr/>
        <w:t>„Benchmarking“</w:t>
      </w:r>
      <w:r>
        <w:rPr>
          <w:spacing w:val="-6"/>
        </w:rPr>
        <w:t> </w:t>
      </w:r>
      <w:r>
        <w:rPr/>
        <w:t>und</w:t>
      </w:r>
      <w:r>
        <w:rPr>
          <w:spacing w:val="-5"/>
        </w:rPr>
        <w:t> </w:t>
      </w:r>
      <w:r>
        <w:rPr/>
        <w:t>Artikel</w:t>
      </w:r>
      <w:r>
        <w:rPr>
          <w:spacing w:val="-5"/>
        </w:rPr>
        <w:t> </w:t>
      </w:r>
      <w:r>
        <w:rPr/>
        <w:t>28</w:t>
      </w:r>
      <w:r>
        <w:rPr>
          <w:spacing w:val="-8"/>
        </w:rPr>
        <w:t> </w:t>
      </w:r>
      <w:r>
        <w:rPr/>
        <w:t>„Zusammenarbeit</w:t>
      </w:r>
      <w:r>
        <w:rPr>
          <w:spacing w:val="-5"/>
        </w:rPr>
        <w:t> </w:t>
      </w:r>
      <w:r>
        <w:rPr/>
        <w:t>mit</w:t>
      </w:r>
      <w:r>
        <w:rPr>
          <w:spacing w:val="-4"/>
        </w:rPr>
        <w:t> </w:t>
      </w:r>
      <w:r>
        <w:rPr/>
        <w:t>Drittländern“</w:t>
      </w:r>
      <w:r>
        <w:rPr>
          <w:spacing w:val="-7"/>
        </w:rPr>
        <w:t> </w:t>
      </w:r>
      <w:r>
        <w:rPr>
          <w:spacing w:val="-2"/>
        </w:rPr>
        <w:t>liegt.</w:t>
      </w:r>
    </w:p>
    <w:p>
      <w:pPr>
        <w:pStyle w:val="BodyText"/>
        <w:spacing w:before="5"/>
      </w:pPr>
    </w:p>
    <w:p>
      <w:pPr>
        <w:pStyle w:val="Heading1"/>
        <w:ind w:left="372" w:firstLine="0"/>
      </w:pPr>
      <w:r>
        <w:rPr>
          <w:spacing w:val="-2"/>
        </w:rPr>
        <w:t>Aufgabenbeschreibung</w:t>
      </w:r>
    </w:p>
    <w:p>
      <w:pPr>
        <w:pStyle w:val="BodyText"/>
        <w:spacing w:before="8"/>
        <w:rPr>
          <w:b/>
          <w:sz w:val="21"/>
        </w:rPr>
      </w:pPr>
    </w:p>
    <w:p>
      <w:pPr>
        <w:pStyle w:val="BodyText"/>
        <w:ind w:left="372" w:right="105"/>
        <w:jc w:val="both"/>
      </w:pPr>
      <w:r>
        <w:rPr/>
        <w:t>Unter der Verantwortung der Referatsleitung unterstützt der/die ANS die Arbeit von INTPA F2 im Bereich der nachhaltigen Waldbewirtschaftung. Geografische Schwerpunkte sind in erster Linie Afrika, Südostasien, der Pazifikraum und Süd- und Mittelamerika.</w:t>
      </w:r>
    </w:p>
    <w:p>
      <w:pPr>
        <w:pStyle w:val="BodyText"/>
        <w:spacing w:before="10"/>
        <w:rPr>
          <w:sz w:val="21"/>
        </w:rPr>
      </w:pPr>
    </w:p>
    <w:p>
      <w:pPr>
        <w:pStyle w:val="BodyText"/>
        <w:ind w:left="372"/>
      </w:pPr>
      <w:r>
        <w:rPr/>
        <w:t>In</w:t>
      </w:r>
      <w:r>
        <w:rPr>
          <w:spacing w:val="-5"/>
        </w:rPr>
        <w:t> </w:t>
      </w:r>
      <w:r>
        <w:rPr/>
        <w:t>diesem</w:t>
      </w:r>
      <w:r>
        <w:rPr>
          <w:spacing w:val="-6"/>
        </w:rPr>
        <w:t> </w:t>
      </w:r>
      <w:r>
        <w:rPr/>
        <w:t>Zusammenhang</w:t>
      </w:r>
      <w:r>
        <w:rPr>
          <w:spacing w:val="-6"/>
        </w:rPr>
        <w:t> </w:t>
      </w:r>
      <w:r>
        <w:rPr/>
        <w:t>nimmt</w:t>
      </w:r>
      <w:r>
        <w:rPr>
          <w:spacing w:val="-3"/>
        </w:rPr>
        <w:t> </w:t>
      </w:r>
      <w:r>
        <w:rPr/>
        <w:t>der/die</w:t>
      </w:r>
      <w:r>
        <w:rPr>
          <w:spacing w:val="-5"/>
        </w:rPr>
        <w:t> </w:t>
      </w:r>
      <w:r>
        <w:rPr/>
        <w:t>Abgeordnete</w:t>
      </w:r>
      <w:r>
        <w:rPr>
          <w:spacing w:val="-6"/>
        </w:rPr>
        <w:t> </w:t>
      </w:r>
      <w:r>
        <w:rPr/>
        <w:t>folgende</w:t>
      </w:r>
      <w:r>
        <w:rPr>
          <w:spacing w:val="-5"/>
        </w:rPr>
        <w:t> </w:t>
      </w:r>
      <w:r>
        <w:rPr/>
        <w:t>Aufgaben</w:t>
      </w:r>
      <w:r>
        <w:rPr>
          <w:spacing w:val="-4"/>
        </w:rPr>
        <w:t> </w:t>
      </w:r>
      <w:r>
        <w:rPr>
          <w:spacing w:val="-2"/>
        </w:rPr>
        <w:t>wahr:</w:t>
      </w:r>
    </w:p>
    <w:p>
      <w:pPr>
        <w:pStyle w:val="BodyText"/>
      </w:pPr>
    </w:p>
    <w:p>
      <w:pPr>
        <w:pStyle w:val="ListParagraph"/>
        <w:numPr>
          <w:ilvl w:val="1"/>
          <w:numId w:val="3"/>
        </w:numPr>
        <w:tabs>
          <w:tab w:pos="1093" w:val="left" w:leader="none"/>
        </w:tabs>
        <w:spacing w:line="240" w:lineRule="auto" w:before="1" w:after="0"/>
        <w:ind w:left="1092" w:right="106" w:hanging="361"/>
        <w:jc w:val="both"/>
        <w:rPr>
          <w:sz w:val="22"/>
        </w:rPr>
      </w:pPr>
      <w:r>
        <w:rPr>
          <w:sz w:val="22"/>
        </w:rPr>
        <w:t>Unterstützung</w:t>
      </w:r>
      <w:r>
        <w:rPr>
          <w:spacing w:val="-3"/>
          <w:sz w:val="22"/>
        </w:rPr>
        <w:t> </w:t>
      </w:r>
      <w:r>
        <w:rPr>
          <w:sz w:val="22"/>
        </w:rPr>
        <w:t>der Programmierung</w:t>
      </w:r>
      <w:r>
        <w:rPr>
          <w:spacing w:val="-3"/>
          <w:sz w:val="22"/>
        </w:rPr>
        <w:t> </w:t>
      </w:r>
      <w:r>
        <w:rPr>
          <w:sz w:val="22"/>
        </w:rPr>
        <w:t>und</w:t>
      </w:r>
      <w:r>
        <w:rPr>
          <w:spacing w:val="-1"/>
          <w:sz w:val="22"/>
        </w:rPr>
        <w:t> </w:t>
      </w:r>
      <w:r>
        <w:rPr>
          <w:sz w:val="22"/>
        </w:rPr>
        <w:t>Umsetzung</w:t>
      </w:r>
      <w:r>
        <w:rPr>
          <w:spacing w:val="-3"/>
          <w:sz w:val="22"/>
        </w:rPr>
        <w:t> </w:t>
      </w:r>
      <w:r>
        <w:rPr>
          <w:sz w:val="22"/>
        </w:rPr>
        <w:t>künftiger Länder-</w:t>
      </w:r>
      <w:r>
        <w:rPr>
          <w:spacing w:val="-4"/>
          <w:sz w:val="22"/>
        </w:rPr>
        <w:t> </w:t>
      </w:r>
      <w:r>
        <w:rPr>
          <w:sz w:val="22"/>
        </w:rPr>
        <w:t>und</w:t>
      </w:r>
      <w:r>
        <w:rPr>
          <w:spacing w:val="-1"/>
          <w:sz w:val="22"/>
        </w:rPr>
        <w:t> </w:t>
      </w:r>
      <w:r>
        <w:rPr>
          <w:sz w:val="22"/>
        </w:rPr>
        <w:t>Regionalprogramme</w:t>
      </w:r>
      <w:r>
        <w:rPr>
          <w:spacing w:val="-1"/>
          <w:sz w:val="22"/>
        </w:rPr>
        <w:t> </w:t>
      </w:r>
      <w:r>
        <w:rPr>
          <w:sz w:val="22"/>
        </w:rPr>
        <w:t>der EU</w:t>
      </w:r>
      <w:r>
        <w:rPr>
          <w:spacing w:val="-2"/>
          <w:sz w:val="22"/>
        </w:rPr>
        <w:t> </w:t>
      </w:r>
      <w:r>
        <w:rPr>
          <w:sz w:val="22"/>
        </w:rPr>
        <w:t>mit besonderem Schwerpunkt auf der externen Dimension des Green Deals und der Entwicklung und Umsetzung von EU-Forstpartnerschaften (EU Forest Partnerships), vom politischen Dialog bis zu </w:t>
      </w:r>
      <w:r>
        <w:rPr>
          <w:spacing w:val="-2"/>
          <w:sz w:val="22"/>
        </w:rPr>
        <w:t>Programmen;</w:t>
      </w:r>
    </w:p>
    <w:p>
      <w:pPr>
        <w:pStyle w:val="ListParagraph"/>
        <w:numPr>
          <w:ilvl w:val="1"/>
          <w:numId w:val="3"/>
        </w:numPr>
        <w:tabs>
          <w:tab w:pos="1093" w:val="left" w:leader="none"/>
        </w:tabs>
        <w:spacing w:line="240" w:lineRule="auto" w:before="0" w:after="0"/>
        <w:ind w:left="1092" w:right="104" w:hanging="361"/>
        <w:jc w:val="both"/>
        <w:rPr>
          <w:sz w:val="22"/>
        </w:rPr>
      </w:pPr>
      <w:r>
        <w:rPr>
          <w:sz w:val="22"/>
        </w:rPr>
        <w:t>Beitrag zur analytischen Arbeit und zur Entwicklung von Wissen, Instrumenten und Konzepten im Zusammenhang politischer Maßnahmen, Strategien und Methoden für eine nachhaltige Waldbewirtschaftung und die Bekämpfung von Entwaldung;</w:t>
      </w:r>
    </w:p>
    <w:p>
      <w:pPr>
        <w:pStyle w:val="ListParagraph"/>
        <w:numPr>
          <w:ilvl w:val="1"/>
          <w:numId w:val="3"/>
        </w:numPr>
        <w:tabs>
          <w:tab w:pos="1093" w:val="left" w:leader="none"/>
        </w:tabs>
        <w:spacing w:line="240" w:lineRule="auto" w:before="0" w:after="0"/>
        <w:ind w:left="1092" w:right="106" w:hanging="361"/>
        <w:jc w:val="both"/>
        <w:rPr>
          <w:sz w:val="22"/>
        </w:rPr>
      </w:pPr>
      <w:r>
        <w:rPr>
          <w:sz w:val="22"/>
        </w:rPr>
        <w:t>Analyse und Entwicklung nachhaltiger forstbezogener Wertschöpfungsketten (Holz- und andere forstwirtschaftliche Erzeugnisse);</w:t>
      </w:r>
    </w:p>
    <w:p>
      <w:pPr>
        <w:pStyle w:val="ListParagraph"/>
        <w:numPr>
          <w:ilvl w:val="1"/>
          <w:numId w:val="3"/>
        </w:numPr>
        <w:tabs>
          <w:tab w:pos="1093" w:val="left" w:leader="none"/>
        </w:tabs>
        <w:spacing w:line="240" w:lineRule="auto" w:before="1" w:after="0"/>
        <w:ind w:left="1092" w:right="106" w:hanging="361"/>
        <w:jc w:val="both"/>
        <w:rPr>
          <w:sz w:val="22"/>
        </w:rPr>
      </w:pPr>
      <w:r>
        <w:rPr>
          <w:sz w:val="22"/>
        </w:rPr>
        <w:t>Beitrag zur Umsetzung der EU-Verordnung über entwaldungsfreie Produkte, insbesondere im</w:t>
      </w:r>
      <w:r>
        <w:rPr>
          <w:spacing w:val="-1"/>
          <w:sz w:val="22"/>
        </w:rPr>
        <w:t> </w:t>
      </w:r>
      <w:r>
        <w:rPr>
          <w:sz w:val="22"/>
        </w:rPr>
        <w:t>Hinblick auf die Erleichterung des Handels mit legalen und nachhaltigen Holz/Holzprodukten zwischen Partnerländern und der EU;</w:t>
      </w:r>
    </w:p>
    <w:p>
      <w:pPr>
        <w:pStyle w:val="ListParagraph"/>
        <w:numPr>
          <w:ilvl w:val="1"/>
          <w:numId w:val="3"/>
        </w:numPr>
        <w:tabs>
          <w:tab w:pos="1093" w:val="left" w:leader="none"/>
        </w:tabs>
        <w:spacing w:line="240" w:lineRule="auto" w:before="0" w:after="0"/>
        <w:ind w:left="1092" w:right="104" w:hanging="361"/>
        <w:jc w:val="both"/>
        <w:rPr>
          <w:sz w:val="22"/>
        </w:rPr>
      </w:pPr>
      <w:r>
        <w:rPr>
          <w:sz w:val="22"/>
        </w:rPr>
        <w:t>Unterstützung von Investitionsvorhaben (Blended Finance (Mischfinanzierung), Garantien, grüne/Klimafinanzierung, Kohlenstoffmärkte), öffentlich-private Partnerschaften und die Beteiligung des Privatsektors im Bereich nachhaltige Waldbewirtschaftung und Wiederaufforstung, einschließlich Aufforstung und Wiederherstellung von Waldökosystemen;</w:t>
      </w:r>
    </w:p>
    <w:p>
      <w:pPr>
        <w:pStyle w:val="ListParagraph"/>
        <w:numPr>
          <w:ilvl w:val="1"/>
          <w:numId w:val="3"/>
        </w:numPr>
        <w:tabs>
          <w:tab w:pos="1093" w:val="left" w:leader="none"/>
        </w:tabs>
        <w:spacing w:line="240" w:lineRule="auto" w:before="0" w:after="0"/>
        <w:ind w:left="1092" w:right="104" w:hanging="361"/>
        <w:jc w:val="both"/>
        <w:rPr>
          <w:sz w:val="22"/>
        </w:rPr>
      </w:pPr>
      <w:r>
        <w:rPr>
          <w:sz w:val="22"/>
        </w:rPr>
        <w:t>Unterstützung von Maßnahmen zum Kapazitätsaufbau (capacitiy building) für EU-Bedienstete im Bereich Wälder aus ganzheitlichen Perspektive, inklusive der sozioökonomische Bedeutung von Wäldern, aber</w:t>
      </w:r>
      <w:r>
        <w:rPr>
          <w:spacing w:val="40"/>
          <w:sz w:val="22"/>
        </w:rPr>
        <w:t> </w:t>
      </w:r>
      <w:r>
        <w:rPr>
          <w:sz w:val="22"/>
        </w:rPr>
        <w:t>auch hinsichtlich ihrer Rolle für die biologische Vielfalt und den Klimawandel;</w:t>
      </w:r>
    </w:p>
    <w:p>
      <w:pPr>
        <w:pStyle w:val="ListParagraph"/>
        <w:numPr>
          <w:ilvl w:val="1"/>
          <w:numId w:val="3"/>
        </w:numPr>
        <w:tabs>
          <w:tab w:pos="1093" w:val="left" w:leader="none"/>
        </w:tabs>
        <w:spacing w:line="240" w:lineRule="auto" w:before="0" w:after="0"/>
        <w:ind w:left="1092" w:right="110" w:hanging="361"/>
        <w:jc w:val="both"/>
        <w:rPr>
          <w:sz w:val="22"/>
        </w:rPr>
      </w:pPr>
      <w:r>
        <w:rPr>
          <w:sz w:val="22"/>
        </w:rPr>
        <w:t>Durchführung von Missionen in Partnerländern zur Bereitstellung politischer und technischer Unterstützung für Wälder;</w:t>
      </w:r>
    </w:p>
    <w:p>
      <w:pPr>
        <w:pStyle w:val="ListParagraph"/>
        <w:numPr>
          <w:ilvl w:val="1"/>
          <w:numId w:val="3"/>
        </w:numPr>
        <w:tabs>
          <w:tab w:pos="1093" w:val="left" w:leader="none"/>
        </w:tabs>
        <w:spacing w:line="240" w:lineRule="auto" w:before="1" w:after="0"/>
        <w:ind w:left="1092" w:right="104" w:hanging="361"/>
        <w:jc w:val="both"/>
        <w:rPr>
          <w:sz w:val="22"/>
        </w:rPr>
      </w:pPr>
      <w:r>
        <w:rPr>
          <w:sz w:val="22"/>
        </w:rPr>
        <w:t>Technische Unterstützung von Kolleginnen und Kollegen in INTPA und EU-Delegationen in den</w:t>
      </w:r>
      <w:r>
        <w:rPr>
          <w:spacing w:val="40"/>
          <w:sz w:val="22"/>
        </w:rPr>
        <w:t> </w:t>
      </w:r>
      <w:r>
        <w:rPr>
          <w:sz w:val="22"/>
        </w:rPr>
        <w:t>Bereichen nachhaltige Waldbewirtschaftung, Erhaltung und Wiederherstellung der Wälder.</w:t>
      </w:r>
    </w:p>
    <w:p>
      <w:pPr>
        <w:pStyle w:val="ListParagraph"/>
        <w:numPr>
          <w:ilvl w:val="1"/>
          <w:numId w:val="3"/>
        </w:numPr>
        <w:tabs>
          <w:tab w:pos="1093" w:val="left" w:leader="none"/>
        </w:tabs>
        <w:spacing w:line="240" w:lineRule="auto" w:before="0" w:after="0"/>
        <w:ind w:left="1092" w:right="111" w:hanging="361"/>
        <w:jc w:val="both"/>
        <w:rPr>
          <w:sz w:val="22"/>
        </w:rPr>
      </w:pPr>
      <w:r>
        <w:rPr>
          <w:sz w:val="22"/>
        </w:rPr>
        <w:t>Involvierung und Förderung der sektorspezifischen und thematischen Koordinierung innerhalb der Kommission und anderer EU-Organe, Mitgliedstaaten und anderer Interessensvertreter;</w:t>
      </w:r>
    </w:p>
    <w:p>
      <w:pPr>
        <w:pStyle w:val="ListParagraph"/>
        <w:numPr>
          <w:ilvl w:val="1"/>
          <w:numId w:val="3"/>
        </w:numPr>
        <w:tabs>
          <w:tab w:pos="1093" w:val="left" w:leader="none"/>
        </w:tabs>
        <w:spacing w:line="240" w:lineRule="auto" w:before="0" w:after="0"/>
        <w:ind w:left="1092" w:right="106" w:hanging="361"/>
        <w:jc w:val="both"/>
        <w:rPr>
          <w:sz w:val="22"/>
        </w:rPr>
      </w:pPr>
      <w:r>
        <w:rPr>
          <w:sz w:val="22"/>
        </w:rPr>
        <w:t>Beitrag zur Ermittlung und Formulierung von Programmen für den Forstsektor und Durchführung entsprechender Analysen, Bereitstellung thematischer Leitlinien, Schulungen und Wissensaustausch.</w:t>
      </w:r>
    </w:p>
    <w:p>
      <w:pPr>
        <w:pStyle w:val="ListParagraph"/>
        <w:numPr>
          <w:ilvl w:val="1"/>
          <w:numId w:val="3"/>
        </w:numPr>
        <w:tabs>
          <w:tab w:pos="1093" w:val="left" w:leader="none"/>
        </w:tabs>
        <w:spacing w:line="240" w:lineRule="auto" w:before="0" w:after="0"/>
        <w:ind w:left="1092" w:right="108" w:hanging="361"/>
        <w:jc w:val="both"/>
        <w:rPr>
          <w:sz w:val="22"/>
        </w:rPr>
      </w:pPr>
      <w:r>
        <w:rPr>
          <w:sz w:val="22"/>
        </w:rPr>
        <w:t>Beitrag zur Identifizierung und Formulierung von Programmen für den Forstsektor und Durchführung entsprechender Analysen, Bereitstellung thematischer Leitlinien, Schulungen und Wissensaustausch.</w:t>
      </w:r>
    </w:p>
    <w:p>
      <w:pPr>
        <w:pStyle w:val="ListParagraph"/>
        <w:numPr>
          <w:ilvl w:val="1"/>
          <w:numId w:val="3"/>
        </w:numPr>
        <w:tabs>
          <w:tab w:pos="1093" w:val="left" w:leader="none"/>
        </w:tabs>
        <w:spacing w:line="240" w:lineRule="auto" w:before="0" w:after="0"/>
        <w:ind w:left="1092" w:right="106" w:hanging="361"/>
        <w:jc w:val="both"/>
        <w:rPr>
          <w:sz w:val="22"/>
        </w:rPr>
      </w:pPr>
      <w:r>
        <w:rPr>
          <w:sz w:val="22"/>
        </w:rPr>
        <w:t>Unterstützung des Mainstreamings der Themen Klimawandel und biologische Vielfalt im gesamten Waldportfolio im</w:t>
      </w:r>
      <w:r>
        <w:rPr>
          <w:spacing w:val="-4"/>
          <w:sz w:val="22"/>
        </w:rPr>
        <w:t> </w:t>
      </w:r>
      <w:r>
        <w:rPr>
          <w:sz w:val="22"/>
        </w:rPr>
        <w:t>Einklang mit dem</w:t>
      </w:r>
      <w:r>
        <w:rPr>
          <w:spacing w:val="-1"/>
          <w:sz w:val="22"/>
        </w:rPr>
        <w:t> </w:t>
      </w:r>
      <w:r>
        <w:rPr>
          <w:sz w:val="22"/>
        </w:rPr>
        <w:t>Vorschlag</w:t>
      </w:r>
      <w:r>
        <w:rPr>
          <w:spacing w:val="-2"/>
          <w:sz w:val="22"/>
        </w:rPr>
        <w:t> </w:t>
      </w:r>
      <w:r>
        <w:rPr>
          <w:sz w:val="22"/>
        </w:rPr>
        <w:t>der</w:t>
      </w:r>
      <w:r>
        <w:rPr>
          <w:spacing w:val="-1"/>
          <w:sz w:val="22"/>
        </w:rPr>
        <w:t> </w:t>
      </w:r>
      <w:r>
        <w:rPr>
          <w:sz w:val="22"/>
        </w:rPr>
        <w:t>Kommission für den neuen mehrjährigen Finanzrahmen (2021-2027) für Klimaschutzmaßnahmen in Höhe von 30% und der Zusage der Präsidentin, die Finanzierung der biologischen Vielfalt zu verdoppeln;</w:t>
      </w:r>
    </w:p>
    <w:p>
      <w:pPr>
        <w:pStyle w:val="BodyText"/>
        <w:spacing w:before="11"/>
        <w:rPr>
          <w:sz w:val="21"/>
        </w:rPr>
      </w:pPr>
    </w:p>
    <w:p>
      <w:pPr>
        <w:pStyle w:val="BodyText"/>
        <w:ind w:left="372"/>
      </w:pPr>
      <w:r>
        <w:rPr/>
        <w:t>Der/die</w:t>
      </w:r>
      <w:r>
        <w:rPr>
          <w:spacing w:val="25"/>
        </w:rPr>
        <w:t> </w:t>
      </w:r>
      <w:r>
        <w:rPr/>
        <w:t>ANS</w:t>
      </w:r>
      <w:r>
        <w:rPr>
          <w:spacing w:val="24"/>
        </w:rPr>
        <w:t> </w:t>
      </w:r>
      <w:r>
        <w:rPr/>
        <w:t>wird</w:t>
      </w:r>
      <w:r>
        <w:rPr>
          <w:spacing w:val="24"/>
        </w:rPr>
        <w:t> </w:t>
      </w:r>
      <w:r>
        <w:rPr/>
        <w:t>auch</w:t>
      </w:r>
      <w:r>
        <w:rPr>
          <w:spacing w:val="25"/>
        </w:rPr>
        <w:t> </w:t>
      </w:r>
      <w:r>
        <w:rPr/>
        <w:t>andere</w:t>
      </w:r>
      <w:r>
        <w:rPr>
          <w:spacing w:val="24"/>
        </w:rPr>
        <w:t> </w:t>
      </w:r>
      <w:r>
        <w:rPr/>
        <w:t>relevante</w:t>
      </w:r>
      <w:r>
        <w:rPr>
          <w:spacing w:val="26"/>
        </w:rPr>
        <w:t> </w:t>
      </w:r>
      <w:r>
        <w:rPr/>
        <w:t>Aufgaben</w:t>
      </w:r>
      <w:r>
        <w:rPr>
          <w:spacing w:val="24"/>
        </w:rPr>
        <w:t> </w:t>
      </w:r>
      <w:r>
        <w:rPr/>
        <w:t>übernehmen,</w:t>
      </w:r>
      <w:r>
        <w:rPr>
          <w:spacing w:val="24"/>
        </w:rPr>
        <w:t> </w:t>
      </w:r>
      <w:r>
        <w:rPr/>
        <w:t>die</w:t>
      </w:r>
      <w:r>
        <w:rPr>
          <w:spacing w:val="24"/>
        </w:rPr>
        <w:t> </w:t>
      </w:r>
      <w:r>
        <w:rPr/>
        <w:t>ihm/ihr</w:t>
      </w:r>
      <w:r>
        <w:rPr>
          <w:spacing w:val="25"/>
        </w:rPr>
        <w:t> </w:t>
      </w:r>
      <w:r>
        <w:rPr/>
        <w:t>von</w:t>
      </w:r>
      <w:r>
        <w:rPr>
          <w:spacing w:val="24"/>
        </w:rPr>
        <w:t> </w:t>
      </w:r>
      <w:r>
        <w:rPr/>
        <w:t>der</w:t>
      </w:r>
      <w:r>
        <w:rPr>
          <w:spacing w:val="26"/>
        </w:rPr>
        <w:t> </w:t>
      </w:r>
      <w:r>
        <w:rPr/>
        <w:t>Referatsleitung übertragen werden,</w:t>
      </w:r>
      <w:r>
        <w:rPr>
          <w:spacing w:val="13"/>
        </w:rPr>
        <w:t> </w:t>
      </w:r>
      <w:r>
        <w:rPr/>
        <w:t>dies</w:t>
      </w:r>
      <w:r>
        <w:rPr>
          <w:spacing w:val="13"/>
        </w:rPr>
        <w:t> </w:t>
      </w:r>
      <w:r>
        <w:rPr/>
        <w:t>könnte</w:t>
      </w:r>
      <w:r>
        <w:rPr>
          <w:spacing w:val="14"/>
        </w:rPr>
        <w:t> </w:t>
      </w:r>
      <w:r>
        <w:rPr/>
        <w:t>beinhalten</w:t>
      </w:r>
      <w:r>
        <w:rPr>
          <w:spacing w:val="13"/>
        </w:rPr>
        <w:t> </w:t>
      </w:r>
      <w:r>
        <w:rPr/>
        <w:t>sich</w:t>
      </w:r>
      <w:r>
        <w:rPr>
          <w:spacing w:val="10"/>
        </w:rPr>
        <w:t> </w:t>
      </w:r>
      <w:r>
        <w:rPr/>
        <w:t>in</w:t>
      </w:r>
      <w:r>
        <w:rPr>
          <w:spacing w:val="15"/>
        </w:rPr>
        <w:t> </w:t>
      </w:r>
      <w:r>
        <w:rPr/>
        <w:t>andere</w:t>
      </w:r>
      <w:r>
        <w:rPr>
          <w:spacing w:val="13"/>
        </w:rPr>
        <w:t> </w:t>
      </w:r>
      <w:r>
        <w:rPr/>
        <w:t>Arbeitsbereiche</w:t>
      </w:r>
      <w:r>
        <w:rPr>
          <w:spacing w:val="14"/>
        </w:rPr>
        <w:t> </w:t>
      </w:r>
      <w:r>
        <w:rPr/>
        <w:t>einzubringen,</w:t>
      </w:r>
      <w:r>
        <w:rPr>
          <w:spacing w:val="13"/>
        </w:rPr>
        <w:t> </w:t>
      </w:r>
      <w:r>
        <w:rPr/>
        <w:t>inklusive</w:t>
      </w:r>
      <w:r>
        <w:rPr>
          <w:spacing w:val="54"/>
          <w:w w:val="150"/>
        </w:rPr>
        <w:t> </w:t>
      </w:r>
      <w:r>
        <w:rPr/>
        <w:t>der</w:t>
      </w:r>
      <w:r>
        <w:rPr>
          <w:spacing w:val="13"/>
        </w:rPr>
        <w:t> </w:t>
      </w:r>
      <w:r>
        <w:rPr/>
        <w:t>Bereiche</w:t>
      </w:r>
      <w:r>
        <w:rPr>
          <w:spacing w:val="15"/>
        </w:rPr>
        <w:t> </w:t>
      </w:r>
      <w:r>
        <w:rPr>
          <w:spacing w:val="-2"/>
        </w:rPr>
        <w:t>Privatsektor,</w:t>
      </w:r>
    </w:p>
    <w:p>
      <w:pPr>
        <w:spacing w:after="0"/>
        <w:sectPr>
          <w:pgSz w:w="11910" w:h="16840"/>
          <w:pgMar w:header="0" w:footer="690" w:top="1040" w:bottom="880" w:left="480" w:right="740"/>
        </w:sectPr>
      </w:pPr>
    </w:p>
    <w:p>
      <w:pPr>
        <w:pStyle w:val="BodyText"/>
        <w:spacing w:before="68"/>
        <w:ind w:left="372" w:right="104"/>
        <w:jc w:val="both"/>
      </w:pPr>
      <w:r>
        <w:rPr/>
        <w:t>insbesondere der Kreislauf- und Biowirtschaft, integrierten Landschaftsansätzen, Waldbesitz- und Zugangsrechten, Menschenrechten, innovativen Finanzierungsmechanismen für Waldökosysteme, politischem Dialog mit Partnerländern, um zur ökologischen Dimension der Arbeit von INTPA beizutragen.</w:t>
      </w:r>
    </w:p>
    <w:p>
      <w:pPr>
        <w:pStyle w:val="BodyText"/>
        <w:spacing w:before="6"/>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0"/>
          <w:numId w:val="4"/>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0"/>
          <w:numId w:val="5"/>
        </w:numPr>
        <w:tabs>
          <w:tab w:pos="1081" w:val="left" w:leader="none"/>
        </w:tabs>
        <w:spacing w:line="240" w:lineRule="auto" w:before="1" w:after="0"/>
        <w:ind w:left="1080" w:right="108"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5"/>
        </w:numPr>
        <w:tabs>
          <w:tab w:pos="1081" w:val="left" w:leader="none"/>
        </w:tabs>
        <w:spacing w:line="240" w:lineRule="auto" w:before="0" w:after="0"/>
        <w:ind w:left="1080" w:right="112"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tabs>
          <w:tab w:pos="1826" w:val="left" w:leader="none"/>
          <w:tab w:pos="3036" w:val="left" w:leader="none"/>
          <w:tab w:pos="4839" w:val="left" w:leader="none"/>
          <w:tab w:pos="6116" w:val="left" w:leader="none"/>
          <w:tab w:pos="7334" w:val="left" w:leader="none"/>
          <w:tab w:pos="9133" w:val="left" w:leader="none"/>
        </w:tabs>
        <w:ind w:left="1080" w:right="163" w:firstLine="110"/>
      </w:pPr>
      <w:r>
        <w:rPr>
          <w:spacing w:val="-6"/>
        </w:rPr>
        <w:t>im</w:t>
      </w:r>
      <w:r>
        <w:rPr/>
        <w:tab/>
      </w:r>
      <w:r>
        <w:rPr>
          <w:spacing w:val="-2"/>
        </w:rPr>
        <w:t>Bereich::</w:t>
      </w:r>
      <w:r>
        <w:rPr/>
        <w:tab/>
      </w:r>
      <w:r>
        <w:rPr>
          <w:spacing w:val="-2"/>
        </w:rPr>
        <w:t>Umweltstudien,</w:t>
      </w:r>
      <w:r>
        <w:rPr/>
        <w:tab/>
      </w:r>
      <w:r>
        <w:rPr>
          <w:spacing w:val="-2"/>
        </w:rPr>
        <w:t>Ökologie,</w:t>
      </w:r>
      <w:r>
        <w:rPr/>
        <w:tab/>
      </w:r>
      <w:r>
        <w:rPr>
          <w:spacing w:val="-2"/>
        </w:rPr>
        <w:t>Biologie,</w:t>
      </w:r>
      <w:r>
        <w:rPr/>
        <w:tab/>
      </w:r>
      <w:r>
        <w:rPr>
          <w:spacing w:val="-2"/>
        </w:rPr>
        <w:t>Landwirtschaft,</w:t>
      </w:r>
      <w:r>
        <w:rPr/>
        <w:tab/>
      </w:r>
      <w:r>
        <w:rPr>
          <w:spacing w:val="-2"/>
        </w:rPr>
        <w:t>Forstwirtschaft, </w:t>
      </w:r>
      <w:r>
        <w:rPr/>
        <w:t>Wirtschaftswissenschaften oder ähnlich</w:t>
      </w:r>
    </w:p>
    <w:p>
      <w:pPr>
        <w:pStyle w:val="BodyText"/>
        <w:rPr>
          <w:sz w:val="24"/>
        </w:rPr>
      </w:pPr>
    </w:p>
    <w:p>
      <w:pPr>
        <w:pStyle w:val="BodyText"/>
        <w:rPr>
          <w:sz w:val="20"/>
        </w:rPr>
      </w:pPr>
    </w:p>
    <w:p>
      <w:pPr>
        <w:pStyle w:val="BodyText"/>
        <w:spacing w:before="1"/>
        <w:ind w:left="1080"/>
      </w:pPr>
      <w:r>
        <w:rPr>
          <w:spacing w:val="-2"/>
          <w:u w:val="single"/>
        </w:rPr>
        <w:t>Berufserfahrung</w:t>
      </w:r>
    </w:p>
    <w:p>
      <w:pPr>
        <w:pStyle w:val="BodyText"/>
        <w:spacing w:before="1"/>
        <w:rPr>
          <w:sz w:val="14"/>
        </w:rPr>
      </w:pPr>
    </w:p>
    <w:p>
      <w:pPr>
        <w:pStyle w:val="BodyText"/>
        <w:spacing w:before="92"/>
        <w:ind w:left="1080" w:right="172"/>
        <w:jc w:val="both"/>
      </w:pPr>
      <w:r>
        <w:rPr/>
        <w:t>Mindestens fünf Jahre nachgewiesene Berufserfahrung auf Vollzeitbasis in Bereichen, die für die nachhaltige Waldbewirtschaftung relevant sind: insbesondere bei der Konzeption von Sektorstrategien/Strategien und/oder Projekten/Programmen;</w:t>
      </w:r>
    </w:p>
    <w:p>
      <w:pPr>
        <w:pStyle w:val="BodyText"/>
        <w:spacing w:before="9"/>
        <w:rPr>
          <w:sz w:val="21"/>
        </w:rPr>
      </w:pPr>
    </w:p>
    <w:p>
      <w:pPr>
        <w:pStyle w:val="BodyText"/>
        <w:spacing w:before="1"/>
        <w:ind w:left="1080" w:right="164"/>
        <w:jc w:val="both"/>
      </w:pPr>
      <w:r>
        <w:rPr/>
        <w:t>Erfahrungen im Bereich der nachhaltigen Finanzierungsmechanismen für Wälder (Blended Finance (Mischfinanzierung), Treuhandfonds, Zahlungen für Ökosystemdienstleistungen) erwünscht;</w:t>
      </w:r>
    </w:p>
    <w:p>
      <w:pPr>
        <w:pStyle w:val="BodyText"/>
        <w:spacing w:before="1"/>
      </w:pPr>
    </w:p>
    <w:p>
      <w:pPr>
        <w:pStyle w:val="BodyText"/>
        <w:spacing w:before="1"/>
        <w:ind w:left="1080" w:right="171"/>
        <w:jc w:val="both"/>
      </w:pPr>
      <w:r>
        <w:rPr/>
        <w:t>Erfahrung in der Analyse und Entwicklung sektoraler Wertschöpfungsketten, einschließlich der Einbeziehung des Privatsektors;</w:t>
      </w:r>
    </w:p>
    <w:p>
      <w:pPr>
        <w:pStyle w:val="BodyText"/>
        <w:spacing w:before="10"/>
        <w:rPr>
          <w:sz w:val="21"/>
        </w:rPr>
      </w:pPr>
    </w:p>
    <w:p>
      <w:pPr>
        <w:pStyle w:val="BodyText"/>
        <w:ind w:left="1080"/>
        <w:jc w:val="both"/>
      </w:pPr>
      <w:r>
        <w:rPr/>
        <w:t>Erfahrung</w:t>
      </w:r>
      <w:r>
        <w:rPr>
          <w:spacing w:val="-9"/>
        </w:rPr>
        <w:t> </w:t>
      </w:r>
      <w:r>
        <w:rPr/>
        <w:t>vor</w:t>
      </w:r>
      <w:r>
        <w:rPr>
          <w:spacing w:val="-3"/>
        </w:rPr>
        <w:t> </w:t>
      </w:r>
      <w:r>
        <w:rPr/>
        <w:t>Ort</w:t>
      </w:r>
      <w:r>
        <w:rPr>
          <w:spacing w:val="-5"/>
        </w:rPr>
        <w:t> </w:t>
      </w:r>
      <w:r>
        <w:rPr/>
        <w:t>in</w:t>
      </w:r>
      <w:r>
        <w:rPr>
          <w:spacing w:val="-4"/>
        </w:rPr>
        <w:t> </w:t>
      </w:r>
      <w:r>
        <w:rPr/>
        <w:t>den</w:t>
      </w:r>
      <w:r>
        <w:rPr>
          <w:spacing w:val="-3"/>
        </w:rPr>
        <w:t> </w:t>
      </w:r>
      <w:r>
        <w:rPr/>
        <w:t>Regionen</w:t>
      </w:r>
      <w:r>
        <w:rPr>
          <w:spacing w:val="-4"/>
        </w:rPr>
        <w:t> </w:t>
      </w:r>
      <w:r>
        <w:rPr/>
        <w:t>Afrika</w:t>
      </w:r>
      <w:r>
        <w:rPr>
          <w:spacing w:val="-3"/>
        </w:rPr>
        <w:t> </w:t>
      </w:r>
      <w:r>
        <w:rPr/>
        <w:t>und/oder</w:t>
      </w:r>
      <w:r>
        <w:rPr>
          <w:spacing w:val="-3"/>
        </w:rPr>
        <w:t> </w:t>
      </w:r>
      <w:r>
        <w:rPr/>
        <w:t>Südamerika</w:t>
      </w:r>
      <w:r>
        <w:rPr>
          <w:spacing w:val="-4"/>
        </w:rPr>
        <w:t> </w:t>
      </w:r>
      <w:r>
        <w:rPr/>
        <w:t>gilt</w:t>
      </w:r>
      <w:r>
        <w:rPr>
          <w:spacing w:val="-2"/>
        </w:rPr>
        <w:t> </w:t>
      </w:r>
      <w:r>
        <w:rPr/>
        <w:t>als</w:t>
      </w:r>
      <w:r>
        <w:rPr>
          <w:spacing w:val="-5"/>
        </w:rPr>
        <w:t> </w:t>
      </w:r>
      <w:r>
        <w:rPr>
          <w:spacing w:val="-2"/>
        </w:rPr>
        <w:t>Vorteil;</w:t>
      </w:r>
    </w:p>
    <w:p>
      <w:pPr>
        <w:pStyle w:val="BodyText"/>
        <w:spacing w:before="1"/>
      </w:pPr>
    </w:p>
    <w:p>
      <w:pPr>
        <w:pStyle w:val="BodyText"/>
        <w:ind w:left="1080" w:right="164"/>
        <w:jc w:val="both"/>
      </w:pPr>
      <w:r>
        <w:rPr/>
        <w:t>Erfahrungen mit internationalen Übereinkommen über biologische Vielfalt, Klima und Wälder gelten als Vorteil. Kenntnisse der EU-Entwicklungspolitik und der Biodiversitäts-/Waldstrategie erwünscht;</w:t>
      </w:r>
    </w:p>
    <w:p>
      <w:pPr>
        <w:pStyle w:val="BodyText"/>
      </w:pPr>
    </w:p>
    <w:p>
      <w:pPr>
        <w:pStyle w:val="BodyText"/>
        <w:ind w:left="1080" w:right="165"/>
        <w:jc w:val="both"/>
      </w:pPr>
      <w:r>
        <w:rPr/>
        <w:t>Fähigkeit</w:t>
      </w:r>
      <w:r>
        <w:rPr>
          <w:spacing w:val="-2"/>
        </w:rPr>
        <w:t> </w:t>
      </w:r>
      <w:r>
        <w:rPr/>
        <w:t>zur</w:t>
      </w:r>
      <w:r>
        <w:rPr>
          <w:spacing w:val="-2"/>
        </w:rPr>
        <w:t> </w:t>
      </w:r>
      <w:r>
        <w:rPr/>
        <w:t>Bearbeitung</w:t>
      </w:r>
      <w:r>
        <w:rPr>
          <w:spacing w:val="-5"/>
        </w:rPr>
        <w:t> </w:t>
      </w:r>
      <w:r>
        <w:rPr/>
        <w:t>komplexer Arbeitsprozesse;</w:t>
      </w:r>
      <w:r>
        <w:rPr>
          <w:spacing w:val="-3"/>
        </w:rPr>
        <w:t> </w:t>
      </w:r>
      <w:r>
        <w:rPr/>
        <w:t>Teamfähigkeit</w:t>
      </w:r>
      <w:r>
        <w:rPr>
          <w:spacing w:val="-1"/>
        </w:rPr>
        <w:t> </w:t>
      </w:r>
      <w:r>
        <w:rPr/>
        <w:t>mit</w:t>
      </w:r>
      <w:r>
        <w:rPr>
          <w:spacing w:val="-2"/>
        </w:rPr>
        <w:t> </w:t>
      </w:r>
      <w:r>
        <w:rPr/>
        <w:t>ausgeprägter</w:t>
      </w:r>
      <w:r>
        <w:rPr>
          <w:spacing w:val="-2"/>
        </w:rPr>
        <w:t> </w:t>
      </w:r>
      <w:r>
        <w:rPr/>
        <w:t>Eigeninitiative und der</w:t>
      </w:r>
      <w:r>
        <w:rPr>
          <w:spacing w:val="72"/>
        </w:rPr>
        <w:t> </w:t>
      </w:r>
      <w:r>
        <w:rPr/>
        <w:t>Fähigkeit</w:t>
      </w:r>
      <w:r>
        <w:rPr>
          <w:spacing w:val="73"/>
        </w:rPr>
        <w:t> </w:t>
      </w:r>
      <w:r>
        <w:rPr/>
        <w:t>in</w:t>
      </w:r>
      <w:r>
        <w:rPr>
          <w:spacing w:val="70"/>
        </w:rPr>
        <w:t> </w:t>
      </w:r>
      <w:r>
        <w:rPr/>
        <w:t>einem</w:t>
      </w:r>
      <w:r>
        <w:rPr>
          <w:spacing w:val="70"/>
        </w:rPr>
        <w:t> </w:t>
      </w:r>
      <w:r>
        <w:rPr/>
        <w:t>multidisziplinären</w:t>
      </w:r>
      <w:r>
        <w:rPr>
          <w:spacing w:val="73"/>
        </w:rPr>
        <w:t> </w:t>
      </w:r>
      <w:r>
        <w:rPr/>
        <w:t>Umfeld</w:t>
      </w:r>
      <w:r>
        <w:rPr>
          <w:spacing w:val="70"/>
        </w:rPr>
        <w:t> </w:t>
      </w:r>
      <w:r>
        <w:rPr/>
        <w:t>zu</w:t>
      </w:r>
      <w:r>
        <w:rPr>
          <w:spacing w:val="73"/>
        </w:rPr>
        <w:t> </w:t>
      </w:r>
      <w:r>
        <w:rPr/>
        <w:t>arbeiten</w:t>
      </w:r>
      <w:r>
        <w:rPr>
          <w:spacing w:val="76"/>
        </w:rPr>
        <w:t> </w:t>
      </w:r>
      <w:r>
        <w:rPr/>
        <w:t>sind</w:t>
      </w:r>
      <w:r>
        <w:rPr>
          <w:spacing w:val="72"/>
        </w:rPr>
        <w:t> </w:t>
      </w:r>
      <w:r>
        <w:rPr/>
        <w:t>erwünscht.</w:t>
      </w:r>
      <w:r>
        <w:rPr>
          <w:spacing w:val="72"/>
        </w:rPr>
        <w:t> </w:t>
      </w:r>
      <w:r>
        <w:rPr/>
        <w:t>Die</w:t>
      </w:r>
      <w:r>
        <w:rPr>
          <w:spacing w:val="74"/>
        </w:rPr>
        <w:t> </w:t>
      </w:r>
      <w:r>
        <w:rPr>
          <w:spacing w:val="-2"/>
        </w:rPr>
        <w:t>nachgewiesene</w:t>
      </w:r>
    </w:p>
    <w:p>
      <w:pPr>
        <w:spacing w:after="0"/>
        <w:jc w:val="both"/>
        <w:sectPr>
          <w:pgSz w:w="11910" w:h="16840"/>
          <w:pgMar w:header="0" w:footer="690" w:top="1040" w:bottom="880" w:left="480" w:right="740"/>
        </w:sectPr>
      </w:pPr>
    </w:p>
    <w:p>
      <w:pPr>
        <w:pStyle w:val="BodyText"/>
        <w:tabs>
          <w:tab w:pos="2113" w:val="left" w:leader="none"/>
          <w:tab w:pos="2595" w:val="left" w:leader="none"/>
          <w:tab w:pos="4569" w:val="left" w:leader="none"/>
          <w:tab w:pos="5099" w:val="left" w:leader="none"/>
          <w:tab w:pos="6157" w:val="left" w:leader="none"/>
          <w:tab w:pos="6690" w:val="left" w:leader="none"/>
          <w:tab w:pos="8961" w:val="left" w:leader="none"/>
          <w:tab w:pos="9370" w:val="left" w:leader="none"/>
          <w:tab w:pos="9840" w:val="left" w:leader="none"/>
        </w:tabs>
        <w:spacing w:before="68"/>
        <w:ind w:left="1080" w:right="163"/>
      </w:pPr>
      <w:r>
        <w:rPr>
          <w:spacing w:val="-2"/>
        </w:rPr>
        <w:t>Fähigkeit</w:t>
      </w:r>
      <w:r>
        <w:rPr/>
        <w:tab/>
      </w:r>
      <w:r>
        <w:rPr>
          <w:spacing w:val="-4"/>
        </w:rPr>
        <w:t>zur</w:t>
      </w:r>
      <w:r>
        <w:rPr/>
        <w:tab/>
        <w:t>Analyse,</w:t>
      </w:r>
      <w:r>
        <w:rPr>
          <w:spacing w:val="80"/>
        </w:rPr>
        <w:t> </w:t>
      </w:r>
      <w:r>
        <w:rPr/>
        <w:t>Synthese</w:t>
        <w:tab/>
      </w:r>
      <w:r>
        <w:rPr>
          <w:spacing w:val="-4"/>
        </w:rPr>
        <w:t>von</w:t>
      </w:r>
      <w:r>
        <w:rPr/>
        <w:tab/>
      </w:r>
      <w:r>
        <w:rPr>
          <w:spacing w:val="-2"/>
        </w:rPr>
        <w:t>Berichten</w:t>
      </w:r>
      <w:r>
        <w:rPr/>
        <w:tab/>
      </w:r>
      <w:r>
        <w:rPr>
          <w:spacing w:val="-4"/>
        </w:rPr>
        <w:t>und</w:t>
      </w:r>
      <w:r>
        <w:rPr/>
        <w:tab/>
      </w:r>
      <w:r>
        <w:rPr>
          <w:spacing w:val="-2"/>
        </w:rPr>
        <w:t>Empfehlungsentwürfen</w:t>
      </w:r>
      <w:r>
        <w:rPr/>
        <w:tab/>
      </w:r>
      <w:r>
        <w:rPr>
          <w:spacing w:val="-4"/>
        </w:rPr>
        <w:t>ist</w:t>
      </w:r>
      <w:r>
        <w:rPr/>
        <w:tab/>
      </w:r>
      <w:r>
        <w:rPr>
          <w:spacing w:val="-4"/>
        </w:rPr>
        <w:t>ein</w:t>
      </w:r>
      <w:r>
        <w:rPr/>
        <w:tab/>
      </w:r>
      <w:r>
        <w:rPr>
          <w:spacing w:val="-2"/>
        </w:rPr>
        <w:t>Vorteil. </w:t>
      </w:r>
      <w:r>
        <w:rPr/>
        <w:t>Verhandlungskompetenz/-erfahrung gelten als Vorteil.</w:t>
      </w:r>
    </w:p>
    <w:p>
      <w:pPr>
        <w:pStyle w:val="BodyText"/>
        <w:spacing w:before="2"/>
      </w:pPr>
    </w:p>
    <w:p>
      <w:pPr>
        <w:pStyle w:val="BodyTex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tabs>
          <w:tab w:pos="2679" w:val="left" w:leader="none"/>
          <w:tab w:pos="3874" w:val="left" w:leader="none"/>
          <w:tab w:pos="4411" w:val="left" w:leader="none"/>
          <w:tab w:pos="5543" w:val="left" w:leader="none"/>
          <w:tab w:pos="8265" w:val="left" w:leader="none"/>
          <w:tab w:pos="8755" w:val="left" w:leader="none"/>
          <w:tab w:pos="9731" w:val="left" w:leader="none"/>
        </w:tabs>
        <w:spacing w:before="92"/>
        <w:ind w:left="1080" w:right="171"/>
      </w:pPr>
      <w:r>
        <w:rPr>
          <w:spacing w:val="-2"/>
        </w:rPr>
        <w:t>Ausgezeichnete</w:t>
      </w:r>
      <w:r>
        <w:rPr/>
        <w:tab/>
      </w:r>
      <w:r>
        <w:rPr>
          <w:spacing w:val="-2"/>
        </w:rPr>
        <w:t>schriftliche</w:t>
      </w:r>
      <w:r>
        <w:rPr/>
        <w:tab/>
      </w:r>
      <w:r>
        <w:rPr>
          <w:spacing w:val="-4"/>
        </w:rPr>
        <w:t>und</w:t>
      </w:r>
      <w:r>
        <w:rPr/>
        <w:tab/>
      </w:r>
      <w:r>
        <w:rPr>
          <w:spacing w:val="-2"/>
        </w:rPr>
        <w:t>mündliche</w:t>
      </w:r>
      <w:r>
        <w:rPr/>
        <w:tab/>
      </w:r>
      <w:r>
        <w:rPr>
          <w:spacing w:val="-2"/>
        </w:rPr>
        <w:t>Kommunikationsfähigkeiten</w:t>
      </w:r>
      <w:r>
        <w:rPr/>
        <w:tab/>
      </w:r>
      <w:r>
        <w:rPr>
          <w:spacing w:val="-4"/>
        </w:rPr>
        <w:t>auf</w:t>
      </w:r>
      <w:r>
        <w:rPr/>
        <w:tab/>
      </w:r>
      <w:r>
        <w:rPr>
          <w:spacing w:val="-2"/>
        </w:rPr>
        <w:t>Englisch</w:t>
      </w:r>
      <w:r>
        <w:rPr/>
        <w:tab/>
      </w:r>
      <w:r>
        <w:rPr>
          <w:spacing w:val="-2"/>
        </w:rPr>
        <w:t>und/oder </w:t>
      </w:r>
      <w:r>
        <w:rPr/>
        <w:t>Französisch. Spanischkenntnisse wünschenswert.</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5"/>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0"/>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163"/>
      </w:pPr>
      <w:r>
        <w:rPr/>
        <w:t>Die Daten der ANS werden für die Dauer von zehn Jahren ab dem Ende der Abordnung aufbewahrt (zwei</w:t>
      </w:r>
      <w:r>
        <w:rPr>
          <w:spacing w:val="40"/>
        </w:rPr>
        <w:t> </w:t>
      </w:r>
      <w:r>
        <w:rPr/>
        <w:t>Jahre bei ANS, deren Bewerbung zurückgezogen oder nicht berücksichtigt wurde).</w:t>
      </w:r>
    </w:p>
    <w:p>
      <w:pPr>
        <w:pStyle w:val="BodyText"/>
        <w:ind w:left="799"/>
      </w:pPr>
      <w:r>
        <w:rPr/>
        <w:t>Gemäß</w:t>
      </w:r>
      <w:r>
        <w:rPr>
          <w:spacing w:val="40"/>
        </w:rPr>
        <w:t> </w:t>
      </w:r>
      <w:r>
        <w:rPr/>
        <w:t>Kapitel</w:t>
      </w:r>
      <w:r>
        <w:rPr>
          <w:spacing w:val="40"/>
        </w:rPr>
        <w:t> </w:t>
      </w:r>
      <w:r>
        <w:rPr/>
        <w:t>III</w:t>
      </w:r>
      <w:r>
        <w:rPr>
          <w:spacing w:val="40"/>
        </w:rPr>
        <w:t> </w:t>
      </w:r>
      <w:r>
        <w:rPr/>
        <w:t>(Artikel</w:t>
      </w:r>
      <w:r>
        <w:rPr>
          <w:spacing w:val="40"/>
        </w:rPr>
        <w:t> </w:t>
      </w:r>
      <w:r>
        <w:rPr/>
        <w:t>14-25)</w:t>
      </w:r>
      <w:r>
        <w:rPr>
          <w:spacing w:val="40"/>
        </w:rPr>
        <w:t> </w:t>
      </w:r>
      <w:r>
        <w:rPr/>
        <w:t>der</w:t>
      </w:r>
      <w:r>
        <w:rPr>
          <w:spacing w:val="40"/>
        </w:rPr>
        <w:t> </w:t>
      </w:r>
      <w:r>
        <w:rPr/>
        <w:t>Verordnung</w:t>
      </w:r>
      <w:r>
        <w:rPr>
          <w:spacing w:val="40"/>
        </w:rPr>
        <w:t> </w:t>
      </w:r>
      <w:r>
        <w:rPr/>
        <w:t>(EU)</w:t>
      </w:r>
      <w:r>
        <w:rPr>
          <w:spacing w:val="40"/>
        </w:rPr>
        <w:t> </w:t>
      </w:r>
      <w:r>
        <w:rPr/>
        <w:t>2018/1725</w:t>
      </w:r>
      <w:r>
        <w:rPr>
          <w:spacing w:val="40"/>
        </w:rPr>
        <w:t> </w:t>
      </w:r>
      <w:r>
        <w:rPr/>
        <w:t>haben</w:t>
      </w:r>
      <w:r>
        <w:rPr>
          <w:spacing w:val="40"/>
        </w:rPr>
        <w:t> </w:t>
      </w:r>
      <w:r>
        <w:rPr/>
        <w:t>Sie</w:t>
      </w:r>
      <w:r>
        <w:rPr>
          <w:spacing w:val="40"/>
        </w:rPr>
        <w:t> </w:t>
      </w:r>
      <w:r>
        <w:rPr/>
        <w:t>als</w:t>
      </w:r>
      <w:r>
        <w:rPr>
          <w:spacing w:val="40"/>
        </w:rPr>
        <w:t> </w:t>
      </w:r>
      <w:r>
        <w:rPr/>
        <w:t>„betroffene</w:t>
      </w:r>
      <w:r>
        <w:rPr>
          <w:spacing w:val="40"/>
        </w:rPr>
        <w:t> </w:t>
      </w:r>
      <w:r>
        <w:rPr/>
        <w:t>Person“</w:t>
      </w:r>
      <w:r>
        <w:rPr>
          <w:spacing w:val="80"/>
        </w:rPr>
        <w:t> </w:t>
      </w:r>
      <w:r>
        <w:rPr/>
        <w:t>bestimmte</w:t>
      </w:r>
      <w:r>
        <w:rPr>
          <w:spacing w:val="-6"/>
        </w:rPr>
        <w:t> </w:t>
      </w:r>
      <w:r>
        <w:rPr/>
        <w:t>Rechte,</w:t>
      </w:r>
      <w:r>
        <w:rPr>
          <w:spacing w:val="-4"/>
        </w:rPr>
        <w:t> </w:t>
      </w:r>
      <w:r>
        <w:rPr/>
        <w:t>insbesondere</w:t>
      </w:r>
      <w:r>
        <w:rPr>
          <w:spacing w:val="-6"/>
        </w:rPr>
        <w:t> </w:t>
      </w:r>
      <w:r>
        <w:rPr/>
        <w:t>das</w:t>
      </w:r>
      <w:r>
        <w:rPr>
          <w:spacing w:val="-4"/>
        </w:rPr>
        <w:t> </w:t>
      </w:r>
      <w:r>
        <w:rPr/>
        <w:t>Recht</w:t>
      </w:r>
      <w:r>
        <w:rPr>
          <w:spacing w:val="-5"/>
        </w:rPr>
        <w:t> </w:t>
      </w:r>
      <w:r>
        <w:rPr/>
        <w:t>auf</w:t>
      </w:r>
      <w:r>
        <w:rPr>
          <w:spacing w:val="-3"/>
        </w:rPr>
        <w:t> </w:t>
      </w:r>
      <w:r>
        <w:rPr/>
        <w:t>Zugang</w:t>
      </w:r>
      <w:r>
        <w:rPr>
          <w:spacing w:val="-4"/>
        </w:rPr>
        <w:t> </w:t>
      </w:r>
      <w:r>
        <w:rPr/>
        <w:t>zu</w:t>
      </w:r>
      <w:r>
        <w:rPr>
          <w:spacing w:val="-2"/>
        </w:rPr>
        <w:t> </w:t>
      </w:r>
      <w:r>
        <w:rPr/>
        <w:t>Ihren</w:t>
      </w:r>
      <w:r>
        <w:rPr>
          <w:spacing w:val="-4"/>
        </w:rPr>
        <w:t> </w:t>
      </w:r>
      <w:r>
        <w:rPr/>
        <w:t>personenbezogenen</w:t>
      </w:r>
      <w:r>
        <w:rPr>
          <w:spacing w:val="-4"/>
        </w:rPr>
        <w:t> </w:t>
      </w:r>
      <w:r>
        <w:rPr/>
        <w:t>Daten,</w:t>
      </w:r>
      <w:r>
        <w:rPr>
          <w:spacing w:val="-4"/>
        </w:rPr>
        <w:t> </w:t>
      </w:r>
      <w:r>
        <w:rPr/>
        <w:t>deren</w:t>
      </w:r>
      <w:r>
        <w:rPr>
          <w:spacing w:val="-3"/>
        </w:rPr>
        <w:t> </w:t>
      </w:r>
      <w:r>
        <w:rPr>
          <w:spacing w:val="-2"/>
        </w:rPr>
        <w:t>Berichtigung</w:t>
      </w:r>
    </w:p>
    <w:p>
      <w:pPr>
        <w:spacing w:after="0"/>
        <w:sectPr>
          <w:pgSz w:w="11910" w:h="16840"/>
          <w:pgMar w:header="0" w:footer="690" w:top="1040" w:bottom="880" w:left="480" w:right="740"/>
        </w:sectPr>
      </w:pPr>
    </w:p>
    <w:p>
      <w:pPr>
        <w:pStyle w:val="BodyText"/>
        <w:spacing w:before="68"/>
        <w:ind w:left="799" w:right="113"/>
        <w:jc w:val="both"/>
      </w:pPr>
      <w:r>
        <w:rPr/>
        <w:t>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163"/>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6"/>
        </w:numPr>
        <w:tabs>
          <w:tab w:pos="1080" w:val="left" w:leader="none"/>
          <w:tab w:pos="1081" w:val="left" w:leader="none"/>
        </w:tabs>
        <w:spacing w:line="253"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63"/>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6"/>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076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decimal"/>
      <w:lvlText w:val="%2."/>
      <w:lvlJc w:val="left"/>
      <w:pPr>
        <w:ind w:left="1092" w:hanging="361"/>
        <w:jc w:val="left"/>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jc w:val="both"/>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antal.marijnisse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2023-02-16T17:02:16Z</dcterms:created>
  <dcterms:modified xsi:type="dcterms:W3CDTF">2023-02-16T17:02:16Z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