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110"/>
        <w:gridCol w:w="170"/>
        <w:gridCol w:w="531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gridSpan w:val="3"/>
          </w:tcPr>
          <w:p>
            <w:pPr>
              <w:pStyle w:val="TableParagraph"/>
              <w:spacing w:before="162"/>
              <w:rPr>
                <w:sz w:val="24"/>
              </w:rPr>
            </w:pPr>
            <w:r>
              <w:rPr>
                <w:spacing w:val="-2"/>
                <w:sz w:val="24"/>
              </w:rPr>
              <w:t>HERA.02</w:t>
            </w:r>
          </w:p>
        </w:tc>
      </w:tr>
      <w:tr>
        <w:trPr>
          <w:trHeight w:val="1833"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gridSpan w:val="3"/>
            <w:tcBorders>
              <w:bottom w:val="nil"/>
            </w:tcBorders>
          </w:tcPr>
          <w:p>
            <w:pPr>
              <w:pStyle w:val="TableParagraph"/>
              <w:ind w:right="1072"/>
              <w:rPr>
                <w:rFonts w:ascii="Calibri"/>
                <w:sz w:val="22"/>
              </w:rPr>
            </w:pPr>
            <w:r>
              <w:rPr>
                <w:rFonts w:ascii="Calibri"/>
                <w:sz w:val="22"/>
              </w:rPr>
              <w:t>Wolfgang PHILIPP </w:t>
            </w:r>
            <w:hyperlink r:id="rId7">
              <w:r>
                <w:rPr>
                  <w:rFonts w:ascii="Calibri"/>
                  <w:spacing w:val="-2"/>
                  <w:sz w:val="22"/>
                </w:rPr>
                <w:t>Wolfgang.Philipp@ec.europa.eu</w:t>
              </w:r>
            </w:hyperlink>
          </w:p>
          <w:p>
            <w:pPr>
              <w:pStyle w:val="TableParagraph"/>
              <w:rPr>
                <w:rFonts w:ascii="Calibri"/>
                <w:sz w:val="22"/>
              </w:rPr>
            </w:pPr>
            <w:r>
              <w:rPr>
                <w:rFonts w:ascii="Calibri"/>
                <w:spacing w:val="-2"/>
                <w:sz w:val="22"/>
              </w:rPr>
              <w:t>+32-2-2968608</w:t>
            </w:r>
          </w:p>
          <w:p>
            <w:pPr>
              <w:pStyle w:val="TableParagraph"/>
              <w:rPr>
                <w:rFonts w:ascii="Calibri"/>
                <w:sz w:val="22"/>
              </w:rPr>
            </w:pPr>
            <w:r>
              <w:rPr>
                <w:rFonts w:ascii="Calibri"/>
                <w:w w:val="100"/>
                <w:sz w:val="22"/>
              </w:rPr>
              <w:t>2</w:t>
            </w:r>
          </w:p>
          <w:p>
            <w:pPr>
              <w:pStyle w:val="TableParagraph"/>
              <w:spacing w:line="252" w:lineRule="exact"/>
              <w:rPr>
                <w:b/>
                <w:sz w:val="22"/>
              </w:rPr>
            </w:pPr>
            <w:r>
              <w:rPr>
                <w:b/>
                <w:sz w:val="22"/>
              </w:rPr>
              <w:t>zweite</w:t>
            </w:r>
            <w:r>
              <w:rPr>
                <w:b/>
                <w:spacing w:val="-6"/>
                <w:sz w:val="22"/>
              </w:rPr>
              <w:t> </w:t>
            </w:r>
            <w:r>
              <w:rPr>
                <w:b/>
                <w:sz w:val="22"/>
              </w:rPr>
              <w:t>Jahreshaelfte</w:t>
            </w:r>
            <w:r>
              <w:rPr>
                <w:b/>
                <w:spacing w:val="-5"/>
                <w:sz w:val="22"/>
              </w:rPr>
              <w:t> </w:t>
            </w:r>
            <w:r>
              <w:rPr>
                <w:b/>
                <w:spacing w:val="-4"/>
                <w:sz w:val="22"/>
              </w:rPr>
              <w:t>2023</w:t>
            </w:r>
            <w:r>
              <w:rPr>
                <w:b/>
                <w:spacing w:val="-4"/>
                <w:sz w:val="22"/>
                <w:vertAlign w:val="superscript"/>
              </w:rPr>
              <w:t>1</w:t>
            </w:r>
          </w:p>
          <w:p>
            <w:pPr>
              <w:pStyle w:val="TableParagraph"/>
              <w:spacing w:line="252" w:lineRule="exact"/>
              <w:rPr>
                <w:b/>
                <w:sz w:val="22"/>
              </w:rPr>
            </w:pPr>
            <w:r>
              <w:rPr>
                <w:b/>
                <w:sz w:val="22"/>
              </w:rPr>
              <w:t>2 </w:t>
            </w:r>
            <w:r>
              <w:rPr>
                <w:b/>
                <w:spacing w:val="-2"/>
                <w:sz w:val="22"/>
              </w:rPr>
              <w:t>Jahr(e)</w:t>
            </w:r>
            <w:r>
              <w:rPr>
                <w:b/>
                <w:spacing w:val="-2"/>
                <w:sz w:val="22"/>
                <w:vertAlign w:val="superscript"/>
              </w:rPr>
              <w:t>1</w:t>
            </w:r>
          </w:p>
        </w:tc>
      </w:tr>
      <w:tr>
        <w:trPr>
          <w:trHeight w:val="258" w:hRule="atLeast"/>
        </w:trPr>
        <w:tc>
          <w:tcPr>
            <w:tcW w:w="4359" w:type="dxa"/>
            <w:vMerge/>
            <w:tcBorders>
              <w:top w:val="nil"/>
            </w:tcBorders>
          </w:tcPr>
          <w:p>
            <w:pPr>
              <w:rPr>
                <w:sz w:val="2"/>
                <w:szCs w:val="2"/>
              </w:rPr>
            </w:pPr>
          </w:p>
        </w:tc>
        <w:tc>
          <w:tcPr>
            <w:tcW w:w="110" w:type="dxa"/>
            <w:tcBorders>
              <w:top w:val="nil"/>
            </w:tcBorders>
          </w:tcPr>
          <w:p>
            <w:pPr>
              <w:pStyle w:val="TableParagraph"/>
              <w:ind w:left="0"/>
              <w:rPr>
                <w:sz w:val="18"/>
              </w:rPr>
            </w:pPr>
          </w:p>
        </w:tc>
        <w:tc>
          <w:tcPr>
            <w:tcW w:w="170" w:type="dxa"/>
            <w:tcBorders>
              <w:bottom w:val="single" w:sz="8" w:space="0" w:color="000000"/>
            </w:tcBorders>
          </w:tcPr>
          <w:p>
            <w:pPr>
              <w:pStyle w:val="TableParagraph"/>
              <w:spacing w:line="239" w:lineRule="exact"/>
              <w:ind w:left="5" w:right="-15"/>
              <w:rPr>
                <w:sz w:val="22"/>
              </w:rPr>
            </w:pPr>
            <w:r>
              <w:rPr>
                <w:w w:val="100"/>
                <w:sz w:val="22"/>
              </w:rPr>
              <w:t>X</w:t>
            </w:r>
          </w:p>
        </w:tc>
        <w:tc>
          <w:tcPr>
            <w:tcW w:w="5317" w:type="dxa"/>
            <w:tcBorders>
              <w:top w:val="nil"/>
            </w:tcBorders>
          </w:tcPr>
          <w:p>
            <w:pPr>
              <w:pStyle w:val="TableParagraph"/>
              <w:tabs>
                <w:tab w:pos="1242" w:val="left" w:leader="none"/>
              </w:tabs>
              <w:spacing w:line="239" w:lineRule="exact"/>
              <w:ind w:left="169"/>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39" w:hRule="atLeast"/>
        </w:trPr>
        <w:tc>
          <w:tcPr>
            <w:tcW w:w="4359" w:type="dxa"/>
            <w:vMerge/>
            <w:tcBorders>
              <w:top w:val="nil"/>
            </w:tcBorders>
          </w:tcPr>
          <w:p>
            <w:pPr>
              <w:rPr>
                <w:sz w:val="2"/>
                <w:szCs w:val="2"/>
              </w:rPr>
            </w:pPr>
          </w:p>
        </w:tc>
        <w:tc>
          <w:tcPr>
            <w:tcW w:w="5597" w:type="dxa"/>
            <w:gridSpan w:val="3"/>
            <w:tcBorders>
              <w:top w:val="single" w:sz="8" w:space="0" w:color="000000"/>
            </w:tcBorders>
          </w:tcPr>
          <w:p>
            <w:pPr>
              <w:pStyle w:val="TableParagraph"/>
              <w:spacing w:before="135"/>
              <w:ind w:left="115"/>
              <w:rPr>
                <w:b/>
                <w:sz w:val="22"/>
              </w:rPr>
            </w:pPr>
            <w:r>
              <w:rPr>
                <w:sz w:val="22"/>
              </w:rPr>
              <w:t>X</w:t>
            </w:r>
            <w:r>
              <w:rPr>
                <w:spacing w:val="6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49"/>
                <w:sz w:val="22"/>
              </w:rPr>
              <w:t> </w:t>
            </w:r>
            <w:r>
              <w:rPr>
                <w:b/>
                <w:sz w:val="22"/>
              </w:rPr>
              <w:t>Unentgeltlich</w:t>
            </w:r>
            <w:r>
              <w:rPr>
                <w:b/>
                <w:spacing w:val="-4"/>
                <w:sz w:val="22"/>
              </w:rPr>
              <w:t> </w:t>
            </w:r>
            <w:r>
              <w:rPr>
                <w:b/>
                <w:spacing w:val="-2"/>
                <w:sz w:val="22"/>
              </w:rPr>
              <w:t>Abgeordnet</w:t>
            </w:r>
          </w:p>
        </w:tc>
      </w:tr>
      <w:tr>
        <w:trPr>
          <w:trHeight w:val="2112" w:hRule="atLeast"/>
        </w:trPr>
        <w:tc>
          <w:tcPr>
            <w:tcW w:w="9956" w:type="dxa"/>
            <w:gridSpan w:val="4"/>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8"/>
                <w:sz w:val="22"/>
              </w:rPr>
              <w:t> </w:t>
            </w:r>
            <w:r>
              <w:rPr>
                <w:b/>
                <w:sz w:val="22"/>
              </w:rPr>
              <w:t>Abkommen</w:t>
            </w:r>
            <w:r>
              <w:rPr>
                <w:b/>
                <w:spacing w:val="-7"/>
                <w:sz w:val="22"/>
              </w:rPr>
              <w:t> </w:t>
            </w:r>
            <w:r>
              <w:rPr>
                <w:b/>
                <w:sz w:val="22"/>
              </w:rPr>
              <w:t>(Island,</w:t>
            </w:r>
            <w:r>
              <w:rPr>
                <w:b/>
                <w:spacing w:val="-7"/>
                <w:sz w:val="22"/>
              </w:rPr>
              <w:t> </w:t>
            </w:r>
            <w:r>
              <w:rPr>
                <w:b/>
                <w:sz w:val="22"/>
              </w:rPr>
              <w:t>Liechtenstein,</w:t>
            </w:r>
            <w:r>
              <w:rPr>
                <w:b/>
                <w:spacing w:val="-9"/>
                <w:sz w:val="22"/>
              </w:rPr>
              <w:t> </w:t>
            </w:r>
            <w:r>
              <w:rPr>
                <w:b/>
                <w:spacing w:val="-2"/>
                <w:sz w:val="22"/>
              </w:rPr>
              <w:t>Norwegen)</w:t>
            </w:r>
          </w:p>
          <w:p>
            <w:pPr>
              <w:pStyle w:val="TableParagraph"/>
              <w:numPr>
                <w:ilvl w:val="0"/>
                <w:numId w:val="1"/>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pict>
          <v:shape style="position:absolute;margin-left:272.090027pt;margin-top:-140.735886pt;width:9pt;height:13.6pt;mso-position-horizontal-relative:page;mso-position-vertical-relative:paragraph;z-index:-15823360" id="docshape2" coordorigin="5442,-2815" coordsize="180,272" path="m5451,-2815l5442,-2815,5442,-2805,5442,-2553,5442,-2544,5451,-2544,5451,-2553,5451,-2805,5451,-2815xm5622,-2815l5612,-2815,5451,-2815,5451,-2805,5612,-2805,5612,-2553,5451,-2553,5451,-2544,5612,-2544,5622,-2544,5622,-2553,5622,-2805,5622,-2815xe" filled="true" fillcolor="#000000" stroked="false">
            <v:path arrowok="t"/>
            <v:fill type="solid"/>
            <w10:wrap type="none"/>
          </v:shape>
        </w:pict>
      </w: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line="278" w:lineRule="auto" w:before="91"/>
        <w:ind w:left="372" w:right="216"/>
        <w:jc w:val="both"/>
      </w:pPr>
      <w:r>
        <w:rPr/>
        <w:t>Die Europäische Behörde für Notfallvorsorge und -reaktion im Gesundheitswesen ist ein Dienst der Kommission, der darauf hinarbeitet, die Abwehrbereitschaft und Reaktion auf schwerwiegende grenzüberschreitende Bedrohungen im Bereich der medizinischen Gegenmaßnahmen zu verbessern, insbesondere durch:</w:t>
      </w:r>
    </w:p>
    <w:p>
      <w:pPr>
        <w:pStyle w:val="ListParagraph"/>
        <w:numPr>
          <w:ilvl w:val="1"/>
          <w:numId w:val="2"/>
        </w:numPr>
        <w:tabs>
          <w:tab w:pos="1439" w:val="left" w:leader="none"/>
        </w:tabs>
        <w:spacing w:line="240" w:lineRule="auto" w:before="193" w:after="0"/>
        <w:ind w:left="1438" w:right="219" w:hanging="707"/>
        <w:jc w:val="both"/>
        <w:rPr>
          <w:sz w:val="24"/>
        </w:rPr>
      </w:pPr>
      <w:r>
        <w:rPr>
          <w:sz w:val="24"/>
        </w:rPr>
        <w:t>Stärkung</w:t>
      </w:r>
      <w:r>
        <w:rPr>
          <w:sz w:val="24"/>
        </w:rPr>
        <w:t> der</w:t>
      </w:r>
      <w:r>
        <w:rPr>
          <w:sz w:val="24"/>
        </w:rPr>
        <w:t> Koordinierung</w:t>
      </w:r>
      <w:r>
        <w:rPr>
          <w:sz w:val="24"/>
        </w:rPr>
        <w:t> der</w:t>
      </w:r>
      <w:r>
        <w:rPr>
          <w:sz w:val="24"/>
        </w:rPr>
        <w:t> Gesundheitssicherheit innerhalb der Union während</w:t>
      </w:r>
      <w:r>
        <w:rPr>
          <w:sz w:val="24"/>
        </w:rPr>
        <w:t> der Bereitschafts-</w:t>
      </w:r>
      <w:r>
        <w:rPr>
          <w:sz w:val="24"/>
        </w:rPr>
        <w:t> und</w:t>
      </w:r>
      <w:r>
        <w:rPr>
          <w:sz w:val="24"/>
        </w:rPr>
        <w:t> Krisenreaktionszeiten</w:t>
      </w:r>
      <w:r>
        <w:rPr>
          <w:sz w:val="24"/>
        </w:rPr>
        <w:t> und</w:t>
      </w:r>
      <w:r>
        <w:rPr>
          <w:sz w:val="24"/>
        </w:rPr>
        <w:t> Zusammenführung</w:t>
      </w:r>
      <w:r>
        <w:rPr>
          <w:sz w:val="24"/>
        </w:rPr>
        <w:t> der</w:t>
      </w:r>
      <w:r>
        <w:rPr>
          <w:sz w:val="24"/>
        </w:rPr>
        <w:t> Mitgliedstaaten, der Industrie und der einschlägigen Interessensträger in gemeinsamer Anstrengung;</w:t>
      </w:r>
    </w:p>
    <w:p>
      <w:pPr>
        <w:pStyle w:val="ListParagraph"/>
        <w:numPr>
          <w:ilvl w:val="1"/>
          <w:numId w:val="2"/>
        </w:numPr>
        <w:tabs>
          <w:tab w:pos="1439" w:val="left" w:leader="none"/>
        </w:tabs>
        <w:spacing w:line="240" w:lineRule="auto" w:before="1" w:after="0"/>
        <w:ind w:left="1438" w:right="218" w:hanging="707"/>
        <w:jc w:val="both"/>
        <w:rPr>
          <w:sz w:val="24"/>
        </w:rPr>
      </w:pPr>
      <w:r>
        <w:rPr>
          <w:sz w:val="24"/>
        </w:rPr>
        <w:t>Bewältigung von Schwachstellen und strategischen Abhängigkeiten innerhalb der Union im Zusammenhang mit der Entwicklung, Herstellung, Beschaffung, Lagerung und Verteilung medizinischer Gegenmaßnahmen;</w:t>
      </w:r>
    </w:p>
    <w:p>
      <w:pPr>
        <w:pStyle w:val="ListParagraph"/>
        <w:numPr>
          <w:ilvl w:val="1"/>
          <w:numId w:val="2"/>
        </w:numPr>
        <w:tabs>
          <w:tab w:pos="1439" w:val="left" w:leader="none"/>
        </w:tabs>
        <w:spacing w:line="240" w:lineRule="auto" w:before="0" w:after="0"/>
        <w:ind w:left="1438" w:right="212" w:hanging="707"/>
        <w:jc w:val="both"/>
        <w:rPr>
          <w:sz w:val="24"/>
        </w:rPr>
      </w:pPr>
      <w:r>
        <w:rPr>
          <w:sz w:val="24"/>
        </w:rPr>
        <w:t>Beitrag zur Stärkung</w:t>
      </w:r>
      <w:r>
        <w:rPr>
          <w:sz w:val="24"/>
        </w:rPr>
        <w:t> der</w:t>
      </w:r>
      <w:r>
        <w:rPr>
          <w:sz w:val="24"/>
        </w:rPr>
        <w:t> globalen</w:t>
      </w:r>
      <w:r>
        <w:rPr>
          <w:sz w:val="24"/>
        </w:rPr>
        <w:t> Bereitschafts-</w:t>
      </w:r>
      <w:r>
        <w:rPr>
          <w:sz w:val="24"/>
        </w:rPr>
        <w:t> und</w:t>
      </w:r>
      <w:r>
        <w:rPr>
          <w:sz w:val="24"/>
        </w:rPr>
        <w:t> Reaktionsarchitektur</w:t>
      </w:r>
      <w:r>
        <w:rPr>
          <w:sz w:val="24"/>
        </w:rPr>
        <w:t> für </w:t>
      </w:r>
      <w:r>
        <w:rPr>
          <w:spacing w:val="-2"/>
          <w:sz w:val="24"/>
        </w:rPr>
        <w:t>Gesundheitsnotfälle.</w:t>
      </w:r>
    </w:p>
    <w:p>
      <w:pPr>
        <w:pStyle w:val="BodyText"/>
        <w:rPr>
          <w:sz w:val="26"/>
        </w:rPr>
      </w:pPr>
    </w:p>
    <w:p>
      <w:pPr>
        <w:pStyle w:val="BodyText"/>
        <w:spacing w:before="195"/>
        <w:ind w:left="372"/>
        <w:jc w:val="both"/>
      </w:pPr>
      <w:r>
        <w:rPr/>
        <w:t>Der/die</w:t>
      </w:r>
      <w:r>
        <w:rPr>
          <w:spacing w:val="-5"/>
        </w:rPr>
        <w:t> </w:t>
      </w:r>
      <w:r>
        <w:rPr/>
        <w:t>nationale</w:t>
      </w:r>
      <w:r>
        <w:rPr>
          <w:spacing w:val="-5"/>
        </w:rPr>
        <w:t> </w:t>
      </w:r>
      <w:r>
        <w:rPr/>
        <w:t>Sachverständige</w:t>
      </w:r>
      <w:r>
        <w:rPr>
          <w:spacing w:val="-5"/>
        </w:rPr>
        <w:t> </w:t>
      </w:r>
      <w:r>
        <w:rPr/>
        <w:t>nimmt</w:t>
      </w:r>
      <w:r>
        <w:rPr>
          <w:spacing w:val="-4"/>
        </w:rPr>
        <w:t> </w:t>
      </w:r>
      <w:r>
        <w:rPr/>
        <w:t>an</w:t>
      </w:r>
      <w:r>
        <w:rPr>
          <w:spacing w:val="-5"/>
        </w:rPr>
        <w:t> </w:t>
      </w:r>
      <w:r>
        <w:rPr/>
        <w:t>folgenden</w:t>
      </w:r>
      <w:r>
        <w:rPr>
          <w:spacing w:val="-8"/>
        </w:rPr>
        <w:t> </w:t>
      </w:r>
      <w:r>
        <w:rPr/>
        <w:t>Aufgaben</w:t>
      </w:r>
      <w:r>
        <w:rPr>
          <w:spacing w:val="-5"/>
        </w:rPr>
        <w:t> </w:t>
      </w:r>
      <w:r>
        <w:rPr>
          <w:spacing w:val="-2"/>
        </w:rPr>
        <w:t>teil:</w:t>
      </w:r>
    </w:p>
    <w:p>
      <w:pPr>
        <w:pStyle w:val="BodyText"/>
        <w:spacing w:before="4"/>
        <w:rPr>
          <w:sz w:val="20"/>
        </w:rPr>
      </w:pPr>
    </w:p>
    <w:p>
      <w:pPr>
        <w:pStyle w:val="ListParagraph"/>
        <w:numPr>
          <w:ilvl w:val="1"/>
          <w:numId w:val="2"/>
        </w:numPr>
        <w:tabs>
          <w:tab w:pos="1439" w:val="left" w:leader="none"/>
        </w:tabs>
        <w:spacing w:line="240" w:lineRule="auto" w:before="0" w:after="0"/>
        <w:ind w:left="1438" w:right="213" w:hanging="707"/>
        <w:jc w:val="both"/>
        <w:rPr>
          <w:sz w:val="24"/>
        </w:rPr>
      </w:pPr>
      <w:r>
        <w:rPr>
          <w:sz w:val="24"/>
        </w:rPr>
        <w:t>Bewertung, Sammlung und Analyse von Gesundheitsbedrohungen und Informationsgewinnung, die für die Bereitschaft und Reaktion auf medizinische Gegenmaßnahmen relevant sind, die für medizinische Gegenmaßnahmen relevant sind;</w:t>
      </w:r>
    </w:p>
    <w:p>
      <w:pPr>
        <w:pStyle w:val="ListParagraph"/>
        <w:numPr>
          <w:ilvl w:val="1"/>
          <w:numId w:val="2"/>
        </w:numPr>
        <w:tabs>
          <w:tab w:pos="1439" w:val="left" w:leader="none"/>
        </w:tabs>
        <w:spacing w:line="240" w:lineRule="auto" w:before="1" w:after="0"/>
        <w:ind w:left="1438" w:right="214" w:hanging="707"/>
        <w:jc w:val="both"/>
        <w:rPr>
          <w:sz w:val="24"/>
        </w:rPr>
      </w:pPr>
      <w:r>
        <w:rPr>
          <w:sz w:val="24"/>
        </w:rPr>
        <w:t>Förderung fortgeschrittener Forschung und Entwicklung von medizinischen Gegenmaßnahmen und damit zusammenhängender Technologien;</w:t>
      </w:r>
    </w:p>
    <w:p>
      <w:pPr>
        <w:pStyle w:val="BodyText"/>
        <w:spacing w:before="2"/>
        <w:rPr>
          <w:sz w:val="13"/>
        </w:rPr>
      </w:pPr>
      <w:r>
        <w:rPr/>
        <w:pict>
          <v:rect style="position:absolute;margin-left:42.599998pt;margin-top:8.818399pt;width:144.020pt;height:.71997pt;mso-position-horizontal-relative:page;mso-position-vertical-relative:paragraph;z-index:-15728640;mso-wrap-distance-left:0;mso-wrap-distance-right:0" id="docshape3"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437" w:val="left" w:leader="none"/>
          <w:tab w:pos="1439" w:val="left" w:leader="none"/>
        </w:tabs>
        <w:spacing w:line="240" w:lineRule="auto" w:before="68" w:after="0"/>
        <w:ind w:left="1438" w:right="217" w:hanging="707"/>
        <w:jc w:val="left"/>
        <w:rPr>
          <w:sz w:val="24"/>
        </w:rPr>
      </w:pPr>
      <w:r>
        <w:rPr>
          <w:sz w:val="24"/>
        </w:rPr>
        <w:t>Bewältigung</w:t>
      </w:r>
      <w:r>
        <w:rPr>
          <w:spacing w:val="40"/>
          <w:sz w:val="24"/>
        </w:rPr>
        <w:t> </w:t>
      </w:r>
      <w:r>
        <w:rPr>
          <w:sz w:val="24"/>
        </w:rPr>
        <w:t>der</w:t>
      </w:r>
      <w:r>
        <w:rPr>
          <w:spacing w:val="40"/>
          <w:sz w:val="24"/>
        </w:rPr>
        <w:t> </w:t>
      </w:r>
      <w:r>
        <w:rPr>
          <w:sz w:val="24"/>
        </w:rPr>
        <w:t>Herausforderungen</w:t>
      </w:r>
      <w:r>
        <w:rPr>
          <w:spacing w:val="40"/>
          <w:sz w:val="24"/>
        </w:rPr>
        <w:t> </w:t>
      </w:r>
      <w:r>
        <w:rPr>
          <w:sz w:val="24"/>
        </w:rPr>
        <w:t>des</w:t>
      </w:r>
      <w:r>
        <w:rPr>
          <w:spacing w:val="40"/>
          <w:sz w:val="24"/>
        </w:rPr>
        <w:t> </w:t>
      </w:r>
      <w:r>
        <w:rPr>
          <w:sz w:val="24"/>
        </w:rPr>
        <w:t>Marktes</w:t>
      </w:r>
      <w:r>
        <w:rPr>
          <w:spacing w:val="40"/>
          <w:sz w:val="24"/>
        </w:rPr>
        <w:t> </w:t>
      </w:r>
      <w:r>
        <w:rPr>
          <w:sz w:val="24"/>
        </w:rPr>
        <w:t>und</w:t>
      </w:r>
      <w:r>
        <w:rPr>
          <w:spacing w:val="40"/>
          <w:sz w:val="24"/>
        </w:rPr>
        <w:t> </w:t>
      </w:r>
      <w:r>
        <w:rPr>
          <w:sz w:val="24"/>
        </w:rPr>
        <w:t>Stärkung</w:t>
      </w:r>
      <w:r>
        <w:rPr>
          <w:spacing w:val="40"/>
          <w:sz w:val="24"/>
        </w:rPr>
        <w:t> </w:t>
      </w:r>
      <w:r>
        <w:rPr>
          <w:sz w:val="24"/>
        </w:rPr>
        <w:t>der</w:t>
      </w:r>
      <w:r>
        <w:rPr>
          <w:spacing w:val="40"/>
          <w:sz w:val="24"/>
        </w:rPr>
        <w:t> </w:t>
      </w:r>
      <w:r>
        <w:rPr>
          <w:sz w:val="24"/>
        </w:rPr>
        <w:t>offenen</w:t>
      </w:r>
      <w:r>
        <w:rPr>
          <w:spacing w:val="40"/>
          <w:sz w:val="24"/>
        </w:rPr>
        <w:t> </w:t>
      </w:r>
      <w:r>
        <w:rPr>
          <w:sz w:val="24"/>
        </w:rPr>
        <w:t>strategischen Autonomie der Union bei der Herstellung medizinischer Gegenmaßnahmen.</w:t>
      </w:r>
    </w:p>
    <w:p>
      <w:pPr>
        <w:pStyle w:val="BodyText"/>
        <w:spacing w:before="2"/>
      </w:pPr>
    </w:p>
    <w:p>
      <w:pPr>
        <w:pStyle w:val="BodyText"/>
        <w:ind w:left="372" w:right="166"/>
      </w:pPr>
      <w:r>
        <w:rPr/>
        <w:t>Die Aufgabe umfasst umfangreiche Kontakte mit Vertretern und Sachverständigen der Mitgliedstaaten, europäischen</w:t>
      </w:r>
      <w:r>
        <w:rPr>
          <w:spacing w:val="-2"/>
        </w:rPr>
        <w:t> </w:t>
      </w:r>
      <w:r>
        <w:rPr/>
        <w:t>Agenturen</w:t>
      </w:r>
      <w:r>
        <w:rPr>
          <w:spacing w:val="-3"/>
        </w:rPr>
        <w:t> </w:t>
      </w:r>
      <w:r>
        <w:rPr/>
        <w:t>wie</w:t>
      </w:r>
      <w:r>
        <w:rPr>
          <w:spacing w:val="-3"/>
        </w:rPr>
        <w:t> </w:t>
      </w:r>
      <w:r>
        <w:rPr/>
        <w:t>dem</w:t>
      </w:r>
      <w:r>
        <w:rPr>
          <w:spacing w:val="-7"/>
        </w:rPr>
        <w:t> </w:t>
      </w:r>
      <w:r>
        <w:rPr/>
        <w:t>ECDC</w:t>
      </w:r>
      <w:r>
        <w:rPr>
          <w:spacing w:val="-4"/>
        </w:rPr>
        <w:t> </w:t>
      </w:r>
      <w:r>
        <w:rPr/>
        <w:t>und</w:t>
      </w:r>
      <w:r>
        <w:rPr>
          <w:spacing w:val="-2"/>
        </w:rPr>
        <w:t> </w:t>
      </w:r>
      <w:r>
        <w:rPr/>
        <w:t>der</w:t>
      </w:r>
      <w:r>
        <w:rPr>
          <w:spacing w:val="-2"/>
        </w:rPr>
        <w:t> </w:t>
      </w:r>
      <w:r>
        <w:rPr/>
        <w:t>EMA,</w:t>
      </w:r>
      <w:r>
        <w:rPr>
          <w:spacing w:val="-3"/>
        </w:rPr>
        <w:t> </w:t>
      </w:r>
      <w:r>
        <w:rPr/>
        <w:t>der</w:t>
      </w:r>
      <w:r>
        <w:rPr>
          <w:spacing w:val="-2"/>
        </w:rPr>
        <w:t> </w:t>
      </w:r>
      <w:r>
        <w:rPr/>
        <w:t>Industrie</w:t>
      </w:r>
      <w:r>
        <w:rPr>
          <w:spacing w:val="-4"/>
        </w:rPr>
        <w:t> </w:t>
      </w:r>
      <w:r>
        <w:rPr/>
        <w:t>sowie</w:t>
      </w:r>
      <w:r>
        <w:rPr>
          <w:spacing w:val="-3"/>
        </w:rPr>
        <w:t> </w:t>
      </w:r>
      <w:r>
        <w:rPr/>
        <w:t>internationalen</w:t>
      </w:r>
      <w:r>
        <w:rPr>
          <w:spacing w:val="-3"/>
        </w:rPr>
        <w:t> </w:t>
      </w:r>
      <w:r>
        <w:rPr/>
        <w:t>Organisationen.</w:t>
      </w:r>
    </w:p>
    <w:p>
      <w:pPr>
        <w:pStyle w:val="BodyText"/>
        <w:rPr>
          <w:sz w:val="24"/>
        </w:rPr>
      </w:pPr>
    </w:p>
    <w:p>
      <w:pPr>
        <w:pStyle w:val="BodyText"/>
        <w:spacing w:before="6"/>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9"/>
        <w:rPr>
          <w:b/>
          <w:sz w:val="15"/>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0"/>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1"/>
          <w:numId w:val="2"/>
        </w:numPr>
        <w:tabs>
          <w:tab w:pos="1081" w:val="left" w:leader="none"/>
        </w:tabs>
        <w:spacing w:line="240" w:lineRule="auto" w:before="0" w:after="0"/>
        <w:ind w:left="1080" w:right="110"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2"/>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253" w:lineRule="exact"/>
        <w:ind w:left="1190"/>
        <w:jc w:val="both"/>
      </w:pPr>
      <w:r>
        <w:rPr/>
        <w:t>im</w:t>
      </w:r>
      <w:r>
        <w:rPr>
          <w:spacing w:val="-6"/>
        </w:rPr>
        <w:t> </w:t>
      </w:r>
      <w:r>
        <w:rPr>
          <w:spacing w:val="-2"/>
        </w:rPr>
        <w:t>Bereich:</w:t>
      </w:r>
    </w:p>
    <w:p>
      <w:pPr>
        <w:pStyle w:val="ListParagraph"/>
        <w:numPr>
          <w:ilvl w:val="1"/>
          <w:numId w:val="3"/>
        </w:numPr>
        <w:tabs>
          <w:tab w:pos="1441" w:val="left" w:leader="none"/>
        </w:tabs>
        <w:spacing w:line="240" w:lineRule="auto" w:before="0" w:after="0"/>
        <w:ind w:left="1440" w:right="166" w:hanging="360"/>
        <w:jc w:val="both"/>
        <w:rPr>
          <w:sz w:val="24"/>
        </w:rPr>
      </w:pPr>
      <w:r>
        <w:rPr>
          <w:sz w:val="24"/>
        </w:rPr>
        <w:t>Öffentliches Gesundheitswesen und Krisenmanagement,</w:t>
      </w:r>
      <w:r>
        <w:rPr>
          <w:sz w:val="24"/>
        </w:rPr>
        <w:t> Forschung</w:t>
      </w:r>
      <w:r>
        <w:rPr>
          <w:sz w:val="24"/>
        </w:rPr>
        <w:t> und</w:t>
      </w:r>
      <w:r>
        <w:rPr>
          <w:sz w:val="24"/>
        </w:rPr>
        <w:t> Innovation</w:t>
      </w:r>
      <w:r>
        <w:rPr>
          <w:sz w:val="24"/>
        </w:rPr>
        <w:t> im Bereich</w:t>
      </w:r>
      <w:r>
        <w:rPr>
          <w:sz w:val="24"/>
        </w:rPr>
        <w:t> medizinischer Gegenmaßnahmen, ‚clinical scientists‘, Infektiologie, Virologie, Epidemiologie, klinische Studien, Regulierungs-</w:t>
      </w:r>
      <w:r>
        <w:rPr>
          <w:sz w:val="24"/>
        </w:rPr>
        <w:t> und</w:t>
      </w:r>
      <w:r>
        <w:rPr>
          <w:sz w:val="24"/>
        </w:rPr>
        <w:t> Qualitätssicherungsexperten, Sachverständige in der Herstellung, Management kritischer Lieferketten, insbesondere medizinischer Gegenmaßnahmen.</w:t>
      </w:r>
    </w:p>
    <w:p>
      <w:pPr>
        <w:pStyle w:val="BodyText"/>
        <w:rPr>
          <w:sz w:val="26"/>
        </w:rPr>
      </w:pPr>
    </w:p>
    <w:p>
      <w:pPr>
        <w:pStyle w:val="BodyText"/>
        <w:spacing w:before="207"/>
        <w:ind w:left="1080"/>
      </w:pPr>
      <w:r>
        <w:rPr>
          <w:spacing w:val="-2"/>
          <w:u w:val="single"/>
        </w:rPr>
        <w:t>Berufserfahrung</w:t>
      </w:r>
    </w:p>
    <w:p>
      <w:pPr>
        <w:pStyle w:val="BodyText"/>
        <w:spacing w:before="1"/>
        <w:rPr>
          <w:sz w:val="14"/>
        </w:rPr>
      </w:pPr>
    </w:p>
    <w:p>
      <w:pPr>
        <w:pStyle w:val="BodyText"/>
        <w:tabs>
          <w:tab w:pos="2658" w:val="left" w:leader="none"/>
          <w:tab w:pos="3211" w:val="left" w:leader="none"/>
          <w:tab w:pos="5197" w:val="left" w:leader="none"/>
          <w:tab w:pos="6571" w:val="left" w:leader="none"/>
          <w:tab w:pos="7024" w:val="left" w:leader="none"/>
          <w:tab w:pos="9037" w:val="left" w:leader="none"/>
          <w:tab w:pos="10189" w:val="left" w:leader="none"/>
        </w:tabs>
        <w:spacing w:line="278" w:lineRule="auto" w:before="92"/>
        <w:ind w:left="1080" w:right="166"/>
      </w:pPr>
      <w:r>
        <w:rPr>
          <w:spacing w:val="-2"/>
        </w:rPr>
        <w:t>Krisenvorsorge</w:t>
      </w:r>
      <w:r>
        <w:rPr/>
        <w:tab/>
      </w:r>
      <w:r>
        <w:rPr>
          <w:spacing w:val="-4"/>
        </w:rPr>
        <w:t>und</w:t>
      </w:r>
      <w:r>
        <w:rPr/>
        <w:tab/>
      </w:r>
      <w:r>
        <w:rPr>
          <w:spacing w:val="-2"/>
        </w:rPr>
        <w:t>Krisenmanagement,</w:t>
      </w:r>
      <w:r>
        <w:rPr/>
        <w:tab/>
      </w:r>
      <w:r>
        <w:rPr>
          <w:spacing w:val="-2"/>
        </w:rPr>
        <w:t>insbesondere</w:t>
      </w:r>
      <w:r>
        <w:rPr/>
        <w:tab/>
      </w:r>
      <w:r>
        <w:rPr>
          <w:spacing w:val="-6"/>
        </w:rPr>
        <w:t>im</w:t>
      </w:r>
      <w:r>
        <w:rPr/>
        <w:tab/>
      </w:r>
      <w:r>
        <w:rPr>
          <w:spacing w:val="-2"/>
        </w:rPr>
        <w:t>Gesundheitsbereich,</w:t>
      </w:r>
      <w:r>
        <w:rPr/>
        <w:tab/>
      </w:r>
      <w:r>
        <w:rPr>
          <w:spacing w:val="-2"/>
        </w:rPr>
        <w:t>Forschung</w:t>
      </w:r>
      <w:r>
        <w:rPr/>
        <w:tab/>
      </w:r>
      <w:r>
        <w:rPr>
          <w:spacing w:val="-4"/>
        </w:rPr>
        <w:t>und </w:t>
      </w:r>
      <w:r>
        <w:rPr/>
        <w:t>Entwicklung in den Gesundheitswissenschaften, Entwicklung medizinischer Gegenmaßnahmen.</w:t>
      </w:r>
    </w:p>
    <w:p>
      <w:pPr>
        <w:pStyle w:val="BodyText"/>
        <w:rPr>
          <w:sz w:val="24"/>
        </w:rPr>
      </w:pPr>
    </w:p>
    <w:p>
      <w:pPr>
        <w:pStyle w:val="BodyText"/>
        <w:spacing w:before="17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line="278" w:lineRule="auto" w:before="92"/>
        <w:ind w:left="1080" w:right="166"/>
      </w:pPr>
      <w:r>
        <w:rPr/>
        <w:t>Gute</w:t>
      </w:r>
      <w:r>
        <w:rPr>
          <w:spacing w:val="80"/>
        </w:rPr>
        <w:t> </w:t>
      </w:r>
      <w:r>
        <w:rPr/>
        <w:t>mündliche</w:t>
      </w:r>
      <w:r>
        <w:rPr>
          <w:spacing w:val="80"/>
        </w:rPr>
        <w:t> </w:t>
      </w:r>
      <w:r>
        <w:rPr/>
        <w:t>und</w:t>
      </w:r>
      <w:r>
        <w:rPr>
          <w:spacing w:val="80"/>
        </w:rPr>
        <w:t> </w:t>
      </w:r>
      <w:r>
        <w:rPr/>
        <w:t>schriftliche</w:t>
      </w:r>
      <w:r>
        <w:rPr>
          <w:spacing w:val="80"/>
        </w:rPr>
        <w:t> </w:t>
      </w:r>
      <w:r>
        <w:rPr/>
        <w:t>Kenntnisse</w:t>
      </w:r>
      <w:r>
        <w:rPr>
          <w:spacing w:val="80"/>
        </w:rPr>
        <w:t> </w:t>
      </w:r>
      <w:r>
        <w:rPr/>
        <w:t>der</w:t>
      </w:r>
      <w:r>
        <w:rPr>
          <w:spacing w:val="80"/>
        </w:rPr>
        <w:t> </w:t>
      </w:r>
      <w:r>
        <w:rPr/>
        <w:t>englischen</w:t>
      </w:r>
      <w:r>
        <w:rPr>
          <w:spacing w:val="80"/>
        </w:rPr>
        <w:t> </w:t>
      </w:r>
      <w:r>
        <w:rPr/>
        <w:t>Sprache,</w:t>
      </w:r>
      <w:r>
        <w:rPr>
          <w:spacing w:val="80"/>
        </w:rPr>
        <w:t> </w:t>
      </w:r>
      <w:r>
        <w:rPr/>
        <w:t>um</w:t>
      </w:r>
      <w:r>
        <w:rPr>
          <w:spacing w:val="80"/>
        </w:rPr>
        <w:t> </w:t>
      </w:r>
      <w:r>
        <w:rPr/>
        <w:t>in</w:t>
      </w:r>
      <w:r>
        <w:rPr>
          <w:spacing w:val="80"/>
        </w:rPr>
        <w:t> </w:t>
      </w:r>
      <w:r>
        <w:rPr/>
        <w:t>verständlicher</w:t>
      </w:r>
      <w:r>
        <w:rPr>
          <w:spacing w:val="80"/>
        </w:rPr>
        <w:t> </w:t>
      </w:r>
      <w:r>
        <w:rPr/>
        <w:t>und</w:t>
      </w:r>
      <w:r>
        <w:rPr>
          <w:spacing w:val="80"/>
        </w:rPr>
        <w:t> </w:t>
      </w:r>
      <w:r>
        <w:rPr/>
        <w:t>strukturierter Weise zu kommunizieren, sind von wesentlicher Bedeutung.</w:t>
      </w:r>
    </w:p>
    <w:p>
      <w:pPr>
        <w:spacing w:after="0" w:line="278" w:lineRule="auto"/>
        <w:sectPr>
          <w:pgSz w:w="11910" w:h="16840"/>
          <w:pgMar w:header="0" w:footer="690" w:top="1040" w:bottom="880" w:left="480" w:right="740"/>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7"/>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7"/>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2"/>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6"/>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4"/>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spacing w:after="0" w:line="250" w:lineRule="exact"/>
        <w:jc w:val="left"/>
        <w:rPr>
          <w:sz w:val="22"/>
        </w:rPr>
        <w:sectPr>
          <w:pgSz w:w="11910" w:h="16840"/>
          <w:pgMar w:header="0" w:footer="690" w:top="1040" w:bottom="880" w:left="480" w:right="740"/>
        </w:sectPr>
      </w:pPr>
    </w:p>
    <w:p>
      <w:pPr>
        <w:pStyle w:val="BodyText"/>
        <w:spacing w:before="68"/>
        <w:ind w:left="1080" w:right="166"/>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3"/>
        <w:rPr>
          <w:sz w:val="14"/>
        </w:rPr>
      </w:pPr>
    </w:p>
    <w:p>
      <w:pPr>
        <w:pStyle w:val="Heading1"/>
        <w:numPr>
          <w:ilvl w:val="0"/>
          <w:numId w:val="4"/>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66"/>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3"/>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4"/>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right="166"/>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387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440"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467" w:hanging="125"/>
      </w:pPr>
      <w:rPr>
        <w:rFonts w:hint="default"/>
        <w:lang w:val="de-DE" w:eastAsia="en-US" w:bidi="ar-SA"/>
      </w:rPr>
    </w:lvl>
    <w:lvl w:ilvl="3">
      <w:start w:val="0"/>
      <w:numFmt w:val="bullet"/>
      <w:lvlText w:val="•"/>
      <w:lvlJc w:val="left"/>
      <w:pPr>
        <w:ind w:left="3494" w:hanging="125"/>
      </w:pPr>
      <w:rPr>
        <w:rFonts w:hint="default"/>
        <w:lang w:val="de-DE" w:eastAsia="en-US" w:bidi="ar-SA"/>
      </w:rPr>
    </w:lvl>
    <w:lvl w:ilvl="4">
      <w:start w:val="0"/>
      <w:numFmt w:val="bullet"/>
      <w:lvlText w:val="•"/>
      <w:lvlJc w:val="left"/>
      <w:pPr>
        <w:ind w:left="4522" w:hanging="125"/>
      </w:pPr>
      <w:rPr>
        <w:rFonts w:hint="default"/>
        <w:lang w:val="de-DE" w:eastAsia="en-US" w:bidi="ar-SA"/>
      </w:rPr>
    </w:lvl>
    <w:lvl w:ilvl="5">
      <w:start w:val="0"/>
      <w:numFmt w:val="bullet"/>
      <w:lvlText w:val="•"/>
      <w:lvlJc w:val="left"/>
      <w:pPr>
        <w:ind w:left="5549" w:hanging="125"/>
      </w:pPr>
      <w:rPr>
        <w:rFonts w:hint="default"/>
        <w:lang w:val="de-DE" w:eastAsia="en-US" w:bidi="ar-SA"/>
      </w:rPr>
    </w:lvl>
    <w:lvl w:ilvl="6">
      <w:start w:val="0"/>
      <w:numFmt w:val="bullet"/>
      <w:lvlText w:val="•"/>
      <w:lvlJc w:val="left"/>
      <w:pPr>
        <w:ind w:left="6576" w:hanging="125"/>
      </w:pPr>
      <w:rPr>
        <w:rFonts w:hint="default"/>
        <w:lang w:val="de-DE" w:eastAsia="en-US" w:bidi="ar-SA"/>
      </w:rPr>
    </w:lvl>
    <w:lvl w:ilvl="7">
      <w:start w:val="0"/>
      <w:numFmt w:val="bullet"/>
      <w:lvlText w:val="•"/>
      <w:lvlJc w:val="left"/>
      <w:pPr>
        <w:ind w:left="7604" w:hanging="125"/>
      </w:pPr>
      <w:rPr>
        <w:rFonts w:hint="default"/>
        <w:lang w:val="de-DE" w:eastAsia="en-US" w:bidi="ar-SA"/>
      </w:rPr>
    </w:lvl>
    <w:lvl w:ilvl="8">
      <w:start w:val="0"/>
      <w:numFmt w:val="bullet"/>
      <w:lvlText w:val="•"/>
      <w:lvlJc w:val="left"/>
      <w:pPr>
        <w:ind w:left="8631"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438" w:hanging="707"/>
      </w:pPr>
      <w:rPr>
        <w:rFonts w:hint="default" w:ascii="Times New Roman" w:hAnsi="Times New Roman" w:eastAsia="Times New Roman" w:cs="Times New Roman"/>
        <w:w w:val="100"/>
        <w:lang w:val="de-DE" w:eastAsia="en-US" w:bidi="ar-SA"/>
      </w:rPr>
    </w:lvl>
    <w:lvl w:ilvl="2">
      <w:start w:val="0"/>
      <w:numFmt w:val="bullet"/>
      <w:lvlText w:val="•"/>
      <w:lvlJc w:val="left"/>
      <w:pPr>
        <w:ind w:left="1440" w:hanging="707"/>
      </w:pPr>
      <w:rPr>
        <w:rFonts w:hint="default"/>
        <w:lang w:val="de-DE" w:eastAsia="en-US" w:bidi="ar-SA"/>
      </w:rPr>
    </w:lvl>
    <w:lvl w:ilvl="3">
      <w:start w:val="0"/>
      <w:numFmt w:val="bullet"/>
      <w:lvlText w:val="•"/>
      <w:lvlJc w:val="left"/>
      <w:pPr>
        <w:ind w:left="2595" w:hanging="707"/>
      </w:pPr>
      <w:rPr>
        <w:rFonts w:hint="default"/>
        <w:lang w:val="de-DE" w:eastAsia="en-US" w:bidi="ar-SA"/>
      </w:rPr>
    </w:lvl>
    <w:lvl w:ilvl="4">
      <w:start w:val="0"/>
      <w:numFmt w:val="bullet"/>
      <w:lvlText w:val="•"/>
      <w:lvlJc w:val="left"/>
      <w:pPr>
        <w:ind w:left="3751" w:hanging="707"/>
      </w:pPr>
      <w:rPr>
        <w:rFonts w:hint="default"/>
        <w:lang w:val="de-DE" w:eastAsia="en-US" w:bidi="ar-SA"/>
      </w:rPr>
    </w:lvl>
    <w:lvl w:ilvl="5">
      <w:start w:val="0"/>
      <w:numFmt w:val="bullet"/>
      <w:lvlText w:val="•"/>
      <w:lvlJc w:val="left"/>
      <w:pPr>
        <w:ind w:left="4907" w:hanging="707"/>
      </w:pPr>
      <w:rPr>
        <w:rFonts w:hint="default"/>
        <w:lang w:val="de-DE" w:eastAsia="en-US" w:bidi="ar-SA"/>
      </w:rPr>
    </w:lvl>
    <w:lvl w:ilvl="6">
      <w:start w:val="0"/>
      <w:numFmt w:val="bullet"/>
      <w:lvlText w:val="•"/>
      <w:lvlJc w:val="left"/>
      <w:pPr>
        <w:ind w:left="6063" w:hanging="707"/>
      </w:pPr>
      <w:rPr>
        <w:rFonts w:hint="default"/>
        <w:lang w:val="de-DE" w:eastAsia="en-US" w:bidi="ar-SA"/>
      </w:rPr>
    </w:lvl>
    <w:lvl w:ilvl="7">
      <w:start w:val="0"/>
      <w:numFmt w:val="bullet"/>
      <w:lvlText w:val="•"/>
      <w:lvlJc w:val="left"/>
      <w:pPr>
        <w:ind w:left="7219" w:hanging="707"/>
      </w:pPr>
      <w:rPr>
        <w:rFonts w:hint="default"/>
        <w:lang w:val="de-DE" w:eastAsia="en-US" w:bidi="ar-SA"/>
      </w:rPr>
    </w:lvl>
    <w:lvl w:ilvl="8">
      <w:start w:val="0"/>
      <w:numFmt w:val="bullet"/>
      <w:lvlText w:val="•"/>
      <w:lvlJc w:val="left"/>
      <w:pPr>
        <w:ind w:left="8374" w:hanging="707"/>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70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Wolfgang.Philipp@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2023-02-16T17:03:14Z</dcterms:created>
  <dcterms:modified xsi:type="dcterms:W3CDTF">2023-02-16T17:03:14Z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