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line="240" w:lineRule="auto" w:before="167"/>
              <w:rPr>
                <w:sz w:val="22"/>
              </w:rPr>
            </w:pPr>
            <w:r>
              <w:rPr>
                <w:b/>
                <w:sz w:val="24"/>
              </w:rPr>
              <w:t>JUST.DDG.B.2</w:t>
            </w:r>
            <w:r>
              <w:rPr>
                <w:b/>
                <w:spacing w:val="50"/>
                <w:sz w:val="24"/>
              </w:rPr>
              <w:t> </w:t>
            </w:r>
            <w:r>
              <w:rPr>
                <w:sz w:val="22"/>
              </w:rPr>
              <w:t>(JUST.DDG.A.5</w:t>
            </w:r>
            <w:r>
              <w:rPr>
                <w:spacing w:val="-3"/>
                <w:sz w:val="22"/>
              </w:rPr>
              <w:t> </w:t>
            </w:r>
            <w:r>
              <w:rPr>
                <w:sz w:val="22"/>
              </w:rPr>
              <w:t>am</w:t>
            </w:r>
            <w:r>
              <w:rPr>
                <w:spacing w:val="-7"/>
                <w:sz w:val="22"/>
              </w:rPr>
              <w:t> </w:t>
            </w:r>
            <w:r>
              <w:rPr>
                <w:sz w:val="22"/>
              </w:rPr>
              <w:t>1.</w:t>
            </w:r>
            <w:r>
              <w:rPr>
                <w:spacing w:val="-4"/>
                <w:sz w:val="22"/>
              </w:rPr>
              <w:t> </w:t>
            </w:r>
            <w:r>
              <w:rPr>
                <w:sz w:val="22"/>
              </w:rPr>
              <w:t>März</w:t>
            </w:r>
            <w:r>
              <w:rPr>
                <w:spacing w:val="-6"/>
                <w:sz w:val="22"/>
              </w:rPr>
              <w:t> </w:t>
            </w:r>
            <w:r>
              <w:rPr>
                <w:spacing w:val="-2"/>
                <w:sz w:val="22"/>
              </w:rPr>
              <w:t>2023)</w:t>
            </w:r>
          </w:p>
        </w:tc>
      </w:tr>
      <w:tr>
        <w:trPr>
          <w:trHeight w:val="2092"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before="1"/>
              <w:rPr>
                <w:b/>
                <w:sz w:val="22"/>
              </w:rPr>
            </w:pPr>
            <w:r>
              <w:rPr>
                <w:b/>
                <w:spacing w:val="-2"/>
                <w:sz w:val="22"/>
              </w:rPr>
              <w:t>E-Mail-Adresse:</w:t>
            </w:r>
          </w:p>
          <w:p>
            <w:pPr>
              <w:pStyle w:val="TableParagraph"/>
              <w:rPr>
                <w:b/>
                <w:sz w:val="22"/>
              </w:rPr>
            </w:pPr>
            <w:r>
              <w:rPr>
                <w:b/>
                <w:spacing w:val="-2"/>
                <w:sz w:val="22"/>
              </w:rPr>
              <w:t>Telefon:</w:t>
            </w:r>
          </w:p>
          <w:p>
            <w:pPr>
              <w:pStyle w:val="TableParagraph"/>
              <w:spacing w:line="240" w:lineRule="auto"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spacing w:line="240" w:lineRule="auto"/>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70" w:lineRule="exact"/>
              <w:rPr>
                <w:sz w:val="24"/>
              </w:rPr>
            </w:pPr>
            <w:r>
              <w:rPr>
                <w:sz w:val="24"/>
              </w:rPr>
              <w:t>Despina</w:t>
            </w:r>
            <w:r>
              <w:rPr>
                <w:spacing w:val="-10"/>
                <w:sz w:val="24"/>
              </w:rPr>
              <w:t> </w:t>
            </w:r>
            <w:r>
              <w:rPr>
                <w:spacing w:val="-2"/>
                <w:sz w:val="24"/>
              </w:rPr>
              <w:t>VASSILIADOU</w:t>
            </w:r>
          </w:p>
          <w:p>
            <w:pPr>
              <w:pStyle w:val="TableParagraph"/>
              <w:spacing w:line="240" w:lineRule="auto" w:before="4"/>
              <w:rPr>
                <w:b/>
                <w:sz w:val="22"/>
              </w:rPr>
            </w:pPr>
            <w:hyperlink r:id="rId7">
              <w:r>
                <w:rPr>
                  <w:b/>
                  <w:spacing w:val="-2"/>
                  <w:sz w:val="22"/>
                </w:rPr>
                <w:t>Despina.Vassiliadou@ec.europa.eu</w:t>
              </w:r>
            </w:hyperlink>
          </w:p>
          <w:p>
            <w:pPr>
              <w:pStyle w:val="TableParagraph"/>
              <w:spacing w:line="274" w:lineRule="exact" w:before="2"/>
              <w:rPr>
                <w:b/>
                <w:sz w:val="24"/>
              </w:rPr>
            </w:pPr>
            <w:r>
              <w:rPr>
                <w:b/>
                <w:sz w:val="22"/>
              </w:rPr>
              <w:t>+32</w:t>
            </w:r>
            <w:r>
              <w:rPr>
                <w:b/>
                <w:spacing w:val="-1"/>
                <w:sz w:val="22"/>
              </w:rPr>
              <w:t> </w:t>
            </w:r>
            <w:r>
              <w:rPr>
                <w:b/>
                <w:sz w:val="22"/>
              </w:rPr>
              <w:t>2</w:t>
            </w:r>
            <w:r>
              <w:rPr>
                <w:b/>
                <w:spacing w:val="-1"/>
                <w:sz w:val="22"/>
              </w:rPr>
              <w:t> </w:t>
            </w:r>
            <w:r>
              <w:rPr>
                <w:b/>
                <w:sz w:val="22"/>
              </w:rPr>
              <w:t>29 </w:t>
            </w:r>
            <w:r>
              <w:rPr>
                <w:b/>
                <w:spacing w:val="-2"/>
                <w:sz w:val="24"/>
              </w:rPr>
              <w:t>99763</w:t>
            </w:r>
          </w:p>
          <w:p>
            <w:pPr>
              <w:pStyle w:val="TableParagraph"/>
              <w:spacing w:line="274" w:lineRule="exact"/>
              <w:rPr>
                <w:sz w:val="24"/>
              </w:rPr>
            </w:pPr>
            <w:r>
              <w:rPr>
                <w:sz w:val="24"/>
              </w:rPr>
              <w:t>1</w:t>
            </w:r>
          </w:p>
          <w:p>
            <w:pPr>
              <w:pStyle w:val="TableParagraph"/>
              <w:spacing w:before="4"/>
              <w:ind w:left="139"/>
              <w:rPr>
                <w:b/>
                <w:sz w:val="22"/>
              </w:rPr>
            </w:pPr>
            <w:r>
              <w:rPr>
                <w:b/>
                <w:sz w:val="22"/>
              </w:rPr>
              <w:t>Zweites</w:t>
            </w:r>
            <w:r>
              <w:rPr>
                <w:b/>
                <w:spacing w:val="-6"/>
                <w:sz w:val="22"/>
              </w:rPr>
              <w:t> </w:t>
            </w:r>
            <w:r>
              <w:rPr>
                <w:b/>
                <w:sz w:val="22"/>
              </w:rPr>
              <w:t>Quartal</w:t>
            </w:r>
            <w:r>
              <w:rPr>
                <w:b/>
                <w:spacing w:val="-4"/>
                <w:sz w:val="22"/>
              </w:rPr>
              <w:t> 2023</w:t>
            </w:r>
            <w:r>
              <w:rPr>
                <w:b/>
                <w:spacing w:val="-4"/>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spacing w:line="240" w:lineRule="auto" w:before="1"/>
              <w:ind w:left="0"/>
              <w:rPr>
                <w:b/>
                <w:sz w:val="22"/>
              </w:rPr>
            </w:pPr>
          </w:p>
          <w:p>
            <w:pPr>
              <w:pStyle w:val="TableParagraph"/>
              <w:numPr>
                <w:ilvl w:val="0"/>
                <w:numId w:val="1"/>
              </w:numPr>
              <w:tabs>
                <w:tab w:pos="358" w:val="left" w:leader="none"/>
                <w:tab w:pos="1522" w:val="left" w:leader="none"/>
              </w:tabs>
              <w:spacing w:line="233" w:lineRule="exact" w:before="0" w:after="0"/>
              <w:ind w:left="357" w:right="0" w:hanging="253"/>
              <w:jc w:val="left"/>
              <w:rPr>
                <w:b/>
                <w:sz w:val="22"/>
              </w:rPr>
            </w:pPr>
            <w:r>
              <w:rPr>
                <w:b/>
                <w:spacing w:val="-2"/>
                <w:sz w:val="22"/>
              </w:rPr>
              <w:t>Brüssel</w:t>
            </w:r>
            <w:r>
              <w:rPr>
                <w:b/>
                <w:sz w:val="22"/>
              </w:rPr>
              <w:tab/>
            </w:r>
            <w:r>
              <w:rPr>
                <w:rFonts w:ascii="Wingdings 2" w:hAnsi="Wingdings 2"/>
                <w:sz w:val="22"/>
              </w:rPr>
              <w:t></w:t>
            </w:r>
            <w:r>
              <w:rPr>
                <w:spacing w:val="26"/>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6" w:hRule="atLeast"/>
        </w:trPr>
        <w:tc>
          <w:tcPr>
            <w:tcW w:w="4359" w:type="dxa"/>
            <w:vMerge/>
            <w:tcBorders>
              <w:top w:val="nil"/>
            </w:tcBorders>
          </w:tcPr>
          <w:p>
            <w:pPr>
              <w:rPr>
                <w:sz w:val="2"/>
                <w:szCs w:val="2"/>
              </w:rPr>
            </w:pPr>
          </w:p>
        </w:tc>
        <w:tc>
          <w:tcPr>
            <w:tcW w:w="5597" w:type="dxa"/>
          </w:tcPr>
          <w:p>
            <w:pPr>
              <w:pStyle w:val="TableParagraph"/>
              <w:numPr>
                <w:ilvl w:val="0"/>
                <w:numId w:val="2"/>
              </w:numPr>
              <w:tabs>
                <w:tab w:pos="413" w:val="left" w:leader="none"/>
              </w:tabs>
              <w:spacing w:line="240" w:lineRule="auto" w:before="145" w:after="0"/>
              <w:ind w:left="413" w:right="0" w:hanging="308"/>
              <w:jc w:val="left"/>
              <w:rPr>
                <w:b/>
                <w:sz w:val="22"/>
              </w:rPr>
            </w:pPr>
            <w:r>
              <w:rPr>
                <w:b/>
                <w:sz w:val="22"/>
              </w:rPr>
              <w:t>Mit</w:t>
            </w:r>
            <w:r>
              <w:rPr>
                <w:b/>
                <w:spacing w:val="-3"/>
                <w:sz w:val="22"/>
              </w:rPr>
              <w:t> </w:t>
            </w:r>
            <w:r>
              <w:rPr>
                <w:b/>
                <w:sz w:val="22"/>
              </w:rPr>
              <w:t>Vergütungen</w:t>
            </w:r>
            <w:r>
              <w:rPr>
                <w:b/>
                <w:spacing w:val="77"/>
                <w:w w:val="150"/>
                <w:sz w:val="22"/>
              </w:rPr>
              <w:t> </w:t>
            </w:r>
            <w:r>
              <w:rPr>
                <w:rFonts w:ascii="Wingdings 2" w:hAnsi="Wingdings 2"/>
                <w:sz w:val="22"/>
              </w:rPr>
              <w:t></w:t>
            </w:r>
            <w:r>
              <w:rPr>
                <w:spacing w:val="49"/>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line="240" w:lineRule="auto"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line="240" w:lineRule="auto"/>
              <w:ind w:left="0"/>
              <w:rPr>
                <w:b/>
                <w:sz w:val="22"/>
              </w:rPr>
            </w:pPr>
          </w:p>
          <w:p>
            <w:pPr>
              <w:pStyle w:val="TableParagraph"/>
              <w:numPr>
                <w:ilvl w:val="0"/>
                <w:numId w:val="3"/>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3"/>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3"/>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3"/>
              </w:numPr>
              <w:tabs>
                <w:tab w:pos="523" w:val="left" w:leader="none"/>
                <w:tab w:pos="524" w:val="left" w:leader="none"/>
              </w:tabs>
              <w:spacing w:line="252" w:lineRule="exact" w:before="1"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3"/>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2"/>
        <w:rPr>
          <w:b/>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372" w:right="104"/>
        <w:jc w:val="both"/>
      </w:pPr>
      <w:r>
        <w:rPr/>
        <w:t>Mitarbeit bei der Koordination, Definition und Umsetzung der Unionspolitik im Bereich die Rechte der Opfer von Straftaten sowie der justiziellen Zusammenarbeit in Strafsachen und der Verfahrensrechte von Beschuldigten und </w:t>
      </w:r>
      <w:r>
        <w:rPr>
          <w:spacing w:val="-2"/>
        </w:rPr>
        <w:t>Angeklagten.</w:t>
      </w:r>
    </w:p>
    <w:p>
      <w:pPr>
        <w:pStyle w:val="BodyText"/>
        <w:spacing w:before="1"/>
      </w:pPr>
    </w:p>
    <w:p>
      <w:pPr>
        <w:pStyle w:val="BodyText"/>
        <w:ind w:left="372" w:right="104"/>
        <w:jc w:val="both"/>
      </w:pPr>
      <w:r>
        <w:rPr/>
        <w:t>Spezifische Aufgaben: Überwachung der richtigen Anwendung und Umsetzung europäischer Rechtsakte über die Rechte der Opfer sowie anderer Instrumente, für die das Referat zuständig ist; Verfassen von Entwürfen der durch diese Instrumente vorgesehenen Evaluierungsberichte und – soweit erforderlich – Bearbeitung von Vertragsverletzungsverfahren, Vorbereitung und Teilnahme an Expertensitzungen; Ausarbeitung von Gesetzgebungsvorschlägen, Verfassen vorbereitender Konsultationsdokumente, Teilnahme an Sitzungen dienststellenübergreifender</w:t>
      </w:r>
      <w:r>
        <w:rPr>
          <w:spacing w:val="-1"/>
        </w:rPr>
        <w:t> </w:t>
      </w:r>
      <w:r>
        <w:rPr/>
        <w:t>Arbeitsgruppen sowie Bewertung der Ex-ante-Folgenabschätzungen dieser Vorschläge; Teilnahme an Verhandlungen zu diesen Vorschlägen; Teilnahme an europäischen und internationalen</w:t>
      </w:r>
      <w:r>
        <w:rPr>
          <w:spacing w:val="40"/>
        </w:rPr>
        <w:t> </w:t>
      </w:r>
      <w:r>
        <w:rPr/>
        <w:t>Arbeitstreffen sowie an Konferenzen zu diesen Instrumenten; Beantwortung dienststellenübergreifender Konsultationen, Vorbereitung der Briefings für Kommissionsvertreter im Rat und im EP oder in anderen bi- bzw. multilateraler Sitzungen, Verfassen der Antworten der Kommission auf schriftliche oder mündliche Anfragen des Parlaments sowie auf Bürgerbriefe, Gewährleistung einer guten Zusammenarbeit mit den Interessenvertretern in diesem Bereich.</w:t>
      </w:r>
    </w:p>
    <w:p>
      <w:pPr>
        <w:pStyle w:val="BodyText"/>
      </w:pPr>
    </w:p>
    <w:p>
      <w:pPr>
        <w:pStyle w:val="BodyText"/>
        <w:ind w:left="372"/>
        <w:jc w:val="both"/>
      </w:pPr>
      <w:r>
        <w:rPr/>
        <w:t>Der/</w:t>
      </w:r>
      <w:r>
        <w:rPr>
          <w:spacing w:val="-7"/>
        </w:rPr>
        <w:t> </w:t>
      </w:r>
      <w:r>
        <w:rPr/>
        <w:t>die</w:t>
      </w:r>
      <w:r>
        <w:rPr>
          <w:spacing w:val="-6"/>
        </w:rPr>
        <w:t> </w:t>
      </w:r>
      <w:r>
        <w:rPr/>
        <w:t>nationale(r)</w:t>
      </w:r>
      <w:r>
        <w:rPr>
          <w:spacing w:val="-6"/>
        </w:rPr>
        <w:t> </w:t>
      </w:r>
      <w:r>
        <w:rPr/>
        <w:t>Sachverständige(r)</w:t>
      </w:r>
      <w:r>
        <w:rPr>
          <w:spacing w:val="-6"/>
        </w:rPr>
        <w:t> </w:t>
      </w:r>
      <w:r>
        <w:rPr/>
        <w:t>wird</w:t>
      </w:r>
      <w:r>
        <w:rPr>
          <w:spacing w:val="-6"/>
        </w:rPr>
        <w:t> </w:t>
      </w:r>
      <w:r>
        <w:rPr/>
        <w:t>unter</w:t>
      </w:r>
      <w:r>
        <w:rPr>
          <w:spacing w:val="-6"/>
        </w:rPr>
        <w:t> </w:t>
      </w:r>
      <w:r>
        <w:rPr/>
        <w:t>Aufsicht</w:t>
      </w:r>
      <w:r>
        <w:rPr>
          <w:spacing w:val="-8"/>
        </w:rPr>
        <w:t> </w:t>
      </w:r>
      <w:r>
        <w:rPr/>
        <w:t>eines</w:t>
      </w:r>
      <w:r>
        <w:rPr>
          <w:spacing w:val="-8"/>
        </w:rPr>
        <w:t> </w:t>
      </w:r>
      <w:r>
        <w:rPr/>
        <w:t>Kommissionsbeamten</w:t>
      </w:r>
      <w:r>
        <w:rPr>
          <w:spacing w:val="-5"/>
        </w:rPr>
        <w:t> </w:t>
      </w:r>
      <w:r>
        <w:rPr>
          <w:spacing w:val="-2"/>
        </w:rPr>
        <w:t>arbeiten.</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8"/>
        </w:rPr>
      </w:pPr>
      <w:r>
        <w:rPr/>
        <w:pict>
          <v:rect style="position:absolute;margin-left:42.599998pt;margin-top:17.627283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4"/>
        </w:numPr>
        <w:tabs>
          <w:tab w:pos="799" w:val="left" w:leader="none"/>
          <w:tab w:pos="800" w:val="left" w:leader="none"/>
        </w:tabs>
        <w:spacing w:line="240" w:lineRule="auto" w:before="60" w:after="0"/>
        <w:ind w:left="799" w:right="0" w:hanging="428"/>
        <w:jc w:val="left"/>
        <w:rPr>
          <w:b/>
          <w:sz w:val="24"/>
        </w:rPr>
      </w:pPr>
      <w:r>
        <w:rPr>
          <w:b/>
          <w:sz w:val="24"/>
          <w:u w:val="single"/>
        </w:rPr>
        <w:t>Erforderliche</w:t>
      </w:r>
      <w:r>
        <w:rPr>
          <w:b/>
          <w:spacing w:val="-7"/>
          <w:sz w:val="24"/>
          <w:u w:val="single"/>
        </w:rPr>
        <w:t> </w:t>
      </w:r>
      <w:r>
        <w:rPr>
          <w:b/>
          <w:spacing w:val="-2"/>
          <w:sz w:val="24"/>
          <w:u w:val="single"/>
        </w:rPr>
        <w:t>Qualifikationen</w:t>
      </w:r>
    </w:p>
    <w:p>
      <w:pPr>
        <w:pStyle w:val="BodyText"/>
        <w:rPr>
          <w:b/>
          <w:sz w:val="16"/>
        </w:rPr>
      </w:pPr>
    </w:p>
    <w:p>
      <w:pPr>
        <w:pStyle w:val="Heading1"/>
        <w:numPr>
          <w:ilvl w:val="1"/>
          <w:numId w:val="4"/>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1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2"/>
          <w:numId w:val="4"/>
        </w:numPr>
        <w:tabs>
          <w:tab w:pos="1081" w:val="left" w:leader="none"/>
        </w:tabs>
        <w:spacing w:line="240" w:lineRule="auto" w:before="1" w:after="0"/>
        <w:ind w:left="1080" w:right="110"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spacing w:before="11"/>
        <w:rPr>
          <w:sz w:val="21"/>
        </w:rPr>
      </w:pPr>
    </w:p>
    <w:p>
      <w:pPr>
        <w:pStyle w:val="ListParagraph"/>
        <w:numPr>
          <w:ilvl w:val="2"/>
          <w:numId w:val="4"/>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2"/>
          <w:numId w:val="4"/>
        </w:numPr>
        <w:tabs>
          <w:tab w:pos="1081" w:val="left" w:leader="none"/>
        </w:tabs>
        <w:spacing w:line="240" w:lineRule="auto" w:before="1" w:after="0"/>
        <w:ind w:left="1080" w:right="109"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1"/>
          <w:numId w:val="4"/>
        </w:numPr>
        <w:tabs>
          <w:tab w:pos="1081" w:val="left" w:leader="none"/>
        </w:tabs>
        <w:spacing w:line="240" w:lineRule="auto" w:before="0" w:after="0"/>
        <w:ind w:left="1080" w:right="0" w:hanging="282"/>
        <w:jc w:val="left"/>
      </w:pPr>
      <w:r>
        <w:rPr>
          <w:spacing w:val="-2"/>
          <w:u w:val="single"/>
        </w:rPr>
        <w:t>Auswahlkriterien</w:t>
      </w:r>
    </w:p>
    <w:p>
      <w:pPr>
        <w:pStyle w:val="BodyText"/>
        <w:spacing w:before="9"/>
        <w:rPr>
          <w:b/>
          <w:sz w:val="15"/>
        </w:rPr>
      </w:pPr>
    </w:p>
    <w:p>
      <w:pPr>
        <w:pStyle w:val="BodyText"/>
        <w:spacing w:line="252" w:lineRule="exact" w:before="91"/>
        <w:ind w:left="1080"/>
      </w:pPr>
      <w:r>
        <w:rPr>
          <w:spacing w:val="-2"/>
          <w:u w:val="single"/>
        </w:rPr>
        <w:t>Bildungsabschluss</w:t>
      </w:r>
    </w:p>
    <w:p>
      <w:pPr>
        <w:pStyle w:val="ListParagraph"/>
        <w:numPr>
          <w:ilvl w:val="0"/>
          <w:numId w:val="5"/>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5"/>
        </w:numPr>
        <w:tabs>
          <w:tab w:pos="1206" w:val="left" w:leader="none"/>
        </w:tabs>
        <w:spacing w:line="477" w:lineRule="auto" w:before="2" w:after="0"/>
        <w:ind w:left="1190" w:right="4307" w:hanging="111"/>
        <w:jc w:val="left"/>
        <w:rPr>
          <w:sz w:val="22"/>
        </w:rPr>
      </w:pPr>
      <w:r>
        <w:rPr>
          <w:sz w:val="22"/>
        </w:rPr>
        <w:t>eine</w:t>
      </w:r>
      <w:r>
        <w:rPr>
          <w:spacing w:val="-4"/>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z w:val="22"/>
        </w:rPr>
        <w:t>Berufserfahrung im Bereich:</w:t>
      </w:r>
    </w:p>
    <w:p>
      <w:pPr>
        <w:pStyle w:val="BodyText"/>
        <w:spacing w:line="480" w:lineRule="auto" w:before="4"/>
        <w:ind w:left="1080" w:right="4195"/>
      </w:pPr>
      <w:r>
        <w:rPr/>
        <w:t>Hochschulabschluss</w:t>
      </w:r>
      <w:r>
        <w:rPr>
          <w:spacing w:val="-14"/>
        </w:rPr>
        <w:t> </w:t>
      </w:r>
      <w:r>
        <w:rPr/>
        <w:t>in</w:t>
      </w:r>
      <w:r>
        <w:rPr>
          <w:spacing w:val="-14"/>
        </w:rPr>
        <w:t> </w:t>
      </w:r>
      <w:r>
        <w:rPr/>
        <w:t>Rechtswissenschaften. </w:t>
      </w:r>
      <w:r>
        <w:rPr>
          <w:spacing w:val="-2"/>
          <w:u w:val="single"/>
        </w:rPr>
        <w:t>Berufserfahrung</w:t>
      </w:r>
    </w:p>
    <w:p>
      <w:pPr>
        <w:pStyle w:val="BodyText"/>
        <w:rPr>
          <w:sz w:val="14"/>
        </w:rPr>
      </w:pPr>
    </w:p>
    <w:p>
      <w:pPr>
        <w:pStyle w:val="BodyText"/>
        <w:tabs>
          <w:tab w:pos="6690" w:val="left" w:leader="none"/>
        </w:tabs>
        <w:spacing w:before="92"/>
        <w:ind w:left="1080" w:right="166"/>
      </w:pPr>
      <w:r>
        <w:rPr/>
        <w:t>Gefordert wird einschlägige Erfahrung im Bereich der justiziellen Zusammenarbeit in Strafsachen. Interinstitutionelle</w:t>
      </w:r>
      <w:r>
        <w:rPr>
          <w:spacing w:val="40"/>
        </w:rPr>
        <w:t> </w:t>
      </w:r>
      <w:r>
        <w:rPr/>
        <w:t>Verhandlungserfahrung</w:t>
      </w:r>
      <w:r>
        <w:rPr>
          <w:spacing w:val="40"/>
        </w:rPr>
        <w:t> </w:t>
      </w:r>
      <w:r>
        <w:rPr/>
        <w:t>wäre</w:t>
      </w:r>
      <w:r>
        <w:rPr>
          <w:spacing w:val="40"/>
        </w:rPr>
        <w:t> </w:t>
      </w:r>
      <w:r>
        <w:rPr/>
        <w:t>erwünscht.</w:t>
        <w:tab/>
        <w:t>Erfahrung</w:t>
      </w:r>
      <w:r>
        <w:rPr>
          <w:spacing w:val="37"/>
        </w:rPr>
        <w:t> </w:t>
      </w:r>
      <w:r>
        <w:rPr/>
        <w:t>und/oder</w:t>
      </w:r>
      <w:r>
        <w:rPr>
          <w:spacing w:val="40"/>
        </w:rPr>
        <w:t> </w:t>
      </w:r>
      <w:r>
        <w:rPr/>
        <w:t>Expertise</w:t>
      </w:r>
      <w:r>
        <w:rPr>
          <w:spacing w:val="37"/>
        </w:rPr>
        <w:t> </w:t>
      </w:r>
      <w:r>
        <w:rPr/>
        <w:t>im</w:t>
      </w:r>
      <w:r>
        <w:rPr>
          <w:spacing w:val="38"/>
        </w:rPr>
        <w:t> </w:t>
      </w:r>
      <w:r>
        <w:rPr/>
        <w:t>Bereich Opferrechte von Vorteil.</w:t>
      </w:r>
    </w:p>
    <w:p>
      <w:pPr>
        <w:pStyle w:val="BodyText"/>
        <w:rPr>
          <w:sz w:val="24"/>
        </w:rPr>
      </w:pPr>
    </w:p>
    <w:p>
      <w:pPr>
        <w:pStyle w:val="BodyText"/>
        <w:rPr>
          <w:sz w:val="24"/>
        </w:rPr>
      </w:pPr>
    </w:p>
    <w:p>
      <w:pPr>
        <w:pStyle w:val="BodyText"/>
        <w:rPr>
          <w:sz w:val="24"/>
        </w:rPr>
      </w:pPr>
    </w:p>
    <w:p>
      <w:pPr>
        <w:pStyle w:val="BodyText"/>
        <w:spacing w:before="185"/>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right="486"/>
      </w:pPr>
      <w:r>
        <w:rPr/>
        <w:t>Sehr</w:t>
      </w:r>
      <w:r>
        <w:rPr>
          <w:spacing w:val="-3"/>
        </w:rPr>
        <w:t> </w:t>
      </w:r>
      <w:r>
        <w:rPr/>
        <w:t>gute</w:t>
      </w:r>
      <w:r>
        <w:rPr>
          <w:spacing w:val="-5"/>
        </w:rPr>
        <w:t> </w:t>
      </w:r>
      <w:r>
        <w:rPr/>
        <w:t>Kenntnisse</w:t>
      </w:r>
      <w:r>
        <w:rPr>
          <w:spacing w:val="-3"/>
        </w:rPr>
        <w:t> </w:t>
      </w:r>
      <w:r>
        <w:rPr/>
        <w:t>der</w:t>
      </w:r>
      <w:r>
        <w:rPr>
          <w:spacing w:val="-3"/>
        </w:rPr>
        <w:t> </w:t>
      </w:r>
      <w:r>
        <w:rPr/>
        <w:t>englischen</w:t>
      </w:r>
      <w:r>
        <w:rPr>
          <w:spacing w:val="-3"/>
        </w:rPr>
        <w:t> </w:t>
      </w:r>
      <w:r>
        <w:rPr/>
        <w:t>Sprache;</w:t>
      </w:r>
      <w:r>
        <w:rPr>
          <w:spacing w:val="-2"/>
        </w:rPr>
        <w:t> </w:t>
      </w:r>
      <w:r>
        <w:rPr/>
        <w:t>sehr</w:t>
      </w:r>
      <w:r>
        <w:rPr>
          <w:spacing w:val="-2"/>
        </w:rPr>
        <w:t> </w:t>
      </w:r>
      <w:r>
        <w:rPr/>
        <w:t>gutes</w:t>
      </w:r>
      <w:r>
        <w:rPr>
          <w:spacing w:val="-3"/>
        </w:rPr>
        <w:t> </w:t>
      </w:r>
      <w:r>
        <w:rPr/>
        <w:t>mündliches</w:t>
      </w:r>
      <w:r>
        <w:rPr>
          <w:spacing w:val="-3"/>
        </w:rPr>
        <w:t> </w:t>
      </w:r>
      <w:r>
        <w:rPr/>
        <w:t>und</w:t>
      </w:r>
      <w:r>
        <w:rPr>
          <w:spacing w:val="-3"/>
        </w:rPr>
        <w:t> </w:t>
      </w:r>
      <w:r>
        <w:rPr/>
        <w:t>schriftliches</w:t>
      </w:r>
      <w:r>
        <w:rPr>
          <w:spacing w:val="-3"/>
        </w:rPr>
        <w:t> </w:t>
      </w:r>
      <w:r>
        <w:rPr/>
        <w:t>Sprachniveau. Die Kenntnis weiterer Sprachen, insbesondere der französischen Sprache, ist von Vorteil.</w:t>
      </w:r>
    </w:p>
    <w:p>
      <w:pPr>
        <w:pStyle w:val="BodyText"/>
        <w:spacing w:before="5"/>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1"/>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w:t>
      </w:r>
    </w:p>
    <w:p>
      <w:pPr>
        <w:spacing w:after="0"/>
        <w:jc w:val="both"/>
        <w:rPr>
          <w:sz w:val="22"/>
        </w:rPr>
        <w:sectPr>
          <w:pgSz w:w="11910" w:h="16840"/>
          <w:pgMar w:header="0" w:footer="690" w:top="1560" w:bottom="880" w:left="480" w:right="740"/>
        </w:sectPr>
      </w:pPr>
    </w:p>
    <w:p>
      <w:pPr>
        <w:spacing w:before="68"/>
        <w:ind w:left="799" w:right="281" w:firstLine="0"/>
        <w:jc w:val="both"/>
        <w:rPr>
          <w:sz w:val="22"/>
        </w:rPr>
      </w:pPr>
      <w:r>
        <w:rPr>
          <w:sz w:val="22"/>
        </w:rPr>
        <w:t>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3"/>
        <w:ind w:left="799" w:right="283"/>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pStyle w:val="BodyText"/>
        <w:spacing w:before="92"/>
        <w:ind w:left="799" w:right="276"/>
        <w:jc w:val="both"/>
      </w:pPr>
      <w:r>
        <w:rPr/>
        <w:t>Abordnungen fallen unter den </w:t>
      </w:r>
      <w:r>
        <w:rPr>
          <w:b/>
        </w:rPr>
        <w:t>Beschluss C(2008)</w:t>
      </w:r>
      <w:r>
        <w:rPr>
          <w:b/>
          <w:spacing w:val="-2"/>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hyperlink>
      <w:r>
        <w:rPr/>
        <w:t>.</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1"/>
        <w:rPr>
          <w:sz w:val="21"/>
        </w:rPr>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9"/>
        <w:rPr>
          <w:sz w:val="21"/>
        </w:rPr>
      </w:pPr>
    </w:p>
    <w:p>
      <w:pPr>
        <w:pStyle w:val="BodyText"/>
        <w:spacing w:before="1"/>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4"/>
        </w:numPr>
        <w:tabs>
          <w:tab w:pos="799" w:val="left" w:leader="none"/>
          <w:tab w:pos="800" w:val="left" w:leader="none"/>
        </w:tabs>
        <w:spacing w:line="240" w:lineRule="auto" w:before="1"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6"/>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pStyle w:val="BodyText"/>
        <w:ind w:left="799" w:right="104"/>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6"/>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1"/>
        <w:ind w:left="1080" w:right="166"/>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6"/>
        </w:numPr>
        <w:tabs>
          <w:tab w:pos="1080" w:val="left" w:leader="none"/>
          <w:tab w:pos="1081" w:val="left" w:leader="none"/>
        </w:tabs>
        <w:spacing w:line="240" w:lineRule="auto"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spacing w:after="0" w:line="240" w:lineRule="auto"/>
        <w:jc w:val="left"/>
        <w:sectPr>
          <w:pgSz w:w="11910" w:h="16840"/>
          <w:pgMar w:header="0" w:footer="690" w:top="1040" w:bottom="880" w:left="480" w:right="740"/>
        </w:sectPr>
      </w:pPr>
    </w:p>
    <w:p>
      <w:pPr>
        <w:pStyle w:val="BodyText"/>
        <w:spacing w:before="68"/>
        <w:ind w:left="1080" w:right="166"/>
      </w:pPr>
      <w:r>
        <w:rPr/>
        <w:t>Sie können sich an den Datenschutzbeauftragten (</w:t>
      </w:r>
      <w:hyperlink r:id="rId11">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6"/>
        </w:numPr>
        <w:tabs>
          <w:tab w:pos="1080" w:val="left" w:leader="none"/>
          <w:tab w:pos="1081" w:val="left" w:leader="none"/>
        </w:tabs>
        <w:spacing w:line="240" w:lineRule="auto"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spacing w:before="2"/>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1"/>
        <w:rPr>
          <w:sz w:val="21"/>
        </w:rPr>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977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w:hAnsi="Wingdings" w:eastAsia="Wingdings" w:cs="Wingdings"/>
        <w:b w:val="0"/>
        <w:bCs w:val="0"/>
        <w:i w:val="0"/>
        <w:iCs w:val="0"/>
        <w:w w:val="100"/>
        <w:sz w:val="22"/>
        <w:szCs w:val="22"/>
        <w:lang w:val="de-DE" w:eastAsia="en-US" w:bidi="ar-SA"/>
      </w:rPr>
    </w:lvl>
    <w:lvl w:ilvl="1">
      <w:start w:val="0"/>
      <w:numFmt w:val="bullet"/>
      <w:lvlText w:val="•"/>
      <w:lvlJc w:val="left"/>
      <w:pPr>
        <w:ind w:left="882" w:hanging="252"/>
      </w:pPr>
      <w:rPr>
        <w:rFonts w:hint="default"/>
        <w:lang w:val="de-DE" w:eastAsia="en-US" w:bidi="ar-SA"/>
      </w:rPr>
    </w:lvl>
    <w:lvl w:ilvl="2">
      <w:start w:val="0"/>
      <w:numFmt w:val="bullet"/>
      <w:lvlText w:val="•"/>
      <w:lvlJc w:val="left"/>
      <w:pPr>
        <w:ind w:left="1405" w:hanging="252"/>
      </w:pPr>
      <w:rPr>
        <w:rFonts w:hint="default"/>
        <w:lang w:val="de-DE" w:eastAsia="en-US" w:bidi="ar-SA"/>
      </w:rPr>
    </w:lvl>
    <w:lvl w:ilvl="3">
      <w:start w:val="0"/>
      <w:numFmt w:val="bullet"/>
      <w:lvlText w:val="•"/>
      <w:lvlJc w:val="left"/>
      <w:pPr>
        <w:ind w:left="1928" w:hanging="252"/>
      </w:pPr>
      <w:rPr>
        <w:rFonts w:hint="default"/>
        <w:lang w:val="de-DE" w:eastAsia="en-US" w:bidi="ar-SA"/>
      </w:rPr>
    </w:lvl>
    <w:lvl w:ilvl="4">
      <w:start w:val="0"/>
      <w:numFmt w:val="bullet"/>
      <w:lvlText w:val="•"/>
      <w:lvlJc w:val="left"/>
      <w:pPr>
        <w:ind w:left="2450" w:hanging="252"/>
      </w:pPr>
      <w:rPr>
        <w:rFonts w:hint="default"/>
        <w:lang w:val="de-DE" w:eastAsia="en-US" w:bidi="ar-SA"/>
      </w:rPr>
    </w:lvl>
    <w:lvl w:ilvl="5">
      <w:start w:val="0"/>
      <w:numFmt w:val="bullet"/>
      <w:lvlText w:val="•"/>
      <w:lvlJc w:val="left"/>
      <w:pPr>
        <w:ind w:left="2973" w:hanging="252"/>
      </w:pPr>
      <w:rPr>
        <w:rFonts w:hint="default"/>
        <w:lang w:val="de-DE" w:eastAsia="en-US" w:bidi="ar-SA"/>
      </w:rPr>
    </w:lvl>
    <w:lvl w:ilvl="6">
      <w:start w:val="0"/>
      <w:numFmt w:val="bullet"/>
      <w:lvlText w:val="•"/>
      <w:lvlJc w:val="left"/>
      <w:pPr>
        <w:ind w:left="3496" w:hanging="252"/>
      </w:pPr>
      <w:rPr>
        <w:rFonts w:hint="default"/>
        <w:lang w:val="de-DE" w:eastAsia="en-US" w:bidi="ar-SA"/>
      </w:rPr>
    </w:lvl>
    <w:lvl w:ilvl="7">
      <w:start w:val="0"/>
      <w:numFmt w:val="bullet"/>
      <w:lvlText w:val="•"/>
      <w:lvlJc w:val="left"/>
      <w:pPr>
        <w:ind w:left="4018" w:hanging="252"/>
      </w:pPr>
      <w:rPr>
        <w:rFonts w:hint="default"/>
        <w:lang w:val="de-DE" w:eastAsia="en-US" w:bidi="ar-SA"/>
      </w:rPr>
    </w:lvl>
    <w:lvl w:ilvl="8">
      <w:start w:val="0"/>
      <w:numFmt w:val="bullet"/>
      <w:lvlText w:val="•"/>
      <w:lvlJc w:val="left"/>
      <w:pPr>
        <w:ind w:left="4541" w:hanging="252"/>
      </w:pPr>
      <w:rPr>
        <w:rFonts w:hint="default"/>
        <w:lang w:val="de-DE" w:eastAsia="en-US" w:bidi="ar-SA"/>
      </w:rPr>
    </w:lvl>
  </w:abstractNum>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2">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0"/>
      <w:numFmt w:val="bullet"/>
      <w:lvlText w:val=""/>
      <w:lvlJc w:val="left"/>
      <w:pPr>
        <w:ind w:left="413" w:hanging="308"/>
      </w:pPr>
      <w:rPr>
        <w:rFonts w:hint="default" w:ascii="Wingdings" w:hAnsi="Wingdings" w:eastAsia="Wingdings" w:cs="Wingdings"/>
        <w:b w:val="0"/>
        <w:bCs w:val="0"/>
        <w:i w:val="0"/>
        <w:iCs w:val="0"/>
        <w:w w:val="100"/>
        <w:sz w:val="22"/>
        <w:szCs w:val="22"/>
        <w:lang w:val="de-DE" w:eastAsia="en-US" w:bidi="ar-SA"/>
      </w:rPr>
    </w:lvl>
    <w:lvl w:ilvl="1">
      <w:start w:val="0"/>
      <w:numFmt w:val="bullet"/>
      <w:lvlText w:val="•"/>
      <w:lvlJc w:val="left"/>
      <w:pPr>
        <w:ind w:left="936" w:hanging="308"/>
      </w:pPr>
      <w:rPr>
        <w:rFonts w:hint="default"/>
        <w:lang w:val="de-DE" w:eastAsia="en-US" w:bidi="ar-SA"/>
      </w:rPr>
    </w:lvl>
    <w:lvl w:ilvl="2">
      <w:start w:val="0"/>
      <w:numFmt w:val="bullet"/>
      <w:lvlText w:val="•"/>
      <w:lvlJc w:val="left"/>
      <w:pPr>
        <w:ind w:left="1453" w:hanging="308"/>
      </w:pPr>
      <w:rPr>
        <w:rFonts w:hint="default"/>
        <w:lang w:val="de-DE" w:eastAsia="en-US" w:bidi="ar-SA"/>
      </w:rPr>
    </w:lvl>
    <w:lvl w:ilvl="3">
      <w:start w:val="0"/>
      <w:numFmt w:val="bullet"/>
      <w:lvlText w:val="•"/>
      <w:lvlJc w:val="left"/>
      <w:pPr>
        <w:ind w:left="1970" w:hanging="308"/>
      </w:pPr>
      <w:rPr>
        <w:rFonts w:hint="default"/>
        <w:lang w:val="de-DE" w:eastAsia="en-US" w:bidi="ar-SA"/>
      </w:rPr>
    </w:lvl>
    <w:lvl w:ilvl="4">
      <w:start w:val="0"/>
      <w:numFmt w:val="bullet"/>
      <w:lvlText w:val="•"/>
      <w:lvlJc w:val="left"/>
      <w:pPr>
        <w:ind w:left="2486" w:hanging="308"/>
      </w:pPr>
      <w:rPr>
        <w:rFonts w:hint="default"/>
        <w:lang w:val="de-DE" w:eastAsia="en-US" w:bidi="ar-SA"/>
      </w:rPr>
    </w:lvl>
    <w:lvl w:ilvl="5">
      <w:start w:val="0"/>
      <w:numFmt w:val="bullet"/>
      <w:lvlText w:val="•"/>
      <w:lvlJc w:val="left"/>
      <w:pPr>
        <w:ind w:left="3003" w:hanging="308"/>
      </w:pPr>
      <w:rPr>
        <w:rFonts w:hint="default"/>
        <w:lang w:val="de-DE" w:eastAsia="en-US" w:bidi="ar-SA"/>
      </w:rPr>
    </w:lvl>
    <w:lvl w:ilvl="6">
      <w:start w:val="0"/>
      <w:numFmt w:val="bullet"/>
      <w:lvlText w:val="•"/>
      <w:lvlJc w:val="left"/>
      <w:pPr>
        <w:ind w:left="3520" w:hanging="308"/>
      </w:pPr>
      <w:rPr>
        <w:rFonts w:hint="default"/>
        <w:lang w:val="de-DE" w:eastAsia="en-US" w:bidi="ar-SA"/>
      </w:rPr>
    </w:lvl>
    <w:lvl w:ilvl="7">
      <w:start w:val="0"/>
      <w:numFmt w:val="bullet"/>
      <w:lvlText w:val="•"/>
      <w:lvlJc w:val="left"/>
      <w:pPr>
        <w:ind w:left="4036" w:hanging="308"/>
      </w:pPr>
      <w:rPr>
        <w:rFonts w:hint="default"/>
        <w:lang w:val="de-DE" w:eastAsia="en-US" w:bidi="ar-SA"/>
      </w:rPr>
    </w:lvl>
    <w:lvl w:ilvl="8">
      <w:start w:val="0"/>
      <w:numFmt w:val="bullet"/>
      <w:lvlText w:val="•"/>
      <w:lvlJc w:val="left"/>
      <w:pPr>
        <w:ind w:left="4553" w:hanging="308"/>
      </w:pPr>
      <w:rPr>
        <w:rFonts w:hint="default"/>
        <w:lang w:val="de-DE" w:eastAsia="en-US" w:bidi="ar-SA"/>
      </w:rPr>
    </w:lvl>
  </w:abstractNum>
  <w:abstractNum w:abstractNumId="3">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1">
    <w:abstractNumId w:val="0"/>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spacing w:line="252" w:lineRule="exact"/>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espina.Vassiliadou@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2023-02-16T17:00:37Z</dcterms:created>
  <dcterms:modified xsi:type="dcterms:W3CDTF">2023-02-16T17:00:37Z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