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z w:val="24"/>
              </w:rPr>
              <w:t>SANTE</w:t>
            </w:r>
            <w:r>
              <w:rPr>
                <w:spacing w:val="-6"/>
                <w:sz w:val="24"/>
              </w:rPr>
              <w:t> </w:t>
            </w:r>
            <w:r>
              <w:rPr>
                <w:spacing w:val="-5"/>
                <w:sz w:val="24"/>
              </w:rPr>
              <w:t>C.2</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Maya</w:t>
            </w:r>
            <w:r>
              <w:rPr>
                <w:spacing w:val="-7"/>
                <w:sz w:val="24"/>
              </w:rPr>
              <w:t> </w:t>
            </w:r>
            <w:r>
              <w:rPr>
                <w:spacing w:val="-2"/>
                <w:sz w:val="24"/>
              </w:rPr>
              <w:t>MATTHEWS</w:t>
            </w:r>
          </w:p>
          <w:p>
            <w:pPr>
              <w:pStyle w:val="TableParagraph"/>
              <w:rPr>
                <w:sz w:val="24"/>
              </w:rPr>
            </w:pPr>
            <w:hyperlink r:id="rId7">
              <w:r>
                <w:rPr>
                  <w:spacing w:val="-2"/>
                  <w:sz w:val="24"/>
                </w:rPr>
                <w:t>Maya.matthews@ec.europa.eu</w:t>
              </w:r>
            </w:hyperlink>
          </w:p>
          <w:p>
            <w:pPr>
              <w:pStyle w:val="TableParagraph"/>
              <w:rPr>
                <w:sz w:val="24"/>
              </w:rPr>
            </w:pPr>
            <w:r>
              <w:rPr>
                <w:sz w:val="24"/>
              </w:rPr>
              <w:t>+32</w:t>
            </w:r>
            <w:r>
              <w:rPr>
                <w:spacing w:val="-1"/>
                <w:sz w:val="24"/>
              </w:rPr>
              <w:t> </w:t>
            </w:r>
            <w:r>
              <w:rPr>
                <w:sz w:val="24"/>
              </w:rPr>
              <w:t>2 296 40 </w:t>
            </w:r>
            <w:r>
              <w:rPr>
                <w:spacing w:val="-5"/>
                <w:sz w:val="24"/>
              </w:rPr>
              <w:t>97</w:t>
            </w:r>
          </w:p>
          <w:p>
            <w:pPr>
              <w:pStyle w:val="TableParagraph"/>
              <w:rPr>
                <w:sz w:val="24"/>
              </w:rPr>
            </w:pPr>
            <w:r>
              <w:rPr>
                <w:sz w:val="24"/>
              </w:rPr>
              <w:t>1</w:t>
            </w:r>
          </w:p>
          <w:p>
            <w:pPr>
              <w:pStyle w:val="TableParagraph"/>
              <w:spacing w:before="4"/>
              <w:rPr>
                <w:b/>
                <w:sz w:val="22"/>
              </w:rPr>
            </w:pPr>
            <w:r>
              <w:rPr>
                <w:b/>
                <w:sz w:val="22"/>
              </w:rPr>
              <w:t>1.</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1"/>
              <w:rPr>
                <w:b/>
                <w:sz w:val="22"/>
              </w:rPr>
            </w:pPr>
            <w:r>
              <w:rPr>
                <w:b/>
                <w:sz w:val="22"/>
              </w:rPr>
              <w:t>2 </w:t>
            </w:r>
            <w:r>
              <w:rPr>
                <w:b/>
                <w:spacing w:val="-2"/>
                <w:sz w:val="22"/>
              </w:rPr>
              <w:t>Jahr(e)</w:t>
            </w:r>
            <w:r>
              <w:rPr>
                <w:b/>
                <w:spacing w:val="-2"/>
                <w:sz w:val="22"/>
                <w:vertAlign w:val="superscript"/>
              </w:rPr>
              <w:t>1</w:t>
            </w:r>
          </w:p>
          <w:p>
            <w:pPr>
              <w:pStyle w:val="TableParagraph"/>
              <w:spacing w:before="8"/>
              <w:ind w:left="0"/>
              <w:rPr>
                <w:b/>
                <w:sz w:val="21"/>
              </w:rPr>
            </w:pPr>
          </w:p>
          <w:p>
            <w:pPr>
              <w:pStyle w:val="TableParagraph"/>
              <w:tabs>
                <w:tab w:pos="1522" w:val="left" w:leader="none"/>
              </w:tabs>
              <w:spacing w:line="238"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2"/>
                <w:sz w:val="22"/>
              </w:rPr>
              <w:t> </w:t>
            </w:r>
            <w:r>
              <w:rPr>
                <w:b/>
                <w:sz w:val="22"/>
              </w:rPr>
              <w:t>Mit</w:t>
            </w:r>
            <w:r>
              <w:rPr>
                <w:b/>
                <w:spacing w:val="-2"/>
                <w:sz w:val="22"/>
              </w:rPr>
              <w:t> </w:t>
            </w:r>
            <w:r>
              <w:rPr>
                <w:b/>
                <w:sz w:val="22"/>
              </w:rPr>
              <w:t>Vergütungen</w:t>
            </w:r>
            <w:r>
              <w:rPr>
                <w:b/>
                <w:spacing w:val="76"/>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rPr>
          <w:b/>
          <w:sz w:val="20"/>
        </w:rPr>
      </w:pPr>
    </w:p>
    <w:p>
      <w:pPr>
        <w:pStyle w:val="BodyText"/>
        <w:spacing w:before="6"/>
        <w:rPr>
          <w:b/>
          <w:sz w:val="17"/>
        </w:rPr>
      </w:pPr>
    </w:p>
    <w:p>
      <w:pPr>
        <w:pStyle w:val="BodyText"/>
        <w:spacing w:before="91"/>
        <w:ind w:left="372" w:right="109"/>
        <w:jc w:val="both"/>
      </w:pPr>
      <w:r>
        <w:rPr/>
        <w:t>Der/die abgeordnete nationale Sachverständige (ANS) wird die Durchführung der Verordnung (EU) 2021/2282 über die Bewertung von Gesundheitstechnologien (Health Technology Assessment Regulation; HTAR) fachlich unterstützen, insbesondere indem er/sie das Sekretariat der Koordinierungsgruppe der Mitgliedstaaten zur Bewertung von Gesundheitstechnologien (HTA-CG) verstärkt, das bei der Europäischen Kommission angesiedelt ist und von ihr verwaltet wird.</w:t>
      </w:r>
    </w:p>
    <w:p>
      <w:pPr>
        <w:pStyle w:val="BodyText"/>
        <w:spacing w:before="10"/>
        <w:rPr>
          <w:sz w:val="21"/>
        </w:rPr>
      </w:pPr>
    </w:p>
    <w:p>
      <w:pPr>
        <w:pStyle w:val="BodyText"/>
        <w:spacing w:before="1"/>
        <w:ind w:left="372"/>
        <w:jc w:val="both"/>
      </w:pPr>
      <w:r>
        <w:rPr/>
        <w:t>Die</w:t>
      </w:r>
      <w:r>
        <w:rPr>
          <w:spacing w:val="-3"/>
        </w:rPr>
        <w:t> </w:t>
      </w:r>
      <w:r>
        <w:rPr/>
        <w:t>Aufgaben</w:t>
      </w:r>
      <w:r>
        <w:rPr>
          <w:spacing w:val="-5"/>
        </w:rPr>
        <w:t> </w:t>
      </w:r>
      <w:r>
        <w:rPr/>
        <w:t>im</w:t>
      </w:r>
      <w:r>
        <w:rPr>
          <w:spacing w:val="-7"/>
        </w:rPr>
        <w:t> </w:t>
      </w:r>
      <w:r>
        <w:rPr/>
        <w:t>Einzelnen</w:t>
      </w:r>
      <w:r>
        <w:rPr>
          <w:spacing w:val="-2"/>
        </w:rPr>
        <w:t> </w:t>
      </w:r>
      <w:r>
        <w:rPr/>
        <w:t>umfassen</w:t>
      </w:r>
      <w:r>
        <w:rPr>
          <w:spacing w:val="-2"/>
        </w:rPr>
        <w:t> Folgendes:</w:t>
      </w:r>
    </w:p>
    <w:p>
      <w:pPr>
        <w:pStyle w:val="BodyText"/>
        <w:spacing w:before="1"/>
      </w:pPr>
    </w:p>
    <w:p>
      <w:pPr>
        <w:pStyle w:val="ListParagraph"/>
        <w:numPr>
          <w:ilvl w:val="1"/>
          <w:numId w:val="2"/>
        </w:numPr>
        <w:tabs>
          <w:tab w:pos="1093" w:val="left" w:leader="none"/>
        </w:tabs>
        <w:spacing w:line="240" w:lineRule="auto" w:before="0" w:after="0"/>
        <w:ind w:left="1092" w:right="105" w:hanging="361"/>
        <w:jc w:val="both"/>
        <w:rPr>
          <w:sz w:val="22"/>
        </w:rPr>
      </w:pPr>
      <w:r>
        <w:rPr>
          <w:sz w:val="22"/>
        </w:rPr>
        <w:t>Koordinierung der Arbeit einer oder mehrerer HTAR-Untergruppen (Untergruppe für gemeinsame klinische Bewertungen, Untergruppe für gemeinsame wissenschaftliche Beratungen, Untergruppe zur Ermittlung neu entstehender Gesundheitstechnologien, Untergruppe zur Entwicklung methodischer und verfahrenstechnischer Leitfäden), einschließlich der Unterstützung der Arbeit des Vorsitzes und des stellvertretenden Vorsitzes und der für die Texterstellung zuständigen Personen, sowie Vorbereitung der Annahme dieser Dokumente durch die HTA-CG</w:t>
      </w:r>
    </w:p>
    <w:p>
      <w:pPr>
        <w:pStyle w:val="ListParagraph"/>
        <w:numPr>
          <w:ilvl w:val="1"/>
          <w:numId w:val="2"/>
        </w:numPr>
        <w:tabs>
          <w:tab w:pos="1093" w:val="left" w:leader="none"/>
        </w:tabs>
        <w:spacing w:line="269" w:lineRule="exact" w:before="0" w:after="0"/>
        <w:ind w:left="1092" w:right="0" w:hanging="361"/>
        <w:jc w:val="both"/>
        <w:rPr>
          <w:sz w:val="22"/>
        </w:rPr>
      </w:pPr>
      <w:r>
        <w:rPr>
          <w:sz w:val="22"/>
        </w:rPr>
        <w:t>Organisation</w:t>
      </w:r>
      <w:r>
        <w:rPr>
          <w:spacing w:val="-8"/>
          <w:sz w:val="22"/>
        </w:rPr>
        <w:t> </w:t>
      </w:r>
      <w:r>
        <w:rPr>
          <w:sz w:val="22"/>
        </w:rPr>
        <w:t>der</w:t>
      </w:r>
      <w:r>
        <w:rPr>
          <w:spacing w:val="-4"/>
          <w:sz w:val="22"/>
        </w:rPr>
        <w:t> </w:t>
      </w:r>
      <w:r>
        <w:rPr>
          <w:sz w:val="22"/>
        </w:rPr>
        <w:t>Sitzungen</w:t>
      </w:r>
      <w:r>
        <w:rPr>
          <w:spacing w:val="-3"/>
          <w:sz w:val="22"/>
        </w:rPr>
        <w:t> </w:t>
      </w:r>
      <w:r>
        <w:rPr>
          <w:sz w:val="22"/>
        </w:rPr>
        <w:t>der</w:t>
      </w:r>
      <w:r>
        <w:rPr>
          <w:spacing w:val="-3"/>
          <w:sz w:val="22"/>
        </w:rPr>
        <w:t> </w:t>
      </w:r>
      <w:r>
        <w:rPr>
          <w:sz w:val="22"/>
        </w:rPr>
        <w:t>HTA-CG</w:t>
      </w:r>
      <w:r>
        <w:rPr>
          <w:spacing w:val="-4"/>
          <w:sz w:val="22"/>
        </w:rPr>
        <w:t> </w:t>
      </w:r>
      <w:r>
        <w:rPr>
          <w:sz w:val="22"/>
        </w:rPr>
        <w:t>und</w:t>
      </w:r>
      <w:r>
        <w:rPr>
          <w:spacing w:val="-3"/>
          <w:sz w:val="22"/>
        </w:rPr>
        <w:t> </w:t>
      </w:r>
      <w:r>
        <w:rPr>
          <w:sz w:val="22"/>
        </w:rPr>
        <w:t>ihrer</w:t>
      </w:r>
      <w:r>
        <w:rPr>
          <w:spacing w:val="-3"/>
          <w:sz w:val="22"/>
        </w:rPr>
        <w:t> </w:t>
      </w:r>
      <w:r>
        <w:rPr>
          <w:sz w:val="22"/>
        </w:rPr>
        <w:t>Untergruppen</w:t>
      </w:r>
      <w:r>
        <w:rPr>
          <w:spacing w:val="-3"/>
          <w:sz w:val="22"/>
        </w:rPr>
        <w:t> </w:t>
      </w:r>
      <w:r>
        <w:rPr>
          <w:sz w:val="22"/>
        </w:rPr>
        <w:t>und</w:t>
      </w:r>
      <w:r>
        <w:rPr>
          <w:spacing w:val="-8"/>
          <w:sz w:val="22"/>
        </w:rPr>
        <w:t> </w:t>
      </w:r>
      <w:r>
        <w:rPr>
          <w:sz w:val="22"/>
        </w:rPr>
        <w:t>Teilnahme</w:t>
      </w:r>
      <w:r>
        <w:rPr>
          <w:spacing w:val="-3"/>
          <w:sz w:val="22"/>
        </w:rPr>
        <w:t> </w:t>
      </w:r>
      <w:r>
        <w:rPr>
          <w:sz w:val="22"/>
        </w:rPr>
        <w:t>an</w:t>
      </w:r>
      <w:r>
        <w:rPr>
          <w:spacing w:val="-3"/>
          <w:sz w:val="22"/>
        </w:rPr>
        <w:t> </w:t>
      </w:r>
      <w:r>
        <w:rPr>
          <w:sz w:val="22"/>
        </w:rPr>
        <w:t>den</w:t>
      </w:r>
      <w:r>
        <w:rPr>
          <w:spacing w:val="-2"/>
          <w:sz w:val="22"/>
        </w:rPr>
        <w:t> Sitzungen</w:t>
      </w:r>
    </w:p>
    <w:p>
      <w:pPr>
        <w:pStyle w:val="ListParagraph"/>
        <w:numPr>
          <w:ilvl w:val="1"/>
          <w:numId w:val="2"/>
        </w:numPr>
        <w:tabs>
          <w:tab w:pos="1093" w:val="left" w:leader="none"/>
        </w:tabs>
        <w:spacing w:line="269" w:lineRule="exact" w:before="0" w:after="0"/>
        <w:ind w:left="1092" w:right="0" w:hanging="361"/>
        <w:jc w:val="both"/>
        <w:rPr>
          <w:sz w:val="22"/>
        </w:rPr>
      </w:pPr>
      <w:r>
        <w:rPr>
          <w:sz w:val="22"/>
        </w:rPr>
        <w:t>Unterstützung</w:t>
      </w:r>
      <w:r>
        <w:rPr>
          <w:spacing w:val="-10"/>
          <w:sz w:val="22"/>
        </w:rPr>
        <w:t> </w:t>
      </w:r>
      <w:r>
        <w:rPr>
          <w:sz w:val="22"/>
        </w:rPr>
        <w:t>der</w:t>
      </w:r>
      <w:r>
        <w:rPr>
          <w:spacing w:val="-6"/>
          <w:sz w:val="22"/>
        </w:rPr>
        <w:t> </w:t>
      </w:r>
      <w:r>
        <w:rPr>
          <w:sz w:val="22"/>
        </w:rPr>
        <w:t>Koordinierung</w:t>
      </w:r>
      <w:r>
        <w:rPr>
          <w:spacing w:val="-7"/>
          <w:sz w:val="22"/>
        </w:rPr>
        <w:t> </w:t>
      </w:r>
      <w:r>
        <w:rPr>
          <w:sz w:val="22"/>
        </w:rPr>
        <w:t>und</w:t>
      </w:r>
      <w:r>
        <w:rPr>
          <w:spacing w:val="-5"/>
          <w:sz w:val="22"/>
        </w:rPr>
        <w:t> </w:t>
      </w:r>
      <w:r>
        <w:rPr>
          <w:sz w:val="22"/>
        </w:rPr>
        <w:t>der</w:t>
      </w:r>
      <w:r>
        <w:rPr>
          <w:spacing w:val="-6"/>
          <w:sz w:val="22"/>
        </w:rPr>
        <w:t> </w:t>
      </w:r>
      <w:r>
        <w:rPr>
          <w:sz w:val="22"/>
        </w:rPr>
        <w:t>Kommunikation</w:t>
      </w:r>
      <w:r>
        <w:rPr>
          <w:spacing w:val="-4"/>
          <w:sz w:val="22"/>
        </w:rPr>
        <w:t> </w:t>
      </w:r>
      <w:r>
        <w:rPr>
          <w:sz w:val="22"/>
        </w:rPr>
        <w:t>zwischen</w:t>
      </w:r>
      <w:r>
        <w:rPr>
          <w:spacing w:val="-5"/>
          <w:sz w:val="22"/>
        </w:rPr>
        <w:t> </w:t>
      </w:r>
      <w:r>
        <w:rPr>
          <w:sz w:val="22"/>
        </w:rPr>
        <w:t>den</w:t>
      </w:r>
      <w:r>
        <w:rPr>
          <w:spacing w:val="-4"/>
          <w:sz w:val="22"/>
        </w:rPr>
        <w:t> </w:t>
      </w:r>
      <w:r>
        <w:rPr>
          <w:sz w:val="22"/>
        </w:rPr>
        <w:t>verschiedenen</w:t>
      </w:r>
      <w:r>
        <w:rPr>
          <w:spacing w:val="-4"/>
          <w:sz w:val="22"/>
        </w:rPr>
        <w:t> </w:t>
      </w:r>
      <w:r>
        <w:rPr>
          <w:spacing w:val="-2"/>
          <w:sz w:val="22"/>
        </w:rPr>
        <w:t>Untergruppen</w:t>
      </w:r>
    </w:p>
    <w:p>
      <w:pPr>
        <w:pStyle w:val="ListParagraph"/>
        <w:numPr>
          <w:ilvl w:val="1"/>
          <w:numId w:val="2"/>
        </w:numPr>
        <w:tabs>
          <w:tab w:pos="1093" w:val="left" w:leader="none"/>
        </w:tabs>
        <w:spacing w:line="240" w:lineRule="auto" w:before="0" w:after="0"/>
        <w:ind w:left="1092" w:right="108" w:hanging="361"/>
        <w:jc w:val="both"/>
        <w:rPr>
          <w:sz w:val="22"/>
        </w:rPr>
      </w:pPr>
      <w:r>
        <w:rPr>
          <w:sz w:val="22"/>
        </w:rPr>
        <w:t>Gewährleistung</w:t>
      </w:r>
      <w:r>
        <w:rPr>
          <w:spacing w:val="-1"/>
          <w:sz w:val="22"/>
        </w:rPr>
        <w:t> </w:t>
      </w:r>
      <w:r>
        <w:rPr>
          <w:sz w:val="22"/>
        </w:rPr>
        <w:t>der angemessenen Einbeziehung</w:t>
      </w:r>
      <w:r>
        <w:rPr>
          <w:spacing w:val="-1"/>
          <w:sz w:val="22"/>
        </w:rPr>
        <w:t> </w:t>
      </w:r>
      <w:r>
        <w:rPr>
          <w:sz w:val="22"/>
        </w:rPr>
        <w:t>von Interessenträgern und Sachverständigen in die Arbeit der Untergruppen</w:t>
      </w:r>
    </w:p>
    <w:p>
      <w:pPr>
        <w:pStyle w:val="ListParagraph"/>
        <w:numPr>
          <w:ilvl w:val="1"/>
          <w:numId w:val="2"/>
        </w:numPr>
        <w:tabs>
          <w:tab w:pos="1093" w:val="left" w:leader="none"/>
        </w:tabs>
        <w:spacing w:line="240" w:lineRule="auto" w:before="0" w:after="0"/>
        <w:ind w:left="1092" w:right="0" w:hanging="361"/>
        <w:jc w:val="both"/>
        <w:rPr>
          <w:sz w:val="22"/>
        </w:rPr>
      </w:pPr>
      <w:r>
        <w:rPr>
          <w:sz w:val="22"/>
        </w:rPr>
        <w:t>Teilnahme</w:t>
      </w:r>
      <w:r>
        <w:rPr>
          <w:spacing w:val="-4"/>
          <w:sz w:val="22"/>
        </w:rPr>
        <w:t> </w:t>
      </w:r>
      <w:r>
        <w:rPr>
          <w:sz w:val="22"/>
        </w:rPr>
        <w:t>an</w:t>
      </w:r>
      <w:r>
        <w:rPr>
          <w:spacing w:val="-4"/>
          <w:sz w:val="22"/>
        </w:rPr>
        <w:t> </w:t>
      </w:r>
      <w:r>
        <w:rPr>
          <w:sz w:val="22"/>
        </w:rPr>
        <w:t>Informations-</w:t>
      </w:r>
      <w:r>
        <w:rPr>
          <w:spacing w:val="-7"/>
          <w:sz w:val="22"/>
        </w:rPr>
        <w:t> </w:t>
      </w:r>
      <w:r>
        <w:rPr>
          <w:sz w:val="22"/>
        </w:rPr>
        <w:t>und</w:t>
      </w:r>
      <w:r>
        <w:rPr>
          <w:spacing w:val="-3"/>
          <w:sz w:val="22"/>
        </w:rPr>
        <w:t> </w:t>
      </w:r>
      <w:r>
        <w:rPr>
          <w:spacing w:val="-2"/>
          <w:sz w:val="22"/>
        </w:rPr>
        <w:t>Sensibilisierungsmaßnahmen</w:t>
      </w:r>
    </w:p>
    <w:p>
      <w:pPr>
        <w:pStyle w:val="BodyText"/>
        <w:rPr>
          <w:sz w:val="20"/>
        </w:rPr>
      </w:pPr>
    </w:p>
    <w:p>
      <w:pPr>
        <w:pStyle w:val="BodyText"/>
        <w:rPr>
          <w:sz w:val="20"/>
        </w:rPr>
      </w:pPr>
    </w:p>
    <w:p>
      <w:pPr>
        <w:pStyle w:val="BodyText"/>
        <w:spacing w:before="10"/>
        <w:rPr>
          <w:sz w:val="15"/>
        </w:rPr>
      </w:pPr>
      <w:r>
        <w:rPr/>
        <w:pict>
          <v:rect style="position:absolute;margin-left:42.599998pt;margin-top:10.371502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3" w:val="left" w:leader="none"/>
        </w:tabs>
        <w:spacing w:line="240" w:lineRule="auto" w:before="89" w:after="0"/>
        <w:ind w:left="1092" w:right="109" w:hanging="361"/>
        <w:jc w:val="both"/>
        <w:rPr>
          <w:sz w:val="22"/>
        </w:rPr>
      </w:pPr>
      <w:r>
        <w:rPr>
          <w:sz w:val="22"/>
        </w:rPr>
        <w:t>Pflege von Kontakten zu nationalen Behörden, Interessenträgern, Agenturen, anderen Kommissionsdienststellen usw.</w:t>
      </w:r>
    </w:p>
    <w:p>
      <w:pPr>
        <w:pStyle w:val="ListParagraph"/>
        <w:numPr>
          <w:ilvl w:val="1"/>
          <w:numId w:val="2"/>
        </w:numPr>
        <w:tabs>
          <w:tab w:pos="1093" w:val="left" w:leader="none"/>
        </w:tabs>
        <w:spacing w:line="240" w:lineRule="auto" w:before="1" w:after="0"/>
        <w:ind w:left="1092" w:right="111" w:hanging="361"/>
        <w:jc w:val="both"/>
        <w:rPr>
          <w:sz w:val="22"/>
        </w:rPr>
      </w:pPr>
      <w:r>
        <w:rPr>
          <w:sz w:val="22"/>
        </w:rPr>
        <w:t>Vorbereiten und Erstellen von Briefings, Reden und Vermerken im Bereich der Bewertung von Gesundheitstechnologien auf der Grundlage von Analysen und Fachkenntnissen im HTA-Bereich</w:t>
      </w:r>
    </w:p>
    <w:p>
      <w:pPr>
        <w:pStyle w:val="ListParagraph"/>
        <w:numPr>
          <w:ilvl w:val="1"/>
          <w:numId w:val="2"/>
        </w:numPr>
        <w:tabs>
          <w:tab w:pos="1093" w:val="left" w:leader="none"/>
        </w:tabs>
        <w:spacing w:line="240" w:lineRule="auto" w:before="0" w:after="0"/>
        <w:ind w:left="1092" w:right="101" w:hanging="361"/>
        <w:jc w:val="both"/>
        <w:rPr>
          <w:sz w:val="22"/>
        </w:rPr>
      </w:pPr>
      <w:r>
        <w:rPr>
          <w:sz w:val="22"/>
        </w:rPr>
        <w:t>Nachverfolgung politischer Vorschläge des Europäischen Parlaments und/oder seiner Ausschüsse, des Rates der Europäischen Union, des AStV und/oder seiner Arbeitsgruppen</w:t>
      </w:r>
    </w:p>
    <w:p>
      <w:pPr>
        <w:pStyle w:val="ListParagraph"/>
        <w:numPr>
          <w:ilvl w:val="1"/>
          <w:numId w:val="2"/>
        </w:numPr>
        <w:tabs>
          <w:tab w:pos="1093" w:val="left" w:leader="none"/>
        </w:tabs>
        <w:spacing w:line="240" w:lineRule="auto" w:before="0" w:after="0"/>
        <w:ind w:left="1092" w:right="113" w:hanging="361"/>
        <w:jc w:val="both"/>
        <w:rPr>
          <w:sz w:val="22"/>
        </w:rPr>
      </w:pPr>
      <w:r>
        <w:rPr>
          <w:sz w:val="22"/>
        </w:rPr>
        <w:t>Bearbeiten und Verfassen von Antworten auf mündliche und schriftliche Anfragen von Mitgliedern des Europäischen Parlaments sowie auf Eingaben aus der Öffentlichkeit</w:t>
      </w:r>
    </w:p>
    <w:p>
      <w:pPr>
        <w:pStyle w:val="ListParagraph"/>
        <w:numPr>
          <w:ilvl w:val="1"/>
          <w:numId w:val="2"/>
        </w:numPr>
        <w:tabs>
          <w:tab w:pos="1093" w:val="left" w:leader="none"/>
        </w:tabs>
        <w:spacing w:line="240" w:lineRule="auto" w:before="0" w:after="0"/>
        <w:ind w:left="1092" w:right="111" w:hanging="361"/>
        <w:jc w:val="both"/>
        <w:rPr>
          <w:sz w:val="22"/>
        </w:rPr>
      </w:pPr>
      <w:r>
        <w:rPr>
          <w:sz w:val="22"/>
        </w:rPr>
        <w:t>Einbringen in die Arbeit des Referats im weiteren Sinne, einschließlich Mitwirkung an der Beantwortung von Anfragen von Vorgesetzten und an der Gewährleistung von Kohärenz und Priorisierung der Aufgaben sowie Unterstützung und Vertretung von Kolleginnen und Kollegen</w:t>
      </w:r>
    </w:p>
    <w:p>
      <w:pPr>
        <w:pStyle w:val="BodyText"/>
        <w:spacing w:before="6"/>
        <w:rPr>
          <w:sz w:val="21"/>
        </w:rPr>
      </w:pPr>
    </w:p>
    <w:p>
      <w:pPr>
        <w:pStyle w:val="BodyText"/>
        <w:spacing w:before="1"/>
        <w:ind w:left="372" w:right="108"/>
        <w:jc w:val="both"/>
      </w:pPr>
      <w:r>
        <w:rPr/>
        <w:t>Der/die ANS wird im Referat C2 als Mitglied des HTA-Teams der GD SANTE tätig sein, und zwar in Synergie</w:t>
      </w:r>
      <w:r>
        <w:rPr>
          <w:spacing w:val="40"/>
        </w:rPr>
        <w:t> </w:t>
      </w:r>
      <w:r>
        <w:rPr/>
        <w:t>und enger Zusammenarbeit mit den Kolleginnen und Kollegen und allen an der Umsetzung der HTAR beteiligten </w:t>
      </w:r>
      <w:r>
        <w:rPr>
          <w:spacing w:val="-2"/>
        </w:rPr>
        <w:t>Parteien.</w:t>
      </w:r>
    </w:p>
    <w:p>
      <w:pPr>
        <w:pStyle w:val="BodyText"/>
        <w:spacing w:before="1"/>
      </w:pPr>
    </w:p>
    <w:p>
      <w:pPr>
        <w:pStyle w:val="BodyText"/>
        <w:ind w:left="372" w:right="107"/>
        <w:jc w:val="both"/>
      </w:pPr>
      <w:r>
        <w:rPr/>
        <w:t>Der/die ANS arbeitet unter der Aufsicht eines AD-Beamten/einer AD-Beamtin. Unbeschadet des Grundsatzes der loyalen Zusammenarbeit zwischen nationalen, regionalen und europäischen bzw. EFTA/EWR-Verwaltungen wird der/die ANS nicht in einzelnen Rechtsfällen im Zusammenhang mit Dossiers tätig, mit denen er/sie in den zwei Jahren vor Aufnahme der Tätigkeit bei der</w:t>
      </w:r>
      <w:r>
        <w:rPr>
          <w:spacing w:val="-1"/>
        </w:rPr>
        <w:t> </w:t>
      </w:r>
      <w:r>
        <w:rPr/>
        <w:t>Kommission bei seiner/ihrer nationalen Verwaltung</w:t>
      </w:r>
      <w:r>
        <w:rPr>
          <w:spacing w:val="-3"/>
        </w:rPr>
        <w:t> </w:t>
      </w:r>
      <w:r>
        <w:rPr/>
        <w:t>befasst war, oder in unmittelbar</w:t>
      </w:r>
      <w:r>
        <w:rPr>
          <w:spacing w:val="-1"/>
        </w:rPr>
        <w:t> </w:t>
      </w:r>
      <w:r>
        <w:rPr/>
        <w:t>damit</w:t>
      </w:r>
      <w:r>
        <w:rPr>
          <w:spacing w:val="-1"/>
        </w:rPr>
        <w:t> </w:t>
      </w:r>
      <w:r>
        <w:rPr/>
        <w:t>zusammenhängenden</w:t>
      </w:r>
      <w:r>
        <w:rPr>
          <w:spacing w:val="-2"/>
        </w:rPr>
        <w:t> </w:t>
      </w:r>
      <w:r>
        <w:rPr/>
        <w:t>Fällen.</w:t>
      </w:r>
      <w:r>
        <w:rPr>
          <w:spacing w:val="-2"/>
        </w:rPr>
        <w:t> </w:t>
      </w:r>
      <w:r>
        <w:rPr/>
        <w:t>Auf</w:t>
      </w:r>
      <w:r>
        <w:rPr>
          <w:spacing w:val="-2"/>
        </w:rPr>
        <w:t> </w:t>
      </w:r>
      <w:r>
        <w:rPr/>
        <w:t>keinen</w:t>
      </w:r>
      <w:r>
        <w:rPr>
          <w:spacing w:val="-2"/>
        </w:rPr>
        <w:t> </w:t>
      </w:r>
      <w:r>
        <w:rPr/>
        <w:t>Fall</w:t>
      </w:r>
      <w:r>
        <w:rPr>
          <w:spacing w:val="-1"/>
        </w:rPr>
        <w:t> </w:t>
      </w:r>
      <w:r>
        <w:rPr/>
        <w:t>wird</w:t>
      </w:r>
      <w:r>
        <w:rPr>
          <w:spacing w:val="-2"/>
        </w:rPr>
        <w:t> </w:t>
      </w:r>
      <w:r>
        <w:rPr/>
        <w:t>er/sie</w:t>
      </w:r>
      <w:r>
        <w:rPr>
          <w:spacing w:val="-2"/>
        </w:rPr>
        <w:t> </w:t>
      </w:r>
      <w:r>
        <w:rPr/>
        <w:t>die</w:t>
      </w:r>
      <w:r>
        <w:rPr>
          <w:spacing w:val="-4"/>
        </w:rPr>
        <w:t> </w:t>
      </w:r>
      <w:r>
        <w:rPr/>
        <w:t>Kommission</w:t>
      </w:r>
      <w:r>
        <w:rPr>
          <w:spacing w:val="-2"/>
        </w:rPr>
        <w:t> </w:t>
      </w:r>
      <w:r>
        <w:rPr/>
        <w:t>mit</w:t>
      </w:r>
      <w:r>
        <w:rPr>
          <w:spacing w:val="-1"/>
        </w:rPr>
        <w:t> </w:t>
      </w:r>
      <w:r>
        <w:rPr/>
        <w:t>dem</w:t>
      </w:r>
      <w:r>
        <w:rPr>
          <w:spacing w:val="-3"/>
        </w:rPr>
        <w:t> </w:t>
      </w:r>
      <w:r>
        <w:rPr/>
        <w:t>Ziel</w:t>
      </w:r>
      <w:r>
        <w:rPr>
          <w:spacing w:val="-1"/>
        </w:rPr>
        <w:t> </w:t>
      </w:r>
      <w:r>
        <w:rPr/>
        <w:t>vertreten, in ihrem Namen Verpflichtungen (finanzieller oder anderer Art) einzugehen oder Verhandlungen zu führen.</w:t>
      </w:r>
    </w:p>
    <w:p>
      <w:pPr>
        <w:pStyle w:val="BodyText"/>
        <w:rPr>
          <w:sz w:val="24"/>
        </w:rPr>
      </w:pPr>
    </w:p>
    <w:p>
      <w:pPr>
        <w:pStyle w:val="BodyText"/>
        <w:spacing w:before="5"/>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9"/>
        <w:rPr>
          <w:sz w:val="21"/>
        </w:rPr>
      </w:pPr>
    </w:p>
    <w:p>
      <w:pPr>
        <w:pStyle w:val="BodyText"/>
        <w:tabs>
          <w:tab w:pos="1675" w:val="left" w:leader="none"/>
          <w:tab w:pos="2678" w:val="left" w:leader="none"/>
          <w:tab w:pos="5406" w:val="left" w:leader="none"/>
          <w:tab w:pos="6447" w:val="left" w:leader="none"/>
          <w:tab w:pos="7655" w:val="left" w:leader="none"/>
          <w:tab w:pos="8965" w:val="left" w:leader="none"/>
          <w:tab w:pos="10184" w:val="left" w:leader="none"/>
        </w:tabs>
        <w:ind w:left="1080" w:right="171" w:firstLine="110"/>
      </w:pPr>
      <w:r>
        <w:rPr>
          <w:spacing w:val="-6"/>
        </w:rPr>
        <w:t>im</w:t>
      </w:r>
      <w:r>
        <w:rPr/>
        <w:tab/>
      </w:r>
      <w:r>
        <w:rPr>
          <w:spacing w:val="-2"/>
        </w:rPr>
        <w:t>Bereich:</w:t>
      </w:r>
      <w:r>
        <w:rPr/>
        <w:tab/>
      </w:r>
      <w:r>
        <w:rPr>
          <w:spacing w:val="-2"/>
        </w:rPr>
        <w:t>Gesundheitswissenschaften,</w:t>
      </w:r>
      <w:r>
        <w:rPr/>
        <w:tab/>
      </w:r>
      <w:r>
        <w:rPr>
          <w:spacing w:val="-2"/>
        </w:rPr>
        <w:t>Medizin,</w:t>
      </w:r>
      <w:r>
        <w:rPr/>
        <w:tab/>
      </w:r>
      <w:r>
        <w:rPr>
          <w:spacing w:val="-2"/>
        </w:rPr>
        <w:t>öffentliche</w:t>
      </w:r>
      <w:r>
        <w:rPr/>
        <w:tab/>
      </w:r>
      <w:r>
        <w:rPr>
          <w:spacing w:val="-2"/>
        </w:rPr>
        <w:t>Gesundheit,</w:t>
      </w:r>
      <w:r>
        <w:rPr/>
        <w:tab/>
      </w:r>
      <w:r>
        <w:rPr>
          <w:spacing w:val="-2"/>
        </w:rPr>
        <w:t>Bewertung</w:t>
      </w:r>
      <w:r>
        <w:rPr/>
        <w:tab/>
      </w:r>
      <w:r>
        <w:rPr>
          <w:spacing w:val="-4"/>
        </w:rPr>
        <w:t>von </w:t>
      </w:r>
      <w:r>
        <w:rPr/>
        <w:t>Gesundheitstechnologien, Pharmakoökonomie oder sonstige für die Stelle relevante Bereiche</w:t>
      </w:r>
    </w:p>
    <w:p>
      <w:pPr>
        <w:spacing w:after="0"/>
        <w:sectPr>
          <w:pgSz w:w="11910" w:h="16840"/>
          <w:pgMar w:header="0" w:footer="690" w:top="1020" w:bottom="880" w:left="480" w:right="740"/>
        </w:sectPr>
      </w:pPr>
    </w:p>
    <w:p>
      <w:pPr>
        <w:pStyle w:val="BodyText"/>
        <w:spacing w:before="62"/>
        <w:ind w:left="1080"/>
      </w:pPr>
      <w:r>
        <w:rPr>
          <w:spacing w:val="-2"/>
          <w:u w:val="single"/>
        </w:rPr>
        <w:t>Berufserfahrung</w:t>
      </w:r>
    </w:p>
    <w:p>
      <w:pPr>
        <w:pStyle w:val="BodyText"/>
        <w:spacing w:before="2"/>
        <w:rPr>
          <w:sz w:val="14"/>
        </w:rPr>
      </w:pPr>
    </w:p>
    <w:p>
      <w:pPr>
        <w:pStyle w:val="BodyText"/>
        <w:spacing w:before="91"/>
        <w:ind w:left="1080"/>
      </w:pPr>
      <w:r>
        <w:rPr/>
        <w:t>Mindestens</w:t>
      </w:r>
      <w:r>
        <w:rPr>
          <w:spacing w:val="40"/>
        </w:rPr>
        <w:t> </w:t>
      </w:r>
      <w:r>
        <w:rPr/>
        <w:t>zwei</w:t>
      </w:r>
      <w:r>
        <w:rPr>
          <w:spacing w:val="40"/>
        </w:rPr>
        <w:t> </w:t>
      </w:r>
      <w:r>
        <w:rPr/>
        <w:t>Jahre</w:t>
      </w:r>
      <w:r>
        <w:rPr>
          <w:spacing w:val="40"/>
        </w:rPr>
        <w:t> </w:t>
      </w:r>
      <w:r>
        <w:rPr/>
        <w:t>in</w:t>
      </w:r>
      <w:r>
        <w:rPr>
          <w:spacing w:val="40"/>
        </w:rPr>
        <w:t> </w:t>
      </w:r>
      <w:r>
        <w:rPr/>
        <w:t>den</w:t>
      </w:r>
      <w:r>
        <w:rPr>
          <w:spacing w:val="40"/>
        </w:rPr>
        <w:t> </w:t>
      </w:r>
      <w:r>
        <w:rPr/>
        <w:t>Bereichen</w:t>
      </w:r>
      <w:r>
        <w:rPr>
          <w:spacing w:val="40"/>
        </w:rPr>
        <w:t> </w:t>
      </w:r>
      <w:r>
        <w:rPr/>
        <w:t>Bewertung</w:t>
      </w:r>
      <w:r>
        <w:rPr>
          <w:spacing w:val="40"/>
        </w:rPr>
        <w:t> </w:t>
      </w:r>
      <w:r>
        <w:rPr/>
        <w:t>von</w:t>
      </w:r>
      <w:r>
        <w:rPr>
          <w:spacing w:val="40"/>
        </w:rPr>
        <w:t> </w:t>
      </w:r>
      <w:r>
        <w:rPr/>
        <w:t>Gesundheitstechnologien</w:t>
      </w:r>
      <w:r>
        <w:rPr>
          <w:spacing w:val="40"/>
        </w:rPr>
        <w:t> </w:t>
      </w:r>
      <w:r>
        <w:rPr/>
        <w:t>(bevorzugt)</w:t>
      </w:r>
      <w:r>
        <w:rPr>
          <w:spacing w:val="40"/>
        </w:rPr>
        <w:t> </w:t>
      </w:r>
      <w:r>
        <w:rPr/>
        <w:t>oder</w:t>
      </w:r>
      <w:r>
        <w:rPr>
          <w:spacing w:val="40"/>
        </w:rPr>
        <w:t> </w:t>
      </w:r>
      <w:r>
        <w:rPr>
          <w:spacing w:val="-2"/>
        </w:rPr>
        <w:t>Gesundheitswissenschaften.</w:t>
      </w:r>
    </w:p>
    <w:p>
      <w:pPr>
        <w:pStyle w:val="BodyText"/>
        <w:spacing w:before="11"/>
        <w:rPr>
          <w:sz w:val="21"/>
        </w:rPr>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1080"/>
      </w:pPr>
      <w:r>
        <w:rPr/>
        <w:t>Gute Englischkenntnisse sind unerlässlich, da dies die Hauptarbeitssprache ist. Kenntnisse in anderen EU- Sprachen wären von Vorteil.</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7"/>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spacing w:after="0"/>
        <w:jc w:val="both"/>
        <w:sectPr>
          <w:pgSz w:w="11910" w:h="16840"/>
          <w:pgMar w:header="0" w:footer="690" w:top="1300" w:bottom="880" w:left="480" w:right="740"/>
        </w:sectPr>
      </w:pPr>
    </w:p>
    <w:p>
      <w:pPr>
        <w:pStyle w:val="BodyText"/>
        <w:spacing w:before="68"/>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 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
        <w:rPr>
          <w:sz w:val="14"/>
        </w:rPr>
      </w:pPr>
    </w:p>
    <w:p>
      <w:pPr>
        <w:pStyle w:val="Heading1"/>
        <w:numPr>
          <w:ilvl w:val="0"/>
          <w:numId w:val="5"/>
        </w:numPr>
        <w:tabs>
          <w:tab w:pos="1081" w:val="left" w:leader="none"/>
        </w:tabs>
        <w:spacing w:line="240" w:lineRule="auto" w:before="91"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0"/>
        <w:rPr>
          <w:sz w:val="21"/>
        </w:rPr>
      </w:pPr>
    </w:p>
    <w:p>
      <w:pPr>
        <w:pStyle w:val="Heading1"/>
        <w:numPr>
          <w:ilvl w:val="0"/>
          <w:numId w:val="5"/>
        </w:numPr>
        <w:tabs>
          <w:tab w:pos="1081" w:val="left" w:leader="none"/>
        </w:tabs>
        <w:spacing w:line="240" w:lineRule="auto" w:before="0" w:after="0"/>
        <w:ind w:left="1080" w:right="0" w:hanging="282"/>
        <w:jc w:val="both"/>
      </w:pPr>
      <w:r>
        <w:rPr/>
        <w:t>Europäische</w:t>
      </w:r>
      <w:r>
        <w:rPr>
          <w:spacing w:val="-9"/>
        </w:rPr>
        <w:t> </w:t>
      </w:r>
      <w:r>
        <w:rPr/>
        <w:t>Datenschutzbeauftragte</w:t>
      </w:r>
      <w:r>
        <w:rPr>
          <w:spacing w:val="-8"/>
        </w:rPr>
        <w:t> </w:t>
      </w:r>
      <w:r>
        <w:rPr>
          <w:spacing w:val="-2"/>
        </w:rPr>
        <w:t>(EDSB)</w:t>
      </w:r>
    </w:p>
    <w:p>
      <w:pPr>
        <w:pStyle w:val="BodyText"/>
        <w:spacing w:before="1"/>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ya.matthews@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2023-02-16T16:58:43Z</dcterms:created>
  <dcterms:modified xsi:type="dcterms:W3CDTF">2023-02-16T16:58:43Z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