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line="240" w:lineRule="auto" w:before="162"/>
              <w:rPr>
                <w:sz w:val="24"/>
              </w:rPr>
            </w:pPr>
            <w:r>
              <w:rPr>
                <w:spacing w:val="-2"/>
                <w:sz w:val="24"/>
              </w:rPr>
              <w:t>TRADE-</w:t>
            </w:r>
            <w:r>
              <w:rPr>
                <w:spacing w:val="-5"/>
                <w:sz w:val="24"/>
              </w:rPr>
              <w:t>B3</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before="1"/>
              <w:rPr>
                <w:b/>
                <w:sz w:val="22"/>
              </w:rPr>
            </w:pPr>
            <w:r>
              <w:rPr>
                <w:b/>
                <w:spacing w:val="-2"/>
                <w:sz w:val="22"/>
              </w:rPr>
              <w:t>E-Mail-Adresse:</w:t>
            </w:r>
          </w:p>
          <w:p>
            <w:pPr>
              <w:pStyle w:val="TableParagraph"/>
              <w:rPr>
                <w:b/>
                <w:sz w:val="22"/>
              </w:rPr>
            </w:pPr>
            <w:r>
              <w:rPr>
                <w:b/>
                <w:spacing w:val="-2"/>
                <w:sz w:val="22"/>
              </w:rPr>
              <w:t>Telefon:</w:t>
            </w:r>
          </w:p>
          <w:p>
            <w:pPr>
              <w:pStyle w:val="TableParagraph"/>
              <w:spacing w:line="240" w:lineRule="auto"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line="240" w:lineRule="auto"/>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51" w:lineRule="exact"/>
              <w:rPr>
                <w:b/>
                <w:sz w:val="22"/>
              </w:rPr>
            </w:pPr>
            <w:r>
              <w:rPr>
                <w:b/>
                <w:sz w:val="22"/>
              </w:rPr>
              <w:t>Carlo</w:t>
            </w:r>
            <w:r>
              <w:rPr>
                <w:b/>
                <w:spacing w:val="-4"/>
                <w:sz w:val="22"/>
              </w:rPr>
              <w:t> </w:t>
            </w:r>
            <w:r>
              <w:rPr>
                <w:b/>
                <w:spacing w:val="-2"/>
                <w:sz w:val="22"/>
              </w:rPr>
              <w:t>PETTINATO</w:t>
            </w:r>
          </w:p>
          <w:p>
            <w:pPr>
              <w:pStyle w:val="TableParagraph"/>
              <w:spacing w:before="1"/>
              <w:rPr>
                <w:b/>
                <w:sz w:val="22"/>
              </w:rPr>
            </w:pPr>
            <w:hyperlink r:id="rId7">
              <w:r>
                <w:rPr>
                  <w:b/>
                  <w:spacing w:val="-2"/>
                  <w:sz w:val="22"/>
                </w:rPr>
                <w:t>carlo.pettinato@ec.europa.eu</w:t>
              </w:r>
            </w:hyperlink>
          </w:p>
          <w:p>
            <w:pPr>
              <w:pStyle w:val="TableParagraph"/>
              <w:rPr>
                <w:b/>
                <w:sz w:val="22"/>
              </w:rPr>
            </w:pPr>
            <w:r>
              <w:rPr>
                <w:b/>
                <w:sz w:val="22"/>
              </w:rPr>
              <w:t>+32</w:t>
            </w:r>
            <w:r>
              <w:rPr>
                <w:b/>
                <w:spacing w:val="-1"/>
                <w:sz w:val="22"/>
              </w:rPr>
              <w:t> </w:t>
            </w:r>
            <w:r>
              <w:rPr>
                <w:b/>
                <w:sz w:val="22"/>
              </w:rPr>
              <w:t>229</w:t>
            </w:r>
            <w:r>
              <w:rPr>
                <w:b/>
                <w:spacing w:val="-1"/>
                <w:sz w:val="22"/>
              </w:rPr>
              <w:t> </w:t>
            </w:r>
            <w:r>
              <w:rPr>
                <w:b/>
                <w:spacing w:val="-2"/>
                <w:sz w:val="22"/>
              </w:rPr>
              <w:t>80445</w:t>
            </w:r>
          </w:p>
          <w:p>
            <w:pPr>
              <w:pStyle w:val="TableParagraph"/>
              <w:spacing w:before="2"/>
              <w:rPr>
                <w:b/>
                <w:sz w:val="22"/>
              </w:rPr>
            </w:pPr>
            <w:r>
              <w:rPr>
                <w:b/>
                <w:w w:val="100"/>
                <w:sz w:val="22"/>
              </w:rPr>
              <w:t>1</w:t>
            </w:r>
          </w:p>
          <w:p>
            <w:pPr>
              <w:pStyle w:val="TableParagraph"/>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spacing w:line="240" w:lineRule="auto"/>
              <w:ind w:left="0"/>
              <w:rPr>
                <w:b/>
                <w:sz w:val="22"/>
              </w:rPr>
            </w:pPr>
          </w:p>
          <w:p>
            <w:pPr>
              <w:pStyle w:val="TableParagraph"/>
              <w:tabs>
                <w:tab w:pos="1522" w:val="left" w:leader="none"/>
              </w:tabs>
              <w:spacing w:line="236" w:lineRule="exact" w:before="1"/>
              <w:rPr>
                <w:b/>
                <w:sz w:val="22"/>
              </w:rPr>
            </w:pPr>
            <w:r>
              <w:rPr>
                <w:rFonts w:ascii="Wingdings 2" w:hAnsi="Wingdings 2"/>
                <w:b/>
                <w:sz w:val="22"/>
              </w:rPr>
              <w:t></w:t>
            </w:r>
            <w:r>
              <w:rPr>
                <w:spacing w:val="27"/>
                <w:sz w:val="22"/>
              </w:rPr>
              <w:t>  </w:t>
            </w:r>
            <w:r>
              <w:rPr>
                <w:b/>
                <w:spacing w:val="-2"/>
                <w:sz w:val="22"/>
              </w:rPr>
              <w:t>Brüssel</w:t>
            </w:r>
            <w:r>
              <w:rPr>
                <w:b/>
                <w:sz w:val="22"/>
              </w:rPr>
              <w:tab/>
            </w:r>
            <w:r>
              <w:rPr>
                <w:rFonts w:ascii="Wingdings 2" w:hAnsi="Wingdings 2"/>
                <w:b/>
                <w:sz w:val="22"/>
              </w:rPr>
              <w:t></w:t>
            </w:r>
            <w:r>
              <w:rPr>
                <w:spacing w:val="24"/>
                <w:sz w:val="22"/>
              </w:rPr>
              <w:t>  </w:t>
            </w:r>
            <w:r>
              <w:rPr>
                <w:b/>
                <w:sz w:val="22"/>
              </w:rPr>
              <w:t>Luxemburg</w:t>
            </w:r>
            <w:r>
              <w:rPr>
                <w:b/>
                <w:spacing w:val="26"/>
                <w:sz w:val="22"/>
              </w:rPr>
              <w:t>  </w:t>
            </w:r>
            <w:r>
              <w:rPr>
                <w:rFonts w:ascii="Wingdings 2" w:hAnsi="Wingdings 2"/>
                <w:b/>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line="240" w:lineRule="auto"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line="240" w:lineRule="auto" w:before="169"/>
              <w:rPr>
                <w:b/>
                <w:sz w:val="22"/>
              </w:rPr>
            </w:pPr>
            <w:r>
              <w:rPr>
                <w:b/>
                <w:sz w:val="22"/>
              </w:rPr>
              <w:t>Auf</w:t>
            </w:r>
            <w:r>
              <w:rPr>
                <w:b/>
                <w:spacing w:val="-3"/>
                <w:sz w:val="22"/>
              </w:rPr>
              <w:t> </w:t>
            </w:r>
            <w:r>
              <w:rPr>
                <w:b/>
                <w:sz w:val="22"/>
              </w:rPr>
              <w:t>diese</w:t>
            </w:r>
            <w:r>
              <w:rPr>
                <w:b/>
                <w:spacing w:val="-3"/>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line="240" w:lineRule="auto"/>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right="178"/>
      </w:pPr>
      <w:r>
        <w:rPr/>
        <w:t>Unter</w:t>
      </w:r>
      <w:r>
        <w:rPr>
          <w:spacing w:val="-4"/>
        </w:rPr>
        <w:t> </w:t>
      </w:r>
      <w:r>
        <w:rPr/>
        <w:t>der</w:t>
      </w:r>
      <w:r>
        <w:rPr>
          <w:spacing w:val="-1"/>
        </w:rPr>
        <w:t> </w:t>
      </w:r>
      <w:r>
        <w:rPr/>
        <w:t>Aufsicht</w:t>
      </w:r>
      <w:r>
        <w:rPr>
          <w:spacing w:val="-1"/>
        </w:rPr>
        <w:t> </w:t>
      </w:r>
      <w:r>
        <w:rPr/>
        <w:t>des</w:t>
      </w:r>
      <w:r>
        <w:rPr>
          <w:spacing w:val="-2"/>
        </w:rPr>
        <w:t> </w:t>
      </w:r>
      <w:r>
        <w:rPr/>
        <w:t>Referatsleiters</w:t>
      </w:r>
      <w:r>
        <w:rPr>
          <w:spacing w:val="-2"/>
        </w:rPr>
        <w:t> </w:t>
      </w:r>
      <w:r>
        <w:rPr/>
        <w:t>und</w:t>
      </w:r>
      <w:r>
        <w:rPr>
          <w:spacing w:val="-2"/>
        </w:rPr>
        <w:t> </w:t>
      </w:r>
      <w:r>
        <w:rPr/>
        <w:t>anderer</w:t>
      </w:r>
      <w:r>
        <w:rPr>
          <w:spacing w:val="-2"/>
        </w:rPr>
        <w:t> </w:t>
      </w:r>
      <w:r>
        <w:rPr/>
        <w:t>Beamter werden</w:t>
      </w:r>
      <w:r>
        <w:rPr>
          <w:spacing w:val="-2"/>
        </w:rPr>
        <w:t> </w:t>
      </w:r>
      <w:r>
        <w:rPr/>
        <w:t>Sie</w:t>
      </w:r>
      <w:r>
        <w:rPr>
          <w:spacing w:val="-4"/>
        </w:rPr>
        <w:t> </w:t>
      </w:r>
      <w:r>
        <w:rPr/>
        <w:t>in</w:t>
      </w:r>
      <w:r>
        <w:rPr>
          <w:spacing w:val="-5"/>
        </w:rPr>
        <w:t> </w:t>
      </w:r>
      <w:r>
        <w:rPr/>
        <w:t>TRADE</w:t>
      </w:r>
      <w:r>
        <w:rPr>
          <w:spacing w:val="-5"/>
        </w:rPr>
        <w:t> </w:t>
      </w:r>
      <w:r>
        <w:rPr/>
        <w:t>B.3</w:t>
      </w:r>
      <w:r>
        <w:rPr>
          <w:spacing w:val="-2"/>
        </w:rPr>
        <w:t> </w:t>
      </w:r>
      <w:r>
        <w:rPr/>
        <w:t>„Investition</w:t>
      </w:r>
      <w:r>
        <w:rPr>
          <w:spacing w:val="-5"/>
        </w:rPr>
        <w:t> </w:t>
      </w:r>
      <w:r>
        <w:rPr/>
        <w:t>und</w:t>
      </w:r>
      <w:r>
        <w:rPr>
          <w:spacing w:val="-2"/>
        </w:rPr>
        <w:t> </w:t>
      </w:r>
      <w:r>
        <w:rPr/>
        <w:t>geistiges Eigentum“ an den handelsbezogenen Aspekten der EU-Politik für geistiges Eigentum arbeiten. Fragen des geistigen Eigentums (IP) sind eine der wichtigsten handelspolitischen Herausforderungen unserer Zeit.</w:t>
      </w:r>
    </w:p>
    <w:p>
      <w:pPr>
        <w:pStyle w:val="BodyText"/>
        <w:spacing w:before="1"/>
      </w:pPr>
    </w:p>
    <w:p>
      <w:pPr>
        <w:pStyle w:val="BodyText"/>
        <w:spacing w:line="252" w:lineRule="exact"/>
        <w:ind w:left="372"/>
      </w:pPr>
      <w:r>
        <w:rPr/>
        <w:t>Aufgaben</w:t>
      </w:r>
      <w:r>
        <w:rPr>
          <w:spacing w:val="-6"/>
        </w:rPr>
        <w:t> </w:t>
      </w:r>
      <w:r>
        <w:rPr/>
        <w:t>und</w:t>
      </w:r>
      <w:r>
        <w:rPr>
          <w:spacing w:val="-9"/>
        </w:rPr>
        <w:t> </w:t>
      </w:r>
      <w:r>
        <w:rPr/>
        <w:t>Verantwortlichkeiten</w:t>
      </w:r>
      <w:r>
        <w:rPr>
          <w:spacing w:val="-7"/>
        </w:rPr>
        <w:t> </w:t>
      </w:r>
      <w:r>
        <w:rPr>
          <w:spacing w:val="-2"/>
        </w:rPr>
        <w:t>umfassen:</w:t>
      </w:r>
    </w:p>
    <w:p>
      <w:pPr>
        <w:pStyle w:val="ListParagraph"/>
        <w:numPr>
          <w:ilvl w:val="1"/>
          <w:numId w:val="2"/>
        </w:numPr>
        <w:tabs>
          <w:tab w:pos="555" w:val="left" w:leader="none"/>
        </w:tabs>
        <w:spacing w:line="240" w:lineRule="auto" w:before="0" w:after="0"/>
        <w:ind w:left="372" w:right="797" w:firstLine="55"/>
        <w:jc w:val="left"/>
        <w:rPr>
          <w:sz w:val="22"/>
        </w:rPr>
      </w:pPr>
      <w:r>
        <w:rPr>
          <w:sz w:val="22"/>
        </w:rPr>
        <w:t>Beitrag</w:t>
      </w:r>
      <w:r>
        <w:rPr>
          <w:spacing w:val="-4"/>
          <w:sz w:val="22"/>
        </w:rPr>
        <w:t> </w:t>
      </w:r>
      <w:r>
        <w:rPr>
          <w:sz w:val="22"/>
        </w:rPr>
        <w:t>zur</w:t>
      </w:r>
      <w:r>
        <w:rPr>
          <w:spacing w:val="-2"/>
          <w:sz w:val="22"/>
        </w:rPr>
        <w:t> </w:t>
      </w:r>
      <w:r>
        <w:rPr>
          <w:sz w:val="22"/>
        </w:rPr>
        <w:t>Entwicklung</w:t>
      </w:r>
      <w:r>
        <w:rPr>
          <w:spacing w:val="-7"/>
          <w:sz w:val="22"/>
        </w:rPr>
        <w:t> </w:t>
      </w:r>
      <w:r>
        <w:rPr>
          <w:sz w:val="22"/>
        </w:rPr>
        <w:t>und</w:t>
      </w:r>
      <w:r>
        <w:rPr>
          <w:spacing w:val="-2"/>
          <w:sz w:val="22"/>
        </w:rPr>
        <w:t> </w:t>
      </w:r>
      <w:r>
        <w:rPr>
          <w:sz w:val="22"/>
        </w:rPr>
        <w:t>Umsetzung</w:t>
      </w:r>
      <w:r>
        <w:rPr>
          <w:spacing w:val="-5"/>
          <w:sz w:val="22"/>
        </w:rPr>
        <w:t> </w:t>
      </w:r>
      <w:r>
        <w:rPr>
          <w:sz w:val="22"/>
        </w:rPr>
        <w:t>der</w:t>
      </w:r>
      <w:r>
        <w:rPr>
          <w:spacing w:val="-1"/>
          <w:sz w:val="22"/>
        </w:rPr>
        <w:t> </w:t>
      </w:r>
      <w:r>
        <w:rPr>
          <w:sz w:val="22"/>
        </w:rPr>
        <w:t>EU-IP-Strategie</w:t>
      </w:r>
      <w:r>
        <w:rPr>
          <w:spacing w:val="-2"/>
          <w:sz w:val="22"/>
        </w:rPr>
        <w:t> </w:t>
      </w:r>
      <w:r>
        <w:rPr>
          <w:sz w:val="22"/>
        </w:rPr>
        <w:t>zur</w:t>
      </w:r>
      <w:r>
        <w:rPr>
          <w:spacing w:val="-2"/>
          <w:sz w:val="22"/>
        </w:rPr>
        <w:t> </w:t>
      </w:r>
      <w:r>
        <w:rPr>
          <w:sz w:val="22"/>
        </w:rPr>
        <w:t>Förderung</w:t>
      </w:r>
      <w:r>
        <w:rPr>
          <w:spacing w:val="-5"/>
          <w:sz w:val="22"/>
        </w:rPr>
        <w:t> </w:t>
      </w:r>
      <w:r>
        <w:rPr>
          <w:sz w:val="22"/>
        </w:rPr>
        <w:t>der</w:t>
      </w:r>
      <w:r>
        <w:rPr>
          <w:spacing w:val="-3"/>
          <w:sz w:val="22"/>
        </w:rPr>
        <w:t> </w:t>
      </w:r>
      <w:r>
        <w:rPr>
          <w:sz w:val="22"/>
        </w:rPr>
        <w:t>IP-Politik,</w:t>
      </w:r>
      <w:r>
        <w:rPr>
          <w:spacing w:val="-2"/>
          <w:sz w:val="22"/>
        </w:rPr>
        <w:t> </w:t>
      </w:r>
      <w:r>
        <w:rPr>
          <w:sz w:val="22"/>
        </w:rPr>
        <w:t>Standards</w:t>
      </w:r>
      <w:r>
        <w:rPr>
          <w:spacing w:val="-2"/>
          <w:sz w:val="22"/>
        </w:rPr>
        <w:t> </w:t>
      </w:r>
      <w:r>
        <w:rPr>
          <w:sz w:val="22"/>
        </w:rPr>
        <w:t>und Praktiken der EU auf internationaler Ebene;</w:t>
      </w:r>
    </w:p>
    <w:p>
      <w:pPr>
        <w:pStyle w:val="ListParagraph"/>
        <w:numPr>
          <w:ilvl w:val="1"/>
          <w:numId w:val="2"/>
        </w:numPr>
        <w:tabs>
          <w:tab w:pos="555" w:val="left" w:leader="none"/>
        </w:tabs>
        <w:spacing w:line="252" w:lineRule="exact" w:before="0" w:after="0"/>
        <w:ind w:left="554" w:right="0" w:hanging="128"/>
        <w:jc w:val="left"/>
        <w:rPr>
          <w:sz w:val="22"/>
        </w:rPr>
      </w:pPr>
      <w:r>
        <w:rPr>
          <w:sz w:val="22"/>
        </w:rPr>
        <w:t>Assistenz</w:t>
      </w:r>
      <w:r>
        <w:rPr>
          <w:spacing w:val="-9"/>
          <w:sz w:val="22"/>
        </w:rPr>
        <w:t> </w:t>
      </w:r>
      <w:r>
        <w:rPr>
          <w:sz w:val="22"/>
        </w:rPr>
        <w:t>bei</w:t>
      </w:r>
      <w:r>
        <w:rPr>
          <w:spacing w:val="-7"/>
          <w:sz w:val="22"/>
        </w:rPr>
        <w:t> </w:t>
      </w:r>
      <w:r>
        <w:rPr>
          <w:sz w:val="22"/>
        </w:rPr>
        <w:t>der</w:t>
      </w:r>
      <w:r>
        <w:rPr>
          <w:spacing w:val="-4"/>
          <w:sz w:val="22"/>
        </w:rPr>
        <w:t> </w:t>
      </w:r>
      <w:r>
        <w:rPr>
          <w:sz w:val="22"/>
        </w:rPr>
        <w:t>Aushandlung</w:t>
      </w:r>
      <w:r>
        <w:rPr>
          <w:spacing w:val="-8"/>
          <w:sz w:val="22"/>
        </w:rPr>
        <w:t> </w:t>
      </w:r>
      <w:r>
        <w:rPr>
          <w:sz w:val="22"/>
        </w:rPr>
        <w:t>von</w:t>
      </w:r>
      <w:r>
        <w:rPr>
          <w:spacing w:val="-3"/>
          <w:sz w:val="22"/>
        </w:rPr>
        <w:t> </w:t>
      </w:r>
      <w:r>
        <w:rPr>
          <w:sz w:val="22"/>
        </w:rPr>
        <w:t>IP-Aspekten</w:t>
      </w:r>
      <w:r>
        <w:rPr>
          <w:spacing w:val="-5"/>
          <w:sz w:val="22"/>
        </w:rPr>
        <w:t> </w:t>
      </w:r>
      <w:r>
        <w:rPr>
          <w:sz w:val="22"/>
        </w:rPr>
        <w:t>internationaler</w:t>
      </w:r>
      <w:r>
        <w:rPr>
          <w:spacing w:val="-5"/>
          <w:sz w:val="22"/>
        </w:rPr>
        <w:t> </w:t>
      </w:r>
      <w:r>
        <w:rPr>
          <w:sz w:val="22"/>
        </w:rPr>
        <w:t>Abkommen</w:t>
      </w:r>
      <w:r>
        <w:rPr>
          <w:spacing w:val="-3"/>
          <w:sz w:val="22"/>
        </w:rPr>
        <w:t> </w:t>
      </w:r>
      <w:r>
        <w:rPr>
          <w:sz w:val="22"/>
        </w:rPr>
        <w:t>mit</w:t>
      </w:r>
      <w:r>
        <w:rPr>
          <w:spacing w:val="-4"/>
          <w:sz w:val="22"/>
        </w:rPr>
        <w:t> </w:t>
      </w:r>
      <w:r>
        <w:rPr>
          <w:spacing w:val="-2"/>
          <w:sz w:val="22"/>
        </w:rPr>
        <w:t>Drittländern;</w:t>
      </w:r>
    </w:p>
    <w:p>
      <w:pPr>
        <w:pStyle w:val="ListParagraph"/>
        <w:numPr>
          <w:ilvl w:val="1"/>
          <w:numId w:val="2"/>
        </w:numPr>
        <w:tabs>
          <w:tab w:pos="500" w:val="left" w:leader="none"/>
        </w:tabs>
        <w:spacing w:line="252" w:lineRule="exact" w:before="0" w:after="0"/>
        <w:ind w:left="499" w:right="0" w:hanging="128"/>
        <w:jc w:val="left"/>
        <w:rPr>
          <w:sz w:val="22"/>
        </w:rPr>
      </w:pPr>
      <w:r>
        <w:rPr>
          <w:sz w:val="22"/>
        </w:rPr>
        <w:t>Überwachung</w:t>
      </w:r>
      <w:r>
        <w:rPr>
          <w:spacing w:val="-9"/>
          <w:sz w:val="22"/>
        </w:rPr>
        <w:t> </w:t>
      </w:r>
      <w:r>
        <w:rPr>
          <w:sz w:val="22"/>
        </w:rPr>
        <w:t>der</w:t>
      </w:r>
      <w:r>
        <w:rPr>
          <w:spacing w:val="-3"/>
          <w:sz w:val="22"/>
        </w:rPr>
        <w:t> </w:t>
      </w:r>
      <w:r>
        <w:rPr>
          <w:sz w:val="22"/>
        </w:rPr>
        <w:t>Umsetzung</w:t>
      </w:r>
      <w:r>
        <w:rPr>
          <w:spacing w:val="-7"/>
          <w:sz w:val="22"/>
        </w:rPr>
        <w:t> </w:t>
      </w:r>
      <w:r>
        <w:rPr>
          <w:sz w:val="22"/>
        </w:rPr>
        <w:t>bestehender</w:t>
      </w:r>
      <w:r>
        <w:rPr>
          <w:spacing w:val="-4"/>
          <w:sz w:val="22"/>
        </w:rPr>
        <w:t> </w:t>
      </w:r>
      <w:r>
        <w:rPr>
          <w:sz w:val="22"/>
        </w:rPr>
        <w:t>internationaler</w:t>
      </w:r>
      <w:r>
        <w:rPr>
          <w:spacing w:val="-4"/>
          <w:sz w:val="22"/>
        </w:rPr>
        <w:t> </w:t>
      </w:r>
      <w:r>
        <w:rPr>
          <w:sz w:val="22"/>
        </w:rPr>
        <w:t>Abkommen</w:t>
      </w:r>
      <w:r>
        <w:rPr>
          <w:spacing w:val="-3"/>
          <w:sz w:val="22"/>
        </w:rPr>
        <w:t> </w:t>
      </w:r>
      <w:r>
        <w:rPr>
          <w:sz w:val="22"/>
        </w:rPr>
        <w:t>im</w:t>
      </w:r>
      <w:r>
        <w:rPr>
          <w:spacing w:val="-8"/>
          <w:sz w:val="22"/>
        </w:rPr>
        <w:t> </w:t>
      </w:r>
      <w:r>
        <w:rPr>
          <w:sz w:val="22"/>
        </w:rPr>
        <w:t>Bereich</w:t>
      </w:r>
      <w:r>
        <w:rPr>
          <w:spacing w:val="-6"/>
          <w:sz w:val="22"/>
        </w:rPr>
        <w:t> </w:t>
      </w:r>
      <w:r>
        <w:rPr>
          <w:sz w:val="22"/>
        </w:rPr>
        <w:t>des</w:t>
      </w:r>
      <w:r>
        <w:rPr>
          <w:spacing w:val="-4"/>
          <w:sz w:val="22"/>
        </w:rPr>
        <w:t> </w:t>
      </w:r>
      <w:r>
        <w:rPr>
          <w:sz w:val="22"/>
        </w:rPr>
        <w:t>geistigen</w:t>
      </w:r>
      <w:r>
        <w:rPr>
          <w:spacing w:val="-3"/>
          <w:sz w:val="22"/>
        </w:rPr>
        <w:t> </w:t>
      </w:r>
      <w:r>
        <w:rPr>
          <w:spacing w:val="-2"/>
          <w:sz w:val="22"/>
        </w:rPr>
        <w:t>Eigentums;</w:t>
      </w:r>
    </w:p>
    <w:p>
      <w:pPr>
        <w:pStyle w:val="ListParagraph"/>
        <w:numPr>
          <w:ilvl w:val="1"/>
          <w:numId w:val="2"/>
        </w:numPr>
        <w:tabs>
          <w:tab w:pos="500" w:val="left" w:leader="none"/>
        </w:tabs>
        <w:spacing w:line="240" w:lineRule="auto" w:before="2" w:after="0"/>
        <w:ind w:left="372" w:right="135" w:firstLine="0"/>
        <w:jc w:val="left"/>
        <w:rPr>
          <w:sz w:val="22"/>
        </w:rPr>
      </w:pPr>
      <w:r>
        <w:rPr>
          <w:sz w:val="22"/>
        </w:rPr>
        <w:t>Beiträge</w:t>
      </w:r>
      <w:r>
        <w:rPr>
          <w:spacing w:val="-2"/>
          <w:sz w:val="22"/>
        </w:rPr>
        <w:t> </w:t>
      </w:r>
      <w:r>
        <w:rPr>
          <w:sz w:val="22"/>
        </w:rPr>
        <w:t>zum</w:t>
      </w:r>
      <w:r>
        <w:rPr>
          <w:spacing w:val="-6"/>
          <w:sz w:val="22"/>
        </w:rPr>
        <w:t> </w:t>
      </w:r>
      <w:r>
        <w:rPr>
          <w:sz w:val="22"/>
        </w:rPr>
        <w:t>Bericht</w:t>
      </w:r>
      <w:r>
        <w:rPr>
          <w:spacing w:val="-1"/>
          <w:sz w:val="22"/>
        </w:rPr>
        <w:t> </w:t>
      </w:r>
      <w:r>
        <w:rPr>
          <w:sz w:val="22"/>
        </w:rPr>
        <w:t>über</w:t>
      </w:r>
      <w:r>
        <w:rPr>
          <w:spacing w:val="-4"/>
          <w:sz w:val="22"/>
        </w:rPr>
        <w:t> </w:t>
      </w:r>
      <w:r>
        <w:rPr>
          <w:sz w:val="22"/>
        </w:rPr>
        <w:t>den</w:t>
      </w:r>
      <w:r>
        <w:rPr>
          <w:spacing w:val="-2"/>
          <w:sz w:val="22"/>
        </w:rPr>
        <w:t> </w:t>
      </w:r>
      <w:r>
        <w:rPr>
          <w:sz w:val="22"/>
        </w:rPr>
        <w:t>Schutz</w:t>
      </w:r>
      <w:r>
        <w:rPr>
          <w:spacing w:val="-4"/>
          <w:sz w:val="22"/>
        </w:rPr>
        <w:t> </w:t>
      </w:r>
      <w:r>
        <w:rPr>
          <w:sz w:val="22"/>
        </w:rPr>
        <w:t>und</w:t>
      </w:r>
      <w:r>
        <w:rPr>
          <w:spacing w:val="-2"/>
          <w:sz w:val="22"/>
        </w:rPr>
        <w:t> </w:t>
      </w:r>
      <w:r>
        <w:rPr>
          <w:sz w:val="22"/>
        </w:rPr>
        <w:t>die</w:t>
      </w:r>
      <w:r>
        <w:rPr>
          <w:spacing w:val="-2"/>
          <w:sz w:val="22"/>
        </w:rPr>
        <w:t> </w:t>
      </w:r>
      <w:r>
        <w:rPr>
          <w:sz w:val="22"/>
        </w:rPr>
        <w:t>Durchsetzung</w:t>
      </w:r>
      <w:r>
        <w:rPr>
          <w:spacing w:val="-5"/>
          <w:sz w:val="22"/>
        </w:rPr>
        <w:t> </w:t>
      </w:r>
      <w:r>
        <w:rPr>
          <w:sz w:val="22"/>
        </w:rPr>
        <w:t>von</w:t>
      </w:r>
      <w:r>
        <w:rPr>
          <w:spacing w:val="-2"/>
          <w:sz w:val="22"/>
        </w:rPr>
        <w:t> </w:t>
      </w:r>
      <w:r>
        <w:rPr>
          <w:sz w:val="22"/>
        </w:rPr>
        <w:t>Rechten</w:t>
      </w:r>
      <w:r>
        <w:rPr>
          <w:spacing w:val="-2"/>
          <w:sz w:val="22"/>
        </w:rPr>
        <w:t> </w:t>
      </w:r>
      <w:r>
        <w:rPr>
          <w:sz w:val="22"/>
        </w:rPr>
        <w:t>des</w:t>
      </w:r>
      <w:r>
        <w:rPr>
          <w:spacing w:val="-2"/>
          <w:sz w:val="22"/>
        </w:rPr>
        <w:t> </w:t>
      </w:r>
      <w:r>
        <w:rPr>
          <w:sz w:val="22"/>
        </w:rPr>
        <w:t>geistigen</w:t>
      </w:r>
      <w:r>
        <w:rPr>
          <w:spacing w:val="-2"/>
          <w:sz w:val="22"/>
        </w:rPr>
        <w:t> </w:t>
      </w:r>
      <w:r>
        <w:rPr>
          <w:sz w:val="22"/>
        </w:rPr>
        <w:t>Eigentums</w:t>
      </w:r>
      <w:r>
        <w:rPr>
          <w:spacing w:val="-2"/>
          <w:sz w:val="22"/>
        </w:rPr>
        <w:t> </w:t>
      </w:r>
      <w:r>
        <w:rPr>
          <w:sz w:val="22"/>
        </w:rPr>
        <w:t>in</w:t>
      </w:r>
      <w:r>
        <w:rPr>
          <w:spacing w:val="-2"/>
          <w:sz w:val="22"/>
        </w:rPr>
        <w:t> </w:t>
      </w:r>
      <w:r>
        <w:rPr>
          <w:sz w:val="22"/>
        </w:rPr>
        <w:t>Drittländern sowie zur Beobachtungsliste für Fälschungen und Piraterie;</w:t>
      </w:r>
    </w:p>
    <w:p>
      <w:pPr>
        <w:pStyle w:val="ListParagraph"/>
        <w:numPr>
          <w:ilvl w:val="1"/>
          <w:numId w:val="2"/>
        </w:numPr>
        <w:tabs>
          <w:tab w:pos="497" w:val="left" w:leader="none"/>
        </w:tabs>
        <w:spacing w:line="252" w:lineRule="exact" w:before="0" w:after="0"/>
        <w:ind w:left="496" w:right="0" w:hanging="125"/>
        <w:jc w:val="left"/>
        <w:rPr>
          <w:sz w:val="22"/>
        </w:rPr>
      </w:pPr>
      <w:r>
        <w:rPr>
          <w:sz w:val="22"/>
        </w:rPr>
        <w:t>Formulierung</w:t>
      </w:r>
      <w:r>
        <w:rPr>
          <w:spacing w:val="-6"/>
          <w:sz w:val="22"/>
        </w:rPr>
        <w:t> </w:t>
      </w:r>
      <w:r>
        <w:rPr>
          <w:sz w:val="22"/>
        </w:rPr>
        <w:t>politischer</w:t>
      </w:r>
      <w:r>
        <w:rPr>
          <w:spacing w:val="-6"/>
          <w:sz w:val="22"/>
        </w:rPr>
        <w:t> </w:t>
      </w:r>
      <w:r>
        <w:rPr>
          <w:sz w:val="22"/>
        </w:rPr>
        <w:t>Empfehlungen</w:t>
      </w:r>
      <w:r>
        <w:rPr>
          <w:spacing w:val="-5"/>
          <w:sz w:val="22"/>
        </w:rPr>
        <w:t> </w:t>
      </w:r>
      <w:r>
        <w:rPr>
          <w:sz w:val="22"/>
        </w:rPr>
        <w:t>und</w:t>
      </w:r>
      <w:r>
        <w:rPr>
          <w:spacing w:val="-5"/>
          <w:sz w:val="22"/>
        </w:rPr>
        <w:t> </w:t>
      </w:r>
      <w:r>
        <w:rPr>
          <w:sz w:val="22"/>
        </w:rPr>
        <w:t>Vorbereitung</w:t>
      </w:r>
      <w:r>
        <w:rPr>
          <w:spacing w:val="-7"/>
          <w:sz w:val="22"/>
        </w:rPr>
        <w:t> </w:t>
      </w:r>
      <w:r>
        <w:rPr>
          <w:sz w:val="22"/>
        </w:rPr>
        <w:t>von</w:t>
      </w:r>
      <w:r>
        <w:rPr>
          <w:spacing w:val="-4"/>
          <w:sz w:val="22"/>
        </w:rPr>
        <w:t> </w:t>
      </w:r>
      <w:r>
        <w:rPr>
          <w:spacing w:val="-2"/>
          <w:sz w:val="22"/>
        </w:rPr>
        <w:t>Briefings;</w:t>
      </w:r>
    </w:p>
    <w:p>
      <w:pPr>
        <w:pStyle w:val="ListParagraph"/>
        <w:numPr>
          <w:ilvl w:val="1"/>
          <w:numId w:val="2"/>
        </w:numPr>
        <w:tabs>
          <w:tab w:pos="500" w:val="left" w:leader="none"/>
        </w:tabs>
        <w:spacing w:line="240" w:lineRule="auto" w:before="0" w:after="0"/>
        <w:ind w:left="372" w:right="386" w:firstLine="0"/>
        <w:jc w:val="left"/>
        <w:rPr>
          <w:sz w:val="22"/>
        </w:rPr>
      </w:pPr>
      <w:r>
        <w:rPr>
          <w:sz w:val="22"/>
        </w:rPr>
        <w:t>Austausch</w:t>
      </w:r>
      <w:r>
        <w:rPr>
          <w:spacing w:val="-3"/>
          <w:sz w:val="22"/>
        </w:rPr>
        <w:t> </w:t>
      </w:r>
      <w:r>
        <w:rPr>
          <w:sz w:val="22"/>
        </w:rPr>
        <w:t>und</w:t>
      </w:r>
      <w:r>
        <w:rPr>
          <w:spacing w:val="-6"/>
          <w:sz w:val="22"/>
        </w:rPr>
        <w:t> </w:t>
      </w:r>
      <w:r>
        <w:rPr>
          <w:sz w:val="22"/>
        </w:rPr>
        <w:t>Koordinierung</w:t>
      </w:r>
      <w:r>
        <w:rPr>
          <w:spacing w:val="-4"/>
          <w:sz w:val="22"/>
        </w:rPr>
        <w:t> </w:t>
      </w:r>
      <w:r>
        <w:rPr>
          <w:sz w:val="22"/>
        </w:rPr>
        <w:t>mit</w:t>
      </w:r>
      <w:r>
        <w:rPr>
          <w:spacing w:val="-2"/>
          <w:sz w:val="22"/>
        </w:rPr>
        <w:t> </w:t>
      </w:r>
      <w:r>
        <w:rPr>
          <w:sz w:val="22"/>
        </w:rPr>
        <w:t>anderen</w:t>
      </w:r>
      <w:r>
        <w:rPr>
          <w:spacing w:val="-3"/>
          <w:sz w:val="22"/>
        </w:rPr>
        <w:t> </w:t>
      </w:r>
      <w:r>
        <w:rPr>
          <w:sz w:val="22"/>
        </w:rPr>
        <w:t>Referaten</w:t>
      </w:r>
      <w:r>
        <w:rPr>
          <w:spacing w:val="-5"/>
          <w:sz w:val="22"/>
        </w:rPr>
        <w:t> </w:t>
      </w:r>
      <w:r>
        <w:rPr>
          <w:sz w:val="22"/>
        </w:rPr>
        <w:t>der</w:t>
      </w:r>
      <w:r>
        <w:rPr>
          <w:spacing w:val="-2"/>
          <w:sz w:val="22"/>
        </w:rPr>
        <w:t> </w:t>
      </w:r>
      <w:r>
        <w:rPr>
          <w:sz w:val="22"/>
        </w:rPr>
        <w:t>GD</w:t>
      </w:r>
      <w:r>
        <w:rPr>
          <w:spacing w:val="-4"/>
          <w:sz w:val="22"/>
        </w:rPr>
        <w:t> </w:t>
      </w:r>
      <w:r>
        <w:rPr>
          <w:sz w:val="22"/>
        </w:rPr>
        <w:t>Handel,</w:t>
      </w:r>
      <w:r>
        <w:rPr>
          <w:spacing w:val="-3"/>
          <w:sz w:val="22"/>
        </w:rPr>
        <w:t> </w:t>
      </w:r>
      <w:r>
        <w:rPr>
          <w:sz w:val="22"/>
        </w:rPr>
        <w:t>anderen</w:t>
      </w:r>
      <w:r>
        <w:rPr>
          <w:spacing w:val="-5"/>
          <w:sz w:val="22"/>
        </w:rPr>
        <w:t> </w:t>
      </w:r>
      <w:r>
        <w:rPr>
          <w:sz w:val="22"/>
        </w:rPr>
        <w:t>Kommissionsdienststellen</w:t>
      </w:r>
      <w:r>
        <w:rPr>
          <w:spacing w:val="-3"/>
          <w:sz w:val="22"/>
        </w:rPr>
        <w:t> </w:t>
      </w:r>
      <w:r>
        <w:rPr>
          <w:sz w:val="22"/>
        </w:rPr>
        <w:t>sowie externen Interessengruppen in Fragen des geistigen Eigentums, die für die Handelspolitik der EU relevant sind.</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3"/>
        </w:rPr>
      </w:pPr>
      <w:r>
        <w:rPr/>
        <w:pict>
          <v:rect style="position:absolute;margin-left:42.599998pt;margin-top:14.465736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2"/>
        </w:numPr>
        <w:tabs>
          <w:tab w:pos="799" w:val="left" w:leader="none"/>
          <w:tab w:pos="800" w:val="left" w:leader="none"/>
        </w:tabs>
        <w:spacing w:line="240" w:lineRule="auto" w:before="73"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
        <w:rPr>
          <w:b/>
          <w:sz w:val="16"/>
        </w:rPr>
      </w:pPr>
    </w:p>
    <w:p>
      <w:pPr>
        <w:pStyle w:val="Heading1"/>
        <w:numPr>
          <w:ilvl w:val="0"/>
          <w:numId w:val="3"/>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0"/>
          <w:numId w:val="4"/>
        </w:numPr>
        <w:tabs>
          <w:tab w:pos="1081" w:val="left" w:leader="none"/>
        </w:tabs>
        <w:spacing w:line="240" w:lineRule="auto" w:before="1" w:after="0"/>
        <w:ind w:left="1080" w:right="105"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line="252" w:lineRule="exact" w:before="92"/>
        <w:ind w:left="1080"/>
      </w:pPr>
      <w:r>
        <w:rPr>
          <w:spacing w:val="-2"/>
          <w:u w:val="single"/>
        </w:rPr>
        <w:t>Bildungsabschluss</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240" w:lineRule="auto" w:before="1"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4"/>
          <w:sz w:val="22"/>
        </w:rPr>
        <w:t> </w:t>
      </w:r>
      <w:r>
        <w:rPr>
          <w:sz w:val="22"/>
        </w:rPr>
        <w:t>oder</w:t>
      </w:r>
      <w:r>
        <w:rPr>
          <w:spacing w:val="-3"/>
          <w:sz w:val="22"/>
        </w:rPr>
        <w:t> </w:t>
      </w:r>
      <w:r>
        <w:rPr>
          <w:spacing w:val="-2"/>
          <w:sz w:val="22"/>
        </w:rPr>
        <w:t>Berufserfahrung</w:t>
      </w:r>
    </w:p>
    <w:p>
      <w:pPr>
        <w:pStyle w:val="BodyText"/>
        <w:spacing w:before="1"/>
      </w:pPr>
    </w:p>
    <w:p>
      <w:pPr>
        <w:pStyle w:val="BodyText"/>
        <w:spacing w:line="253" w:lineRule="exact"/>
        <w:ind w:left="1190"/>
      </w:pPr>
      <w:r>
        <w:rPr/>
        <w:t>im</w:t>
      </w:r>
      <w:r>
        <w:rPr>
          <w:spacing w:val="-6"/>
        </w:rPr>
        <w:t> </w:t>
      </w:r>
      <w:r>
        <w:rPr>
          <w:spacing w:val="-2"/>
        </w:rPr>
        <w:t>Bereich:</w:t>
      </w:r>
    </w:p>
    <w:p>
      <w:pPr>
        <w:pStyle w:val="BodyText"/>
        <w:spacing w:line="480" w:lineRule="auto"/>
        <w:ind w:left="1080" w:right="1296"/>
      </w:pPr>
      <w:r>
        <w:rPr/>
        <w:t>Recht,</w:t>
      </w:r>
      <w:r>
        <w:rPr>
          <w:spacing w:val="-7"/>
        </w:rPr>
        <w:t> </w:t>
      </w:r>
      <w:r>
        <w:rPr/>
        <w:t>Wirtschaft,</w:t>
      </w:r>
      <w:r>
        <w:rPr>
          <w:spacing w:val="-5"/>
        </w:rPr>
        <w:t> </w:t>
      </w:r>
      <w:r>
        <w:rPr/>
        <w:t>Verwaltung,</w:t>
      </w:r>
      <w:r>
        <w:rPr>
          <w:spacing w:val="-5"/>
        </w:rPr>
        <w:t> </w:t>
      </w:r>
      <w:r>
        <w:rPr/>
        <w:t>internationale</w:t>
      </w:r>
      <w:r>
        <w:rPr>
          <w:spacing w:val="-5"/>
        </w:rPr>
        <w:t> </w:t>
      </w:r>
      <w:r>
        <w:rPr/>
        <w:t>Beziehungen,</w:t>
      </w:r>
      <w:r>
        <w:rPr>
          <w:spacing w:val="-5"/>
        </w:rPr>
        <w:t> </w:t>
      </w:r>
      <w:r>
        <w:rPr/>
        <w:t>EU-Studien,</w:t>
      </w:r>
      <w:r>
        <w:rPr>
          <w:spacing w:val="-5"/>
        </w:rPr>
        <w:t> </w:t>
      </w:r>
      <w:r>
        <w:rPr/>
        <w:t>geistiges</w:t>
      </w:r>
      <w:r>
        <w:rPr>
          <w:spacing w:val="-5"/>
        </w:rPr>
        <w:t> </w:t>
      </w:r>
      <w:r>
        <w:rPr/>
        <w:t>Eigentum. </w:t>
      </w:r>
      <w:r>
        <w:rPr>
          <w:spacing w:val="-2"/>
          <w:u w:val="single"/>
        </w:rPr>
        <w:t>Berufserfahrung</w:t>
      </w:r>
    </w:p>
    <w:p>
      <w:pPr>
        <w:pStyle w:val="BodyText"/>
        <w:ind w:left="1080" w:right="172"/>
        <w:jc w:val="both"/>
      </w:pPr>
      <w:r>
        <w:rPr>
          <w:u w:val="single"/>
        </w:rPr>
        <w:t>Die Bewerber sollten über gute Kenntnisse und Berufserfahrung in Fragen des geistigen Eigentums</w:t>
      </w:r>
      <w:r>
        <w:rPr/>
        <w:t> </w:t>
      </w:r>
      <w:r>
        <w:rPr>
          <w:u w:val="single"/>
        </w:rPr>
        <w:t>verfügen, vorzugsweise mit umfassenden Kenntnissen in mindestens einem Bereich des geistigen</w:t>
      </w:r>
      <w:r>
        <w:rPr/>
        <w:t> </w:t>
      </w:r>
      <w:r>
        <w:rPr>
          <w:u w:val="single"/>
        </w:rPr>
        <w:t>Eigentums. Erfahrung in internationalen Verhandlungen wäre ein wichtiger Vorteil. Die Kandidaten</w:t>
      </w:r>
      <w:r>
        <w:rPr>
          <w:spacing w:val="40"/>
        </w:rPr>
        <w:t> </w:t>
      </w:r>
      <w:r>
        <w:rPr>
          <w:u w:val="single"/>
        </w:rPr>
        <w:t>sollten Folgendes nachweisen:</w:t>
      </w:r>
    </w:p>
    <w:p>
      <w:pPr>
        <w:pStyle w:val="ListParagraph"/>
        <w:numPr>
          <w:ilvl w:val="1"/>
          <w:numId w:val="4"/>
        </w:numPr>
        <w:tabs>
          <w:tab w:pos="1230" w:val="left" w:leader="none"/>
        </w:tabs>
        <w:spacing w:line="240" w:lineRule="auto" w:before="0" w:after="0"/>
        <w:ind w:left="1080" w:right="175" w:firstLine="0"/>
        <w:jc w:val="left"/>
        <w:rPr>
          <w:sz w:val="22"/>
        </w:rPr>
      </w:pPr>
      <w:r>
        <w:rPr>
          <w:sz w:val="22"/>
          <w:u w:val="single"/>
        </w:rPr>
        <w:t>Motivation, in einem dynamischen Team mit einem hohen Verantwortungsbewusstsein für die Mission</w:t>
      </w:r>
      <w:r>
        <w:rPr>
          <w:sz w:val="22"/>
        </w:rPr>
        <w:t> </w:t>
      </w:r>
      <w:r>
        <w:rPr>
          <w:sz w:val="22"/>
          <w:u w:val="single"/>
        </w:rPr>
        <w:t>und die Aufgaben des Referats und der GD im Allgemeinen zu arbeiten;</w:t>
      </w:r>
    </w:p>
    <w:p>
      <w:pPr>
        <w:pStyle w:val="ListParagraph"/>
        <w:numPr>
          <w:ilvl w:val="1"/>
          <w:numId w:val="4"/>
        </w:numPr>
        <w:tabs>
          <w:tab w:pos="1213" w:val="left" w:leader="none"/>
        </w:tabs>
        <w:spacing w:line="240" w:lineRule="auto" w:before="0" w:after="0"/>
        <w:ind w:left="1212" w:right="0" w:hanging="133"/>
        <w:jc w:val="left"/>
        <w:rPr>
          <w:sz w:val="22"/>
        </w:rPr>
      </w:pPr>
      <w:r>
        <w:rPr>
          <w:sz w:val="22"/>
          <w:u w:val="single"/>
        </w:rPr>
        <w:t>die</w:t>
      </w:r>
      <w:r>
        <w:rPr>
          <w:spacing w:val="-6"/>
          <w:sz w:val="22"/>
          <w:u w:val="single"/>
        </w:rPr>
        <w:t> </w:t>
      </w:r>
      <w:r>
        <w:rPr>
          <w:sz w:val="22"/>
          <w:u w:val="single"/>
        </w:rPr>
        <w:t>Fähigkeit,</w:t>
      </w:r>
      <w:r>
        <w:rPr>
          <w:spacing w:val="-3"/>
          <w:sz w:val="22"/>
          <w:u w:val="single"/>
        </w:rPr>
        <w:t> </w:t>
      </w:r>
      <w:r>
        <w:rPr>
          <w:sz w:val="22"/>
          <w:u w:val="single"/>
        </w:rPr>
        <w:t>sich</w:t>
      </w:r>
      <w:r>
        <w:rPr>
          <w:spacing w:val="-3"/>
          <w:sz w:val="22"/>
          <w:u w:val="single"/>
        </w:rPr>
        <w:t> </w:t>
      </w:r>
      <w:r>
        <w:rPr>
          <w:sz w:val="22"/>
          <w:u w:val="single"/>
        </w:rPr>
        <w:t>mit</w:t>
      </w:r>
      <w:r>
        <w:rPr>
          <w:spacing w:val="-5"/>
          <w:sz w:val="22"/>
          <w:u w:val="single"/>
        </w:rPr>
        <w:t> </w:t>
      </w:r>
      <w:r>
        <w:rPr>
          <w:sz w:val="22"/>
          <w:u w:val="single"/>
        </w:rPr>
        <w:t>einer</w:t>
      </w:r>
      <w:r>
        <w:rPr>
          <w:spacing w:val="-5"/>
          <w:sz w:val="22"/>
          <w:u w:val="single"/>
        </w:rPr>
        <w:t> </w:t>
      </w:r>
      <w:r>
        <w:rPr>
          <w:sz w:val="22"/>
          <w:u w:val="single"/>
        </w:rPr>
        <w:t>Vielzahl</w:t>
      </w:r>
      <w:r>
        <w:rPr>
          <w:spacing w:val="-5"/>
          <w:sz w:val="22"/>
          <w:u w:val="single"/>
        </w:rPr>
        <w:t> </w:t>
      </w:r>
      <w:r>
        <w:rPr>
          <w:sz w:val="22"/>
          <w:u w:val="single"/>
        </w:rPr>
        <w:t>interner</w:t>
      </w:r>
      <w:r>
        <w:rPr>
          <w:spacing w:val="-5"/>
          <w:sz w:val="22"/>
          <w:u w:val="single"/>
        </w:rPr>
        <w:t> </w:t>
      </w:r>
      <w:r>
        <w:rPr>
          <w:sz w:val="22"/>
          <w:u w:val="single"/>
        </w:rPr>
        <w:t>und</w:t>
      </w:r>
      <w:r>
        <w:rPr>
          <w:spacing w:val="-3"/>
          <w:sz w:val="22"/>
          <w:u w:val="single"/>
        </w:rPr>
        <w:t> </w:t>
      </w:r>
      <w:r>
        <w:rPr>
          <w:sz w:val="22"/>
          <w:u w:val="single"/>
        </w:rPr>
        <w:t>externer</w:t>
      </w:r>
      <w:r>
        <w:rPr>
          <w:spacing w:val="-5"/>
          <w:sz w:val="22"/>
          <w:u w:val="single"/>
        </w:rPr>
        <w:t> </w:t>
      </w:r>
      <w:r>
        <w:rPr>
          <w:sz w:val="22"/>
          <w:u w:val="single"/>
        </w:rPr>
        <w:t>Kollegen</w:t>
      </w:r>
      <w:r>
        <w:rPr>
          <w:spacing w:val="-3"/>
          <w:sz w:val="22"/>
          <w:u w:val="single"/>
        </w:rPr>
        <w:t> </w:t>
      </w:r>
      <w:r>
        <w:rPr>
          <w:sz w:val="22"/>
          <w:u w:val="single"/>
        </w:rPr>
        <w:t>zu</w:t>
      </w:r>
      <w:r>
        <w:rPr>
          <w:spacing w:val="-3"/>
          <w:sz w:val="22"/>
          <w:u w:val="single"/>
        </w:rPr>
        <w:t> </w:t>
      </w:r>
      <w:r>
        <w:rPr>
          <w:spacing w:val="-2"/>
          <w:sz w:val="22"/>
          <w:u w:val="single"/>
        </w:rPr>
        <w:t>vernetzen,</w:t>
      </w:r>
    </w:p>
    <w:p>
      <w:pPr>
        <w:pStyle w:val="ListParagraph"/>
        <w:numPr>
          <w:ilvl w:val="1"/>
          <w:numId w:val="4"/>
        </w:numPr>
        <w:tabs>
          <w:tab w:pos="1213" w:val="left" w:leader="none"/>
        </w:tabs>
        <w:spacing w:line="252" w:lineRule="exact" w:before="1" w:after="0"/>
        <w:ind w:left="1212" w:right="0" w:hanging="133"/>
        <w:jc w:val="left"/>
        <w:rPr>
          <w:sz w:val="22"/>
        </w:rPr>
      </w:pPr>
      <w:r>
        <w:rPr>
          <w:sz w:val="22"/>
          <w:u w:val="single"/>
        </w:rPr>
        <w:t>Bereitschaft,</w:t>
      </w:r>
      <w:r>
        <w:rPr>
          <w:spacing w:val="-7"/>
          <w:sz w:val="22"/>
          <w:u w:val="single"/>
        </w:rPr>
        <w:t> </w:t>
      </w:r>
      <w:r>
        <w:rPr>
          <w:sz w:val="22"/>
          <w:u w:val="single"/>
        </w:rPr>
        <w:t>Initiative</w:t>
      </w:r>
      <w:r>
        <w:rPr>
          <w:spacing w:val="-7"/>
          <w:sz w:val="22"/>
          <w:u w:val="single"/>
        </w:rPr>
        <w:t> </w:t>
      </w:r>
      <w:r>
        <w:rPr>
          <w:sz w:val="22"/>
          <w:u w:val="single"/>
        </w:rPr>
        <w:t>zu</w:t>
      </w:r>
      <w:r>
        <w:rPr>
          <w:spacing w:val="-7"/>
          <w:sz w:val="22"/>
          <w:u w:val="single"/>
        </w:rPr>
        <w:t> </w:t>
      </w:r>
      <w:r>
        <w:rPr>
          <w:spacing w:val="-2"/>
          <w:sz w:val="22"/>
          <w:u w:val="single"/>
        </w:rPr>
        <w:t>ergreifen,</w:t>
      </w:r>
    </w:p>
    <w:p>
      <w:pPr>
        <w:pStyle w:val="ListParagraph"/>
        <w:numPr>
          <w:ilvl w:val="1"/>
          <w:numId w:val="4"/>
        </w:numPr>
        <w:tabs>
          <w:tab w:pos="1220" w:val="left" w:leader="none"/>
        </w:tabs>
        <w:spacing w:line="240" w:lineRule="auto" w:before="0" w:after="0"/>
        <w:ind w:left="1080" w:right="168" w:firstLine="0"/>
        <w:jc w:val="both"/>
        <w:rPr>
          <w:sz w:val="22"/>
        </w:rPr>
      </w:pPr>
      <w:r>
        <w:rPr>
          <w:sz w:val="22"/>
          <w:u w:val="single"/>
        </w:rPr>
        <w:t>die folgenden Fähigkeiten und Kompetenzen: analytische Fähigkeiten; gute Kommunikation (schriftlich,</w:t>
      </w:r>
      <w:r>
        <w:rPr>
          <w:sz w:val="22"/>
        </w:rPr>
        <w:t> </w:t>
      </w:r>
      <w:r>
        <w:rPr>
          <w:sz w:val="22"/>
          <w:u w:val="single"/>
        </w:rPr>
        <w:t>mündlich); redaktionelle Fähigkeiten; Repräsentations- und Beratungskompetenz; Planungs- und</w:t>
      </w:r>
      <w:r>
        <w:rPr>
          <w:sz w:val="22"/>
        </w:rPr>
        <w:t> </w:t>
      </w:r>
      <w:r>
        <w:rPr>
          <w:spacing w:val="-2"/>
          <w:sz w:val="22"/>
          <w:u w:val="single"/>
        </w:rPr>
        <w:t>Organisationsfähigkeiten.</w:t>
      </w:r>
    </w:p>
    <w:p>
      <w:pPr>
        <w:pStyle w:val="BodyText"/>
        <w:rPr>
          <w:sz w:val="20"/>
        </w:rPr>
      </w:pPr>
    </w:p>
    <w:p>
      <w:pPr>
        <w:pStyle w:val="BodyText"/>
        <w:rPr>
          <w:sz w:val="16"/>
        </w:rPr>
      </w:pPr>
    </w:p>
    <w:p>
      <w:pPr>
        <w:pStyle w:val="BodyText"/>
        <w:spacing w:before="92"/>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right="178"/>
      </w:pPr>
      <w:r>
        <w:rPr>
          <w:u w:val="single"/>
        </w:rPr>
        <w:t>Gründliche Englischkenntnisse in Wort und Schrift sind Voraussetzung für die Erfüllung der Aufgaben.</w:t>
      </w:r>
      <w:r>
        <w:rPr>
          <w:spacing w:val="80"/>
        </w:rPr>
        <w:t> </w:t>
      </w:r>
      <w:r>
        <w:rPr>
          <w:u w:val="single"/>
        </w:rPr>
        <w:t>Kenntnisse in weiteren Sprachen wären von großem Vorteil.</w:t>
      </w:r>
    </w:p>
    <w:p>
      <w:pPr>
        <w:pStyle w:val="BodyText"/>
        <w:spacing w:before="7"/>
        <w:rPr>
          <w:sz w:val="14"/>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w:t>
      </w:r>
      <w:r>
        <w:rPr>
          <w:b/>
          <w:spacing w:val="30"/>
          <w:sz w:val="22"/>
          <w:u w:val="single"/>
        </w:rPr>
        <w:t> </w:t>
      </w:r>
      <w:r>
        <w:rPr>
          <w:b/>
          <w:sz w:val="22"/>
          <w:u w:val="single"/>
        </w:rPr>
        <w:t>an</w:t>
      </w:r>
      <w:r>
        <w:rPr>
          <w:b/>
          <w:spacing w:val="34"/>
          <w:sz w:val="22"/>
          <w:u w:val="single"/>
        </w:rPr>
        <w:t> </w:t>
      </w:r>
      <w:r>
        <w:rPr>
          <w:b/>
          <w:sz w:val="22"/>
          <w:u w:val="single"/>
        </w:rPr>
        <w:t>die</w:t>
      </w:r>
      <w:r>
        <w:rPr>
          <w:b/>
          <w:spacing w:val="33"/>
          <w:sz w:val="22"/>
          <w:u w:val="single"/>
        </w:rPr>
        <w:t> </w:t>
      </w:r>
      <w:r>
        <w:rPr>
          <w:b/>
          <w:sz w:val="22"/>
          <w:u w:val="single"/>
        </w:rPr>
        <w:t>Ständige</w:t>
      </w:r>
      <w:r>
        <w:rPr>
          <w:b/>
          <w:spacing w:val="33"/>
          <w:sz w:val="22"/>
          <w:u w:val="single"/>
        </w:rPr>
        <w:t> </w:t>
      </w:r>
      <w:r>
        <w:rPr>
          <w:b/>
          <w:sz w:val="22"/>
          <w:u w:val="single"/>
        </w:rPr>
        <w:t>Vertretung</w:t>
      </w:r>
      <w:r>
        <w:rPr>
          <w:b/>
          <w:spacing w:val="31"/>
          <w:sz w:val="22"/>
          <w:u w:val="single"/>
        </w:rPr>
        <w:t> </w:t>
      </w:r>
      <w:r>
        <w:rPr>
          <w:b/>
          <w:sz w:val="22"/>
          <w:u w:val="single"/>
        </w:rPr>
        <w:t>/</w:t>
      </w:r>
      <w:r>
        <w:rPr>
          <w:b/>
          <w:spacing w:val="36"/>
          <w:sz w:val="22"/>
          <w:u w:val="single"/>
        </w:rPr>
        <w:t> </w:t>
      </w:r>
      <w:r>
        <w:rPr>
          <w:b/>
          <w:sz w:val="22"/>
          <w:u w:val="single"/>
        </w:rPr>
        <w:t>diplomatische</w:t>
      </w:r>
      <w:r>
        <w:rPr>
          <w:b/>
          <w:spacing w:val="33"/>
          <w:sz w:val="22"/>
          <w:u w:val="single"/>
        </w:rPr>
        <w:t> </w:t>
      </w:r>
      <w:r>
        <w:rPr>
          <w:b/>
          <w:sz w:val="22"/>
          <w:u w:val="single"/>
        </w:rPr>
        <w:t>Mission</w:t>
      </w:r>
      <w:r>
        <w:rPr>
          <w:b/>
          <w:spacing w:val="32"/>
          <w:sz w:val="22"/>
          <w:u w:val="single"/>
        </w:rPr>
        <w:t> </w:t>
      </w:r>
      <w:r>
        <w:rPr>
          <w:b/>
          <w:sz w:val="22"/>
          <w:u w:val="single"/>
        </w:rPr>
        <w:t>ihres</w:t>
      </w:r>
      <w:r>
        <w:rPr>
          <w:b/>
          <w:spacing w:val="35"/>
          <w:sz w:val="22"/>
          <w:u w:val="single"/>
        </w:rPr>
        <w:t> </w:t>
      </w:r>
      <w:r>
        <w:rPr>
          <w:b/>
          <w:sz w:val="22"/>
          <w:u w:val="single"/>
        </w:rPr>
        <w:t>Landes</w:t>
      </w:r>
      <w:r>
        <w:rPr>
          <w:b/>
          <w:spacing w:val="35"/>
          <w:sz w:val="22"/>
          <w:u w:val="single"/>
        </w:rPr>
        <w:t> </w:t>
      </w:r>
      <w:r>
        <w:rPr>
          <w:b/>
          <w:sz w:val="22"/>
          <w:u w:val="single"/>
        </w:rPr>
        <w:t>bei</w:t>
      </w:r>
      <w:r>
        <w:rPr>
          <w:b/>
          <w:spacing w:val="34"/>
          <w:sz w:val="22"/>
          <w:u w:val="single"/>
        </w:rPr>
        <w:t> </w:t>
      </w:r>
      <w:r>
        <w:rPr>
          <w:b/>
          <w:sz w:val="22"/>
          <w:u w:val="single"/>
        </w:rPr>
        <w:t>der</w:t>
      </w:r>
      <w:r>
        <w:rPr>
          <w:b/>
          <w:spacing w:val="33"/>
          <w:sz w:val="22"/>
          <w:u w:val="single"/>
        </w:rPr>
        <w:t> </w:t>
      </w:r>
      <w:r>
        <w:rPr>
          <w:b/>
          <w:sz w:val="22"/>
          <w:u w:val="single"/>
        </w:rPr>
        <w:t>EU</w:t>
      </w:r>
      <w:r>
        <w:rPr>
          <w:sz w:val="22"/>
        </w:rPr>
        <w:t>.</w:t>
      </w:r>
      <w:r>
        <w:rPr>
          <w:spacing w:val="35"/>
          <w:sz w:val="22"/>
        </w:rPr>
        <w:t> </w:t>
      </w:r>
      <w:r>
        <w:rPr>
          <w:spacing w:val="-2"/>
          <w:sz w:val="22"/>
        </w:rPr>
        <w:t>Diese</w:t>
      </w:r>
    </w:p>
    <w:p>
      <w:pPr>
        <w:spacing w:after="0"/>
        <w:jc w:val="both"/>
        <w:rPr>
          <w:sz w:val="22"/>
        </w:rPr>
        <w:sectPr>
          <w:pgSz w:w="11910" w:h="16840"/>
          <w:pgMar w:header="0" w:footer="690" w:top="1040" w:bottom="880" w:left="480" w:right="740"/>
        </w:sectPr>
      </w:pPr>
    </w:p>
    <w:p>
      <w:pPr>
        <w:pStyle w:val="BodyText"/>
        <w:spacing w:before="68"/>
        <w:ind w:left="799" w:right="280"/>
        <w:jc w:val="both"/>
      </w:pPr>
      <w:r>
        <w:rPr/>
        <w:t>leitet die Bewerbungen innerhalb der Fristen für das Auswahlverfahren an die zuständigen Kommissionsdienststellen weiter. Der Lebenslauf muss das Geburtsdatum und die Staatsangehörigkeit des Kandidaten enthalten. </w:t>
      </w:r>
      <w:r>
        <w:rPr>
          <w:b/>
        </w:rPr>
        <w:t>Bei Nichteinhaltung dieses Verfahrens oder der Fristen wird die Bewerbung automatisch ungültig. </w:t>
      </w:r>
      <w:r>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9" w:right="283"/>
        <w:jc w:val="both"/>
      </w:pPr>
      <w:r>
        <w:rPr/>
        <w:t>Die Bewerberinnen und Bewerber werden von dem einstellenden Referat über den Stand ihrer Bewerbung </w:t>
      </w:r>
      <w:r>
        <w:rPr>
          <w:spacing w:val="-2"/>
        </w:rPr>
        <w:t>informiert.</w:t>
      </w:r>
    </w:p>
    <w:p>
      <w:pPr>
        <w:pStyle w:val="BodyText"/>
        <w:spacing w:before="7"/>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1"/>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2"/>
          <w:sz w:val="24"/>
          <w:u w:val="single"/>
        </w:rPr>
        <w:t> </w:t>
      </w:r>
      <w:r>
        <w:rPr>
          <w:b/>
          <w:sz w:val="24"/>
          <w:u w:val="single"/>
        </w:rPr>
        <w:t>personenbezogener</w:t>
      </w:r>
      <w:r>
        <w:rPr>
          <w:b/>
          <w:spacing w:val="-13"/>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9" w:right="283"/>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 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10"/>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rPr>
          <w:sz w:val="14"/>
        </w:rPr>
      </w:pPr>
    </w:p>
    <w:p>
      <w:pPr>
        <w:pStyle w:val="Heading1"/>
        <w:numPr>
          <w:ilvl w:val="0"/>
          <w:numId w:val="5"/>
        </w:numPr>
        <w:tabs>
          <w:tab w:pos="1080" w:val="left" w:leader="none"/>
          <w:tab w:pos="1081" w:val="left" w:leader="none"/>
        </w:tabs>
        <w:spacing w:line="240" w:lineRule="auto"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spacing w:after="0" w:line="240" w:lineRule="auto"/>
        <w:jc w:val="left"/>
        <w:sectPr>
          <w:pgSz w:w="11910" w:h="16840"/>
          <w:pgMar w:header="0" w:footer="690" w:top="1040" w:bottom="880" w:left="480" w:right="740"/>
        </w:sectPr>
      </w:pPr>
    </w:p>
    <w:p>
      <w:pPr>
        <w:pStyle w:val="BodyText"/>
        <w:spacing w:before="68"/>
        <w:ind w:left="1080" w:right="10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
      </w:pPr>
    </w:p>
    <w:p>
      <w:pPr>
        <w:pStyle w:val="Heading1"/>
        <w:numPr>
          <w:ilvl w:val="0"/>
          <w:numId w:val="5"/>
        </w:numPr>
        <w:tabs>
          <w:tab w:pos="1081" w:val="left" w:leader="none"/>
        </w:tabs>
        <w:spacing w:line="240" w:lineRule="auto" w:before="0" w:after="0"/>
        <w:ind w:left="1080" w:right="0" w:hanging="282"/>
        <w:jc w:val="both"/>
      </w:pPr>
      <w:r>
        <w:rPr/>
        <w:t>Europäische</w:t>
      </w:r>
      <w:r>
        <w:rPr>
          <w:spacing w:val="-9"/>
        </w:rPr>
        <w:t> </w:t>
      </w:r>
      <w:r>
        <w:rPr/>
        <w:t>Datenschutzbeauftragte</w:t>
      </w:r>
      <w:r>
        <w:rPr>
          <w:spacing w:val="-8"/>
        </w:rPr>
        <w:t> </w:t>
      </w:r>
      <w:r>
        <w:rPr>
          <w:spacing w:val="-2"/>
        </w:rPr>
        <w:t>(EDSB)</w:t>
      </w:r>
    </w:p>
    <w:p>
      <w:pPr>
        <w:pStyle w:val="BodyText"/>
        <w:spacing w:before="2"/>
        <w:ind w:left="1080"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spacing w:before="11"/>
        <w:rPr>
          <w:sz w:val="21"/>
        </w:rPr>
      </w:pPr>
    </w:p>
    <w:p>
      <w:pPr>
        <w:pStyle w:val="BodyText"/>
        <w:ind w:left="1080" w:right="113"/>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4896"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080" w:hanging="149"/>
      </w:pPr>
      <w:rPr>
        <w:rFonts w:hint="default" w:ascii="Times New Roman" w:hAnsi="Times New Roman" w:eastAsia="Times New Roman" w:cs="Times New Roman"/>
        <w:b w:val="0"/>
        <w:bCs w:val="0"/>
        <w:i w:val="0"/>
        <w:iCs w:val="0"/>
        <w:w w:val="100"/>
        <w:sz w:val="22"/>
        <w:szCs w:val="22"/>
        <w:u w:val="single" w:color="000000"/>
        <w:lang w:val="de-DE" w:eastAsia="en-US" w:bidi="ar-SA"/>
      </w:rPr>
    </w:lvl>
    <w:lvl w:ilvl="2">
      <w:start w:val="0"/>
      <w:numFmt w:val="bullet"/>
      <w:lvlText w:val="•"/>
      <w:lvlJc w:val="left"/>
      <w:pPr>
        <w:ind w:left="3001" w:hanging="149"/>
      </w:pPr>
      <w:rPr>
        <w:rFonts w:hint="default"/>
        <w:lang w:val="de-DE" w:eastAsia="en-US" w:bidi="ar-SA"/>
      </w:rPr>
    </w:lvl>
    <w:lvl w:ilvl="3">
      <w:start w:val="0"/>
      <w:numFmt w:val="bullet"/>
      <w:lvlText w:val="•"/>
      <w:lvlJc w:val="left"/>
      <w:pPr>
        <w:ind w:left="3961" w:hanging="149"/>
      </w:pPr>
      <w:rPr>
        <w:rFonts w:hint="default"/>
        <w:lang w:val="de-DE" w:eastAsia="en-US" w:bidi="ar-SA"/>
      </w:rPr>
    </w:lvl>
    <w:lvl w:ilvl="4">
      <w:start w:val="0"/>
      <w:numFmt w:val="bullet"/>
      <w:lvlText w:val="•"/>
      <w:lvlJc w:val="left"/>
      <w:pPr>
        <w:ind w:left="4922" w:hanging="149"/>
      </w:pPr>
      <w:rPr>
        <w:rFonts w:hint="default"/>
        <w:lang w:val="de-DE" w:eastAsia="en-US" w:bidi="ar-SA"/>
      </w:rPr>
    </w:lvl>
    <w:lvl w:ilvl="5">
      <w:start w:val="0"/>
      <w:numFmt w:val="bullet"/>
      <w:lvlText w:val="•"/>
      <w:lvlJc w:val="left"/>
      <w:pPr>
        <w:ind w:left="5883" w:hanging="149"/>
      </w:pPr>
      <w:rPr>
        <w:rFonts w:hint="default"/>
        <w:lang w:val="de-DE" w:eastAsia="en-US" w:bidi="ar-SA"/>
      </w:rPr>
    </w:lvl>
    <w:lvl w:ilvl="6">
      <w:start w:val="0"/>
      <w:numFmt w:val="bullet"/>
      <w:lvlText w:val="•"/>
      <w:lvlJc w:val="left"/>
      <w:pPr>
        <w:ind w:left="6843" w:hanging="149"/>
      </w:pPr>
      <w:rPr>
        <w:rFonts w:hint="default"/>
        <w:lang w:val="de-DE" w:eastAsia="en-US" w:bidi="ar-SA"/>
      </w:rPr>
    </w:lvl>
    <w:lvl w:ilvl="7">
      <w:start w:val="0"/>
      <w:numFmt w:val="bullet"/>
      <w:lvlText w:val="•"/>
      <w:lvlJc w:val="left"/>
      <w:pPr>
        <w:ind w:left="7804" w:hanging="149"/>
      </w:pPr>
      <w:rPr>
        <w:rFonts w:hint="default"/>
        <w:lang w:val="de-DE" w:eastAsia="en-US" w:bidi="ar-SA"/>
      </w:rPr>
    </w:lvl>
    <w:lvl w:ilvl="8">
      <w:start w:val="0"/>
      <w:numFmt w:val="bullet"/>
      <w:lvlText w:val="•"/>
      <w:lvlJc w:val="left"/>
      <w:pPr>
        <w:ind w:left="8765" w:hanging="149"/>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2" w:hanging="128"/>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898" w:hanging="128"/>
      </w:pPr>
      <w:rPr>
        <w:rFonts w:hint="default"/>
        <w:lang w:val="de-DE" w:eastAsia="en-US" w:bidi="ar-SA"/>
      </w:rPr>
    </w:lvl>
    <w:lvl w:ilvl="3">
      <w:start w:val="0"/>
      <w:numFmt w:val="bullet"/>
      <w:lvlText w:val="•"/>
      <w:lvlJc w:val="left"/>
      <w:pPr>
        <w:ind w:left="2996" w:hanging="128"/>
      </w:pPr>
      <w:rPr>
        <w:rFonts w:hint="default"/>
        <w:lang w:val="de-DE" w:eastAsia="en-US" w:bidi="ar-SA"/>
      </w:rPr>
    </w:lvl>
    <w:lvl w:ilvl="4">
      <w:start w:val="0"/>
      <w:numFmt w:val="bullet"/>
      <w:lvlText w:val="•"/>
      <w:lvlJc w:val="left"/>
      <w:pPr>
        <w:ind w:left="4095" w:hanging="128"/>
      </w:pPr>
      <w:rPr>
        <w:rFonts w:hint="default"/>
        <w:lang w:val="de-DE" w:eastAsia="en-US" w:bidi="ar-SA"/>
      </w:rPr>
    </w:lvl>
    <w:lvl w:ilvl="5">
      <w:start w:val="0"/>
      <w:numFmt w:val="bullet"/>
      <w:lvlText w:val="•"/>
      <w:lvlJc w:val="left"/>
      <w:pPr>
        <w:ind w:left="5193" w:hanging="128"/>
      </w:pPr>
      <w:rPr>
        <w:rFonts w:hint="default"/>
        <w:lang w:val="de-DE" w:eastAsia="en-US" w:bidi="ar-SA"/>
      </w:rPr>
    </w:lvl>
    <w:lvl w:ilvl="6">
      <w:start w:val="0"/>
      <w:numFmt w:val="bullet"/>
      <w:lvlText w:val="•"/>
      <w:lvlJc w:val="left"/>
      <w:pPr>
        <w:ind w:left="6292" w:hanging="128"/>
      </w:pPr>
      <w:rPr>
        <w:rFonts w:hint="default"/>
        <w:lang w:val="de-DE" w:eastAsia="en-US" w:bidi="ar-SA"/>
      </w:rPr>
    </w:lvl>
    <w:lvl w:ilvl="7">
      <w:start w:val="0"/>
      <w:numFmt w:val="bullet"/>
      <w:lvlText w:val="•"/>
      <w:lvlJc w:val="left"/>
      <w:pPr>
        <w:ind w:left="7390" w:hanging="128"/>
      </w:pPr>
      <w:rPr>
        <w:rFonts w:hint="default"/>
        <w:lang w:val="de-DE" w:eastAsia="en-US" w:bidi="ar-SA"/>
      </w:rPr>
    </w:lvl>
    <w:lvl w:ilvl="8">
      <w:start w:val="0"/>
      <w:numFmt w:val="bullet"/>
      <w:lvlText w:val="•"/>
      <w:lvlJc w:val="left"/>
      <w:pPr>
        <w:ind w:left="8489" w:hanging="128"/>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line="252" w:lineRule="exact"/>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rlo.pettinato@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2023-02-16T16:58:03Z</dcterms:created>
  <dcterms:modified xsi:type="dcterms:W3CDTF">2023-02-16T16:58:03Z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