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0" w:firstLine="1332"/>
        <w:jc w:val="left"/>
        <w:rPr>
          <w:b/>
          <w:sz w:val="24"/>
        </w:rPr>
      </w:pPr>
      <w:r>
        <w:rPr/>
        <w:pict>
          <v:rect style="position:absolute;margin-left:272.089996pt;margin-top:166.273148pt;width:52.944pt;height:12.6pt;mso-position-horizontal-relative:page;mso-position-vertical-relative:paragraph;z-index:-15826432" id="docshape2" filled="true" fillcolor="#000000" stroked="false">
            <v:fill type="solid"/>
            <w10:wrap type="none"/>
          </v:rect>
        </w:pict>
      </w: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z w:val="24"/>
              </w:rPr>
              <w:t>GD</w:t>
            </w:r>
            <w:r>
              <w:rPr>
                <w:b/>
                <w:spacing w:val="-4"/>
                <w:sz w:val="24"/>
              </w:rPr>
              <w:t> </w:t>
            </w:r>
            <w:r>
              <w:rPr>
                <w:b/>
                <w:sz w:val="24"/>
              </w:rPr>
              <w:t>JUST</w:t>
            </w:r>
            <w:r>
              <w:rPr>
                <w:b/>
                <w:spacing w:val="-3"/>
                <w:sz w:val="24"/>
              </w:rPr>
              <w:t> </w:t>
            </w:r>
            <w:r>
              <w:rPr>
                <w:b/>
                <w:sz w:val="24"/>
              </w:rPr>
              <w:t>–</w:t>
            </w:r>
            <w:r>
              <w:rPr>
                <w:b/>
                <w:spacing w:val="-4"/>
                <w:sz w:val="24"/>
              </w:rPr>
              <w:t> </w:t>
            </w:r>
            <w:r>
              <w:rPr>
                <w:b/>
                <w:sz w:val="24"/>
              </w:rPr>
              <w:t>DIREKTION</w:t>
            </w:r>
            <w:r>
              <w:rPr>
                <w:b/>
                <w:spacing w:val="-4"/>
                <w:sz w:val="24"/>
              </w:rPr>
              <w:t> </w:t>
            </w:r>
            <w:r>
              <w:rPr>
                <w:b/>
                <w:sz w:val="24"/>
              </w:rPr>
              <w:t>E</w:t>
            </w:r>
            <w:r>
              <w:rPr>
                <w:b/>
                <w:spacing w:val="-2"/>
                <w:sz w:val="24"/>
              </w:rPr>
              <w:t> </w:t>
            </w:r>
            <w:r>
              <w:rPr>
                <w:b/>
                <w:sz w:val="24"/>
              </w:rPr>
              <w:t>–</w:t>
            </w:r>
            <w:r>
              <w:rPr>
                <w:b/>
                <w:spacing w:val="-4"/>
                <w:sz w:val="24"/>
              </w:rPr>
              <w:t> </w:t>
            </w:r>
            <w:r>
              <w:rPr>
                <w:b/>
                <w:sz w:val="24"/>
              </w:rPr>
              <w:t>REFERAT</w:t>
            </w:r>
            <w:r>
              <w:rPr>
                <w:b/>
                <w:spacing w:val="-4"/>
                <w:sz w:val="24"/>
              </w:rPr>
              <w:t> </w:t>
            </w:r>
            <w:r>
              <w:rPr>
                <w:b/>
                <w:spacing w:val="-5"/>
                <w:sz w:val="24"/>
              </w:rPr>
              <w:t>E3</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rPr>
                <w:b/>
                <w:sz w:val="24"/>
              </w:rPr>
            </w:pPr>
            <w:r>
              <w:rPr>
                <w:b/>
                <w:sz w:val="24"/>
              </w:rPr>
              <w:t>Marie-Paule</w:t>
            </w:r>
            <w:r>
              <w:rPr>
                <w:b/>
                <w:spacing w:val="-15"/>
                <w:sz w:val="24"/>
              </w:rPr>
              <w:t> </w:t>
            </w:r>
            <w:r>
              <w:rPr>
                <w:b/>
                <w:sz w:val="24"/>
              </w:rPr>
              <w:t>Benassi</w:t>
            </w:r>
            <w:r>
              <w:rPr>
                <w:b/>
                <w:spacing w:val="-15"/>
                <w:sz w:val="24"/>
              </w:rPr>
              <w:t> </w:t>
            </w:r>
            <w:r>
              <w:rPr>
                <w:b/>
                <w:sz w:val="24"/>
              </w:rPr>
              <w:t>Marie- </w:t>
            </w:r>
            <w:hyperlink r:id="rId7">
              <w:r>
                <w:rPr>
                  <w:b/>
                  <w:spacing w:val="-2"/>
                  <w:sz w:val="24"/>
                </w:rPr>
                <w:t>paule.benassi@ec.europa.eu</w:t>
              </w:r>
            </w:hyperlink>
          </w:p>
          <w:p>
            <w:pPr>
              <w:pStyle w:val="TableParagraph"/>
              <w:rPr>
                <w:b/>
                <w:sz w:val="24"/>
              </w:rPr>
            </w:pPr>
            <w:r>
              <w:rPr>
                <w:b/>
                <w:sz w:val="24"/>
              </w:rPr>
              <w:t>+32 2 29 89432 1 </w:t>
            </w:r>
            <w:r>
              <w:rPr>
                <w:b/>
                <w:spacing w:val="-10"/>
                <w:sz w:val="24"/>
              </w:rPr>
              <w:t>1</w:t>
            </w:r>
          </w:p>
          <w:p>
            <w:pPr>
              <w:pStyle w:val="TableParagraph"/>
              <w:spacing w:before="10"/>
              <w:ind w:left="0"/>
              <w:rPr>
                <w:b/>
                <w:sz w:val="23"/>
              </w:rPr>
            </w:pPr>
          </w:p>
          <w:p>
            <w:pPr>
              <w:pStyle w:val="TableParagraph"/>
              <w:ind w:left="139"/>
              <w:rPr>
                <w:b/>
                <w:sz w:val="22"/>
              </w:rPr>
            </w:pPr>
            <w:r>
              <w:rPr>
                <w:b/>
                <w:sz w:val="22"/>
              </w:rPr>
              <w:t>2</w:t>
            </w:r>
            <w:r>
              <w:rPr>
                <w:b/>
                <w:spacing w:val="-3"/>
                <w:sz w:val="22"/>
              </w:rPr>
              <w:t> </w:t>
            </w:r>
            <w:r>
              <w:rPr>
                <w:b/>
                <w:sz w:val="22"/>
              </w:rPr>
              <w:t>Quartal</w:t>
            </w:r>
            <w:r>
              <w:rPr>
                <w:b/>
                <w:spacing w:val="-2"/>
                <w:sz w:val="22"/>
              </w:rPr>
              <w:t> 2023</w:t>
            </w:r>
            <w:r>
              <w:rPr>
                <w:b/>
                <w:spacing w:val="-2"/>
                <w:sz w:val="22"/>
                <w:vertAlign w:val="superscript"/>
              </w:rPr>
              <w:t>1</w:t>
            </w:r>
          </w:p>
          <w:p>
            <w:pPr>
              <w:pStyle w:val="TableParagraph"/>
              <w:spacing w:before="2"/>
              <w:ind w:left="139"/>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numPr>
                <w:ilvl w:val="0"/>
                <w:numId w:val="1"/>
              </w:numPr>
              <w:tabs>
                <w:tab w:pos="1885" w:val="left" w:leader="none"/>
              </w:tabs>
              <w:spacing w:line="233" w:lineRule="exact" w:before="0" w:after="0"/>
              <w:ind w:left="1884" w:right="0" w:hanging="363"/>
              <w:jc w:val="left"/>
              <w:rPr>
                <w:b/>
                <w:sz w:val="22"/>
              </w:rPr>
            </w:pPr>
            <w:r>
              <w:rPr>
                <w:b/>
                <w:sz w:val="22"/>
              </w:rPr>
              <w:t>Luxemburg</w:t>
            </w:r>
            <w:r>
              <w:rPr>
                <w:b/>
                <w:spacing w:val="77"/>
                <w:w w:val="150"/>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413" w:val="left" w:leader="none"/>
              </w:tabs>
              <w:spacing w:line="240" w:lineRule="auto" w:before="145" w:after="0"/>
              <w:ind w:left="413" w:right="0" w:hanging="308"/>
              <w:jc w:val="left"/>
              <w:rPr>
                <w:b/>
                <w:sz w:val="22"/>
              </w:rPr>
            </w:pP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49"/>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3"/>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3"/>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4"/>
                <w:sz w:val="22"/>
              </w:rPr>
              <w:t> </w:t>
            </w:r>
            <w:r>
              <w:rPr>
                <w:b/>
                <w:sz w:val="22"/>
              </w:rPr>
              <w:t>Liechtenstein</w:t>
            </w:r>
            <w:r>
              <w:rPr>
                <w:b/>
                <w:spacing w:val="-3"/>
                <w:sz w:val="22"/>
              </w:rPr>
              <w:t> </w:t>
            </w:r>
            <w:r>
              <w:rPr>
                <w:rFonts w:ascii="Wingdings 2" w:hAnsi="Wingdings 2"/>
                <w:sz w:val="22"/>
              </w:rPr>
              <w:t></w:t>
            </w:r>
            <w:r>
              <w:rPr>
                <w:b/>
                <w:sz w:val="22"/>
              </w:rPr>
              <w:t>Norwegen</w:t>
            </w:r>
            <w:r>
              <w:rPr>
                <w:b/>
                <w:spacing w:val="-5"/>
                <w:sz w:val="22"/>
              </w:rPr>
              <w:t> </w:t>
            </w:r>
            <w:r>
              <w:rPr>
                <w:rFonts w:ascii="Wingdings 2" w:hAnsi="Wingdings 2"/>
                <w:sz w:val="22"/>
              </w:rPr>
              <w:t></w:t>
            </w:r>
            <w:r>
              <w:rPr>
                <w:spacing w:val="-3"/>
                <w:sz w:val="22"/>
              </w:rPr>
              <w:t> </w:t>
            </w:r>
            <w:r>
              <w:rPr>
                <w:b/>
                <w:sz w:val="22"/>
              </w:rPr>
              <w:t>die</w:t>
            </w:r>
            <w:r>
              <w:rPr>
                <w:b/>
                <w:spacing w:val="-3"/>
                <w:sz w:val="22"/>
              </w:rPr>
              <w:t> </w:t>
            </w:r>
            <w:r>
              <w:rPr>
                <w:b/>
                <w:spacing w:val="-2"/>
                <w:sz w:val="22"/>
              </w:rPr>
              <w:t>Schweiz</w:t>
            </w:r>
          </w:p>
          <w:p>
            <w:pPr>
              <w:pStyle w:val="TableParagraph"/>
              <w:numPr>
                <w:ilvl w:val="0"/>
                <w:numId w:val="4"/>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5"/>
              </w:numPr>
              <w:tabs>
                <w:tab w:pos="523" w:val="left" w:leader="none"/>
                <w:tab w:pos="524" w:val="left" w:leader="none"/>
              </w:tabs>
              <w:spacing w:line="253"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5"/>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before="92"/>
        <w:ind w:left="372"/>
      </w:pPr>
      <w:r>
        <w:rPr/>
        <w:t>Das</w:t>
      </w:r>
      <w:r>
        <w:rPr>
          <w:spacing w:val="64"/>
        </w:rPr>
        <w:t> </w:t>
      </w:r>
      <w:r>
        <w:rPr/>
        <w:t>Referat</w:t>
      </w:r>
      <w:r>
        <w:rPr>
          <w:spacing w:val="64"/>
        </w:rPr>
        <w:t> </w:t>
      </w:r>
      <w:r>
        <w:rPr/>
        <w:t>ist</w:t>
      </w:r>
      <w:r>
        <w:rPr>
          <w:spacing w:val="65"/>
        </w:rPr>
        <w:t> </w:t>
      </w:r>
      <w:r>
        <w:rPr/>
        <w:t>zuständig</w:t>
      </w:r>
      <w:r>
        <w:rPr>
          <w:spacing w:val="61"/>
        </w:rPr>
        <w:t> </w:t>
      </w:r>
      <w:r>
        <w:rPr/>
        <w:t>für</w:t>
      </w:r>
      <w:r>
        <w:rPr>
          <w:spacing w:val="62"/>
        </w:rPr>
        <w:t> </w:t>
      </w:r>
      <w:r>
        <w:rPr/>
        <w:t>ein</w:t>
      </w:r>
      <w:r>
        <w:rPr>
          <w:spacing w:val="63"/>
        </w:rPr>
        <w:t> </w:t>
      </w:r>
      <w:r>
        <w:rPr/>
        <w:t>breites</w:t>
      </w:r>
      <w:r>
        <w:rPr>
          <w:spacing w:val="64"/>
        </w:rPr>
        <w:t> </w:t>
      </w:r>
      <w:r>
        <w:rPr/>
        <w:t>Spektrum</w:t>
      </w:r>
      <w:r>
        <w:rPr>
          <w:spacing w:val="62"/>
        </w:rPr>
        <w:t> </w:t>
      </w:r>
      <w:r>
        <w:rPr/>
        <w:t>von</w:t>
      </w:r>
      <w:r>
        <w:rPr>
          <w:spacing w:val="63"/>
        </w:rPr>
        <w:t> </w:t>
      </w:r>
      <w:r>
        <w:rPr/>
        <w:t>Tätigkeiten</w:t>
      </w:r>
      <w:r>
        <w:rPr>
          <w:spacing w:val="61"/>
        </w:rPr>
        <w:t> </w:t>
      </w:r>
      <w:r>
        <w:rPr/>
        <w:t>im</w:t>
      </w:r>
      <w:r>
        <w:rPr>
          <w:spacing w:val="40"/>
        </w:rPr>
        <w:t> </w:t>
      </w:r>
      <w:r>
        <w:rPr/>
        <w:t>Bereich</w:t>
      </w:r>
      <w:r>
        <w:rPr>
          <w:spacing w:val="61"/>
        </w:rPr>
        <w:t> </w:t>
      </w:r>
      <w:r>
        <w:rPr/>
        <w:t>der</w:t>
      </w:r>
      <w:r>
        <w:rPr>
          <w:spacing w:val="64"/>
        </w:rPr>
        <w:t> </w:t>
      </w:r>
      <w:r>
        <w:rPr/>
        <w:t>Durchsetzung</w:t>
      </w:r>
      <w:r>
        <w:rPr>
          <w:spacing w:val="61"/>
        </w:rPr>
        <w:t> </w:t>
      </w:r>
      <w:r>
        <w:rPr/>
        <w:t>der</w:t>
      </w:r>
      <w:r>
        <w:rPr>
          <w:spacing w:val="64"/>
        </w:rPr>
        <w:t> </w:t>
      </w:r>
      <w:r>
        <w:rPr/>
        <w:t>EU- </w:t>
      </w:r>
      <w:r>
        <w:rPr>
          <w:spacing w:val="-2"/>
        </w:rPr>
        <w:t>Verbraucherschutzvorschriften.</w:t>
      </w:r>
    </w:p>
    <w:p>
      <w:pPr>
        <w:pStyle w:val="BodyText"/>
        <w:spacing w:before="1"/>
      </w:pPr>
    </w:p>
    <w:p>
      <w:pPr>
        <w:pStyle w:val="BodyText"/>
        <w:spacing w:line="252" w:lineRule="exact" w:before="1"/>
        <w:ind w:left="372"/>
      </w:pPr>
      <w:r>
        <w:rPr/>
        <w:t>Es</w:t>
      </w:r>
      <w:r>
        <w:rPr>
          <w:spacing w:val="-6"/>
        </w:rPr>
        <w:t> </w:t>
      </w:r>
      <w:r>
        <w:rPr/>
        <w:t>koordiniert</w:t>
      </w:r>
      <w:r>
        <w:rPr>
          <w:spacing w:val="-5"/>
        </w:rPr>
        <w:t> </w:t>
      </w:r>
      <w:r>
        <w:rPr/>
        <w:t>das</w:t>
      </w:r>
      <w:r>
        <w:rPr>
          <w:spacing w:val="-6"/>
        </w:rPr>
        <w:t> </w:t>
      </w:r>
      <w:r>
        <w:rPr/>
        <w:t>Netzwerk</w:t>
      </w:r>
      <w:r>
        <w:rPr>
          <w:spacing w:val="-8"/>
        </w:rPr>
        <w:t> </w:t>
      </w:r>
      <w:r>
        <w:rPr/>
        <w:t>der</w:t>
      </w:r>
      <w:r>
        <w:rPr>
          <w:spacing w:val="-5"/>
        </w:rPr>
        <w:t> </w:t>
      </w:r>
      <w:r>
        <w:rPr/>
        <w:t>nationalen</w:t>
      </w:r>
      <w:r>
        <w:rPr>
          <w:spacing w:val="-8"/>
        </w:rPr>
        <w:t> </w:t>
      </w:r>
      <w:r>
        <w:rPr/>
        <w:t>Verbraucherschutz-Durchführungsbehörden</w:t>
      </w:r>
      <w:r>
        <w:rPr>
          <w:spacing w:val="-7"/>
        </w:rPr>
        <w:t> </w:t>
      </w:r>
      <w:r>
        <w:rPr/>
        <w:t>im</w:t>
      </w:r>
      <w:r>
        <w:rPr>
          <w:spacing w:val="-10"/>
        </w:rPr>
        <w:t> </w:t>
      </w:r>
      <w:r>
        <w:rPr/>
        <w:t>Rahmen</w:t>
      </w:r>
      <w:r>
        <w:rPr>
          <w:spacing w:val="-5"/>
        </w:rPr>
        <w:t> der</w:t>
      </w:r>
    </w:p>
    <w:p>
      <w:pPr>
        <w:pStyle w:val="BodyText"/>
        <w:ind w:left="372" w:right="167"/>
      </w:pPr>
      <w:r>
        <w:rPr/>
        <w:t>‚Consumer Protection Cooperation‘ (CPC) Verordnung 2017/2394 um sicherzustellen, dass die Verbraucherrechtsgesetze im gesamten Binnenmarkt einheitlich angewandt und umgesetzt werden. Jedes Jahr identifiziert das CPC-Netzwerk der Behörden gemeinsame Durchsetzungsprioritäten und führt spezifische Tätigkeiten durch, wie zB: gemeinsame Durchsetzungsmaßnahmen, die verlangen, dass Händler, die in mehreren EU-Ländern tätig sind, die Geschäftspraktiken einstellen, die gegen das Verbraucherschutzrecht der Union verstoßen</w:t>
      </w:r>
      <w:r>
        <w:rPr>
          <w:spacing w:val="-1"/>
        </w:rPr>
        <w:t> </w:t>
      </w:r>
      <w:r>
        <w:rPr/>
        <w:t>-</w:t>
      </w:r>
      <w:r>
        <w:rPr>
          <w:spacing w:val="-6"/>
        </w:rPr>
        <w:t> </w:t>
      </w:r>
      <w:r>
        <w:rPr/>
        <w:t>dies</w:t>
      </w:r>
      <w:r>
        <w:rPr>
          <w:spacing w:val="-2"/>
        </w:rPr>
        <w:t> </w:t>
      </w:r>
      <w:r>
        <w:rPr/>
        <w:t>sind</w:t>
      </w:r>
      <w:r>
        <w:rPr>
          <w:spacing w:val="-2"/>
        </w:rPr>
        <w:t> </w:t>
      </w:r>
      <w:r>
        <w:rPr/>
        <w:t>hochkarätige</w:t>
      </w:r>
      <w:r>
        <w:rPr>
          <w:spacing w:val="-2"/>
        </w:rPr>
        <w:t> </w:t>
      </w:r>
      <w:r>
        <w:rPr/>
        <w:t>Fälle,</w:t>
      </w:r>
      <w:r>
        <w:rPr>
          <w:spacing w:val="-4"/>
        </w:rPr>
        <w:t> </w:t>
      </w:r>
      <w:r>
        <w:rPr/>
        <w:t>die</w:t>
      </w:r>
      <w:r>
        <w:rPr>
          <w:spacing w:val="-2"/>
        </w:rPr>
        <w:t> </w:t>
      </w:r>
      <w:r>
        <w:rPr/>
        <w:t>große</w:t>
      </w:r>
      <w:r>
        <w:rPr>
          <w:spacing w:val="-2"/>
        </w:rPr>
        <w:t> </w:t>
      </w:r>
      <w:r>
        <w:rPr/>
        <w:t>Branchenunternehmen</w:t>
      </w:r>
      <w:r>
        <w:rPr>
          <w:spacing w:val="-2"/>
        </w:rPr>
        <w:t> </w:t>
      </w:r>
      <w:r>
        <w:rPr/>
        <w:t>betreffen</w:t>
      </w:r>
      <w:r>
        <w:rPr>
          <w:spacing w:val="-2"/>
        </w:rPr>
        <w:t> </w:t>
      </w:r>
      <w:r>
        <w:rPr/>
        <w:t>;</w:t>
      </w:r>
      <w:r>
        <w:rPr>
          <w:spacing w:val="-1"/>
        </w:rPr>
        <w:t> </w:t>
      </w:r>
      <w:r>
        <w:rPr/>
        <w:t>und</w:t>
      </w:r>
      <w:r>
        <w:rPr>
          <w:spacing w:val="-5"/>
        </w:rPr>
        <w:t> </w:t>
      </w:r>
      <w:r>
        <w:rPr/>
        <w:t>"Sweeps" -</w:t>
      </w:r>
      <w:r>
        <w:rPr>
          <w:spacing w:val="-6"/>
        </w:rPr>
        <w:t> </w:t>
      </w:r>
      <w:r>
        <w:rPr/>
        <w:t>systematische Kontrollen, die gleichzeitig in verschiedenen Mitgliedstaaten durchgeführt werden, um Verstöße gegen das Verbraucherschutzrecht im jeweiligen Sektor zu untersuchen.</w:t>
      </w:r>
    </w:p>
    <w:p>
      <w:pPr>
        <w:pStyle w:val="BodyText"/>
      </w:pPr>
    </w:p>
    <w:p>
      <w:pPr>
        <w:pStyle w:val="BodyText"/>
        <w:ind w:left="372"/>
      </w:pPr>
      <w:r>
        <w:rPr/>
        <w:t>Das Referat verwaltet außerdem das Netzwerk der Europäischen Verbraucherzentren (ECC-Netzwerk) und das Netzwerk</w:t>
      </w:r>
      <w:r>
        <w:rPr>
          <w:spacing w:val="80"/>
        </w:rPr>
        <w:t> </w:t>
      </w:r>
      <w:r>
        <w:rPr/>
        <w:t>der</w:t>
      </w:r>
      <w:r>
        <w:rPr>
          <w:spacing w:val="80"/>
        </w:rPr>
        <w:t> </w:t>
      </w:r>
      <w:r>
        <w:rPr/>
        <w:t>Kontaktstellen</w:t>
      </w:r>
      <w:r>
        <w:rPr>
          <w:spacing w:val="80"/>
        </w:rPr>
        <w:t> </w:t>
      </w:r>
      <w:r>
        <w:rPr/>
        <w:t>für</w:t>
      </w:r>
      <w:r>
        <w:rPr>
          <w:spacing w:val="80"/>
        </w:rPr>
        <w:t> </w:t>
      </w:r>
      <w:r>
        <w:rPr/>
        <w:t>die</w:t>
      </w:r>
      <w:r>
        <w:rPr>
          <w:spacing w:val="80"/>
        </w:rPr>
        <w:t> </w:t>
      </w:r>
      <w:r>
        <w:rPr/>
        <w:t>Online-Streitbeilegung</w:t>
      </w:r>
      <w:r>
        <w:rPr>
          <w:spacing w:val="80"/>
        </w:rPr>
        <w:t> </w:t>
      </w:r>
      <w:r>
        <w:rPr/>
        <w:t>gemäß</w:t>
      </w:r>
      <w:r>
        <w:rPr>
          <w:spacing w:val="80"/>
        </w:rPr>
        <w:t> </w:t>
      </w:r>
      <w:r>
        <w:rPr/>
        <w:t>Verordnung</w:t>
      </w:r>
      <w:r>
        <w:rPr>
          <w:spacing w:val="80"/>
        </w:rPr>
        <w:t> </w:t>
      </w:r>
      <w:r>
        <w:rPr/>
        <w:t>(EG)</w:t>
      </w:r>
      <w:r>
        <w:rPr>
          <w:spacing w:val="80"/>
        </w:rPr>
        <w:t> </w:t>
      </w:r>
      <w:r>
        <w:rPr/>
        <w:t>Nr.</w:t>
      </w:r>
      <w:r>
        <w:rPr>
          <w:spacing w:val="80"/>
        </w:rPr>
        <w:t> </w:t>
      </w:r>
      <w:r>
        <w:rPr/>
        <w:t>524/2013</w:t>
      </w:r>
      <w:r>
        <w:rPr>
          <w:spacing w:val="80"/>
        </w:rPr>
        <w:t> </w:t>
      </w:r>
      <w:r>
        <w:rPr/>
        <w:t>(die</w:t>
      </w:r>
    </w:p>
    <w:p>
      <w:pPr>
        <w:pStyle w:val="BodyText"/>
        <w:spacing w:before="1"/>
        <w:ind w:left="372"/>
      </w:pPr>
      <w:r>
        <w:rPr/>
        <w:t>„ODRVerordnung“).</w:t>
      </w:r>
      <w:r>
        <w:rPr>
          <w:spacing w:val="-3"/>
        </w:rPr>
        <w:t> </w:t>
      </w:r>
      <w:r>
        <w:rPr/>
        <w:t>Es</w:t>
      </w:r>
      <w:r>
        <w:rPr>
          <w:spacing w:val="-3"/>
        </w:rPr>
        <w:t> </w:t>
      </w:r>
      <w:r>
        <w:rPr/>
        <w:t>verwaltet</w:t>
      </w:r>
      <w:r>
        <w:rPr>
          <w:spacing w:val="-4"/>
        </w:rPr>
        <w:t> </w:t>
      </w:r>
      <w:r>
        <w:rPr/>
        <w:t>ferner</w:t>
      </w:r>
      <w:r>
        <w:rPr>
          <w:spacing w:val="-3"/>
        </w:rPr>
        <w:t> </w:t>
      </w:r>
      <w:r>
        <w:rPr/>
        <w:t>die</w:t>
      </w:r>
      <w:r>
        <w:rPr>
          <w:spacing w:val="-3"/>
        </w:rPr>
        <w:t> </w:t>
      </w:r>
      <w:r>
        <w:rPr/>
        <w:t>Richtlinie</w:t>
      </w:r>
      <w:r>
        <w:rPr>
          <w:spacing w:val="-4"/>
        </w:rPr>
        <w:t> </w:t>
      </w:r>
      <w:r>
        <w:rPr/>
        <w:t>2013/11/EU</w:t>
      </w:r>
      <w:r>
        <w:rPr>
          <w:spacing w:val="-4"/>
        </w:rPr>
        <w:t> </w:t>
      </w:r>
      <w:r>
        <w:rPr/>
        <w:t>über</w:t>
      </w:r>
      <w:r>
        <w:rPr>
          <w:spacing w:val="-4"/>
        </w:rPr>
        <w:t> </w:t>
      </w:r>
      <w:r>
        <w:rPr/>
        <w:t>alternative</w:t>
      </w:r>
      <w:r>
        <w:rPr>
          <w:spacing w:val="-3"/>
        </w:rPr>
        <w:t> </w:t>
      </w:r>
      <w:r>
        <w:rPr/>
        <w:t>Streitbeilegung</w:t>
      </w:r>
      <w:r>
        <w:rPr>
          <w:spacing w:val="-5"/>
        </w:rPr>
        <w:t> </w:t>
      </w:r>
      <w:r>
        <w:rPr/>
        <w:t>(die</w:t>
      </w:r>
      <w:r>
        <w:rPr>
          <w:spacing w:val="-4"/>
        </w:rPr>
        <w:t> </w:t>
      </w:r>
      <w:r>
        <w:rPr/>
        <w:t>"ADR" - </w:t>
      </w:r>
      <w:r>
        <w:rPr>
          <w:spacing w:val="-2"/>
        </w:rPr>
        <w:t>Richtlinie).</w:t>
      </w:r>
    </w:p>
    <w:p>
      <w:pPr>
        <w:pStyle w:val="BodyText"/>
        <w:spacing w:before="11"/>
        <w:rPr>
          <w:sz w:val="21"/>
        </w:rPr>
      </w:pPr>
    </w:p>
    <w:p>
      <w:pPr>
        <w:pStyle w:val="BodyText"/>
        <w:ind w:left="372"/>
      </w:pPr>
      <w:r>
        <w:rPr/>
        <w:t>Eine der Hauptaufgaben des Referats ist es, die zunehmende Anzahl von hochkarätigen gemeinsamen Vollstreckungsfällen</w:t>
      </w:r>
      <w:r>
        <w:rPr>
          <w:spacing w:val="-3"/>
        </w:rPr>
        <w:t> </w:t>
      </w:r>
      <w:r>
        <w:rPr/>
        <w:t>zu</w:t>
      </w:r>
      <w:r>
        <w:rPr>
          <w:spacing w:val="-3"/>
        </w:rPr>
        <w:t> </w:t>
      </w:r>
      <w:r>
        <w:rPr/>
        <w:t>bewältigen,</w:t>
      </w:r>
      <w:r>
        <w:rPr>
          <w:spacing w:val="-3"/>
        </w:rPr>
        <w:t> </w:t>
      </w:r>
      <w:r>
        <w:rPr/>
        <w:t>die</w:t>
      </w:r>
      <w:r>
        <w:rPr>
          <w:spacing w:val="-3"/>
        </w:rPr>
        <w:t> </w:t>
      </w:r>
      <w:r>
        <w:rPr/>
        <w:t>z.B.</w:t>
      </w:r>
      <w:r>
        <w:rPr>
          <w:spacing w:val="-3"/>
        </w:rPr>
        <w:t> </w:t>
      </w:r>
      <w:r>
        <w:rPr/>
        <w:t>große</w:t>
      </w:r>
      <w:r>
        <w:rPr>
          <w:spacing w:val="-3"/>
        </w:rPr>
        <w:t> </w:t>
      </w:r>
      <w:r>
        <w:rPr/>
        <w:t>Online-Plattformen</w:t>
      </w:r>
      <w:r>
        <w:rPr>
          <w:spacing w:val="-3"/>
        </w:rPr>
        <w:t> </w:t>
      </w:r>
      <w:r>
        <w:rPr/>
        <w:t>oder</w:t>
      </w:r>
      <w:r>
        <w:rPr>
          <w:spacing w:val="-3"/>
        </w:rPr>
        <w:t> </w:t>
      </w:r>
      <w:r>
        <w:rPr/>
        <w:t>Reiseunternehmen</w:t>
      </w:r>
      <w:r>
        <w:rPr>
          <w:spacing w:val="-3"/>
        </w:rPr>
        <w:t> </w:t>
      </w:r>
      <w:r>
        <w:rPr/>
        <w:t>betreffen.</w:t>
      </w:r>
      <w:r>
        <w:rPr>
          <w:spacing w:val="-3"/>
        </w:rPr>
        <w:t> </w:t>
      </w:r>
      <w:r>
        <w:rPr/>
        <w:t>Die</w:t>
      </w:r>
      <w:r>
        <w:rPr>
          <w:spacing w:val="-5"/>
        </w:rPr>
        <w:t> </w:t>
      </w:r>
      <w:r>
        <w:rPr/>
        <w:t>Rolle der Kommission im Rahmen dieser Verordnung ist bedeutend, da sie gemeinsame Maßnahmen einleiten und koordinieren kann.</w:t>
      </w:r>
    </w:p>
    <w:p>
      <w:pPr>
        <w:pStyle w:val="BodyText"/>
        <w:spacing w:before="7"/>
        <w:rPr>
          <w:sz w:val="18"/>
        </w:rPr>
      </w:pPr>
      <w:r>
        <w:rPr/>
        <w:pict>
          <v:rect style="position:absolute;margin-left:42.599998pt;margin-top:11.901085pt;width:144.020pt;height:.60004pt;mso-position-horizontal-relative:page;mso-position-vertical-relative:paragraph;z-index:-15728640;mso-wrap-distance-left:0;mso-wrap-distance-right:0" id="docshape3" filled="true" fillcolor="#000000" stroked="false">
            <v:fill type="solid"/>
            <w10:wrap type="topAndBottom"/>
          </v:rect>
        </w:pict>
      </w:r>
    </w:p>
    <w:p>
      <w:pPr>
        <w:spacing w:before="103"/>
        <w:ind w:left="372" w:right="1290"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34"/>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spacing w:before="68"/>
        <w:ind w:left="372" w:right="114" w:firstLine="0"/>
        <w:jc w:val="both"/>
        <w:rPr>
          <w:sz w:val="24"/>
        </w:rPr>
      </w:pPr>
      <w:r>
        <w:rPr>
          <w:sz w:val="24"/>
        </w:rPr>
        <w:t>Der</w:t>
      </w:r>
      <w:r>
        <w:rPr>
          <w:sz w:val="24"/>
        </w:rPr>
        <w:t> erfolgreiche</w:t>
      </w:r>
      <w:r>
        <w:rPr>
          <w:sz w:val="24"/>
        </w:rPr>
        <w:t> Bewerber/die</w:t>
      </w:r>
      <w:r>
        <w:rPr>
          <w:sz w:val="24"/>
        </w:rPr>
        <w:t> erfolgreiche</w:t>
      </w:r>
      <w:r>
        <w:rPr>
          <w:sz w:val="24"/>
        </w:rPr>
        <w:t> Bewerberin</w:t>
      </w:r>
      <w:r>
        <w:rPr>
          <w:sz w:val="24"/>
        </w:rPr>
        <w:t> wird</w:t>
      </w:r>
      <w:r>
        <w:rPr>
          <w:sz w:val="24"/>
        </w:rPr>
        <w:t> unter</w:t>
      </w:r>
      <w:r>
        <w:rPr>
          <w:sz w:val="24"/>
        </w:rPr>
        <w:t> der</w:t>
      </w:r>
      <w:r>
        <w:rPr>
          <w:sz w:val="24"/>
        </w:rPr>
        <w:t> Aufsicht eines Beamten der Kommission arbeiten und wird an der Vorbereitung und Durchführung gemeinsamer Vollstreckungsmaßnahmen im Rahmen der CPC-Verordnung beteiligt sein.</w:t>
      </w:r>
    </w:p>
    <w:p>
      <w:pPr>
        <w:pStyle w:val="BodyText"/>
        <w:spacing w:before="1"/>
        <w:rPr>
          <w:sz w:val="24"/>
        </w:rPr>
      </w:pPr>
    </w:p>
    <w:p>
      <w:pPr>
        <w:spacing w:before="0"/>
        <w:ind w:left="372" w:right="167" w:firstLine="0"/>
        <w:jc w:val="left"/>
        <w:rPr>
          <w:sz w:val="24"/>
        </w:rPr>
      </w:pPr>
      <w:r>
        <w:rPr>
          <w:sz w:val="24"/>
        </w:rPr>
        <w:t>Die Aufgaben des Sachverständigen werden an seinen spezifischen Hintergrund angepasst und umfassen:1)</w:t>
      </w:r>
      <w:r>
        <w:rPr>
          <w:spacing w:val="-3"/>
          <w:sz w:val="24"/>
        </w:rPr>
        <w:t> </w:t>
      </w:r>
      <w:r>
        <w:rPr>
          <w:sz w:val="24"/>
        </w:rPr>
        <w:t>Beitrag</w:t>
      </w:r>
      <w:r>
        <w:rPr>
          <w:spacing w:val="-7"/>
          <w:sz w:val="24"/>
        </w:rPr>
        <w:t> </w:t>
      </w:r>
      <w:r>
        <w:rPr>
          <w:sz w:val="24"/>
        </w:rPr>
        <w:t>zu</w:t>
      </w:r>
      <w:r>
        <w:rPr>
          <w:spacing w:val="-4"/>
          <w:sz w:val="24"/>
        </w:rPr>
        <w:t> </w:t>
      </w:r>
      <w:r>
        <w:rPr>
          <w:sz w:val="24"/>
        </w:rPr>
        <w:t>koordinierten</w:t>
      </w:r>
      <w:r>
        <w:rPr>
          <w:spacing w:val="-4"/>
          <w:sz w:val="24"/>
        </w:rPr>
        <w:t> </w:t>
      </w:r>
      <w:r>
        <w:rPr>
          <w:sz w:val="24"/>
        </w:rPr>
        <w:t>Durchsetzungsmaßnahmen</w:t>
      </w:r>
      <w:r>
        <w:rPr>
          <w:spacing w:val="-4"/>
          <w:sz w:val="24"/>
        </w:rPr>
        <w:t> </w:t>
      </w:r>
      <w:r>
        <w:rPr>
          <w:sz w:val="24"/>
        </w:rPr>
        <w:t>im</w:t>
      </w:r>
      <w:r>
        <w:rPr>
          <w:spacing w:val="-4"/>
          <w:sz w:val="24"/>
        </w:rPr>
        <w:t> </w:t>
      </w:r>
      <w:r>
        <w:rPr>
          <w:sz w:val="24"/>
        </w:rPr>
        <w:t>Rahmen</w:t>
      </w:r>
      <w:r>
        <w:rPr>
          <w:spacing w:val="-4"/>
          <w:sz w:val="24"/>
        </w:rPr>
        <w:t> </w:t>
      </w:r>
      <w:r>
        <w:rPr>
          <w:sz w:val="24"/>
        </w:rPr>
        <w:t>der</w:t>
      </w:r>
      <w:r>
        <w:rPr>
          <w:spacing w:val="-4"/>
          <w:sz w:val="24"/>
        </w:rPr>
        <w:t> </w:t>
      </w:r>
      <w:r>
        <w:rPr>
          <w:sz w:val="24"/>
        </w:rPr>
        <w:t>neuenCPC-Verordnung und insbesondere:</w:t>
      </w:r>
    </w:p>
    <w:p>
      <w:pPr>
        <w:pStyle w:val="ListParagraph"/>
        <w:numPr>
          <w:ilvl w:val="0"/>
          <w:numId w:val="7"/>
        </w:numPr>
        <w:tabs>
          <w:tab w:pos="1092" w:val="left" w:leader="none"/>
          <w:tab w:pos="1093" w:val="left" w:leader="none"/>
        </w:tabs>
        <w:spacing w:line="240" w:lineRule="auto" w:before="0" w:after="0"/>
        <w:ind w:left="1092" w:right="0" w:hanging="361"/>
        <w:jc w:val="left"/>
        <w:rPr>
          <w:sz w:val="24"/>
        </w:rPr>
      </w:pPr>
      <w:r>
        <w:rPr>
          <w:sz w:val="24"/>
        </w:rPr>
        <w:t>Rechtliche</w:t>
      </w:r>
      <w:r>
        <w:rPr>
          <w:spacing w:val="-8"/>
          <w:sz w:val="24"/>
        </w:rPr>
        <w:t> </w:t>
      </w:r>
      <w:r>
        <w:rPr>
          <w:sz w:val="24"/>
        </w:rPr>
        <w:t>Bewertung</w:t>
      </w:r>
      <w:r>
        <w:rPr>
          <w:spacing w:val="-8"/>
          <w:sz w:val="24"/>
        </w:rPr>
        <w:t> </w:t>
      </w:r>
      <w:r>
        <w:rPr>
          <w:sz w:val="24"/>
        </w:rPr>
        <w:t>spezifischer</w:t>
      </w:r>
      <w:r>
        <w:rPr>
          <w:spacing w:val="-4"/>
          <w:sz w:val="24"/>
        </w:rPr>
        <w:t> </w:t>
      </w:r>
      <w:r>
        <w:rPr>
          <w:sz w:val="24"/>
        </w:rPr>
        <w:t>weitverbreiteter</w:t>
      </w:r>
      <w:r>
        <w:rPr>
          <w:spacing w:val="-5"/>
          <w:sz w:val="24"/>
        </w:rPr>
        <w:t> </w:t>
      </w:r>
      <w:r>
        <w:rPr>
          <w:sz w:val="24"/>
        </w:rPr>
        <w:t>Verstöße</w:t>
      </w:r>
      <w:r>
        <w:rPr>
          <w:spacing w:val="-4"/>
          <w:sz w:val="24"/>
        </w:rPr>
        <w:t> </w:t>
      </w:r>
      <w:r>
        <w:rPr>
          <w:sz w:val="24"/>
        </w:rPr>
        <w:t>gegen</w:t>
      </w:r>
      <w:r>
        <w:rPr>
          <w:spacing w:val="-5"/>
          <w:sz w:val="24"/>
        </w:rPr>
        <w:t> </w:t>
      </w:r>
      <w:r>
        <w:rPr>
          <w:sz w:val="24"/>
        </w:rPr>
        <w:t>das</w:t>
      </w:r>
      <w:r>
        <w:rPr>
          <w:spacing w:val="-5"/>
          <w:sz w:val="24"/>
        </w:rPr>
        <w:t> </w:t>
      </w:r>
      <w:r>
        <w:rPr>
          <w:sz w:val="24"/>
        </w:rPr>
        <w:t>EU-</w:t>
      </w:r>
      <w:r>
        <w:rPr>
          <w:spacing w:val="-2"/>
          <w:sz w:val="24"/>
        </w:rPr>
        <w:t>Verbraucherrecht</w:t>
      </w:r>
    </w:p>
    <w:p>
      <w:pPr>
        <w:pStyle w:val="ListParagraph"/>
        <w:numPr>
          <w:ilvl w:val="0"/>
          <w:numId w:val="7"/>
        </w:numPr>
        <w:tabs>
          <w:tab w:pos="1092" w:val="left" w:leader="none"/>
          <w:tab w:pos="1093" w:val="left" w:leader="none"/>
        </w:tabs>
        <w:spacing w:line="240" w:lineRule="auto" w:before="0" w:after="0"/>
        <w:ind w:left="1092" w:right="923" w:hanging="361"/>
        <w:jc w:val="left"/>
        <w:rPr>
          <w:sz w:val="24"/>
        </w:rPr>
      </w:pPr>
      <w:r>
        <w:rPr>
          <w:sz w:val="24"/>
        </w:rPr>
        <w:t>Unterstützung</w:t>
      </w:r>
      <w:r>
        <w:rPr>
          <w:spacing w:val="40"/>
          <w:sz w:val="24"/>
        </w:rPr>
        <w:t> </w:t>
      </w:r>
      <w:r>
        <w:rPr>
          <w:sz w:val="24"/>
        </w:rPr>
        <w:t>der</w:t>
      </w:r>
      <w:r>
        <w:rPr>
          <w:spacing w:val="40"/>
          <w:sz w:val="24"/>
        </w:rPr>
        <w:t> </w:t>
      </w:r>
      <w:r>
        <w:rPr>
          <w:sz w:val="24"/>
        </w:rPr>
        <w:t>Arbeitsgruppe</w:t>
      </w:r>
      <w:r>
        <w:rPr>
          <w:spacing w:val="40"/>
          <w:sz w:val="24"/>
        </w:rPr>
        <w:t> </w:t>
      </w:r>
      <w:r>
        <w:rPr>
          <w:sz w:val="24"/>
        </w:rPr>
        <w:t>der</w:t>
      </w:r>
      <w:r>
        <w:rPr>
          <w:spacing w:val="40"/>
          <w:sz w:val="24"/>
        </w:rPr>
        <w:t> </w:t>
      </w:r>
      <w:r>
        <w:rPr>
          <w:sz w:val="24"/>
        </w:rPr>
        <w:t>CPC-Priorität,</w:t>
      </w:r>
      <w:r>
        <w:rPr>
          <w:spacing w:val="40"/>
          <w:sz w:val="24"/>
        </w:rPr>
        <w:t> </w:t>
      </w:r>
      <w:r>
        <w:rPr>
          <w:sz w:val="24"/>
        </w:rPr>
        <w:t>die</w:t>
      </w:r>
      <w:r>
        <w:rPr>
          <w:spacing w:val="40"/>
          <w:sz w:val="24"/>
        </w:rPr>
        <w:t> </w:t>
      </w:r>
      <w:r>
        <w:rPr>
          <w:sz w:val="24"/>
        </w:rPr>
        <w:t>Markt-überwachungsaufgaben durchführt,</w:t>
      </w:r>
      <w:r>
        <w:rPr>
          <w:spacing w:val="40"/>
          <w:sz w:val="24"/>
        </w:rPr>
        <w:t> </w:t>
      </w:r>
      <w:r>
        <w:rPr>
          <w:sz w:val="24"/>
        </w:rPr>
        <w:t>um</w:t>
      </w:r>
      <w:r>
        <w:rPr>
          <w:spacing w:val="40"/>
          <w:sz w:val="24"/>
        </w:rPr>
        <w:t> </w:t>
      </w:r>
      <w:r>
        <w:rPr>
          <w:sz w:val="24"/>
        </w:rPr>
        <w:t>weit verbreitete illegale Praktiken in der gesamten EU zu ermitteln</w:t>
      </w:r>
    </w:p>
    <w:p>
      <w:pPr>
        <w:pStyle w:val="ListParagraph"/>
        <w:numPr>
          <w:ilvl w:val="0"/>
          <w:numId w:val="7"/>
        </w:numPr>
        <w:tabs>
          <w:tab w:pos="1092" w:val="left" w:leader="none"/>
          <w:tab w:pos="1093" w:val="left" w:leader="none"/>
        </w:tabs>
        <w:spacing w:line="240" w:lineRule="auto" w:before="0" w:after="0"/>
        <w:ind w:left="1092" w:right="0" w:hanging="361"/>
        <w:jc w:val="left"/>
        <w:rPr>
          <w:sz w:val="24"/>
        </w:rPr>
      </w:pPr>
      <w:r>
        <w:rPr>
          <w:sz w:val="24"/>
        </w:rPr>
        <w:t>Beitrag</w:t>
      </w:r>
      <w:r>
        <w:rPr>
          <w:spacing w:val="-10"/>
          <w:sz w:val="24"/>
        </w:rPr>
        <w:t> </w:t>
      </w:r>
      <w:r>
        <w:rPr>
          <w:sz w:val="24"/>
        </w:rPr>
        <w:t>zu</w:t>
      </w:r>
      <w:r>
        <w:rPr>
          <w:spacing w:val="-7"/>
          <w:sz w:val="24"/>
        </w:rPr>
        <w:t> </w:t>
      </w:r>
      <w:r>
        <w:rPr>
          <w:sz w:val="24"/>
        </w:rPr>
        <w:t>rechtlichen</w:t>
      </w:r>
      <w:r>
        <w:rPr>
          <w:spacing w:val="-7"/>
          <w:sz w:val="24"/>
        </w:rPr>
        <w:t> </w:t>
      </w:r>
      <w:r>
        <w:rPr>
          <w:sz w:val="24"/>
        </w:rPr>
        <w:t>und</w:t>
      </w:r>
      <w:r>
        <w:rPr>
          <w:spacing w:val="-7"/>
          <w:sz w:val="24"/>
        </w:rPr>
        <w:t> </w:t>
      </w:r>
      <w:r>
        <w:rPr>
          <w:sz w:val="24"/>
        </w:rPr>
        <w:t>/</w:t>
      </w:r>
      <w:r>
        <w:rPr>
          <w:spacing w:val="-7"/>
          <w:sz w:val="24"/>
        </w:rPr>
        <w:t> </w:t>
      </w:r>
      <w:r>
        <w:rPr>
          <w:sz w:val="24"/>
        </w:rPr>
        <w:t>oder</w:t>
      </w:r>
      <w:r>
        <w:rPr>
          <w:spacing w:val="-9"/>
          <w:sz w:val="24"/>
        </w:rPr>
        <w:t> </w:t>
      </w:r>
      <w:r>
        <w:rPr>
          <w:sz w:val="24"/>
        </w:rPr>
        <w:t>ökonomischen</w:t>
      </w:r>
      <w:r>
        <w:rPr>
          <w:spacing w:val="-6"/>
          <w:sz w:val="24"/>
        </w:rPr>
        <w:t> </w:t>
      </w:r>
      <w:r>
        <w:rPr>
          <w:spacing w:val="-2"/>
          <w:sz w:val="24"/>
        </w:rPr>
        <w:t>Studien</w:t>
      </w:r>
    </w:p>
    <w:p>
      <w:pPr>
        <w:pStyle w:val="ListParagraph"/>
        <w:numPr>
          <w:ilvl w:val="0"/>
          <w:numId w:val="7"/>
        </w:numPr>
        <w:tabs>
          <w:tab w:pos="1092" w:val="left" w:leader="none"/>
          <w:tab w:pos="1093" w:val="left" w:leader="none"/>
        </w:tabs>
        <w:spacing w:line="240" w:lineRule="auto" w:before="0" w:after="0"/>
        <w:ind w:left="1092" w:right="468" w:hanging="361"/>
        <w:jc w:val="left"/>
        <w:rPr>
          <w:sz w:val="24"/>
        </w:rPr>
      </w:pPr>
      <w:r>
        <w:rPr>
          <w:sz w:val="24"/>
        </w:rPr>
        <w:t>Durchführung</w:t>
      </w:r>
      <w:r>
        <w:rPr>
          <w:spacing w:val="-8"/>
          <w:sz w:val="24"/>
        </w:rPr>
        <w:t> </w:t>
      </w:r>
      <w:r>
        <w:rPr>
          <w:sz w:val="24"/>
        </w:rPr>
        <w:t>von</w:t>
      </w:r>
      <w:r>
        <w:rPr>
          <w:spacing w:val="-5"/>
          <w:sz w:val="24"/>
        </w:rPr>
        <w:t> </w:t>
      </w:r>
      <w:r>
        <w:rPr>
          <w:sz w:val="24"/>
        </w:rPr>
        <w:t>Kapazitätsaufbau-Workshops</w:t>
      </w:r>
      <w:r>
        <w:rPr>
          <w:spacing w:val="-4"/>
          <w:sz w:val="24"/>
        </w:rPr>
        <w:t> </w:t>
      </w:r>
      <w:r>
        <w:rPr>
          <w:sz w:val="24"/>
        </w:rPr>
        <w:t>und</w:t>
      </w:r>
      <w:r>
        <w:rPr>
          <w:spacing w:val="-4"/>
          <w:sz w:val="24"/>
        </w:rPr>
        <w:t> </w:t>
      </w:r>
      <w:r>
        <w:rPr>
          <w:sz w:val="24"/>
        </w:rPr>
        <w:t>-Dienstreisen,</w:t>
      </w:r>
      <w:r>
        <w:rPr>
          <w:spacing w:val="-4"/>
          <w:sz w:val="24"/>
        </w:rPr>
        <w:t> </w:t>
      </w:r>
      <w:r>
        <w:rPr>
          <w:sz w:val="24"/>
        </w:rPr>
        <w:t>um</w:t>
      </w:r>
      <w:r>
        <w:rPr>
          <w:spacing w:val="-4"/>
          <w:sz w:val="24"/>
        </w:rPr>
        <w:t> </w:t>
      </w:r>
      <w:r>
        <w:rPr>
          <w:sz w:val="24"/>
        </w:rPr>
        <w:t>die</w:t>
      </w:r>
      <w:r>
        <w:rPr>
          <w:spacing w:val="-3"/>
          <w:sz w:val="24"/>
        </w:rPr>
        <w:t> </w:t>
      </w:r>
      <w:r>
        <w:rPr>
          <w:sz w:val="24"/>
        </w:rPr>
        <w:t>Mitgliedstaaten</w:t>
      </w:r>
      <w:r>
        <w:rPr>
          <w:spacing w:val="-4"/>
          <w:sz w:val="24"/>
        </w:rPr>
        <w:t> </w:t>
      </w:r>
      <w:r>
        <w:rPr>
          <w:sz w:val="24"/>
        </w:rPr>
        <w:t>bei der Anwendung der neuen Mechanismen und Befugnisse zu unterstützen.</w:t>
      </w:r>
    </w:p>
    <w:p>
      <w:pPr>
        <w:pStyle w:val="BodyText"/>
        <w:spacing w:before="7"/>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6"/>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2"/>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9"/>
        <w:rPr>
          <w:sz w:val="21"/>
        </w:rPr>
      </w:pPr>
    </w:p>
    <w:p>
      <w:pPr>
        <w:pStyle w:val="ListParagraph"/>
        <w:numPr>
          <w:ilvl w:val="2"/>
          <w:numId w:val="6"/>
        </w:numPr>
        <w:tabs>
          <w:tab w:pos="1081" w:val="left" w:leader="none"/>
        </w:tabs>
        <w:spacing w:line="240" w:lineRule="auto" w:before="1"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6"/>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6"/>
        </w:numPr>
        <w:tabs>
          <w:tab w:pos="1081" w:val="left" w:leader="none"/>
        </w:tabs>
        <w:spacing w:line="240" w:lineRule="auto" w:before="0" w:after="0"/>
        <w:ind w:left="1080" w:right="110"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6"/>
        </w:numPr>
        <w:tabs>
          <w:tab w:pos="1081" w:val="left" w:leader="none"/>
        </w:tabs>
        <w:spacing w:line="240" w:lineRule="auto" w:before="1"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0"/>
          <w:numId w:val="8"/>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8"/>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spacing w:line="253" w:lineRule="exact"/>
        <w:ind w:left="1190"/>
      </w:pPr>
      <w:r>
        <w:rPr/>
        <w:t>im</w:t>
      </w:r>
      <w:r>
        <w:rPr>
          <w:spacing w:val="-6"/>
        </w:rPr>
        <w:t> </w:t>
      </w:r>
      <w:r>
        <w:rPr>
          <w:spacing w:val="-2"/>
        </w:rPr>
        <w:t>Bereich:</w:t>
      </w:r>
    </w:p>
    <w:p>
      <w:pPr>
        <w:spacing w:line="276" w:lineRule="exact" w:before="0"/>
        <w:ind w:left="1080" w:right="0" w:firstLine="0"/>
        <w:jc w:val="left"/>
        <w:rPr>
          <w:sz w:val="24"/>
        </w:rPr>
      </w:pPr>
      <w:r>
        <w:rPr>
          <w:sz w:val="24"/>
        </w:rPr>
        <w:t>Verwaltung,</w:t>
      </w:r>
      <w:r>
        <w:rPr>
          <w:spacing w:val="-4"/>
          <w:sz w:val="24"/>
        </w:rPr>
        <w:t> </w:t>
      </w:r>
      <w:r>
        <w:rPr>
          <w:sz w:val="24"/>
        </w:rPr>
        <w:t>Recht,</w:t>
      </w:r>
      <w:r>
        <w:rPr>
          <w:spacing w:val="-4"/>
          <w:sz w:val="24"/>
        </w:rPr>
        <w:t> </w:t>
      </w:r>
      <w:r>
        <w:rPr>
          <w:sz w:val="24"/>
        </w:rPr>
        <w:t>Wirtschaft</w:t>
      </w:r>
      <w:r>
        <w:rPr>
          <w:spacing w:val="-3"/>
          <w:sz w:val="24"/>
        </w:rPr>
        <w:t> </w:t>
      </w:r>
      <w:r>
        <w:rPr>
          <w:sz w:val="24"/>
        </w:rPr>
        <w:t>oder</w:t>
      </w:r>
      <w:r>
        <w:rPr>
          <w:spacing w:val="-4"/>
          <w:sz w:val="24"/>
        </w:rPr>
        <w:t> </w:t>
      </w:r>
      <w:r>
        <w:rPr>
          <w:spacing w:val="-2"/>
          <w:sz w:val="24"/>
        </w:rPr>
        <w:t>Politikwissenschaft</w:t>
      </w:r>
    </w:p>
    <w:p>
      <w:pPr>
        <w:pStyle w:val="BodyText"/>
      </w:pPr>
    </w:p>
    <w:p>
      <w:pPr>
        <w:pStyle w:val="BodyText"/>
        <w:spacing w:before="1"/>
        <w:ind w:left="1080"/>
      </w:pPr>
      <w:r>
        <w:rPr>
          <w:spacing w:val="-2"/>
          <w:u w:val="single"/>
        </w:rPr>
        <w:t>Berufserfahrung</w:t>
      </w:r>
    </w:p>
    <w:p>
      <w:pPr>
        <w:pStyle w:val="BodyText"/>
      </w:pPr>
    </w:p>
    <w:p>
      <w:pPr>
        <w:spacing w:line="240" w:lineRule="auto" w:before="1"/>
        <w:ind w:left="1080" w:right="168" w:firstLine="0"/>
        <w:jc w:val="both"/>
        <w:rPr>
          <w:sz w:val="24"/>
        </w:rPr>
      </w:pPr>
      <w:r>
        <w:rPr>
          <w:sz w:val="24"/>
        </w:rPr>
        <w:t>Arbeit in einer öffentlichen Stelle (Ministerium,</w:t>
      </w:r>
      <w:r>
        <w:rPr>
          <w:sz w:val="24"/>
        </w:rPr>
        <w:t> lokale</w:t>
      </w:r>
      <w:r>
        <w:rPr>
          <w:sz w:val="24"/>
        </w:rPr>
        <w:t> Verwaltung, Agentur) oder in einer Nichtregierungsorganisation, der von einer öffentlichen Stelle Aufgaben übertragen wurden, die jeweils für die Politikentwicklung und/oder Durchsetzung von Verbrauchervorschriften oder Rechtsbeistand von Verbrauchern zuständig ist. Erfahrung mit zumindest einigen der folgenden Aufgaben: Rechtsberatung, Ermittlung, Verfolgung, Politikentwicklung, internationale Zusammenarbeit, Umsetzung und Durchsetzung von EU-Rechtsvorschriften.</w:t>
      </w:r>
    </w:p>
    <w:p>
      <w:pPr>
        <w:spacing w:after="0" w:line="240" w:lineRule="auto"/>
        <w:jc w:val="both"/>
        <w:rPr>
          <w:sz w:val="24"/>
        </w:rPr>
        <w:sectPr>
          <w:pgSz w:w="11910" w:h="16840"/>
          <w:pgMar w:header="0" w:footer="690" w:top="1040" w:bottom="880" w:left="480" w:right="740"/>
        </w:sectPr>
      </w:pPr>
    </w:p>
    <w:p>
      <w:pPr>
        <w:pStyle w:val="BodyText"/>
        <w:spacing w:before="68"/>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pPr>
    </w:p>
    <w:p>
      <w:pPr>
        <w:spacing w:before="0"/>
        <w:ind w:left="1080" w:right="0" w:firstLine="0"/>
        <w:jc w:val="left"/>
        <w:rPr>
          <w:sz w:val="24"/>
        </w:rPr>
      </w:pPr>
      <w:r>
        <w:rPr>
          <w:spacing w:val="-2"/>
          <w:sz w:val="24"/>
        </w:rPr>
        <w:t>Englisch</w:t>
      </w:r>
    </w:p>
    <w:p>
      <w:pPr>
        <w:pStyle w:val="BodyText"/>
        <w:rPr>
          <w:sz w:val="26"/>
        </w:rPr>
      </w:pPr>
    </w:p>
    <w:p>
      <w:pPr>
        <w:pStyle w:val="ListParagraph"/>
        <w:numPr>
          <w:ilvl w:val="0"/>
          <w:numId w:val="6"/>
        </w:numPr>
        <w:tabs>
          <w:tab w:pos="799" w:val="left" w:leader="none"/>
          <w:tab w:pos="800" w:val="left" w:leader="none"/>
        </w:tabs>
        <w:spacing w:line="240" w:lineRule="auto" w:before="213"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w:t>
      </w:r>
      <w:r>
        <w:rPr>
          <w:b/>
          <w:spacing w:val="40"/>
          <w:sz w:val="22"/>
          <w:u w:val="single"/>
        </w:rPr>
        <w:t> </w:t>
      </w:r>
      <w:r>
        <w:rPr>
          <w:b/>
          <w:sz w:val="22"/>
          <w:u w:val="single"/>
        </w:rPr>
        <w:t>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7"/>
          <w:sz w:val="24"/>
          <w:u w:val="single"/>
        </w:rPr>
        <w:t> </w:t>
      </w:r>
      <w:r>
        <w:rPr>
          <w:b/>
          <w:sz w:val="24"/>
          <w:u w:val="single"/>
        </w:rPr>
        <w:t>die</w:t>
      </w:r>
      <w:r>
        <w:rPr>
          <w:b/>
          <w:spacing w:val="-9"/>
          <w:sz w:val="24"/>
          <w:u w:val="single"/>
        </w:rPr>
        <w:t> </w:t>
      </w:r>
      <w:r>
        <w:rPr>
          <w:b/>
          <w:sz w:val="24"/>
          <w:u w:val="single"/>
        </w:rPr>
        <w:t>Abordnung</w:t>
      </w:r>
      <w:r>
        <w:rPr>
          <w:b/>
          <w:spacing w:val="-7"/>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1"/>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spacing w:before="1"/>
        <w:ind w:left="799"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3"/>
        </w:rPr>
        <w:t> </w:t>
      </w:r>
      <w:r>
        <w:rPr/>
        <w:t>oder</w:t>
      </w:r>
      <w:r>
        <w:rPr>
          <w:spacing w:val="-5"/>
        </w:rPr>
        <w:t> </w:t>
      </w:r>
      <w:r>
        <w:rPr/>
        <w:t>falschen</w:t>
      </w:r>
      <w:r>
        <w:rPr>
          <w:spacing w:val="-3"/>
        </w:rPr>
        <w:t> </w:t>
      </w:r>
      <w:r>
        <w:rPr/>
        <w:t>Angaben</w:t>
      </w:r>
      <w:r>
        <w:rPr>
          <w:spacing w:val="-4"/>
        </w:rPr>
        <w:t> </w:t>
      </w:r>
      <w:r>
        <w:rPr/>
        <w:t>kann</w:t>
      </w:r>
      <w:r>
        <w:rPr>
          <w:spacing w:val="-3"/>
        </w:rPr>
        <w:t> </w:t>
      </w:r>
      <w:r>
        <w:rPr/>
        <w:t>die</w:t>
      </w:r>
      <w:r>
        <w:rPr>
          <w:spacing w:val="-3"/>
        </w:rPr>
        <w:t> </w:t>
      </w:r>
      <w:r>
        <w:rPr/>
        <w:t>Bewerbung</w:t>
      </w:r>
      <w:r>
        <w:rPr>
          <w:spacing w:val="-5"/>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7"/>
        <w:rPr>
          <w:sz w:val="24"/>
        </w:rPr>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spacing w:after="0"/>
        <w:jc w:val="both"/>
        <w:sectPr>
          <w:pgSz w:w="11910" w:h="16840"/>
          <w:pgMar w:header="0" w:footer="690" w:top="1040" w:bottom="880" w:left="480" w:right="740"/>
        </w:sectPr>
      </w:pPr>
    </w:p>
    <w:p>
      <w:pPr>
        <w:pStyle w:val="BodyText"/>
        <w:spacing w:before="68"/>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6"/>
      </w:pPr>
    </w:p>
    <w:p>
      <w:pPr>
        <w:pStyle w:val="Heading1"/>
        <w:spacing w:line="251" w:lineRule="exact"/>
        <w:ind w:left="799" w:firstLine="0"/>
      </w:pPr>
      <w:r>
        <w:rPr>
          <w:spacing w:val="-2"/>
          <w:u w:val="single"/>
        </w:rPr>
        <w:t>Kontaktinformationen</w:t>
      </w:r>
    </w:p>
    <w:p>
      <w:pPr>
        <w:pStyle w:val="ListParagraph"/>
        <w:numPr>
          <w:ilvl w:val="0"/>
          <w:numId w:val="9"/>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67"/>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rPr>
          <w:sz w:val="14"/>
        </w:rPr>
      </w:pPr>
    </w:p>
    <w:p>
      <w:pPr>
        <w:pStyle w:val="Heading1"/>
        <w:numPr>
          <w:ilvl w:val="0"/>
          <w:numId w:val="9"/>
        </w:numPr>
        <w:tabs>
          <w:tab w:pos="1080" w:val="left" w:leader="none"/>
          <w:tab w:pos="1081" w:val="left" w:leader="none"/>
        </w:tabs>
        <w:spacing w:line="252" w:lineRule="exact"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67"/>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9"/>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694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884" w:hanging="363"/>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2250" w:hanging="363"/>
      </w:pPr>
      <w:rPr>
        <w:rFonts w:hint="default"/>
        <w:lang w:val="de-DE" w:eastAsia="en-US" w:bidi="ar-SA"/>
      </w:rPr>
    </w:lvl>
    <w:lvl w:ilvl="2">
      <w:start w:val="0"/>
      <w:numFmt w:val="bullet"/>
      <w:lvlText w:val="•"/>
      <w:lvlJc w:val="left"/>
      <w:pPr>
        <w:ind w:left="2621" w:hanging="363"/>
      </w:pPr>
      <w:rPr>
        <w:rFonts w:hint="default"/>
        <w:lang w:val="de-DE" w:eastAsia="en-US" w:bidi="ar-SA"/>
      </w:rPr>
    </w:lvl>
    <w:lvl w:ilvl="3">
      <w:start w:val="0"/>
      <w:numFmt w:val="bullet"/>
      <w:lvlText w:val="•"/>
      <w:lvlJc w:val="left"/>
      <w:pPr>
        <w:ind w:left="2992" w:hanging="363"/>
      </w:pPr>
      <w:rPr>
        <w:rFonts w:hint="default"/>
        <w:lang w:val="de-DE" w:eastAsia="en-US" w:bidi="ar-SA"/>
      </w:rPr>
    </w:lvl>
    <w:lvl w:ilvl="4">
      <w:start w:val="0"/>
      <w:numFmt w:val="bullet"/>
      <w:lvlText w:val="•"/>
      <w:lvlJc w:val="left"/>
      <w:pPr>
        <w:ind w:left="3362" w:hanging="363"/>
      </w:pPr>
      <w:rPr>
        <w:rFonts w:hint="default"/>
        <w:lang w:val="de-DE" w:eastAsia="en-US" w:bidi="ar-SA"/>
      </w:rPr>
    </w:lvl>
    <w:lvl w:ilvl="5">
      <w:start w:val="0"/>
      <w:numFmt w:val="bullet"/>
      <w:lvlText w:val="•"/>
      <w:lvlJc w:val="left"/>
      <w:pPr>
        <w:ind w:left="3733" w:hanging="363"/>
      </w:pPr>
      <w:rPr>
        <w:rFonts w:hint="default"/>
        <w:lang w:val="de-DE" w:eastAsia="en-US" w:bidi="ar-SA"/>
      </w:rPr>
    </w:lvl>
    <w:lvl w:ilvl="6">
      <w:start w:val="0"/>
      <w:numFmt w:val="bullet"/>
      <w:lvlText w:val="•"/>
      <w:lvlJc w:val="left"/>
      <w:pPr>
        <w:ind w:left="4104" w:hanging="363"/>
      </w:pPr>
      <w:rPr>
        <w:rFonts w:hint="default"/>
        <w:lang w:val="de-DE" w:eastAsia="en-US" w:bidi="ar-SA"/>
      </w:rPr>
    </w:lvl>
    <w:lvl w:ilvl="7">
      <w:start w:val="0"/>
      <w:numFmt w:val="bullet"/>
      <w:lvlText w:val="•"/>
      <w:lvlJc w:val="left"/>
      <w:pPr>
        <w:ind w:left="4474" w:hanging="363"/>
      </w:pPr>
      <w:rPr>
        <w:rFonts w:hint="default"/>
        <w:lang w:val="de-DE" w:eastAsia="en-US" w:bidi="ar-SA"/>
      </w:rPr>
    </w:lvl>
    <w:lvl w:ilvl="8">
      <w:start w:val="0"/>
      <w:numFmt w:val="bullet"/>
      <w:lvlText w:val="•"/>
      <w:lvlJc w:val="left"/>
      <w:pPr>
        <w:ind w:left="4845" w:hanging="363"/>
      </w:pPr>
      <w:rPr>
        <w:rFonts w:hint="default"/>
        <w:lang w:val="de-DE" w:eastAsia="en-US" w:bidi="ar-SA"/>
      </w:rPr>
    </w:lvl>
  </w:abstractNum>
  <w:abstractNum w:abstractNumId="8">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7">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6">
    <w:multiLevelType w:val="hybridMultilevel"/>
    <w:lvl w:ilvl="0">
      <w:start w:val="0"/>
      <w:numFmt w:val="bullet"/>
      <w:lvlText w:val="-"/>
      <w:lvlJc w:val="left"/>
      <w:pPr>
        <w:ind w:left="1092" w:hanging="361"/>
      </w:pPr>
      <w:rPr>
        <w:rFonts w:hint="default" w:ascii="Times New Roman" w:hAnsi="Times New Roman" w:eastAsia="Times New Roman" w:cs="Times New Roman"/>
        <w:b w:val="0"/>
        <w:bCs w:val="0"/>
        <w:i w:val="0"/>
        <w:iCs w:val="0"/>
        <w:w w:val="99"/>
        <w:sz w:val="24"/>
        <w:szCs w:val="24"/>
        <w:lang w:val="de-DE" w:eastAsia="en-US" w:bidi="ar-SA"/>
      </w:rPr>
    </w:lvl>
    <w:lvl w:ilvl="1">
      <w:start w:val="0"/>
      <w:numFmt w:val="bullet"/>
      <w:lvlText w:val="•"/>
      <w:lvlJc w:val="left"/>
      <w:pPr>
        <w:ind w:left="2058" w:hanging="361"/>
      </w:pPr>
      <w:rPr>
        <w:rFonts w:hint="default"/>
        <w:lang w:val="de-DE" w:eastAsia="en-US" w:bidi="ar-SA"/>
      </w:rPr>
    </w:lvl>
    <w:lvl w:ilvl="2">
      <w:start w:val="0"/>
      <w:numFmt w:val="bullet"/>
      <w:lvlText w:val="•"/>
      <w:lvlJc w:val="left"/>
      <w:pPr>
        <w:ind w:left="3017" w:hanging="361"/>
      </w:pPr>
      <w:rPr>
        <w:rFonts w:hint="default"/>
        <w:lang w:val="de-DE" w:eastAsia="en-US" w:bidi="ar-SA"/>
      </w:rPr>
    </w:lvl>
    <w:lvl w:ilvl="3">
      <w:start w:val="0"/>
      <w:numFmt w:val="bullet"/>
      <w:lvlText w:val="•"/>
      <w:lvlJc w:val="left"/>
      <w:pPr>
        <w:ind w:left="3975" w:hanging="361"/>
      </w:pPr>
      <w:rPr>
        <w:rFonts w:hint="default"/>
        <w:lang w:val="de-DE" w:eastAsia="en-US" w:bidi="ar-SA"/>
      </w:rPr>
    </w:lvl>
    <w:lvl w:ilvl="4">
      <w:start w:val="0"/>
      <w:numFmt w:val="bullet"/>
      <w:lvlText w:val="•"/>
      <w:lvlJc w:val="left"/>
      <w:pPr>
        <w:ind w:left="4934" w:hanging="361"/>
      </w:pPr>
      <w:rPr>
        <w:rFonts w:hint="default"/>
        <w:lang w:val="de-DE" w:eastAsia="en-US" w:bidi="ar-SA"/>
      </w:rPr>
    </w:lvl>
    <w:lvl w:ilvl="5">
      <w:start w:val="0"/>
      <w:numFmt w:val="bullet"/>
      <w:lvlText w:val="•"/>
      <w:lvlJc w:val="left"/>
      <w:pPr>
        <w:ind w:left="5893" w:hanging="361"/>
      </w:pPr>
      <w:rPr>
        <w:rFonts w:hint="default"/>
        <w:lang w:val="de-DE" w:eastAsia="en-US" w:bidi="ar-SA"/>
      </w:rPr>
    </w:lvl>
    <w:lvl w:ilvl="6">
      <w:start w:val="0"/>
      <w:numFmt w:val="bullet"/>
      <w:lvlText w:val="•"/>
      <w:lvlJc w:val="left"/>
      <w:pPr>
        <w:ind w:left="6851" w:hanging="361"/>
      </w:pPr>
      <w:rPr>
        <w:rFonts w:hint="default"/>
        <w:lang w:val="de-DE" w:eastAsia="en-US" w:bidi="ar-SA"/>
      </w:rPr>
    </w:lvl>
    <w:lvl w:ilvl="7">
      <w:start w:val="0"/>
      <w:numFmt w:val="bullet"/>
      <w:lvlText w:val="•"/>
      <w:lvlJc w:val="left"/>
      <w:pPr>
        <w:ind w:left="7810" w:hanging="361"/>
      </w:pPr>
      <w:rPr>
        <w:rFonts w:hint="default"/>
        <w:lang w:val="de-DE" w:eastAsia="en-US" w:bidi="ar-SA"/>
      </w:rPr>
    </w:lvl>
    <w:lvl w:ilvl="8">
      <w:start w:val="0"/>
      <w:numFmt w:val="bullet"/>
      <w:lvlText w:val="•"/>
      <w:lvlJc w:val="left"/>
      <w:pPr>
        <w:ind w:left="8769" w:hanging="361"/>
      </w:pPr>
      <w:rPr>
        <w:rFonts w:hint="default"/>
        <w:lang w:val="de-DE" w:eastAsia="en-US" w:bidi="ar-SA"/>
      </w:rPr>
    </w:lvl>
  </w:abstractNum>
  <w:abstractNum w:abstractNumId="4">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462" w:hanging="419"/>
      </w:pPr>
      <w:rPr>
        <w:rFonts w:hint="default"/>
        <w:lang w:val="de-DE" w:eastAsia="en-US" w:bidi="ar-SA"/>
      </w:rPr>
    </w:lvl>
    <w:lvl w:ilvl="2">
      <w:start w:val="0"/>
      <w:numFmt w:val="bullet"/>
      <w:lvlText w:val="•"/>
      <w:lvlJc w:val="left"/>
      <w:pPr>
        <w:ind w:left="2405" w:hanging="419"/>
      </w:pPr>
      <w:rPr>
        <w:rFonts w:hint="default"/>
        <w:lang w:val="de-DE" w:eastAsia="en-US" w:bidi="ar-SA"/>
      </w:rPr>
    </w:lvl>
    <w:lvl w:ilvl="3">
      <w:start w:val="0"/>
      <w:numFmt w:val="bullet"/>
      <w:lvlText w:val="•"/>
      <w:lvlJc w:val="left"/>
      <w:pPr>
        <w:ind w:left="3347" w:hanging="419"/>
      </w:pPr>
      <w:rPr>
        <w:rFonts w:hint="default"/>
        <w:lang w:val="de-DE" w:eastAsia="en-US" w:bidi="ar-SA"/>
      </w:rPr>
    </w:lvl>
    <w:lvl w:ilvl="4">
      <w:start w:val="0"/>
      <w:numFmt w:val="bullet"/>
      <w:lvlText w:val="•"/>
      <w:lvlJc w:val="left"/>
      <w:pPr>
        <w:ind w:left="4290" w:hanging="419"/>
      </w:pPr>
      <w:rPr>
        <w:rFonts w:hint="default"/>
        <w:lang w:val="de-DE" w:eastAsia="en-US" w:bidi="ar-SA"/>
      </w:rPr>
    </w:lvl>
    <w:lvl w:ilvl="5">
      <w:start w:val="0"/>
      <w:numFmt w:val="bullet"/>
      <w:lvlText w:val="•"/>
      <w:lvlJc w:val="left"/>
      <w:pPr>
        <w:ind w:left="5233" w:hanging="419"/>
      </w:pPr>
      <w:rPr>
        <w:rFonts w:hint="default"/>
        <w:lang w:val="de-DE" w:eastAsia="en-US" w:bidi="ar-SA"/>
      </w:rPr>
    </w:lvl>
    <w:lvl w:ilvl="6">
      <w:start w:val="0"/>
      <w:numFmt w:val="bullet"/>
      <w:lvlText w:val="•"/>
      <w:lvlJc w:val="left"/>
      <w:pPr>
        <w:ind w:left="6175" w:hanging="419"/>
      </w:pPr>
      <w:rPr>
        <w:rFonts w:hint="default"/>
        <w:lang w:val="de-DE" w:eastAsia="en-US" w:bidi="ar-SA"/>
      </w:rPr>
    </w:lvl>
    <w:lvl w:ilvl="7">
      <w:start w:val="0"/>
      <w:numFmt w:val="bullet"/>
      <w:lvlText w:val="•"/>
      <w:lvlJc w:val="left"/>
      <w:pPr>
        <w:ind w:left="7118" w:hanging="419"/>
      </w:pPr>
      <w:rPr>
        <w:rFonts w:hint="default"/>
        <w:lang w:val="de-DE" w:eastAsia="en-US" w:bidi="ar-SA"/>
      </w:rPr>
    </w:lvl>
    <w:lvl w:ilvl="8">
      <w:start w:val="0"/>
      <w:numFmt w:val="bullet"/>
      <w:lvlText w:val="•"/>
      <w:lvlJc w:val="left"/>
      <w:pPr>
        <w:ind w:left="8060" w:hanging="419"/>
      </w:pPr>
      <w:rPr>
        <w:rFonts w:hint="default"/>
        <w:lang w:val="de-DE" w:eastAsia="en-US" w:bidi="ar-SA"/>
      </w:rPr>
    </w:lvl>
  </w:abstractNum>
  <w:abstractNum w:abstractNumId="3">
    <w:multiLevelType w:val="hybridMultilevel"/>
    <w:lvl w:ilvl="0">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732" w:hanging="252"/>
      </w:pPr>
      <w:rPr>
        <w:rFonts w:hint="default"/>
        <w:lang w:val="de-DE" w:eastAsia="en-US" w:bidi="ar-SA"/>
      </w:rPr>
    </w:lvl>
    <w:lvl w:ilvl="2">
      <w:start w:val="0"/>
      <w:numFmt w:val="bullet"/>
      <w:lvlText w:val="•"/>
      <w:lvlJc w:val="left"/>
      <w:pPr>
        <w:ind w:left="2645" w:hanging="252"/>
      </w:pPr>
      <w:rPr>
        <w:rFonts w:hint="default"/>
        <w:lang w:val="de-DE" w:eastAsia="en-US" w:bidi="ar-SA"/>
      </w:rPr>
    </w:lvl>
    <w:lvl w:ilvl="3">
      <w:start w:val="0"/>
      <w:numFmt w:val="bullet"/>
      <w:lvlText w:val="•"/>
      <w:lvlJc w:val="left"/>
      <w:pPr>
        <w:ind w:left="3557" w:hanging="252"/>
      </w:pPr>
      <w:rPr>
        <w:rFonts w:hint="default"/>
        <w:lang w:val="de-DE" w:eastAsia="en-US" w:bidi="ar-SA"/>
      </w:rPr>
    </w:lvl>
    <w:lvl w:ilvl="4">
      <w:start w:val="0"/>
      <w:numFmt w:val="bullet"/>
      <w:lvlText w:val="•"/>
      <w:lvlJc w:val="left"/>
      <w:pPr>
        <w:ind w:left="4470" w:hanging="252"/>
      </w:pPr>
      <w:rPr>
        <w:rFonts w:hint="default"/>
        <w:lang w:val="de-DE" w:eastAsia="en-US" w:bidi="ar-SA"/>
      </w:rPr>
    </w:lvl>
    <w:lvl w:ilvl="5">
      <w:start w:val="0"/>
      <w:numFmt w:val="bullet"/>
      <w:lvlText w:val="•"/>
      <w:lvlJc w:val="left"/>
      <w:pPr>
        <w:ind w:left="5383" w:hanging="252"/>
      </w:pPr>
      <w:rPr>
        <w:rFonts w:hint="default"/>
        <w:lang w:val="de-DE" w:eastAsia="en-US" w:bidi="ar-SA"/>
      </w:rPr>
    </w:lvl>
    <w:lvl w:ilvl="6">
      <w:start w:val="0"/>
      <w:numFmt w:val="bullet"/>
      <w:lvlText w:val="•"/>
      <w:lvlJc w:val="left"/>
      <w:pPr>
        <w:ind w:left="6295" w:hanging="252"/>
      </w:pPr>
      <w:rPr>
        <w:rFonts w:hint="default"/>
        <w:lang w:val="de-DE" w:eastAsia="en-US" w:bidi="ar-SA"/>
      </w:rPr>
    </w:lvl>
    <w:lvl w:ilvl="7">
      <w:start w:val="0"/>
      <w:numFmt w:val="bullet"/>
      <w:lvlText w:val="•"/>
      <w:lvlJc w:val="left"/>
      <w:pPr>
        <w:ind w:left="7208" w:hanging="252"/>
      </w:pPr>
      <w:rPr>
        <w:rFonts w:hint="default"/>
        <w:lang w:val="de-DE" w:eastAsia="en-US" w:bidi="ar-SA"/>
      </w:rPr>
    </w:lvl>
    <w:lvl w:ilvl="8">
      <w:start w:val="0"/>
      <w:numFmt w:val="bullet"/>
      <w:lvlText w:val="•"/>
      <w:lvlJc w:val="left"/>
      <w:pPr>
        <w:ind w:left="8120" w:hanging="252"/>
      </w:pPr>
      <w:rPr>
        <w:rFonts w:hint="default"/>
        <w:lang w:val="de-DE"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0"/>
      <w:numFmt w:val="bullet"/>
      <w:lvlText w:val=""/>
      <w:lvlJc w:val="left"/>
      <w:pPr>
        <w:ind w:left="413" w:hanging="30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5">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1">
    <w:abstractNumId w:val="0"/>
  </w:num>
  <w:num w:numId="9">
    <w:abstractNumId w:val="8"/>
  </w:num>
  <w:num w:numId="8">
    <w:abstractNumId w:val="7"/>
  </w:num>
  <w:num w:numId="7">
    <w:abstractNumId w:val="6"/>
  </w:num>
  <w:num w:numId="5">
    <w:abstractNumId w:val="4"/>
  </w:num>
  <w:num w:numId="4">
    <w:abstractNumId w:val="3"/>
  </w:num>
  <w:num w:numId="3">
    <w:abstractNumId w:val="2"/>
  </w:num>
  <w:num w:numId="2">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e.benassi@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2023-02-16T16:59:59Z</dcterms:created>
  <dcterms:modified xsi:type="dcterms:W3CDTF">2023-02-16T16:59:59Z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