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pacing w:val="-4"/>
                <w:sz w:val="24"/>
              </w:rPr>
              <w:t>DGT-A-MT.1</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481"/>
              <w:rPr>
                <w:sz w:val="24"/>
              </w:rPr>
            </w:pPr>
            <w:r>
              <w:rPr>
                <w:sz w:val="24"/>
              </w:rPr>
              <w:t>Carmel Attard </w:t>
            </w:r>
            <w:hyperlink r:id="rId7">
              <w:r>
                <w:rPr>
                  <w:spacing w:val="-2"/>
                  <w:sz w:val="24"/>
                </w:rPr>
                <w:t>carmel.attard@ec.europa.eu</w:t>
              </w:r>
            </w:hyperlink>
          </w:p>
          <w:p>
            <w:pPr>
              <w:pStyle w:val="TableParagraph"/>
              <w:rPr>
                <w:sz w:val="24"/>
              </w:rPr>
            </w:pPr>
            <w:r>
              <w:rPr>
                <w:sz w:val="24"/>
              </w:rPr>
              <w:t>+352</w:t>
            </w:r>
            <w:r>
              <w:rPr>
                <w:spacing w:val="-1"/>
                <w:sz w:val="24"/>
              </w:rPr>
              <w:t> </w:t>
            </w:r>
            <w:r>
              <w:rPr>
                <w:sz w:val="24"/>
              </w:rPr>
              <w:t>4301 </w:t>
            </w:r>
            <w:r>
              <w:rPr>
                <w:spacing w:val="-2"/>
                <w:sz w:val="24"/>
              </w:rPr>
              <w:t>38022</w:t>
            </w:r>
          </w:p>
          <w:p>
            <w:pPr>
              <w:pStyle w:val="TableParagraph"/>
              <w:rPr>
                <w:sz w:val="24"/>
              </w:rPr>
            </w:pPr>
            <w:r>
              <w:rPr>
                <w:sz w:val="24"/>
              </w:rPr>
              <w:t>1</w:t>
            </w:r>
          </w:p>
          <w:p>
            <w:pPr>
              <w:pStyle w:val="TableParagraph"/>
              <w:ind w:left="139"/>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numPr>
                <w:ilvl w:val="0"/>
                <w:numId w:val="1"/>
              </w:numPr>
              <w:tabs>
                <w:tab w:pos="469" w:val="left" w:leader="none"/>
                <w:tab w:pos="1522" w:val="left" w:leader="none"/>
              </w:tabs>
              <w:spacing w:line="233" w:lineRule="exact" w:before="1" w:after="0"/>
              <w:ind w:left="468" w:right="0" w:hanging="364"/>
              <w:jc w:val="left"/>
              <w:rPr>
                <w:b/>
                <w:sz w:val="22"/>
              </w:rPr>
            </w:pPr>
            <w:r>
              <w:rPr>
                <w:b/>
                <w:spacing w:val="-2"/>
                <w:sz w:val="22"/>
              </w:rPr>
              <w:t>Brüssel</w:t>
            </w:r>
            <w:r>
              <w:rPr>
                <w:b/>
                <w:sz w:val="22"/>
              </w:rPr>
              <w:tab/>
            </w:r>
            <w:r>
              <w:rPr>
                <w:rFonts w:ascii="Wingdings" w:hAnsi="Wingdings"/>
                <w:sz w:val="22"/>
              </w:rPr>
              <w:t></w:t>
            </w:r>
            <w:r>
              <w:rPr>
                <w:spacing w:val="26"/>
                <w:sz w:val="22"/>
              </w:rPr>
              <w:t>  </w:t>
            </w:r>
            <w:r>
              <w:rPr>
                <w:b/>
                <w:sz w:val="22"/>
              </w:rPr>
              <w:t>Luxemburg</w:t>
            </w:r>
            <w:r>
              <w:rPr>
                <w:b/>
                <w:spacing w:val="26"/>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w:hAnsi="Wingdings"/>
                <w:sz w:val="22"/>
              </w:rPr>
              <w:t></w:t>
            </w:r>
            <w:r>
              <w:rPr>
                <w:spacing w:val="52"/>
                <w:sz w:val="22"/>
              </w:rPr>
              <w:t> </w:t>
            </w: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3"/>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2"/>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2"/>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5"/>
                <w:sz w:val="22"/>
              </w:rPr>
              <w:t> </w:t>
            </w:r>
            <w:r>
              <w:rPr>
                <w:b/>
                <w:sz w:val="22"/>
              </w:rPr>
              <w:t>der</w:t>
            </w:r>
            <w:r>
              <w:rPr>
                <w:b/>
                <w:spacing w:val="-7"/>
                <w:sz w:val="22"/>
              </w:rPr>
              <w:t> </w:t>
            </w:r>
            <w:r>
              <w:rPr>
                <w:b/>
                <w:sz w:val="22"/>
              </w:rPr>
              <w:t>folgenden</w:t>
            </w:r>
            <w:r>
              <w:rPr>
                <w:b/>
                <w:spacing w:val="-5"/>
                <w:sz w:val="22"/>
              </w:rPr>
              <w:t> </w:t>
            </w:r>
            <w:r>
              <w:rPr>
                <w:b/>
                <w:sz w:val="22"/>
              </w:rPr>
              <w:t>Drittländer</w:t>
            </w:r>
            <w:r>
              <w:rPr>
                <w:b/>
                <w:spacing w:val="-3"/>
                <w:sz w:val="22"/>
              </w:rPr>
              <w:t> </w:t>
            </w:r>
            <w:r>
              <w:rPr>
                <w:b/>
                <w:spacing w:val="-2"/>
                <w:sz w:val="22"/>
              </w:rPr>
              <w:t>bewerben:</w:t>
            </w:r>
          </w:p>
          <w:p>
            <w:pPr>
              <w:pStyle w:val="TableParagraph"/>
              <w:numPr>
                <w:ilvl w:val="0"/>
                <w:numId w:val="2"/>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before="92"/>
        <w:ind w:left="372"/>
      </w:pPr>
      <w:r>
        <w:rPr/>
        <w:t>Aufgaben</w:t>
      </w:r>
      <w:r>
        <w:rPr>
          <w:spacing w:val="-4"/>
        </w:rPr>
        <w:t> </w:t>
      </w:r>
      <w:r>
        <w:rPr/>
        <w:t>des</w:t>
      </w:r>
      <w:r>
        <w:rPr>
          <w:spacing w:val="-6"/>
        </w:rPr>
        <w:t> </w:t>
      </w:r>
      <w:r>
        <w:rPr/>
        <w:t>abgeordneten</w:t>
      </w:r>
      <w:r>
        <w:rPr>
          <w:spacing w:val="-6"/>
        </w:rPr>
        <w:t> </w:t>
      </w:r>
      <w:r>
        <w:rPr/>
        <w:t>nationalen</w:t>
      </w:r>
      <w:r>
        <w:rPr>
          <w:spacing w:val="-3"/>
        </w:rPr>
        <w:t> </w:t>
      </w:r>
      <w:r>
        <w:rPr>
          <w:spacing w:val="-2"/>
        </w:rPr>
        <w:t>Sachverständigen:</w:t>
      </w:r>
    </w:p>
    <w:p>
      <w:pPr>
        <w:pStyle w:val="BodyText"/>
      </w:pPr>
    </w:p>
    <w:p>
      <w:pPr>
        <w:pStyle w:val="ListParagraph"/>
        <w:numPr>
          <w:ilvl w:val="1"/>
          <w:numId w:val="3"/>
        </w:numPr>
        <w:tabs>
          <w:tab w:pos="648" w:val="left" w:leader="none"/>
        </w:tabs>
        <w:spacing w:line="240" w:lineRule="auto" w:before="0" w:after="0"/>
        <w:ind w:left="372" w:right="114" w:firstLine="0"/>
        <w:jc w:val="left"/>
        <w:rPr>
          <w:sz w:val="22"/>
        </w:rPr>
      </w:pPr>
      <w:r>
        <w:rPr>
          <w:sz w:val="22"/>
        </w:rPr>
        <w:t>im</w:t>
      </w:r>
      <w:r>
        <w:rPr>
          <w:spacing w:val="-7"/>
          <w:sz w:val="22"/>
        </w:rPr>
        <w:t> </w:t>
      </w:r>
      <w:r>
        <w:rPr>
          <w:sz w:val="22"/>
        </w:rPr>
        <w:t>Bereich</w:t>
      </w:r>
      <w:r>
        <w:rPr>
          <w:spacing w:val="-3"/>
          <w:sz w:val="22"/>
        </w:rPr>
        <w:t> </w:t>
      </w:r>
      <w:r>
        <w:rPr>
          <w:sz w:val="22"/>
        </w:rPr>
        <w:t>der</w:t>
      </w:r>
      <w:r>
        <w:rPr>
          <w:spacing w:val="-3"/>
          <w:sz w:val="22"/>
        </w:rPr>
        <w:t> </w:t>
      </w:r>
      <w:r>
        <w:rPr>
          <w:sz w:val="22"/>
        </w:rPr>
        <w:t>sektorspezifischen</w:t>
      </w:r>
      <w:r>
        <w:rPr>
          <w:spacing w:val="-2"/>
          <w:sz w:val="22"/>
        </w:rPr>
        <w:t> </w:t>
      </w:r>
      <w:r>
        <w:rPr>
          <w:sz w:val="22"/>
        </w:rPr>
        <w:t>Übersetzung</w:t>
      </w:r>
      <w:r>
        <w:rPr>
          <w:spacing w:val="-6"/>
          <w:sz w:val="22"/>
        </w:rPr>
        <w:t> </w:t>
      </w:r>
      <w:r>
        <w:rPr>
          <w:sz w:val="22"/>
        </w:rPr>
        <w:t>Bereitstellung</w:t>
      </w:r>
      <w:r>
        <w:rPr>
          <w:spacing w:val="-6"/>
          <w:sz w:val="22"/>
        </w:rPr>
        <w:t> </w:t>
      </w:r>
      <w:r>
        <w:rPr>
          <w:sz w:val="22"/>
        </w:rPr>
        <w:t>von</w:t>
      </w:r>
      <w:r>
        <w:rPr>
          <w:spacing w:val="-3"/>
          <w:sz w:val="22"/>
        </w:rPr>
        <w:t> </w:t>
      </w:r>
      <w:r>
        <w:rPr>
          <w:sz w:val="22"/>
        </w:rPr>
        <w:t>terminologischer</w:t>
      </w:r>
      <w:r>
        <w:rPr>
          <w:spacing w:val="-3"/>
          <w:sz w:val="22"/>
        </w:rPr>
        <w:t> </w:t>
      </w:r>
      <w:r>
        <w:rPr>
          <w:sz w:val="22"/>
        </w:rPr>
        <w:t>Beratung</w:t>
      </w:r>
      <w:r>
        <w:rPr>
          <w:spacing w:val="-6"/>
          <w:sz w:val="22"/>
        </w:rPr>
        <w:t> </w:t>
      </w:r>
      <w:r>
        <w:rPr>
          <w:sz w:val="22"/>
        </w:rPr>
        <w:t>und</w:t>
      </w:r>
      <w:r>
        <w:rPr>
          <w:spacing w:val="-3"/>
          <w:sz w:val="22"/>
        </w:rPr>
        <w:t> </w:t>
      </w:r>
      <w:r>
        <w:rPr>
          <w:sz w:val="22"/>
        </w:rPr>
        <w:t>Unterstützung für Übersetzer und Terminologen der maltesischen Sprachabteilung;</w:t>
      </w:r>
    </w:p>
    <w:p>
      <w:pPr>
        <w:pStyle w:val="BodyText"/>
        <w:spacing w:before="2"/>
      </w:pPr>
    </w:p>
    <w:p>
      <w:pPr>
        <w:pStyle w:val="BodyText"/>
        <w:ind w:left="372"/>
      </w:pPr>
      <w:r>
        <w:rPr/>
        <w:t>—aus</w:t>
      </w:r>
      <w:r>
        <w:rPr>
          <w:spacing w:val="-5"/>
        </w:rPr>
        <w:t> </w:t>
      </w:r>
      <w:r>
        <w:rPr/>
        <w:t>terminologischer</w:t>
      </w:r>
      <w:r>
        <w:rPr>
          <w:spacing w:val="-2"/>
        </w:rPr>
        <w:t> </w:t>
      </w:r>
      <w:r>
        <w:rPr/>
        <w:t>Sicht</w:t>
      </w:r>
      <w:r>
        <w:rPr>
          <w:spacing w:val="-2"/>
        </w:rPr>
        <w:t> </w:t>
      </w:r>
      <w:r>
        <w:rPr/>
        <w:t>Rechtsvorschriften</w:t>
      </w:r>
      <w:r>
        <w:rPr>
          <w:spacing w:val="-5"/>
        </w:rPr>
        <w:t> </w:t>
      </w:r>
      <w:r>
        <w:rPr/>
        <w:t>und</w:t>
      </w:r>
      <w:r>
        <w:rPr>
          <w:spacing w:val="-3"/>
        </w:rPr>
        <w:t> </w:t>
      </w:r>
      <w:r>
        <w:rPr/>
        <w:t>andere</w:t>
      </w:r>
      <w:r>
        <w:rPr>
          <w:spacing w:val="-5"/>
        </w:rPr>
        <w:t> </w:t>
      </w:r>
      <w:r>
        <w:rPr/>
        <w:t>Rechtstexte,</w:t>
      </w:r>
      <w:r>
        <w:rPr>
          <w:spacing w:val="-3"/>
        </w:rPr>
        <w:t> </w:t>
      </w:r>
      <w:r>
        <w:rPr/>
        <w:t>die</w:t>
      </w:r>
      <w:r>
        <w:rPr>
          <w:spacing w:val="-5"/>
        </w:rPr>
        <w:t> </w:t>
      </w:r>
      <w:r>
        <w:rPr/>
        <w:t>intern</w:t>
      </w:r>
      <w:r>
        <w:rPr>
          <w:spacing w:val="-3"/>
        </w:rPr>
        <w:t> </w:t>
      </w:r>
      <w:r>
        <w:rPr/>
        <w:t>von</w:t>
      </w:r>
      <w:r>
        <w:rPr>
          <w:spacing w:val="-3"/>
        </w:rPr>
        <w:t> </w:t>
      </w:r>
      <w:r>
        <w:rPr/>
        <w:t>der</w:t>
      </w:r>
      <w:r>
        <w:rPr>
          <w:spacing w:val="-2"/>
        </w:rPr>
        <w:t> </w:t>
      </w:r>
      <w:r>
        <w:rPr/>
        <w:t>Abteilung</w:t>
      </w:r>
      <w:r>
        <w:rPr>
          <w:spacing w:val="-6"/>
        </w:rPr>
        <w:t> </w:t>
      </w:r>
      <w:r>
        <w:rPr/>
        <w:t>oder</w:t>
      </w:r>
      <w:r>
        <w:rPr>
          <w:spacing w:val="-2"/>
        </w:rPr>
        <w:t> </w:t>
      </w:r>
      <w:r>
        <w:rPr/>
        <w:t>von externen Übersetzern übersetzt wurden, zu übersetzen und zu überarbeiten;</w:t>
      </w:r>
    </w:p>
    <w:p>
      <w:pPr>
        <w:pStyle w:val="BodyText"/>
        <w:spacing w:before="11"/>
        <w:rPr>
          <w:sz w:val="21"/>
        </w:rPr>
      </w:pPr>
    </w:p>
    <w:p>
      <w:pPr>
        <w:pStyle w:val="ListParagraph"/>
        <w:numPr>
          <w:ilvl w:val="1"/>
          <w:numId w:val="3"/>
        </w:numPr>
        <w:tabs>
          <w:tab w:pos="648" w:val="left" w:leader="none"/>
        </w:tabs>
        <w:spacing w:line="240" w:lineRule="auto" w:before="0" w:after="0"/>
        <w:ind w:left="648" w:right="0" w:hanging="276"/>
        <w:jc w:val="left"/>
        <w:rPr>
          <w:sz w:val="22"/>
        </w:rPr>
      </w:pPr>
      <w:r>
        <w:rPr>
          <w:sz w:val="22"/>
        </w:rPr>
        <w:t>sich</w:t>
      </w:r>
      <w:r>
        <w:rPr>
          <w:spacing w:val="-4"/>
          <w:sz w:val="22"/>
        </w:rPr>
        <w:t> </w:t>
      </w:r>
      <w:r>
        <w:rPr>
          <w:sz w:val="22"/>
        </w:rPr>
        <w:t>an</w:t>
      </w:r>
      <w:r>
        <w:rPr>
          <w:spacing w:val="-6"/>
          <w:sz w:val="22"/>
        </w:rPr>
        <w:t> </w:t>
      </w:r>
      <w:r>
        <w:rPr>
          <w:sz w:val="22"/>
        </w:rPr>
        <w:t>der</w:t>
      </w:r>
      <w:r>
        <w:rPr>
          <w:spacing w:val="-5"/>
          <w:sz w:val="22"/>
        </w:rPr>
        <w:t> </w:t>
      </w:r>
      <w:r>
        <w:rPr>
          <w:sz w:val="22"/>
        </w:rPr>
        <w:t>terminologischen</w:t>
      </w:r>
      <w:r>
        <w:rPr>
          <w:spacing w:val="-4"/>
          <w:sz w:val="22"/>
        </w:rPr>
        <w:t> </w:t>
      </w:r>
      <w:r>
        <w:rPr>
          <w:sz w:val="22"/>
        </w:rPr>
        <w:t>Forschung</w:t>
      </w:r>
      <w:r>
        <w:rPr>
          <w:spacing w:val="-6"/>
          <w:sz w:val="22"/>
        </w:rPr>
        <w:t> </w:t>
      </w:r>
      <w:r>
        <w:rPr>
          <w:sz w:val="22"/>
        </w:rPr>
        <w:t>zu</w:t>
      </w:r>
      <w:r>
        <w:rPr>
          <w:spacing w:val="-3"/>
          <w:sz w:val="22"/>
        </w:rPr>
        <w:t> </w:t>
      </w:r>
      <w:r>
        <w:rPr>
          <w:spacing w:val="-2"/>
          <w:sz w:val="22"/>
        </w:rPr>
        <w:t>beteiligen;</w:t>
      </w:r>
    </w:p>
    <w:p>
      <w:pPr>
        <w:pStyle w:val="BodyText"/>
      </w:pPr>
    </w:p>
    <w:p>
      <w:pPr>
        <w:pStyle w:val="BodyText"/>
        <w:ind w:left="372" w:right="107"/>
      </w:pPr>
      <w:r>
        <w:rPr/>
        <w:t>—Organisation</w:t>
      </w:r>
      <w:r>
        <w:rPr>
          <w:spacing w:val="-3"/>
        </w:rPr>
        <w:t> </w:t>
      </w:r>
      <w:r>
        <w:rPr/>
        <w:t>und</w:t>
      </w:r>
      <w:r>
        <w:rPr>
          <w:spacing w:val="-3"/>
        </w:rPr>
        <w:t> </w:t>
      </w:r>
      <w:r>
        <w:rPr/>
        <w:t>Durchführung</w:t>
      </w:r>
      <w:r>
        <w:rPr>
          <w:spacing w:val="-6"/>
        </w:rPr>
        <w:t> </w:t>
      </w:r>
      <w:r>
        <w:rPr/>
        <w:t>von</w:t>
      </w:r>
      <w:r>
        <w:rPr>
          <w:spacing w:val="-3"/>
        </w:rPr>
        <w:t> </w:t>
      </w:r>
      <w:r>
        <w:rPr/>
        <w:t>Präsentationen</w:t>
      </w:r>
      <w:r>
        <w:rPr>
          <w:spacing w:val="-5"/>
        </w:rPr>
        <w:t> </w:t>
      </w:r>
      <w:r>
        <w:rPr/>
        <w:t>zu</w:t>
      </w:r>
      <w:r>
        <w:rPr>
          <w:spacing w:val="-3"/>
        </w:rPr>
        <w:t> </w:t>
      </w:r>
      <w:r>
        <w:rPr/>
        <w:t>interessanten</w:t>
      </w:r>
      <w:r>
        <w:rPr>
          <w:spacing w:val="-5"/>
        </w:rPr>
        <w:t> </w:t>
      </w:r>
      <w:r>
        <w:rPr/>
        <w:t>Themen</w:t>
      </w:r>
      <w:r>
        <w:rPr>
          <w:spacing w:val="-3"/>
        </w:rPr>
        <w:t> </w:t>
      </w:r>
      <w:r>
        <w:rPr/>
        <w:t>für</w:t>
      </w:r>
      <w:r>
        <w:rPr>
          <w:spacing w:val="-3"/>
        </w:rPr>
        <w:t> </w:t>
      </w:r>
      <w:r>
        <w:rPr/>
        <w:t>Mitarbeiter</w:t>
      </w:r>
      <w:r>
        <w:rPr>
          <w:spacing w:val="-2"/>
        </w:rPr>
        <w:t> </w:t>
      </w:r>
      <w:r>
        <w:rPr/>
        <w:t>des</w:t>
      </w:r>
      <w:r>
        <w:rPr>
          <w:spacing w:val="-3"/>
        </w:rPr>
        <w:t> </w:t>
      </w:r>
      <w:r>
        <w:rPr/>
        <w:t>Fachbereichs und ggf. für Übersetzungsmitarbeiter anderer Institutionen;</w:t>
      </w:r>
    </w:p>
    <w:p>
      <w:pPr>
        <w:pStyle w:val="BodyText"/>
      </w:pPr>
    </w:p>
    <w:p>
      <w:pPr>
        <w:pStyle w:val="ListParagraph"/>
        <w:numPr>
          <w:ilvl w:val="1"/>
          <w:numId w:val="3"/>
        </w:numPr>
        <w:tabs>
          <w:tab w:pos="648" w:val="left" w:leader="none"/>
        </w:tabs>
        <w:spacing w:line="240" w:lineRule="auto" w:before="0" w:after="0"/>
        <w:ind w:left="372" w:right="624" w:firstLine="0"/>
        <w:jc w:val="left"/>
        <w:rPr>
          <w:sz w:val="22"/>
        </w:rPr>
      </w:pPr>
      <w:r>
        <w:rPr>
          <w:sz w:val="22"/>
        </w:rPr>
        <w:t>Unterstützung</w:t>
      </w:r>
      <w:r>
        <w:rPr>
          <w:spacing w:val="-5"/>
          <w:sz w:val="22"/>
        </w:rPr>
        <w:t> </w:t>
      </w:r>
      <w:r>
        <w:rPr>
          <w:sz w:val="22"/>
        </w:rPr>
        <w:t>beim</w:t>
      </w:r>
      <w:r>
        <w:rPr>
          <w:spacing w:val="-6"/>
          <w:sz w:val="22"/>
        </w:rPr>
        <w:t> </w:t>
      </w:r>
      <w:r>
        <w:rPr>
          <w:sz w:val="22"/>
        </w:rPr>
        <w:t>Ausbau</w:t>
      </w:r>
      <w:r>
        <w:rPr>
          <w:spacing w:val="-2"/>
          <w:sz w:val="22"/>
        </w:rPr>
        <w:t> </w:t>
      </w:r>
      <w:r>
        <w:rPr>
          <w:sz w:val="22"/>
        </w:rPr>
        <w:t>des</w:t>
      </w:r>
      <w:r>
        <w:rPr>
          <w:spacing w:val="-2"/>
          <w:sz w:val="22"/>
        </w:rPr>
        <w:t> </w:t>
      </w:r>
      <w:r>
        <w:rPr>
          <w:sz w:val="22"/>
        </w:rPr>
        <w:t>Kontaktnetzes</w:t>
      </w:r>
      <w:r>
        <w:rPr>
          <w:spacing w:val="-2"/>
          <w:sz w:val="22"/>
        </w:rPr>
        <w:t> </w:t>
      </w:r>
      <w:r>
        <w:rPr>
          <w:sz w:val="22"/>
        </w:rPr>
        <w:t>und</w:t>
      </w:r>
      <w:r>
        <w:rPr>
          <w:spacing w:val="-5"/>
          <w:sz w:val="22"/>
        </w:rPr>
        <w:t> </w:t>
      </w:r>
      <w:r>
        <w:rPr>
          <w:sz w:val="22"/>
        </w:rPr>
        <w:t>Herstellung</w:t>
      </w:r>
      <w:r>
        <w:rPr>
          <w:spacing w:val="-5"/>
          <w:sz w:val="22"/>
        </w:rPr>
        <w:t> </w:t>
      </w:r>
      <w:r>
        <w:rPr>
          <w:sz w:val="22"/>
        </w:rPr>
        <w:t>einer</w:t>
      </w:r>
      <w:r>
        <w:rPr>
          <w:spacing w:val="-4"/>
          <w:sz w:val="22"/>
        </w:rPr>
        <w:t> </w:t>
      </w:r>
      <w:r>
        <w:rPr>
          <w:sz w:val="22"/>
        </w:rPr>
        <w:t>Verbindung</w:t>
      </w:r>
      <w:r>
        <w:rPr>
          <w:spacing w:val="-5"/>
          <w:sz w:val="22"/>
        </w:rPr>
        <w:t> </w:t>
      </w:r>
      <w:r>
        <w:rPr>
          <w:sz w:val="22"/>
        </w:rPr>
        <w:t>zwischen</w:t>
      </w:r>
      <w:r>
        <w:rPr>
          <w:spacing w:val="-2"/>
          <w:sz w:val="22"/>
        </w:rPr>
        <w:t> </w:t>
      </w:r>
      <w:r>
        <w:rPr>
          <w:sz w:val="22"/>
        </w:rPr>
        <w:t>den</w:t>
      </w:r>
      <w:r>
        <w:rPr>
          <w:spacing w:val="-2"/>
          <w:sz w:val="22"/>
        </w:rPr>
        <w:t> </w:t>
      </w:r>
      <w:r>
        <w:rPr>
          <w:sz w:val="22"/>
        </w:rPr>
        <w:t>nationalen Institutionen/Behörden/Dienststellen und der maltesischen Sprachabteilung in der DGT.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7"/>
          <w:sz w:val="24"/>
          <w:u w:val="single"/>
        </w:rPr>
        <w:t> </w:t>
      </w:r>
      <w:r>
        <w:rPr>
          <w:b/>
          <w:spacing w:val="-2"/>
          <w:sz w:val="24"/>
          <w:u w:val="single"/>
        </w:rPr>
        <w:t>Qualifikationen</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spacing w:val="-2"/>
          <w:u w:val="single"/>
        </w:rPr>
        <w:t>Zulassungskriterien</w:t>
      </w:r>
    </w:p>
    <w:p>
      <w:pPr>
        <w:pStyle w:val="BodyText"/>
        <w:rPr>
          <w:b/>
          <w:sz w:val="20"/>
        </w:rPr>
      </w:pPr>
    </w:p>
    <w:p>
      <w:pPr>
        <w:pStyle w:val="BodyText"/>
        <w:rPr>
          <w:b/>
          <w:sz w:val="20"/>
        </w:rPr>
      </w:pPr>
    </w:p>
    <w:p>
      <w:pPr>
        <w:pStyle w:val="BodyText"/>
        <w:rPr>
          <w:b/>
          <w:sz w:val="20"/>
        </w:rPr>
      </w:pPr>
    </w:p>
    <w:p>
      <w:pPr>
        <w:pStyle w:val="BodyText"/>
        <w:spacing w:before="6"/>
        <w:rPr>
          <w:b/>
          <w:sz w:val="20"/>
        </w:rPr>
      </w:pPr>
      <w:r>
        <w:rPr/>
        <w:pict>
          <v:rect style="position:absolute;margin-left:42.599998pt;margin-top:13.042147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5"/>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5"/>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0"/>
          <w:numId w:val="5"/>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4"/>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1"/>
          <w:numId w:val="4"/>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4"/>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ind w:left="1080" w:right="167" w:firstLine="110"/>
        <w:jc w:val="both"/>
      </w:pPr>
      <w:r>
        <w:rPr/>
        <w:t>im Bereich: In einem der folgenden Bereiche: Recht und Rechtsangelegenheiten, Humanressourcen, Wirtschaft, Finanzen, Außenbeziehungen und -angelegenheiten, Wettbewerbsrecht, staatliche Beihilfen, Regional- und Entwicklungshilfe, Inneres und Sicherheit, Justiz, Betrugsbekämpfung, Erweiterung und/ oder Handelsrecht und Handelsbeziehungen.</w:t>
      </w:r>
    </w:p>
    <w:p>
      <w:pPr>
        <w:pStyle w:val="BodyText"/>
      </w:pPr>
    </w:p>
    <w:p>
      <w:pPr>
        <w:pStyle w:val="BodyText"/>
        <w:ind w:left="1080"/>
      </w:pPr>
      <w:r>
        <w:rPr>
          <w:spacing w:val="-2"/>
          <w:u w:val="single"/>
        </w:rPr>
        <w:t>Berufserfahrung</w:t>
      </w:r>
    </w:p>
    <w:p>
      <w:pPr>
        <w:pStyle w:val="BodyText"/>
        <w:spacing w:before="1"/>
        <w:rPr>
          <w:sz w:val="14"/>
        </w:rPr>
      </w:pPr>
    </w:p>
    <w:p>
      <w:pPr>
        <w:pStyle w:val="BodyText"/>
        <w:spacing w:line="480" w:lineRule="auto" w:before="92"/>
        <w:ind w:left="1080" w:right="4168"/>
      </w:pPr>
      <w:r>
        <w:rPr/>
        <w:t>Einschlägige Berufserfahrung von mindestens drei Jahren. </w:t>
      </w:r>
      <w:r>
        <w:rPr>
          <w:u w:val="single"/>
        </w:rPr>
        <w:t>Zur</w:t>
      </w:r>
      <w:r>
        <w:rPr>
          <w:spacing w:val="-7"/>
          <w:u w:val="single"/>
        </w:rPr>
        <w:t> </w:t>
      </w:r>
      <w:r>
        <w:rPr>
          <w:u w:val="single"/>
        </w:rPr>
        <w:t>Ausübung</w:t>
      </w:r>
      <w:r>
        <w:rPr>
          <w:spacing w:val="-8"/>
          <w:u w:val="single"/>
        </w:rPr>
        <w:t> </w:t>
      </w:r>
      <w:r>
        <w:rPr>
          <w:u w:val="single"/>
        </w:rPr>
        <w:t>der</w:t>
      </w:r>
      <w:r>
        <w:rPr>
          <w:spacing w:val="-8"/>
          <w:u w:val="single"/>
        </w:rPr>
        <w:t> </w:t>
      </w:r>
      <w:r>
        <w:rPr>
          <w:u w:val="single"/>
        </w:rPr>
        <w:t>Tätigkeit</w:t>
      </w:r>
      <w:r>
        <w:rPr>
          <w:spacing w:val="-6"/>
          <w:u w:val="single"/>
        </w:rPr>
        <w:t> </w:t>
      </w:r>
      <w:r>
        <w:rPr>
          <w:u w:val="single"/>
        </w:rPr>
        <w:t>erforderliche</w:t>
      </w:r>
      <w:r>
        <w:rPr>
          <w:spacing w:val="-7"/>
          <w:u w:val="single"/>
        </w:rPr>
        <w:t> </w:t>
      </w:r>
      <w:r>
        <w:rPr>
          <w:u w:val="single"/>
        </w:rPr>
        <w:t>Sprachkenntnisse</w:t>
      </w:r>
    </w:p>
    <w:p>
      <w:pPr>
        <w:pStyle w:val="BodyText"/>
        <w:ind w:left="1080"/>
      </w:pPr>
      <w:r>
        <w:rPr/>
        <w:t>Sehr</w:t>
      </w:r>
      <w:r>
        <w:rPr>
          <w:spacing w:val="80"/>
          <w:w w:val="150"/>
        </w:rPr>
        <w:t> </w:t>
      </w:r>
      <w:r>
        <w:rPr/>
        <w:t>gute</w:t>
      </w:r>
      <w:r>
        <w:rPr>
          <w:spacing w:val="80"/>
          <w:w w:val="150"/>
        </w:rPr>
        <w:t> </w:t>
      </w:r>
      <w:r>
        <w:rPr/>
        <w:t>Kenntnisse</w:t>
      </w:r>
      <w:r>
        <w:rPr>
          <w:spacing w:val="80"/>
          <w:w w:val="150"/>
        </w:rPr>
        <w:t> </w:t>
      </w:r>
      <w:r>
        <w:rPr/>
        <w:t>der</w:t>
      </w:r>
      <w:r>
        <w:rPr>
          <w:spacing w:val="80"/>
          <w:w w:val="150"/>
        </w:rPr>
        <w:t> </w:t>
      </w:r>
      <w:r>
        <w:rPr/>
        <w:t>maltesischen</w:t>
      </w:r>
      <w:r>
        <w:rPr>
          <w:spacing w:val="80"/>
          <w:w w:val="150"/>
        </w:rPr>
        <w:t> </w:t>
      </w:r>
      <w:r>
        <w:rPr/>
        <w:t>und</w:t>
      </w:r>
      <w:r>
        <w:rPr>
          <w:spacing w:val="80"/>
          <w:w w:val="150"/>
        </w:rPr>
        <w:t> </w:t>
      </w:r>
      <w:r>
        <w:rPr/>
        <w:t>englischen</w:t>
      </w:r>
      <w:r>
        <w:rPr>
          <w:spacing w:val="80"/>
          <w:w w:val="150"/>
        </w:rPr>
        <w:t> </w:t>
      </w:r>
      <w:r>
        <w:rPr/>
        <w:t>Sprache.</w:t>
      </w:r>
      <w:r>
        <w:rPr>
          <w:spacing w:val="80"/>
          <w:w w:val="150"/>
        </w:rPr>
        <w:t> </w:t>
      </w:r>
      <w:r>
        <w:rPr/>
        <w:t>Gute</w:t>
      </w:r>
      <w:r>
        <w:rPr>
          <w:spacing w:val="80"/>
          <w:w w:val="150"/>
        </w:rPr>
        <w:t> </w:t>
      </w:r>
      <w:r>
        <w:rPr/>
        <w:t>Französisch-</w:t>
      </w:r>
      <w:r>
        <w:rPr>
          <w:spacing w:val="80"/>
          <w:w w:val="150"/>
        </w:rPr>
        <w:t> </w:t>
      </w:r>
      <w:r>
        <w:rPr/>
        <w:t>und/oder</w:t>
      </w:r>
      <w:r>
        <w:rPr>
          <w:spacing w:val="40"/>
        </w:rPr>
        <w:t> </w:t>
      </w:r>
      <w:r>
        <w:rPr/>
        <w:t>Deutschkenntnisse wären von Vorteil.</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line="240" w:lineRule="auto"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spacing w:after="0" w:line="240" w:lineRule="auto"/>
        <w:jc w:val="left"/>
        <w:rPr>
          <w:sz w:val="24"/>
        </w:rPr>
        <w:sectPr>
          <w:pgSz w:w="11910" w:h="16840"/>
          <w:pgMar w:header="0" w:footer="690" w:top="1040" w:bottom="880" w:left="480" w:right="740"/>
        </w:sectPr>
      </w:pPr>
    </w:p>
    <w:p>
      <w:pPr>
        <w:spacing w:before="68"/>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spacing w:before="2"/>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1"/>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3"/>
          <w:sz w:val="24"/>
          <w:u w:val="single"/>
        </w:rPr>
        <w:t> </w:t>
      </w:r>
      <w:r>
        <w:rPr>
          <w:b/>
          <w:sz w:val="24"/>
          <w:u w:val="single"/>
        </w:rPr>
        <w:t>personenbezogener</w:t>
      </w:r>
      <w:r>
        <w:rPr>
          <w:b/>
          <w:spacing w:val="-13"/>
          <w:sz w:val="24"/>
          <w:u w:val="single"/>
        </w:rPr>
        <w:t> </w:t>
      </w:r>
      <w:r>
        <w:rPr>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9" w:right="283"/>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pStyle w:val="BodyText"/>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 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before="1"/>
        <w:ind w:left="799" w:firstLine="0"/>
      </w:pPr>
      <w:r>
        <w:rPr>
          <w:spacing w:val="-2"/>
          <w:u w:val="single"/>
        </w:rPr>
        <w:t>Kontaktinformationen</w:t>
      </w:r>
    </w:p>
    <w:p>
      <w:pPr>
        <w:pStyle w:val="ListParagraph"/>
        <w:numPr>
          <w:ilvl w:val="0"/>
          <w:numId w:val="6"/>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10"/>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rPr>
          <w:sz w:val="14"/>
        </w:rPr>
      </w:pPr>
    </w:p>
    <w:p>
      <w:pPr>
        <w:pStyle w:val="Heading1"/>
        <w:numPr>
          <w:ilvl w:val="0"/>
          <w:numId w:val="6"/>
        </w:numPr>
        <w:tabs>
          <w:tab w:pos="1081" w:val="left" w:leader="none"/>
        </w:tabs>
        <w:spacing w:line="240" w:lineRule="auto" w:before="92" w:after="0"/>
        <w:ind w:left="1080" w:right="0" w:hanging="282"/>
        <w:jc w:val="both"/>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1"/>
        <w:ind w:left="1080" w:right="10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0"/>
        <w:rPr>
          <w:sz w:val="21"/>
        </w:rPr>
      </w:pPr>
    </w:p>
    <w:p>
      <w:pPr>
        <w:pStyle w:val="Heading1"/>
        <w:numPr>
          <w:ilvl w:val="0"/>
          <w:numId w:val="6"/>
        </w:numPr>
        <w:tabs>
          <w:tab w:pos="1081" w:val="left" w:leader="none"/>
        </w:tabs>
        <w:spacing w:line="240" w:lineRule="auto" w:before="0" w:after="0"/>
        <w:ind w:left="1080" w:right="0" w:hanging="282"/>
        <w:jc w:val="both"/>
      </w:pPr>
      <w:r>
        <w:rPr/>
        <w:t>Europäische</w:t>
      </w:r>
      <w:r>
        <w:rPr>
          <w:spacing w:val="-9"/>
        </w:rPr>
        <w:t> </w:t>
      </w:r>
      <w:r>
        <w:rPr/>
        <w:t>Datenschutzbeauftragte</w:t>
      </w:r>
      <w:r>
        <w:rPr>
          <w:spacing w:val="-8"/>
        </w:rPr>
        <w:t> </w:t>
      </w:r>
      <w:r>
        <w:rPr>
          <w:spacing w:val="-2"/>
        </w:rPr>
        <w:t>(EDSB)</w:t>
      </w:r>
    </w:p>
    <w:p>
      <w:pPr>
        <w:pStyle w:val="BodyText"/>
        <w:spacing w:before="1"/>
        <w:ind w:left="1080"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080" w:right="113"/>
        <w:jc w:val="both"/>
      </w:pPr>
      <w:r>
        <w:rPr/>
        <w:t>Hinweis für Bewerber aus Drittländern: Ihre personenbezogenen Daten können für erforderliche Überprüfungen herangezogen werden.</w:t>
      </w:r>
    </w:p>
    <w:p>
      <w:pPr>
        <w:spacing w:after="0"/>
        <w:jc w:val="both"/>
        <w:sectPr>
          <w:pgSz w:w="11910" w:h="16840"/>
          <w:pgMar w:header="0" w:footer="690" w:top="1040" w:bottom="880" w:left="480" w:right="740"/>
        </w:sectPr>
      </w:pPr>
    </w:p>
    <w:p>
      <w:pPr>
        <w:pStyle w:val="BodyText"/>
        <w:spacing w:before="4"/>
        <w:rPr>
          <w:sz w:val="17"/>
        </w:rPr>
      </w:pPr>
    </w:p>
    <w:sectPr>
      <w:pgSz w:w="11910" w:h="16840"/>
      <w:pgMar w:header="0" w:footer="690" w:top="192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19776"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3"/>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72" w:hanging="363"/>
      </w:pPr>
      <w:rPr>
        <w:rFonts w:hint="default"/>
        <w:lang w:val="de-DE" w:eastAsia="en-US" w:bidi="ar-SA"/>
      </w:rPr>
    </w:lvl>
    <w:lvl w:ilvl="2">
      <w:start w:val="0"/>
      <w:numFmt w:val="bullet"/>
      <w:lvlText w:val="•"/>
      <w:lvlJc w:val="left"/>
      <w:pPr>
        <w:ind w:left="1485" w:hanging="363"/>
      </w:pPr>
      <w:rPr>
        <w:rFonts w:hint="default"/>
        <w:lang w:val="de-DE" w:eastAsia="en-US" w:bidi="ar-SA"/>
      </w:rPr>
    </w:lvl>
    <w:lvl w:ilvl="3">
      <w:start w:val="0"/>
      <w:numFmt w:val="bullet"/>
      <w:lvlText w:val="•"/>
      <w:lvlJc w:val="left"/>
      <w:pPr>
        <w:ind w:left="1998" w:hanging="363"/>
      </w:pPr>
      <w:rPr>
        <w:rFonts w:hint="default"/>
        <w:lang w:val="de-DE" w:eastAsia="en-US" w:bidi="ar-SA"/>
      </w:rPr>
    </w:lvl>
    <w:lvl w:ilvl="4">
      <w:start w:val="0"/>
      <w:numFmt w:val="bullet"/>
      <w:lvlText w:val="•"/>
      <w:lvlJc w:val="left"/>
      <w:pPr>
        <w:ind w:left="2510" w:hanging="363"/>
      </w:pPr>
      <w:rPr>
        <w:rFonts w:hint="default"/>
        <w:lang w:val="de-DE" w:eastAsia="en-US" w:bidi="ar-SA"/>
      </w:rPr>
    </w:lvl>
    <w:lvl w:ilvl="5">
      <w:start w:val="0"/>
      <w:numFmt w:val="bullet"/>
      <w:lvlText w:val="•"/>
      <w:lvlJc w:val="left"/>
      <w:pPr>
        <w:ind w:left="3023" w:hanging="363"/>
      </w:pPr>
      <w:rPr>
        <w:rFonts w:hint="default"/>
        <w:lang w:val="de-DE" w:eastAsia="en-US" w:bidi="ar-SA"/>
      </w:rPr>
    </w:lvl>
    <w:lvl w:ilvl="6">
      <w:start w:val="0"/>
      <w:numFmt w:val="bullet"/>
      <w:lvlText w:val="•"/>
      <w:lvlJc w:val="left"/>
      <w:pPr>
        <w:ind w:left="3536" w:hanging="363"/>
      </w:pPr>
      <w:rPr>
        <w:rFonts w:hint="default"/>
        <w:lang w:val="de-DE" w:eastAsia="en-US" w:bidi="ar-SA"/>
      </w:rPr>
    </w:lvl>
    <w:lvl w:ilvl="7">
      <w:start w:val="0"/>
      <w:numFmt w:val="bullet"/>
      <w:lvlText w:val="•"/>
      <w:lvlJc w:val="left"/>
      <w:pPr>
        <w:ind w:left="4048" w:hanging="363"/>
      </w:pPr>
      <w:rPr>
        <w:rFonts w:hint="default"/>
        <w:lang w:val="de-DE" w:eastAsia="en-US" w:bidi="ar-SA"/>
      </w:rPr>
    </w:lvl>
    <w:lvl w:ilvl="8">
      <w:start w:val="0"/>
      <w:numFmt w:val="bullet"/>
      <w:lvlText w:val="•"/>
      <w:lvlJc w:val="left"/>
      <w:pPr>
        <w:ind w:left="4561" w:hanging="363"/>
      </w:pPr>
      <w:rPr>
        <w:rFonts w:hint="default"/>
        <w:lang w:val="de-DE" w:eastAsia="en-US" w:bidi="ar-SA"/>
      </w:rPr>
    </w:lvl>
  </w:abstractNum>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2" w:hanging="276"/>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898" w:hanging="276"/>
      </w:pPr>
      <w:rPr>
        <w:rFonts w:hint="default"/>
        <w:lang w:val="de-DE" w:eastAsia="en-US" w:bidi="ar-SA"/>
      </w:rPr>
    </w:lvl>
    <w:lvl w:ilvl="3">
      <w:start w:val="0"/>
      <w:numFmt w:val="bullet"/>
      <w:lvlText w:val="•"/>
      <w:lvlJc w:val="left"/>
      <w:pPr>
        <w:ind w:left="2996" w:hanging="276"/>
      </w:pPr>
      <w:rPr>
        <w:rFonts w:hint="default"/>
        <w:lang w:val="de-DE" w:eastAsia="en-US" w:bidi="ar-SA"/>
      </w:rPr>
    </w:lvl>
    <w:lvl w:ilvl="4">
      <w:start w:val="0"/>
      <w:numFmt w:val="bullet"/>
      <w:lvlText w:val="•"/>
      <w:lvlJc w:val="left"/>
      <w:pPr>
        <w:ind w:left="4095" w:hanging="276"/>
      </w:pPr>
      <w:rPr>
        <w:rFonts w:hint="default"/>
        <w:lang w:val="de-DE" w:eastAsia="en-US" w:bidi="ar-SA"/>
      </w:rPr>
    </w:lvl>
    <w:lvl w:ilvl="5">
      <w:start w:val="0"/>
      <w:numFmt w:val="bullet"/>
      <w:lvlText w:val="•"/>
      <w:lvlJc w:val="left"/>
      <w:pPr>
        <w:ind w:left="5193" w:hanging="276"/>
      </w:pPr>
      <w:rPr>
        <w:rFonts w:hint="default"/>
        <w:lang w:val="de-DE" w:eastAsia="en-US" w:bidi="ar-SA"/>
      </w:rPr>
    </w:lvl>
    <w:lvl w:ilvl="6">
      <w:start w:val="0"/>
      <w:numFmt w:val="bullet"/>
      <w:lvlText w:val="•"/>
      <w:lvlJc w:val="left"/>
      <w:pPr>
        <w:ind w:left="6292" w:hanging="276"/>
      </w:pPr>
      <w:rPr>
        <w:rFonts w:hint="default"/>
        <w:lang w:val="de-DE" w:eastAsia="en-US" w:bidi="ar-SA"/>
      </w:rPr>
    </w:lvl>
    <w:lvl w:ilvl="7">
      <w:start w:val="0"/>
      <w:numFmt w:val="bullet"/>
      <w:lvlText w:val="•"/>
      <w:lvlJc w:val="left"/>
      <w:pPr>
        <w:ind w:left="7390" w:hanging="276"/>
      </w:pPr>
      <w:rPr>
        <w:rFonts w:hint="default"/>
        <w:lang w:val="de-DE" w:eastAsia="en-US" w:bidi="ar-SA"/>
      </w:rPr>
    </w:lvl>
    <w:lvl w:ilvl="8">
      <w:start w:val="0"/>
      <w:numFmt w:val="bullet"/>
      <w:lvlText w:val="•"/>
      <w:lvlJc w:val="left"/>
      <w:pPr>
        <w:ind w:left="8489" w:hanging="276"/>
      </w:pPr>
      <w:rPr>
        <w:rFonts w:hint="default"/>
        <w:lang w:val="de-DE"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rmel.attard@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2023-02-16T17:04:20Z</dcterms:created>
  <dcterms:modified xsi:type="dcterms:W3CDTF">2023-02-16T17:04:20Z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