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3577" w:right="3912" w:firstLine="0"/>
        <w:jc w:val="center"/>
        <w:rPr>
          <w:b/>
          <w:sz w:val="24"/>
        </w:rPr>
      </w:pPr>
      <w:r>
        <w:rPr>
          <w:b/>
          <w:spacing w:val="-2"/>
          <w:sz w:val="24"/>
        </w:rPr>
        <w:t>STELLENAUSSCHREIBUNG</w:t>
      </w:r>
    </w:p>
    <w:p>
      <w:pPr>
        <w:pStyle w:val="BodyText"/>
        <w:spacing w:before="11"/>
        <w:rPr>
          <w:b/>
          <w:sz w:val="23"/>
        </w:rPr>
      </w:pPr>
    </w:p>
    <w:p>
      <w:pPr>
        <w:spacing w:before="0"/>
        <w:ind w:left="1742" w:right="1290"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7" w:type="dxa"/>
          </w:tcPr>
          <w:p>
            <w:pPr>
              <w:pStyle w:val="TableParagraph"/>
              <w:spacing w:before="162"/>
              <w:rPr>
                <w:sz w:val="24"/>
              </w:rPr>
            </w:pPr>
            <w:r>
              <w:rPr>
                <w:sz w:val="24"/>
              </w:rPr>
              <w:t>BUDG</w:t>
            </w:r>
            <w:r>
              <w:rPr>
                <w:spacing w:val="-9"/>
                <w:sz w:val="24"/>
              </w:rPr>
              <w:t> </w:t>
            </w:r>
            <w:r>
              <w:rPr>
                <w:spacing w:val="-5"/>
                <w:sz w:val="24"/>
              </w:rPr>
              <w:t>E2</w:t>
            </w:r>
          </w:p>
        </w:tc>
      </w:tr>
      <w:tr>
        <w:trPr>
          <w:trHeight w:val="2117"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line="252" w:lineRule="exact" w:before="1"/>
              <w:rPr>
                <w:b/>
                <w:sz w:val="22"/>
              </w:rPr>
            </w:pPr>
            <w:r>
              <w:rPr>
                <w:b/>
                <w:spacing w:val="-2"/>
                <w:sz w:val="22"/>
              </w:rPr>
              <w:t>E-Mail-Adresse:</w:t>
            </w:r>
          </w:p>
          <w:p>
            <w:pPr>
              <w:pStyle w:val="TableParagraph"/>
              <w:spacing w:line="252" w:lineRule="exact"/>
              <w:rPr>
                <w:b/>
                <w:sz w:val="22"/>
              </w:rPr>
            </w:pPr>
            <w:r>
              <w:rPr>
                <w:b/>
                <w:spacing w:val="-2"/>
                <w:sz w:val="22"/>
              </w:rPr>
              <w:t>Telefon:</w:t>
            </w:r>
          </w:p>
          <w:p>
            <w:pPr>
              <w:pStyle w:val="TableParagraph"/>
              <w:spacing w:before="2"/>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6"/>
              <w:rPr>
                <w:b/>
                <w:sz w:val="22"/>
              </w:rPr>
            </w:pPr>
            <w:r>
              <w:rPr>
                <w:b/>
                <w:sz w:val="22"/>
              </w:rPr>
              <w:t>1.</w:t>
            </w:r>
            <w:r>
              <w:rPr>
                <w:b/>
                <w:spacing w:val="-14"/>
                <w:sz w:val="22"/>
              </w:rPr>
              <w:t> </w:t>
            </w:r>
            <w:r>
              <w:rPr>
                <w:b/>
                <w:sz w:val="22"/>
              </w:rPr>
              <w:t>Abordnung: </w:t>
            </w:r>
            <w:r>
              <w:rPr>
                <w:b/>
                <w:spacing w:val="-2"/>
                <w:sz w:val="22"/>
              </w:rPr>
              <w:t>Dienstort:</w:t>
            </w:r>
          </w:p>
        </w:tc>
        <w:tc>
          <w:tcPr>
            <w:tcW w:w="5597" w:type="dxa"/>
          </w:tcPr>
          <w:p>
            <w:pPr>
              <w:pStyle w:val="TableParagraph"/>
              <w:ind w:right="1203"/>
              <w:rPr>
                <w:sz w:val="24"/>
              </w:rPr>
            </w:pPr>
            <w:r>
              <w:rPr>
                <w:sz w:val="24"/>
              </w:rPr>
              <w:t>Martin Koehler </w:t>
            </w:r>
            <w:hyperlink r:id="rId7">
              <w:r>
                <w:rPr>
                  <w:spacing w:val="-2"/>
                  <w:sz w:val="24"/>
                </w:rPr>
                <w:t>Martin.koehler@ec.europa.eu</w:t>
              </w:r>
            </w:hyperlink>
          </w:p>
          <w:p>
            <w:pPr>
              <w:pStyle w:val="TableParagraph"/>
              <w:spacing w:before="5"/>
              <w:ind w:left="0"/>
              <w:rPr>
                <w:b/>
                <w:sz w:val="23"/>
              </w:rPr>
            </w:pPr>
          </w:p>
          <w:p>
            <w:pPr>
              <w:pStyle w:val="TableParagraph"/>
              <w:rPr>
                <w:sz w:val="24"/>
              </w:rPr>
            </w:pPr>
            <w:r>
              <w:rPr>
                <w:sz w:val="24"/>
              </w:rPr>
              <w:t>1</w:t>
            </w:r>
          </w:p>
          <w:p>
            <w:pPr>
              <w:pStyle w:val="TableParagraph"/>
              <w:spacing w:before="5"/>
              <w:ind w:left="139"/>
              <w:rPr>
                <w:b/>
                <w:sz w:val="22"/>
              </w:rPr>
            </w:pPr>
            <w:r>
              <w:rPr>
                <w:b/>
                <w:sz w:val="22"/>
              </w:rPr>
              <w:t>3.</w:t>
            </w:r>
            <w:r>
              <w:rPr>
                <w:b/>
                <w:spacing w:val="-5"/>
                <w:sz w:val="22"/>
              </w:rPr>
              <w:t> </w:t>
            </w:r>
            <w:r>
              <w:rPr>
                <w:b/>
                <w:sz w:val="22"/>
              </w:rPr>
              <w:t>Quartal</w:t>
            </w:r>
            <w:r>
              <w:rPr>
                <w:b/>
                <w:spacing w:val="-1"/>
                <w:sz w:val="22"/>
              </w:rPr>
              <w:t> </w:t>
            </w:r>
            <w:r>
              <w:rPr>
                <w:b/>
                <w:spacing w:val="-4"/>
                <w:sz w:val="22"/>
              </w:rPr>
              <w:t>2023</w:t>
            </w:r>
            <w:r>
              <w:rPr>
                <w:b/>
                <w:spacing w:val="-4"/>
                <w:sz w:val="22"/>
                <w:vertAlign w:val="superscript"/>
              </w:rPr>
              <w:t>1</w:t>
            </w:r>
          </w:p>
          <w:p>
            <w:pPr>
              <w:pStyle w:val="TableParagraph"/>
              <w:spacing w:before="2"/>
              <w:rPr>
                <w:b/>
                <w:sz w:val="22"/>
              </w:rPr>
            </w:pPr>
            <w:r>
              <w:rPr>
                <w:b/>
                <w:sz w:val="22"/>
              </w:rPr>
              <w:t>2 </w:t>
            </w:r>
            <w:r>
              <w:rPr>
                <w:b/>
                <w:spacing w:val="-2"/>
                <w:sz w:val="22"/>
              </w:rPr>
              <w:t>Jahr(e)</w:t>
            </w:r>
            <w:r>
              <w:rPr>
                <w:b/>
                <w:spacing w:val="-2"/>
                <w:sz w:val="22"/>
                <w:vertAlign w:val="superscript"/>
              </w:rPr>
              <w:t>1</w:t>
            </w:r>
          </w:p>
          <w:p>
            <w:pPr>
              <w:pStyle w:val="TableParagraph"/>
              <w:ind w:left="0"/>
              <w:rPr>
                <w:b/>
                <w:sz w:val="22"/>
              </w:rPr>
            </w:pPr>
          </w:p>
          <w:p>
            <w:pPr>
              <w:pStyle w:val="TableParagraph"/>
              <w:spacing w:line="233" w:lineRule="exact"/>
              <w:rPr>
                <w:b/>
                <w:sz w:val="22"/>
              </w:rPr>
            </w:pPr>
            <w:r>
              <w:rPr>
                <w:b/>
                <w:spacing w:val="-2"/>
                <w:sz w:val="22"/>
              </w:rPr>
              <w:t>Luxemburg</w:t>
            </w:r>
          </w:p>
        </w:tc>
      </w:tr>
      <w:tr>
        <w:trPr>
          <w:trHeight w:val="544" w:hRule="atLeast"/>
        </w:trPr>
        <w:tc>
          <w:tcPr>
            <w:tcW w:w="4359" w:type="dxa"/>
            <w:vMerge/>
            <w:tcBorders>
              <w:top w:val="nil"/>
            </w:tcBorders>
          </w:tcPr>
          <w:p>
            <w:pPr>
              <w:rPr>
                <w:sz w:val="2"/>
                <w:szCs w:val="2"/>
              </w:rPr>
            </w:pPr>
          </w:p>
        </w:tc>
        <w:tc>
          <w:tcPr>
            <w:tcW w:w="5597" w:type="dxa"/>
          </w:tcPr>
          <w:p>
            <w:pPr>
              <w:pStyle w:val="TableParagraph"/>
              <w:spacing w:before="140"/>
              <w:rPr>
                <w:b/>
                <w:sz w:val="22"/>
              </w:rPr>
            </w:pPr>
            <w:r>
              <w:rPr>
                <w:sz w:val="22"/>
              </w:rPr>
              <w:t>X</w:t>
            </w:r>
            <w:r>
              <w:rPr>
                <w:spacing w:val="52"/>
                <w:sz w:val="22"/>
              </w:rPr>
              <w:t> </w:t>
            </w:r>
            <w:r>
              <w:rPr>
                <w:b/>
                <w:sz w:val="22"/>
              </w:rPr>
              <w:t>Mit</w:t>
            </w:r>
            <w:r>
              <w:rPr>
                <w:b/>
                <w:spacing w:val="-3"/>
                <w:sz w:val="22"/>
              </w:rPr>
              <w:t> </w:t>
            </w:r>
            <w:r>
              <w:rPr>
                <w:b/>
                <w:sz w:val="22"/>
              </w:rPr>
              <w:t>Vergütungen</w:t>
            </w:r>
            <w:r>
              <w:rPr>
                <w:b/>
                <w:spacing w:val="77"/>
                <w:w w:val="150"/>
                <w:sz w:val="22"/>
              </w:rPr>
              <w:t> </w:t>
            </w:r>
            <w:r>
              <w:rPr>
                <w:rFonts w:ascii="Wingdings 2" w:hAnsi="Wingdings 2"/>
                <w:sz w:val="22"/>
              </w:rPr>
              <w:t></w:t>
            </w:r>
            <w:r>
              <w:rPr>
                <w:spacing w:val="50"/>
                <w:sz w:val="22"/>
              </w:rPr>
              <w:t> </w:t>
            </w:r>
            <w:r>
              <w:rPr>
                <w:b/>
                <w:sz w:val="22"/>
              </w:rPr>
              <w:t>Unentgeltlich</w:t>
            </w:r>
            <w:r>
              <w:rPr>
                <w:b/>
                <w:spacing w:val="-5"/>
                <w:sz w:val="22"/>
              </w:rPr>
              <w:t> </w:t>
            </w:r>
            <w:r>
              <w:rPr>
                <w:b/>
                <w:spacing w:val="-2"/>
                <w:sz w:val="22"/>
              </w:rPr>
              <w:t>Abgeordnet</w:t>
            </w:r>
          </w:p>
        </w:tc>
      </w:tr>
      <w:tr>
        <w:trPr>
          <w:trHeight w:val="2114" w:hRule="atLeast"/>
        </w:trPr>
        <w:tc>
          <w:tcPr>
            <w:tcW w:w="9956" w:type="dxa"/>
            <w:gridSpan w:val="2"/>
          </w:tcPr>
          <w:p>
            <w:pPr>
              <w:pStyle w:val="TableParagraph"/>
              <w:spacing w:before="169"/>
              <w:rPr>
                <w:b/>
                <w:sz w:val="22"/>
              </w:rPr>
            </w:pPr>
            <w:r>
              <w:rPr>
                <w:b/>
                <w:sz w:val="22"/>
              </w:rPr>
              <w:t>Auf</w:t>
            </w:r>
            <w:r>
              <w:rPr>
                <w:b/>
                <w:spacing w:val="-3"/>
                <w:sz w:val="22"/>
              </w:rPr>
              <w:t> </w:t>
            </w:r>
            <w:r>
              <w:rPr>
                <w:b/>
                <w:sz w:val="22"/>
              </w:rPr>
              <w:t>diese</w:t>
            </w:r>
            <w:r>
              <w:rPr>
                <w:b/>
                <w:spacing w:val="-5"/>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ind w:left="0"/>
              <w:rPr>
                <w:b/>
                <w:sz w:val="22"/>
              </w:rPr>
            </w:pPr>
          </w:p>
          <w:p>
            <w:pPr>
              <w:pStyle w:val="TableParagraph"/>
              <w:numPr>
                <w:ilvl w:val="0"/>
                <w:numId w:val="1"/>
              </w:numPr>
              <w:tabs>
                <w:tab w:pos="523" w:val="left" w:leader="none"/>
                <w:tab w:pos="524" w:val="left" w:leader="none"/>
              </w:tabs>
              <w:spacing w:line="251"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EFTA-Staaten</w:t>
            </w:r>
            <w:r>
              <w:rPr>
                <w:b/>
                <w:spacing w:val="-5"/>
                <w:sz w:val="22"/>
              </w:rPr>
              <w:t> </w:t>
            </w:r>
            <w:r>
              <w:rPr>
                <w:b/>
                <w:spacing w:val="-2"/>
                <w:sz w:val="22"/>
              </w:rPr>
              <w:t>bewerben:</w:t>
            </w:r>
          </w:p>
          <w:p>
            <w:pPr>
              <w:pStyle w:val="TableParagraph"/>
              <w:numPr>
                <w:ilvl w:val="1"/>
                <w:numId w:val="1"/>
              </w:numPr>
              <w:tabs>
                <w:tab w:pos="817" w:val="left" w:leader="none"/>
              </w:tabs>
              <w:spacing w:line="251" w:lineRule="exact" w:before="0" w:after="0"/>
              <w:ind w:left="816" w:right="0" w:hanging="253"/>
              <w:jc w:val="left"/>
              <w:rPr>
                <w:b/>
                <w:sz w:val="22"/>
              </w:rPr>
            </w:pPr>
            <w:r>
              <w:rPr>
                <w:b/>
                <w:sz w:val="22"/>
              </w:rPr>
              <w:t>Island</w:t>
            </w:r>
            <w:r>
              <w:rPr>
                <w:b/>
                <w:spacing w:val="-6"/>
                <w:sz w:val="22"/>
              </w:rPr>
              <w:t> </w:t>
            </w:r>
            <w:r>
              <w:rPr>
                <w:sz w:val="22"/>
              </w:rPr>
              <w:t>X</w:t>
            </w:r>
            <w:r>
              <w:rPr>
                <w:spacing w:val="-1"/>
                <w:sz w:val="22"/>
              </w:rPr>
              <w:t> </w:t>
            </w:r>
            <w:r>
              <w:rPr>
                <w:b/>
                <w:sz w:val="22"/>
              </w:rPr>
              <w:t>Liechtenstein</w:t>
            </w:r>
            <w:r>
              <w:rPr>
                <w:b/>
                <w:spacing w:val="-4"/>
                <w:sz w:val="22"/>
              </w:rPr>
              <w:t> </w:t>
            </w:r>
            <w:r>
              <w:rPr>
                <w:sz w:val="22"/>
              </w:rPr>
              <w:t>X</w:t>
            </w:r>
            <w:r>
              <w:rPr>
                <w:spacing w:val="-1"/>
                <w:sz w:val="22"/>
              </w:rPr>
              <w:t> </w:t>
            </w:r>
            <w:r>
              <w:rPr>
                <w:b/>
                <w:sz w:val="22"/>
              </w:rPr>
              <w:t>Norwegen</w:t>
            </w:r>
            <w:r>
              <w:rPr>
                <w:b/>
                <w:spacing w:val="-4"/>
                <w:sz w:val="22"/>
              </w:rPr>
              <w:t> </w:t>
            </w:r>
            <w:r>
              <w:rPr>
                <w:sz w:val="22"/>
              </w:rPr>
              <w:t>X</w:t>
            </w:r>
            <w:r>
              <w:rPr>
                <w:spacing w:val="-1"/>
                <w:sz w:val="22"/>
              </w:rPr>
              <w:t> </w:t>
            </w:r>
            <w:r>
              <w:rPr>
                <w:b/>
                <w:sz w:val="22"/>
              </w:rPr>
              <w:t>die</w:t>
            </w:r>
            <w:r>
              <w:rPr>
                <w:b/>
                <w:spacing w:val="-2"/>
                <w:sz w:val="22"/>
              </w:rPr>
              <w:t> Schweiz</w:t>
            </w:r>
          </w:p>
          <w:p>
            <w:pPr>
              <w:pStyle w:val="TableParagraph"/>
              <w:numPr>
                <w:ilvl w:val="1"/>
                <w:numId w:val="1"/>
              </w:numPr>
              <w:tabs>
                <w:tab w:pos="817" w:val="left" w:leader="none"/>
              </w:tabs>
              <w:spacing w:line="253" w:lineRule="exact" w:before="4" w:after="0"/>
              <w:ind w:left="816" w:right="0" w:hanging="253"/>
              <w:jc w:val="left"/>
              <w:rPr>
                <w:b/>
                <w:sz w:val="22"/>
              </w:rPr>
            </w:pPr>
            <w:r>
              <w:rPr>
                <w:b/>
                <w:sz w:val="22"/>
              </w:rPr>
              <w:t>EFTA-EEA</w:t>
            </w:r>
            <w:r>
              <w:rPr>
                <w:b/>
                <w:spacing w:val="-7"/>
                <w:sz w:val="22"/>
              </w:rPr>
              <w:t> </w:t>
            </w:r>
            <w:r>
              <w:rPr>
                <w:b/>
                <w:sz w:val="22"/>
              </w:rPr>
              <w:t>in</w:t>
            </w:r>
            <w:r>
              <w:rPr>
                <w:b/>
                <w:spacing w:val="-7"/>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4"/>
                <w:sz w:val="22"/>
              </w:rPr>
              <w:t> </w:t>
            </w:r>
            <w:r>
              <w:rPr>
                <w:b/>
                <w:spacing w:val="-2"/>
                <w:sz w:val="22"/>
              </w:rPr>
              <w:t>Norwegen)</w:t>
            </w:r>
          </w:p>
          <w:p>
            <w:pPr>
              <w:pStyle w:val="TableParagraph"/>
              <w:numPr>
                <w:ilvl w:val="0"/>
                <w:numId w:val="1"/>
              </w:numPr>
              <w:tabs>
                <w:tab w:pos="523" w:val="left" w:leader="none"/>
                <w:tab w:pos="524" w:val="left" w:leader="none"/>
              </w:tabs>
              <w:spacing w:line="253"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4"/>
                <w:sz w:val="22"/>
              </w:rPr>
              <w:t> </w:t>
            </w:r>
            <w:r>
              <w:rPr>
                <w:b/>
                <w:sz w:val="22"/>
              </w:rPr>
              <w:t>Drittländer</w:t>
            </w:r>
            <w:r>
              <w:rPr>
                <w:b/>
                <w:spacing w:val="-5"/>
                <w:sz w:val="22"/>
              </w:rPr>
              <w:t> </w:t>
            </w:r>
            <w:r>
              <w:rPr>
                <w:b/>
                <w:spacing w:val="-2"/>
                <w:sz w:val="22"/>
              </w:rPr>
              <w:t>bewerben:</w:t>
            </w:r>
          </w:p>
          <w:p>
            <w:pPr>
              <w:pStyle w:val="TableParagraph"/>
              <w:numPr>
                <w:ilvl w:val="0"/>
                <w:numId w:val="1"/>
              </w:numPr>
              <w:tabs>
                <w:tab w:pos="523" w:val="left" w:leader="none"/>
                <w:tab w:pos="524" w:val="left" w:leader="none"/>
              </w:tabs>
              <w:spacing w:line="240" w:lineRule="auto" w:before="1" w:after="0"/>
              <w:ind w:left="523" w:right="0" w:hanging="419"/>
              <w:jc w:val="left"/>
              <w:rPr>
                <w:b/>
                <w:sz w:val="22"/>
              </w:rPr>
            </w:pPr>
            <w:r>
              <w:rPr>
                <w:b/>
                <w:sz w:val="22"/>
              </w:rPr>
              <w:t>Bedienstete</w:t>
            </w:r>
            <w:r>
              <w:rPr>
                <w:b/>
                <w:spacing w:val="-12"/>
                <w:sz w:val="22"/>
              </w:rPr>
              <w:t> </w:t>
            </w:r>
            <w:r>
              <w:rPr>
                <w:b/>
                <w:sz w:val="22"/>
              </w:rPr>
              <w:t>folgender</w:t>
            </w:r>
            <w:r>
              <w:rPr>
                <w:b/>
                <w:spacing w:val="-10"/>
                <w:sz w:val="22"/>
              </w:rPr>
              <w:t> </w:t>
            </w:r>
            <w:r>
              <w:rPr>
                <w:b/>
                <w:sz w:val="22"/>
              </w:rPr>
              <w:t>zwischenstaatlicher</w:t>
            </w:r>
            <w:r>
              <w:rPr>
                <w:b/>
                <w:spacing w:val="-10"/>
                <w:sz w:val="22"/>
              </w:rPr>
              <w:t> </w:t>
            </w:r>
            <w:r>
              <w:rPr>
                <w:b/>
                <w:sz w:val="22"/>
              </w:rPr>
              <w:t>Organisationen</w:t>
            </w:r>
            <w:r>
              <w:rPr>
                <w:b/>
                <w:spacing w:val="-7"/>
                <w:sz w:val="22"/>
              </w:rPr>
              <w:t> </w:t>
            </w:r>
            <w:r>
              <w:rPr>
                <w:b/>
                <w:spacing w:val="-2"/>
                <w:sz w:val="22"/>
              </w:rPr>
              <w:t>bewerben:</w:t>
            </w:r>
          </w:p>
        </w:tc>
      </w:tr>
    </w:tbl>
    <w:p>
      <w:pPr>
        <w:pStyle w:val="BodyText"/>
        <w:rPr>
          <w:b/>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4"/>
        <w:rPr>
          <w:b/>
          <w:sz w:val="15"/>
        </w:rPr>
      </w:pPr>
    </w:p>
    <w:p>
      <w:pPr>
        <w:pStyle w:val="BodyText"/>
        <w:spacing w:before="92"/>
        <w:ind w:left="799" w:right="107"/>
        <w:jc w:val="both"/>
      </w:pPr>
      <w:r>
        <w:rPr/>
        <w:t>Die Stelle bietet nationalen Sachverständigen mit Erfahrung in Finanzgeschäften und Schuldenverwaltung die Möglichkeit,</w:t>
      </w:r>
      <w:r>
        <w:rPr>
          <w:spacing w:val="-3"/>
        </w:rPr>
        <w:t> </w:t>
      </w:r>
      <w:r>
        <w:rPr/>
        <w:t>Teil eines anspruchsvollen,</w:t>
      </w:r>
      <w:r>
        <w:rPr>
          <w:spacing w:val="-1"/>
        </w:rPr>
        <w:t> </w:t>
      </w:r>
      <w:r>
        <w:rPr/>
        <w:t>innovativen</w:t>
      </w:r>
      <w:r>
        <w:rPr>
          <w:spacing w:val="-3"/>
        </w:rPr>
        <w:t> </w:t>
      </w:r>
      <w:r>
        <w:rPr/>
        <w:t>und</w:t>
      </w:r>
      <w:r>
        <w:rPr>
          <w:spacing w:val="-1"/>
        </w:rPr>
        <w:t> </w:t>
      </w:r>
      <w:r>
        <w:rPr/>
        <w:t>hochkarätigen</w:t>
      </w:r>
      <w:r>
        <w:rPr>
          <w:spacing w:val="-3"/>
        </w:rPr>
        <w:t> </w:t>
      </w:r>
      <w:r>
        <w:rPr/>
        <w:t>Teams</w:t>
      </w:r>
      <w:r>
        <w:rPr>
          <w:spacing w:val="-1"/>
        </w:rPr>
        <w:t> </w:t>
      </w:r>
      <w:r>
        <w:rPr/>
        <w:t>zu</w:t>
      </w:r>
      <w:r>
        <w:rPr>
          <w:spacing w:val="-1"/>
        </w:rPr>
        <w:t> </w:t>
      </w:r>
      <w:r>
        <w:rPr/>
        <w:t>werden,</w:t>
      </w:r>
      <w:r>
        <w:rPr>
          <w:spacing w:val="-1"/>
        </w:rPr>
        <w:t> </w:t>
      </w:r>
      <w:r>
        <w:rPr/>
        <w:t>das</w:t>
      </w:r>
      <w:r>
        <w:rPr>
          <w:spacing w:val="-3"/>
        </w:rPr>
        <w:t> </w:t>
      </w:r>
      <w:r>
        <w:rPr/>
        <w:t>im</w:t>
      </w:r>
      <w:r>
        <w:rPr>
          <w:spacing w:val="-5"/>
        </w:rPr>
        <w:t> </w:t>
      </w:r>
      <w:r>
        <w:rPr/>
        <w:t>Mittelpunkt der Finanzierung der Erholung der EU von der COVID-19-Krise und anderer politischer Prioritäten durch Kapitalmarktoperationen steht.</w:t>
      </w:r>
    </w:p>
    <w:p>
      <w:pPr>
        <w:pStyle w:val="BodyText"/>
        <w:spacing w:before="2"/>
      </w:pPr>
    </w:p>
    <w:p>
      <w:pPr>
        <w:pStyle w:val="BodyText"/>
        <w:ind w:left="799" w:right="106"/>
        <w:jc w:val="both"/>
      </w:pPr>
      <w:r>
        <w:rPr/>
        <w:t>Um</w:t>
      </w:r>
      <w:r>
        <w:rPr>
          <w:spacing w:val="-5"/>
        </w:rPr>
        <w:t> </w:t>
      </w:r>
      <w:r>
        <w:rPr/>
        <w:t>die</w:t>
      </w:r>
      <w:r>
        <w:rPr>
          <w:spacing w:val="-2"/>
        </w:rPr>
        <w:t> </w:t>
      </w:r>
      <w:r>
        <w:rPr/>
        <w:t>politische</w:t>
      </w:r>
      <w:r>
        <w:rPr>
          <w:spacing w:val="-2"/>
        </w:rPr>
        <w:t> </w:t>
      </w:r>
      <w:r>
        <w:rPr/>
        <w:t>Antwort</w:t>
      </w:r>
      <w:r>
        <w:rPr>
          <w:spacing w:val="-3"/>
        </w:rPr>
        <w:t> </w:t>
      </w:r>
      <w:r>
        <w:rPr/>
        <w:t>der</w:t>
      </w:r>
      <w:r>
        <w:rPr>
          <w:spacing w:val="-1"/>
        </w:rPr>
        <w:t> </w:t>
      </w:r>
      <w:r>
        <w:rPr/>
        <w:t>EU</w:t>
      </w:r>
      <w:r>
        <w:rPr>
          <w:spacing w:val="-3"/>
        </w:rPr>
        <w:t> </w:t>
      </w:r>
      <w:r>
        <w:rPr/>
        <w:t>auf</w:t>
      </w:r>
      <w:r>
        <w:rPr>
          <w:spacing w:val="-1"/>
        </w:rPr>
        <w:t> </w:t>
      </w:r>
      <w:r>
        <w:rPr/>
        <w:t>die</w:t>
      </w:r>
      <w:r>
        <w:rPr>
          <w:spacing w:val="-2"/>
        </w:rPr>
        <w:t> </w:t>
      </w:r>
      <w:r>
        <w:rPr/>
        <w:t>COVID-19-Krise</w:t>
      </w:r>
      <w:r>
        <w:rPr>
          <w:spacing w:val="-2"/>
        </w:rPr>
        <w:t> </w:t>
      </w:r>
      <w:r>
        <w:rPr/>
        <w:t>zu</w:t>
      </w:r>
      <w:r>
        <w:rPr>
          <w:spacing w:val="-2"/>
        </w:rPr>
        <w:t> </w:t>
      </w:r>
      <w:r>
        <w:rPr/>
        <w:t>finanzieren</w:t>
      </w:r>
      <w:r>
        <w:rPr>
          <w:spacing w:val="-2"/>
        </w:rPr>
        <w:t> </w:t>
      </w:r>
      <w:r>
        <w:rPr/>
        <w:t>und</w:t>
      </w:r>
      <w:r>
        <w:rPr>
          <w:spacing w:val="-2"/>
        </w:rPr>
        <w:t> </w:t>
      </w:r>
      <w:r>
        <w:rPr/>
        <w:t>die</w:t>
      </w:r>
      <w:r>
        <w:rPr>
          <w:spacing w:val="-2"/>
        </w:rPr>
        <w:t> </w:t>
      </w:r>
      <w:r>
        <w:rPr/>
        <w:t>wirtschaftliche</w:t>
      </w:r>
      <w:r>
        <w:rPr>
          <w:spacing w:val="-2"/>
        </w:rPr>
        <w:t> </w:t>
      </w:r>
      <w:r>
        <w:rPr/>
        <w:t>Erholung</w:t>
      </w:r>
      <w:r>
        <w:rPr>
          <w:spacing w:val="-4"/>
        </w:rPr>
        <w:t> </w:t>
      </w:r>
      <w:r>
        <w:rPr/>
        <w:t>in der EU zu unterstützen, ist die Europäische Kommission mit der Implementierung des Schuldenmanagements des</w:t>
      </w:r>
      <w:r>
        <w:rPr>
          <w:spacing w:val="-3"/>
        </w:rPr>
        <w:t> </w:t>
      </w:r>
      <w:r>
        <w:rPr/>
        <w:t>Programms</w:t>
      </w:r>
      <w:r>
        <w:rPr>
          <w:spacing w:val="-3"/>
        </w:rPr>
        <w:t> </w:t>
      </w:r>
      <w:r>
        <w:rPr/>
        <w:t>„NextGenerationEU</w:t>
      </w:r>
      <w:r>
        <w:rPr>
          <w:spacing w:val="-5"/>
        </w:rPr>
        <w:t> </w:t>
      </w:r>
      <w:r>
        <w:rPr/>
        <w:t>(NGEU)“</w:t>
      </w:r>
      <w:r>
        <w:rPr>
          <w:spacing w:val="-3"/>
        </w:rPr>
        <w:t> </w:t>
      </w:r>
      <w:r>
        <w:rPr/>
        <w:t>beauftragt.</w:t>
      </w:r>
      <w:r>
        <w:rPr>
          <w:spacing w:val="-3"/>
        </w:rPr>
        <w:t> </w:t>
      </w:r>
      <w:r>
        <w:rPr/>
        <w:t>Diese</w:t>
      </w:r>
      <w:r>
        <w:rPr>
          <w:spacing w:val="-3"/>
        </w:rPr>
        <w:t> </w:t>
      </w:r>
      <w:r>
        <w:rPr/>
        <w:t>Initiative</w:t>
      </w:r>
      <w:r>
        <w:rPr>
          <w:spacing w:val="-3"/>
        </w:rPr>
        <w:t> </w:t>
      </w:r>
      <w:r>
        <w:rPr/>
        <w:t>sieht</w:t>
      </w:r>
      <w:r>
        <w:rPr>
          <w:spacing w:val="-2"/>
        </w:rPr>
        <w:t> </w:t>
      </w:r>
      <w:r>
        <w:rPr/>
        <w:t>die</w:t>
      </w:r>
      <w:r>
        <w:rPr>
          <w:spacing w:val="-3"/>
        </w:rPr>
        <w:t> </w:t>
      </w:r>
      <w:r>
        <w:rPr/>
        <w:t>Begebung</w:t>
      </w:r>
      <w:r>
        <w:rPr>
          <w:spacing w:val="-6"/>
        </w:rPr>
        <w:t> </w:t>
      </w:r>
      <w:r>
        <w:rPr/>
        <w:t>von</w:t>
      </w:r>
      <w:r>
        <w:rPr>
          <w:spacing w:val="-3"/>
        </w:rPr>
        <w:t> </w:t>
      </w:r>
      <w:r>
        <w:rPr/>
        <w:t>Schuldtiteln in einem Umfang von bis zu EUR 800 Mrd. bis 2026 vor, mit einem jährlichen Emissionsvolumen von EUR 100-150 Mrd. in den kommenden Jahren. Die Erlöse werden hauptsächlich zur Finanzierung einer Reihe von Politiken der Union verwendet, während ein Teil an die Mitgliedstaaten zur Finanzierung nationaler Konjunkturprogramme ausgeliehen werden soll.</w:t>
      </w:r>
    </w:p>
    <w:p>
      <w:pPr>
        <w:pStyle w:val="BodyText"/>
      </w:pPr>
    </w:p>
    <w:p>
      <w:pPr>
        <w:pStyle w:val="BodyText"/>
        <w:ind w:left="799" w:right="104"/>
        <w:jc w:val="both"/>
      </w:pPr>
      <w:r>
        <w:rPr/>
        <w:t>Die Kommission hat auch das Mandat, Anleihen auszugeben, um die Unterstützung der EU für die Ukraine und</w:t>
      </w:r>
      <w:r>
        <w:rPr>
          <w:spacing w:val="-2"/>
        </w:rPr>
        <w:t> </w:t>
      </w:r>
      <w:r>
        <w:rPr/>
        <w:t>andere</w:t>
      </w:r>
      <w:r>
        <w:rPr>
          <w:spacing w:val="-2"/>
        </w:rPr>
        <w:t> </w:t>
      </w:r>
      <w:r>
        <w:rPr/>
        <w:t>Nachbarländer</w:t>
      </w:r>
      <w:r>
        <w:rPr>
          <w:spacing w:val="-2"/>
        </w:rPr>
        <w:t> </w:t>
      </w:r>
      <w:r>
        <w:rPr/>
        <w:t>im</w:t>
      </w:r>
      <w:r>
        <w:rPr>
          <w:spacing w:val="-4"/>
        </w:rPr>
        <w:t> </w:t>
      </w:r>
      <w:r>
        <w:rPr/>
        <w:t>Rahmen</w:t>
      </w:r>
      <w:r>
        <w:rPr>
          <w:spacing w:val="-2"/>
        </w:rPr>
        <w:t> </w:t>
      </w:r>
      <w:r>
        <w:rPr/>
        <w:t>ihrer</w:t>
      </w:r>
      <w:r>
        <w:rPr>
          <w:spacing w:val="-1"/>
        </w:rPr>
        <w:t> </w:t>
      </w:r>
      <w:r>
        <w:rPr/>
        <w:t>Finanzhilfeprogramme</w:t>
      </w:r>
      <w:r>
        <w:rPr>
          <w:spacing w:val="-2"/>
        </w:rPr>
        <w:t> </w:t>
      </w:r>
      <w:r>
        <w:rPr/>
        <w:t>zu</w:t>
      </w:r>
      <w:r>
        <w:rPr>
          <w:spacing w:val="-2"/>
        </w:rPr>
        <w:t> </w:t>
      </w:r>
      <w:r>
        <w:rPr/>
        <w:t>finanzieren.</w:t>
      </w:r>
      <w:r>
        <w:rPr>
          <w:spacing w:val="-2"/>
        </w:rPr>
        <w:t> </w:t>
      </w:r>
      <w:r>
        <w:rPr/>
        <w:t>Ab</w:t>
      </w:r>
      <w:r>
        <w:rPr>
          <w:spacing w:val="-2"/>
        </w:rPr>
        <w:t> </w:t>
      </w:r>
      <w:r>
        <w:rPr/>
        <w:t>Januar</w:t>
      </w:r>
      <w:r>
        <w:rPr>
          <w:spacing w:val="-2"/>
        </w:rPr>
        <w:t> </w:t>
      </w:r>
      <w:r>
        <w:rPr/>
        <w:t>2023</w:t>
      </w:r>
      <w:r>
        <w:rPr>
          <w:spacing w:val="-2"/>
        </w:rPr>
        <w:t> </w:t>
      </w:r>
      <w:r>
        <w:rPr/>
        <w:t>werden</w:t>
      </w:r>
      <w:r>
        <w:rPr>
          <w:spacing w:val="-4"/>
        </w:rPr>
        <w:t> </w:t>
      </w:r>
      <w:r>
        <w:rPr/>
        <w:t>die Finanzierungsoperationen der EU im Rahmen eines einheitlichen Finanzierungskonzepts mit entsprechenden internen Governance- und Risikomanagementstrukturen implementiert. Dieser Finanzierungsansatz sieht die Emission von EU-Anleihen vor, deren Mittel über verschiedene Finanzierungskanäle (Syndizierungen, Auktionen) sowie über das gesamte Laufzeitenspektrum (kurz- und langfristige Laufzeiten) im Rahmen eines gebündelten Finanzierungsansatzes und eines entsprechenden Liquiditätsmanagements mobilisiert werden.</w:t>
      </w:r>
      <w:r>
        <w:rPr>
          <w:spacing w:val="40"/>
        </w:rPr>
        <w:t> </w:t>
      </w:r>
      <w:r>
        <w:rPr/>
        <w:t>Der Ansatz baut auf den Mechanismen auf, die 2021 für die Finanzierung des NextGenerationEU-Programms eingeführt</w:t>
      </w:r>
      <w:r>
        <w:rPr>
          <w:spacing w:val="40"/>
        </w:rPr>
        <w:t> </w:t>
      </w:r>
      <w:r>
        <w:rPr/>
        <w:t>wurden.</w:t>
      </w:r>
      <w:r>
        <w:rPr>
          <w:spacing w:val="40"/>
        </w:rPr>
        <w:t> </w:t>
      </w:r>
      <w:r>
        <w:rPr/>
        <w:t>Darüber</w:t>
      </w:r>
      <w:r>
        <w:rPr>
          <w:spacing w:val="40"/>
        </w:rPr>
        <w:t> </w:t>
      </w:r>
      <w:r>
        <w:rPr/>
        <w:t>hinaus</w:t>
      </w:r>
      <w:r>
        <w:rPr>
          <w:spacing w:val="40"/>
        </w:rPr>
        <w:t> </w:t>
      </w:r>
      <w:r>
        <w:rPr/>
        <w:t>wird</w:t>
      </w:r>
      <w:r>
        <w:rPr>
          <w:spacing w:val="40"/>
        </w:rPr>
        <w:t> </w:t>
      </w:r>
      <w:r>
        <w:rPr/>
        <w:t>die</w:t>
      </w:r>
      <w:r>
        <w:rPr>
          <w:spacing w:val="40"/>
        </w:rPr>
        <w:t> </w:t>
      </w:r>
      <w:r>
        <w:rPr/>
        <w:t>Kommission</w:t>
      </w:r>
      <w:r>
        <w:rPr>
          <w:spacing w:val="40"/>
        </w:rPr>
        <w:t> </w:t>
      </w:r>
      <w:r>
        <w:rPr/>
        <w:t>auch</w:t>
      </w:r>
      <w:r>
        <w:rPr>
          <w:spacing w:val="40"/>
        </w:rPr>
        <w:t> </w:t>
      </w:r>
      <w:r>
        <w:rPr/>
        <w:t>weiterhin</w:t>
      </w:r>
      <w:r>
        <w:rPr>
          <w:spacing w:val="40"/>
        </w:rPr>
        <w:t> </w:t>
      </w:r>
      <w:r>
        <w:rPr/>
        <w:t>NextGenerationEU-Anleihen</w:t>
      </w:r>
      <w:r>
        <w:rPr>
          <w:spacing w:val="40"/>
        </w:rPr>
        <w:t> </w:t>
      </w:r>
      <w:r>
        <w:rPr/>
        <w:t>im</w:t>
      </w:r>
    </w:p>
    <w:p>
      <w:pPr>
        <w:pStyle w:val="BodyText"/>
        <w:rPr>
          <w:sz w:val="19"/>
        </w:rPr>
      </w:pPr>
      <w:r>
        <w:rPr/>
        <w:pict>
          <v:rect style="position:absolute;margin-left:42.599998pt;margin-top:12.141744pt;width:144.020pt;height:.71997pt;mso-position-horizontal-relative:page;mso-position-vertical-relative:paragraph;z-index:-15728640;mso-wrap-distance-left:0;mso-wrap-distance-right:0" id="docshape2" filled="true" fillcolor="#000000" stroked="false">
            <v:fill type="solid"/>
            <w10:wrap type="topAndBottom"/>
          </v:rect>
        </w:pict>
      </w:r>
    </w:p>
    <w:p>
      <w:pPr>
        <w:spacing w:before="96"/>
        <w:ind w:left="372" w:right="1290" w:firstLine="0"/>
        <w:jc w:val="left"/>
        <w:rPr>
          <w:sz w:val="20"/>
        </w:rPr>
      </w:pPr>
      <w:r>
        <w:rPr>
          <w:sz w:val="20"/>
          <w:vertAlign w:val="superscript"/>
        </w:rPr>
        <w:t>1</w:t>
      </w:r>
      <w:r>
        <w:rPr>
          <w:spacing w:val="28"/>
          <w:sz w:val="20"/>
          <w:vertAlign w:val="baseline"/>
        </w:rPr>
        <w:t> </w:t>
      </w:r>
      <w:r>
        <w:rPr>
          <w:sz w:val="20"/>
          <w:vertAlign w:val="baseline"/>
        </w:rPr>
        <w:t>Die</w:t>
      </w:r>
      <w:r>
        <w:rPr>
          <w:spacing w:val="31"/>
          <w:sz w:val="20"/>
          <w:vertAlign w:val="baseline"/>
        </w:rPr>
        <w:t> </w:t>
      </w:r>
      <w:r>
        <w:rPr>
          <w:sz w:val="20"/>
          <w:vertAlign w:val="baseline"/>
        </w:rPr>
        <w:t>Angaben</w:t>
      </w:r>
      <w:r>
        <w:rPr>
          <w:spacing w:val="27"/>
          <w:sz w:val="20"/>
          <w:vertAlign w:val="baseline"/>
        </w:rPr>
        <w:t> </w:t>
      </w:r>
      <w:r>
        <w:rPr>
          <w:sz w:val="20"/>
          <w:vertAlign w:val="baseline"/>
        </w:rPr>
        <w:t>zum</w:t>
      </w:r>
      <w:r>
        <w:rPr>
          <w:spacing w:val="27"/>
          <w:sz w:val="20"/>
          <w:vertAlign w:val="baseline"/>
        </w:rPr>
        <w:t> </w:t>
      </w:r>
      <w:r>
        <w:rPr>
          <w:sz w:val="20"/>
          <w:vertAlign w:val="baseline"/>
        </w:rPr>
        <w:t>Datum</w:t>
      </w:r>
      <w:r>
        <w:rPr>
          <w:spacing w:val="27"/>
          <w:sz w:val="20"/>
          <w:vertAlign w:val="baseline"/>
        </w:rPr>
        <w:t> </w:t>
      </w:r>
      <w:r>
        <w:rPr>
          <w:sz w:val="20"/>
          <w:vertAlign w:val="baseline"/>
        </w:rPr>
        <w:t>des</w:t>
      </w:r>
      <w:r>
        <w:rPr>
          <w:spacing w:val="28"/>
          <w:sz w:val="20"/>
          <w:vertAlign w:val="baseline"/>
        </w:rPr>
        <w:t> </w:t>
      </w:r>
      <w:r>
        <w:rPr>
          <w:sz w:val="20"/>
          <w:vertAlign w:val="baseline"/>
        </w:rPr>
        <w:t>Dienstantritts</w:t>
      </w:r>
      <w:r>
        <w:rPr>
          <w:spacing w:val="34"/>
          <w:sz w:val="20"/>
          <w:vertAlign w:val="baseline"/>
        </w:rPr>
        <w:t> </w:t>
      </w:r>
      <w:r>
        <w:rPr>
          <w:sz w:val="20"/>
          <w:vertAlign w:val="baseline"/>
        </w:rPr>
        <w:t>und</w:t>
      </w:r>
      <w:r>
        <w:rPr>
          <w:spacing w:val="29"/>
          <w:sz w:val="20"/>
          <w:vertAlign w:val="baseline"/>
        </w:rPr>
        <w:t> </w:t>
      </w:r>
      <w:r>
        <w:rPr>
          <w:sz w:val="20"/>
          <w:vertAlign w:val="baseline"/>
        </w:rPr>
        <w:t>zur</w:t>
      </w:r>
      <w:r>
        <w:rPr>
          <w:spacing w:val="29"/>
          <w:sz w:val="20"/>
          <w:vertAlign w:val="baseline"/>
        </w:rPr>
        <w:t> </w:t>
      </w:r>
      <w:r>
        <w:rPr>
          <w:sz w:val="20"/>
          <w:vertAlign w:val="baseline"/>
        </w:rPr>
        <w:t>Dauer</w:t>
      </w:r>
      <w:r>
        <w:rPr>
          <w:spacing w:val="29"/>
          <w:sz w:val="20"/>
          <w:vertAlign w:val="baseline"/>
        </w:rPr>
        <w:t> </w:t>
      </w:r>
      <w:r>
        <w:rPr>
          <w:sz w:val="20"/>
          <w:vertAlign w:val="baseline"/>
        </w:rPr>
        <w:t>der</w:t>
      </w:r>
      <w:r>
        <w:rPr>
          <w:spacing w:val="31"/>
          <w:sz w:val="20"/>
          <w:vertAlign w:val="baseline"/>
        </w:rPr>
        <w:t> </w:t>
      </w:r>
      <w:r>
        <w:rPr>
          <w:sz w:val="20"/>
          <w:vertAlign w:val="baseline"/>
        </w:rPr>
        <w:t>Abordnung</w:t>
      </w:r>
      <w:r>
        <w:rPr>
          <w:spacing w:val="29"/>
          <w:sz w:val="20"/>
          <w:vertAlign w:val="baseline"/>
        </w:rPr>
        <w:t> </w:t>
      </w:r>
      <w:r>
        <w:rPr>
          <w:sz w:val="20"/>
          <w:vertAlign w:val="baseline"/>
        </w:rPr>
        <w:t>sind</w:t>
      </w:r>
      <w:r>
        <w:rPr>
          <w:spacing w:val="29"/>
          <w:sz w:val="20"/>
          <w:vertAlign w:val="baseline"/>
        </w:rPr>
        <w:t> </w:t>
      </w:r>
      <w:r>
        <w:rPr>
          <w:sz w:val="20"/>
          <w:vertAlign w:val="baseline"/>
        </w:rPr>
        <w:t>unverbindlich</w:t>
      </w:r>
      <w:r>
        <w:rPr>
          <w:spacing w:val="27"/>
          <w:sz w:val="20"/>
          <w:vertAlign w:val="baseline"/>
        </w:rPr>
        <w:t> </w:t>
      </w:r>
      <w:r>
        <w:rPr>
          <w:sz w:val="20"/>
          <w:vertAlign w:val="baseline"/>
        </w:rPr>
        <w:t>(Art.</w:t>
      </w:r>
      <w:r>
        <w:rPr>
          <w:spacing w:val="28"/>
          <w:sz w:val="20"/>
          <w:vertAlign w:val="baseline"/>
        </w:rPr>
        <w:t> </w:t>
      </w:r>
      <w:r>
        <w:rPr>
          <w:sz w:val="20"/>
          <w:vertAlign w:val="baseline"/>
        </w:rPr>
        <w:t>4</w:t>
      </w:r>
      <w:r>
        <w:rPr>
          <w:spacing w:val="29"/>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68"/>
        <w:ind w:left="799" w:right="114"/>
        <w:jc w:val="both"/>
      </w:pPr>
      <w:r>
        <w:rPr/>
        <w:t>Rahmen des von ihr geschaffenen Rahmens für grüne Anleihen begeben (die erste grüne Anleihe im Rahmen von NGEU wurde im Oktober 2021 begeben).</w:t>
      </w:r>
    </w:p>
    <w:p>
      <w:pPr>
        <w:pStyle w:val="BodyText"/>
        <w:spacing w:before="2"/>
      </w:pPr>
    </w:p>
    <w:p>
      <w:pPr>
        <w:pStyle w:val="BodyText"/>
        <w:ind w:left="799" w:right="106"/>
        <w:jc w:val="both"/>
      </w:pPr>
      <w:r>
        <w:rPr/>
        <w:t>Die Europäische Kommission is bestrebt, ihr Team durch eine(n) nationale(n) Sachverstaendige(n) zu verstaerken, der/die ein breites operatives Fachwissen im Back Office mitbringen kann. Der/die nationale(n) Sachverstaendige(n) wuerden insbesondere mit folgender Zielsetzung ausgewaehlt:</w:t>
      </w:r>
    </w:p>
    <w:p>
      <w:pPr>
        <w:pStyle w:val="BodyText"/>
        <w:spacing w:before="10"/>
        <w:rPr>
          <w:sz w:val="21"/>
        </w:rPr>
      </w:pPr>
    </w:p>
    <w:p>
      <w:pPr>
        <w:pStyle w:val="ListParagraph"/>
        <w:numPr>
          <w:ilvl w:val="0"/>
          <w:numId w:val="3"/>
        </w:numPr>
        <w:tabs>
          <w:tab w:pos="1081" w:val="left" w:leader="none"/>
        </w:tabs>
        <w:spacing w:line="240" w:lineRule="auto" w:before="0" w:after="0"/>
        <w:ind w:left="1080" w:right="0" w:hanging="282"/>
        <w:jc w:val="both"/>
        <w:rPr>
          <w:sz w:val="22"/>
        </w:rPr>
      </w:pPr>
      <w:r>
        <w:rPr>
          <w:sz w:val="22"/>
        </w:rPr>
        <w:t>Stärkung</w:t>
      </w:r>
      <w:r>
        <w:rPr>
          <w:spacing w:val="-8"/>
          <w:sz w:val="22"/>
        </w:rPr>
        <w:t> </w:t>
      </w:r>
      <w:r>
        <w:rPr>
          <w:sz w:val="22"/>
        </w:rPr>
        <w:t>der</w:t>
      </w:r>
      <w:r>
        <w:rPr>
          <w:spacing w:val="-5"/>
          <w:sz w:val="22"/>
        </w:rPr>
        <w:t> </w:t>
      </w:r>
      <w:r>
        <w:rPr>
          <w:sz w:val="22"/>
        </w:rPr>
        <w:t>Kapazitäten</w:t>
      </w:r>
      <w:r>
        <w:rPr>
          <w:spacing w:val="-5"/>
          <w:sz w:val="22"/>
        </w:rPr>
        <w:t> </w:t>
      </w:r>
      <w:r>
        <w:rPr>
          <w:sz w:val="22"/>
        </w:rPr>
        <w:t>für</w:t>
      </w:r>
      <w:r>
        <w:rPr>
          <w:spacing w:val="-3"/>
          <w:sz w:val="22"/>
        </w:rPr>
        <w:t> </w:t>
      </w:r>
      <w:r>
        <w:rPr>
          <w:sz w:val="22"/>
        </w:rPr>
        <w:t>ein</w:t>
      </w:r>
      <w:r>
        <w:rPr>
          <w:spacing w:val="-1"/>
          <w:sz w:val="22"/>
        </w:rPr>
        <w:t> </w:t>
      </w:r>
      <w:r>
        <w:rPr>
          <w:sz w:val="22"/>
        </w:rPr>
        <w:t>auf</w:t>
      </w:r>
      <w:r>
        <w:rPr>
          <w:spacing w:val="-2"/>
          <w:sz w:val="22"/>
        </w:rPr>
        <w:t> </w:t>
      </w:r>
      <w:r>
        <w:rPr>
          <w:sz w:val="22"/>
        </w:rPr>
        <w:t>NGEU</w:t>
      </w:r>
      <w:r>
        <w:rPr>
          <w:spacing w:val="-5"/>
          <w:sz w:val="22"/>
        </w:rPr>
        <w:t> </w:t>
      </w:r>
      <w:r>
        <w:rPr>
          <w:sz w:val="22"/>
        </w:rPr>
        <w:t>bezogenes</w:t>
      </w:r>
      <w:r>
        <w:rPr>
          <w:spacing w:val="-3"/>
          <w:sz w:val="22"/>
        </w:rPr>
        <w:t> </w:t>
      </w:r>
      <w:r>
        <w:rPr>
          <w:sz w:val="22"/>
        </w:rPr>
        <w:t>Settlement</w:t>
      </w:r>
      <w:r>
        <w:rPr>
          <w:spacing w:val="-2"/>
          <w:sz w:val="22"/>
        </w:rPr>
        <w:t> </w:t>
      </w:r>
      <w:r>
        <w:rPr>
          <w:sz w:val="22"/>
        </w:rPr>
        <w:t>und</w:t>
      </w:r>
      <w:r>
        <w:rPr>
          <w:spacing w:val="-3"/>
          <w:sz w:val="22"/>
        </w:rPr>
        <w:t> </w:t>
      </w:r>
      <w:r>
        <w:rPr>
          <w:spacing w:val="-2"/>
          <w:sz w:val="22"/>
        </w:rPr>
        <w:t>Zahlungssystem;</w:t>
      </w:r>
    </w:p>
    <w:p>
      <w:pPr>
        <w:pStyle w:val="ListParagraph"/>
        <w:numPr>
          <w:ilvl w:val="0"/>
          <w:numId w:val="3"/>
        </w:numPr>
        <w:tabs>
          <w:tab w:pos="1081" w:val="left" w:leader="none"/>
        </w:tabs>
        <w:spacing w:line="240" w:lineRule="auto" w:before="2" w:after="0"/>
        <w:ind w:left="1080" w:right="109" w:hanging="281"/>
        <w:jc w:val="both"/>
        <w:rPr>
          <w:sz w:val="22"/>
        </w:rPr>
      </w:pPr>
      <w:r>
        <w:rPr>
          <w:sz w:val="22"/>
        </w:rPr>
        <w:t>Unterstützung in Fragen des Risikomanagements und –controllings im Zusammenhang mit der Schuldenverwaltung unter Berücksichtigung der Riskiovorgaben des Chief Risk Officer der Europäische </w:t>
      </w:r>
      <w:r>
        <w:rPr>
          <w:spacing w:val="-2"/>
          <w:sz w:val="22"/>
        </w:rPr>
        <w:t>Kommission;</w:t>
      </w:r>
    </w:p>
    <w:p>
      <w:pPr>
        <w:pStyle w:val="ListParagraph"/>
        <w:numPr>
          <w:ilvl w:val="0"/>
          <w:numId w:val="3"/>
        </w:numPr>
        <w:tabs>
          <w:tab w:pos="1081" w:val="left" w:leader="none"/>
        </w:tabs>
        <w:spacing w:line="240" w:lineRule="auto" w:before="0" w:after="0"/>
        <w:ind w:left="1080" w:right="104" w:hanging="281"/>
        <w:jc w:val="both"/>
        <w:rPr>
          <w:sz w:val="22"/>
        </w:rPr>
      </w:pPr>
      <w:r>
        <w:rPr>
          <w:sz w:val="22"/>
        </w:rPr>
        <w:t>Unterstützung bei der Weiterentwicklung des operativen Rahmens der Schuldenverwaltung aus Back</w:t>
      </w:r>
      <w:r>
        <w:rPr>
          <w:spacing w:val="40"/>
          <w:sz w:val="22"/>
        </w:rPr>
        <w:t> </w:t>
      </w:r>
      <w:r>
        <w:rPr>
          <w:sz w:val="22"/>
        </w:rPr>
        <w:t>Office Sicht, beispielsweise durch die Entwicklung neuer Ansätze und Prozesse zu Settlement und Zahlungssystemen (inkl. Sekundärmarktoperationen).</w:t>
      </w:r>
    </w:p>
    <w:p>
      <w:pPr>
        <w:pStyle w:val="BodyText"/>
      </w:pPr>
    </w:p>
    <w:p>
      <w:pPr>
        <w:pStyle w:val="BodyText"/>
        <w:spacing w:before="1"/>
        <w:ind w:left="799" w:right="104"/>
        <w:jc w:val="both"/>
      </w:pPr>
      <w:r>
        <w:rPr/>
        <w:t>Der/die nationale Sachverständige wird in seinem/ihrem jeweiligen Zuständigkeitsbereich wichtige Verantwortlichkeiten übernehmen und wichtige strategische und operative Vorschläge für ein Settlement und Zahlungssystem erarbeiten. Der nationale Sachverständige wird bei der Erreichung der vereinbarten Zielsetzungen über</w:t>
      </w:r>
      <w:r>
        <w:rPr>
          <w:spacing w:val="-1"/>
        </w:rPr>
        <w:t> </w:t>
      </w:r>
      <w:r>
        <w:rPr/>
        <w:t>beträchtliche Autonomie und</w:t>
      </w:r>
      <w:r>
        <w:rPr>
          <w:spacing w:val="-3"/>
        </w:rPr>
        <w:t> </w:t>
      </w:r>
      <w:r>
        <w:rPr/>
        <w:t>einen</w:t>
      </w:r>
      <w:r>
        <w:rPr>
          <w:spacing w:val="-2"/>
        </w:rPr>
        <w:t> </w:t>
      </w:r>
      <w:r>
        <w:rPr/>
        <w:t>erheblichen</w:t>
      </w:r>
      <w:r>
        <w:rPr>
          <w:spacing w:val="-3"/>
        </w:rPr>
        <w:t> </w:t>
      </w:r>
      <w:r>
        <w:rPr/>
        <w:t>Spielraum</w:t>
      </w:r>
      <w:r>
        <w:rPr>
          <w:spacing w:val="-3"/>
        </w:rPr>
        <w:t> </w:t>
      </w:r>
      <w:r>
        <w:rPr/>
        <w:t>für</w:t>
      </w:r>
      <w:r>
        <w:rPr>
          <w:spacing w:val="-2"/>
        </w:rPr>
        <w:t> </w:t>
      </w:r>
      <w:r>
        <w:rPr/>
        <w:t>Eigeninitiative verfügen und gleichzeitig voll in die Organisations-/Managementstruktur der Abteilung integriert sein und darin arbeiten.</w:t>
      </w:r>
    </w:p>
    <w:p>
      <w:pPr>
        <w:pStyle w:val="BodyText"/>
        <w:spacing w:before="10"/>
        <w:rPr>
          <w:sz w:val="21"/>
        </w:rPr>
      </w:pPr>
    </w:p>
    <w:p>
      <w:pPr>
        <w:pStyle w:val="BodyText"/>
        <w:ind w:left="799" w:right="107"/>
        <w:jc w:val="both"/>
      </w:pPr>
      <w:r>
        <w:rPr/>
        <w:t>Der/die nationale Sachverständige wird in der Direktion eingesetzt, die die Marktoperationen im Namen des Unionshaushalts durchführt ("Asset and Financial Risk Management"). Diese Direktion, deren Tätigkeiten überwiegend in Luxemburg angesiedelt sind, ist Teil der Generaldirektion Haushalt der Kommission. Neben den bereits erwähnten Anleihe- und Kreditaktivitäten verwaltet diese sehr aktive und expandierende Direktion auch das Aktivvermögen, das die Kommission im Namen verschiedener Politikbereiche der Union hält, einschließlich des Garantiefonds für EFSI, des künftigen InvestEU und der Garantie für "External Action". Diese Direktion koordiniert auch den politischen Rahmen der Kommission für die Verwaltung und das Berichtswesen über den Ausbau der Eventualverpflichtungen im Rahmen der Haushaltsgarantien.</w:t>
      </w:r>
    </w:p>
    <w:p>
      <w:pPr>
        <w:pStyle w:val="BodyText"/>
        <w:rPr>
          <w:sz w:val="24"/>
        </w:rPr>
      </w:pPr>
    </w:p>
    <w:p>
      <w:pPr>
        <w:pStyle w:val="BodyText"/>
        <w:spacing w:before="5"/>
        <w:rPr>
          <w:sz w:val="20"/>
        </w:rPr>
      </w:pPr>
    </w:p>
    <w:p>
      <w:pPr>
        <w:pStyle w:val="ListParagraph"/>
        <w:numPr>
          <w:ilvl w:val="0"/>
          <w:numId w:val="2"/>
        </w:numPr>
        <w:tabs>
          <w:tab w:pos="799" w:val="left" w:leader="none"/>
          <w:tab w:pos="800" w:val="left" w:leader="none"/>
        </w:tabs>
        <w:spacing w:line="240" w:lineRule="auto" w:before="1" w:after="0"/>
        <w:ind w:left="799" w:right="0" w:hanging="428"/>
        <w:jc w:val="left"/>
        <w:rPr>
          <w:b/>
          <w:sz w:val="24"/>
        </w:rPr>
      </w:pPr>
      <w:r>
        <w:rPr>
          <w:b/>
          <w:sz w:val="24"/>
          <w:u w:val="single"/>
        </w:rPr>
        <w:t>Erforderliche</w:t>
      </w:r>
      <w:r>
        <w:rPr>
          <w:b/>
          <w:spacing w:val="-8"/>
          <w:sz w:val="24"/>
          <w:u w:val="single"/>
        </w:rPr>
        <w:t> </w:t>
      </w:r>
      <w:r>
        <w:rPr>
          <w:b/>
          <w:spacing w:val="-2"/>
          <w:sz w:val="24"/>
          <w:u w:val="single"/>
        </w:rPr>
        <w:t>Qualifikationen</w:t>
      </w:r>
    </w:p>
    <w:p>
      <w:pPr>
        <w:pStyle w:val="BodyText"/>
        <w:spacing w:before="11"/>
        <w:rPr>
          <w:b/>
          <w:sz w:val="15"/>
        </w:rPr>
      </w:pPr>
    </w:p>
    <w:p>
      <w:pPr>
        <w:pStyle w:val="Heading1"/>
        <w:numPr>
          <w:ilvl w:val="1"/>
          <w:numId w:val="2"/>
        </w:numPr>
        <w:tabs>
          <w:tab w:pos="1040" w:val="left" w:leader="none"/>
        </w:tabs>
        <w:spacing w:line="240" w:lineRule="auto" w:before="92" w:after="0"/>
        <w:ind w:left="1039" w:right="0" w:hanging="241"/>
        <w:jc w:val="left"/>
      </w:pPr>
      <w:r>
        <w:rPr>
          <w:spacing w:val="-2"/>
          <w:u w:val="single"/>
        </w:rPr>
        <w:t>Zulassungskriterien</w:t>
      </w:r>
    </w:p>
    <w:p>
      <w:pPr>
        <w:pStyle w:val="BodyText"/>
        <w:spacing w:before="7"/>
        <w:rPr>
          <w:b/>
          <w:sz w:val="13"/>
        </w:rPr>
      </w:pPr>
    </w:p>
    <w:p>
      <w:pPr>
        <w:pStyle w:val="BodyText"/>
        <w:spacing w:before="92"/>
        <w:ind w:left="799" w:right="108"/>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
      </w:pPr>
    </w:p>
    <w:p>
      <w:pPr>
        <w:pStyle w:val="ListParagraph"/>
        <w:numPr>
          <w:ilvl w:val="0"/>
          <w:numId w:val="3"/>
        </w:numPr>
        <w:tabs>
          <w:tab w:pos="1081" w:val="left" w:leader="none"/>
        </w:tabs>
        <w:spacing w:line="240" w:lineRule="auto" w:before="0" w:after="0"/>
        <w:ind w:left="1080" w:right="107" w:hanging="281"/>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0"/>
          <w:numId w:val="3"/>
        </w:numPr>
        <w:tabs>
          <w:tab w:pos="1081" w:val="left" w:leader="none"/>
        </w:tabs>
        <w:spacing w:line="240" w:lineRule="auto" w:before="0" w:after="0"/>
        <w:ind w:left="1080" w:right="105" w:hanging="281"/>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0"/>
        <w:rPr>
          <w:sz w:val="21"/>
        </w:rPr>
      </w:pPr>
    </w:p>
    <w:p>
      <w:pPr>
        <w:pStyle w:val="ListParagraph"/>
        <w:numPr>
          <w:ilvl w:val="0"/>
          <w:numId w:val="3"/>
        </w:numPr>
        <w:tabs>
          <w:tab w:pos="1081" w:val="left" w:leader="none"/>
        </w:tabs>
        <w:spacing w:line="240" w:lineRule="auto" w:before="0" w:after="0"/>
        <w:ind w:left="1080" w:right="107" w:hanging="281"/>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5"/>
        <w:rPr>
          <w:sz w:val="24"/>
        </w:rPr>
      </w:pPr>
    </w:p>
    <w:p>
      <w:pPr>
        <w:pStyle w:val="Heading1"/>
        <w:numPr>
          <w:ilvl w:val="1"/>
          <w:numId w:val="2"/>
        </w:numPr>
        <w:tabs>
          <w:tab w:pos="1081" w:val="left" w:leader="none"/>
        </w:tabs>
        <w:spacing w:line="240" w:lineRule="auto" w:before="0" w:after="0"/>
        <w:ind w:left="1080" w:right="0" w:hanging="282"/>
        <w:jc w:val="left"/>
      </w:pPr>
      <w:r>
        <w:rPr>
          <w:spacing w:val="-2"/>
          <w:u w:val="single"/>
        </w:rPr>
        <w:t>Auswahlkriterien</w:t>
      </w:r>
    </w:p>
    <w:p>
      <w:pPr>
        <w:pStyle w:val="BodyText"/>
        <w:spacing w:before="9"/>
        <w:rPr>
          <w:b/>
          <w:sz w:val="15"/>
        </w:rPr>
      </w:pPr>
    </w:p>
    <w:p>
      <w:pPr>
        <w:pStyle w:val="BodyText"/>
        <w:spacing w:before="91"/>
        <w:ind w:left="1080"/>
      </w:pPr>
      <w:r>
        <w:rPr>
          <w:spacing w:val="-2"/>
          <w:u w:val="single"/>
        </w:rPr>
        <w:t>Bildungsabschluss</w:t>
      </w:r>
    </w:p>
    <w:p>
      <w:pPr>
        <w:spacing w:after="0"/>
        <w:sectPr>
          <w:pgSz w:w="11910" w:h="16840"/>
          <w:pgMar w:header="0" w:footer="690" w:top="1040" w:bottom="880" w:left="480" w:right="740"/>
        </w:sectPr>
      </w:pPr>
    </w:p>
    <w:p>
      <w:pPr>
        <w:pStyle w:val="ListParagraph"/>
        <w:numPr>
          <w:ilvl w:val="2"/>
          <w:numId w:val="2"/>
        </w:numPr>
        <w:tabs>
          <w:tab w:pos="1206" w:val="left" w:leader="none"/>
        </w:tabs>
        <w:spacing w:line="240" w:lineRule="auto" w:before="68" w:after="0"/>
        <w:ind w:left="1205" w:right="0" w:hanging="126"/>
        <w:jc w:val="left"/>
        <w:rPr>
          <w:sz w:val="22"/>
        </w:rPr>
      </w:pPr>
      <w:r>
        <w:rPr>
          <w:sz w:val="22"/>
        </w:rPr>
        <w:t>ein</w:t>
      </w:r>
      <w:r>
        <w:rPr>
          <w:spacing w:val="-6"/>
          <w:sz w:val="22"/>
        </w:rPr>
        <w:t> </w:t>
      </w:r>
      <w:r>
        <w:rPr>
          <w:sz w:val="22"/>
        </w:rPr>
        <w:t>Universitätsabschluss</w:t>
      </w:r>
      <w:r>
        <w:rPr>
          <w:spacing w:val="-6"/>
          <w:sz w:val="22"/>
        </w:rPr>
        <w:t> </w:t>
      </w:r>
      <w:r>
        <w:rPr>
          <w:spacing w:val="-4"/>
          <w:sz w:val="22"/>
        </w:rPr>
        <w:t>oder</w:t>
      </w:r>
    </w:p>
    <w:p>
      <w:pPr>
        <w:pStyle w:val="ListParagraph"/>
        <w:numPr>
          <w:ilvl w:val="2"/>
          <w:numId w:val="2"/>
        </w:numPr>
        <w:tabs>
          <w:tab w:pos="1206" w:val="left" w:leader="none"/>
        </w:tabs>
        <w:spacing w:line="240" w:lineRule="auto" w:before="1" w:after="0"/>
        <w:ind w:left="1205" w:right="0" w:hanging="126"/>
        <w:jc w:val="left"/>
        <w:rPr>
          <w:sz w:val="22"/>
        </w:rPr>
      </w:pPr>
      <w:r>
        <w:rPr>
          <w:sz w:val="22"/>
        </w:rPr>
        <w:t>eine</w:t>
      </w:r>
      <w:r>
        <w:rPr>
          <w:spacing w:val="-5"/>
          <w:sz w:val="22"/>
        </w:rPr>
        <w:t> </w:t>
      </w:r>
      <w:r>
        <w:rPr>
          <w:sz w:val="22"/>
        </w:rPr>
        <w:t>gleichwertige</w:t>
      </w:r>
      <w:r>
        <w:rPr>
          <w:spacing w:val="-4"/>
          <w:sz w:val="22"/>
        </w:rPr>
        <w:t> </w:t>
      </w:r>
      <w:r>
        <w:rPr>
          <w:sz w:val="22"/>
        </w:rPr>
        <w:t>Berufsausbildung</w:t>
      </w:r>
      <w:r>
        <w:rPr>
          <w:spacing w:val="-7"/>
          <w:sz w:val="22"/>
        </w:rPr>
        <w:t> </w:t>
      </w:r>
      <w:r>
        <w:rPr>
          <w:sz w:val="22"/>
        </w:rPr>
        <w:t>oder</w:t>
      </w:r>
      <w:r>
        <w:rPr>
          <w:spacing w:val="-3"/>
          <w:sz w:val="22"/>
        </w:rPr>
        <w:t> </w:t>
      </w:r>
      <w:r>
        <w:rPr>
          <w:spacing w:val="-2"/>
          <w:sz w:val="22"/>
        </w:rPr>
        <w:t>Berufserfahrung</w:t>
      </w:r>
    </w:p>
    <w:p>
      <w:pPr>
        <w:pStyle w:val="BodyText"/>
        <w:spacing w:before="1"/>
      </w:pPr>
    </w:p>
    <w:p>
      <w:pPr>
        <w:pStyle w:val="BodyText"/>
        <w:spacing w:line="252" w:lineRule="exact"/>
        <w:ind w:left="1190"/>
      </w:pPr>
      <w:r>
        <w:rPr/>
        <w:t>im</w:t>
      </w:r>
      <w:r>
        <w:rPr>
          <w:spacing w:val="-6"/>
        </w:rPr>
        <w:t> </w:t>
      </w:r>
      <w:r>
        <w:rPr>
          <w:spacing w:val="-2"/>
        </w:rPr>
        <w:t>Bereich:</w:t>
      </w:r>
    </w:p>
    <w:p>
      <w:pPr>
        <w:pStyle w:val="BodyText"/>
        <w:ind w:left="1080" w:right="5651"/>
      </w:pPr>
      <w:r>
        <w:rPr>
          <w:spacing w:val="-2"/>
        </w:rPr>
        <w:t>Wirtschaftswissenschaften Betriebswirtschaftslehre Volkswirtschaftslehre</w:t>
      </w:r>
    </w:p>
    <w:p>
      <w:pPr>
        <w:pStyle w:val="BodyText"/>
        <w:ind w:left="1080"/>
      </w:pPr>
      <w:r>
        <w:rPr/>
        <w:t>Oder vergleichbares, wenn der Bewerber solide Berufserfahrung im Bereich der Finanzmärkte vorweisen </w:t>
      </w:r>
      <w:r>
        <w:rPr>
          <w:spacing w:val="-4"/>
        </w:rPr>
        <w:t>kann</w:t>
      </w:r>
    </w:p>
    <w:p>
      <w:pPr>
        <w:pStyle w:val="BodyText"/>
        <w:spacing w:before="1"/>
      </w:pPr>
    </w:p>
    <w:p>
      <w:pPr>
        <w:pStyle w:val="BodyText"/>
        <w:ind w:left="1080"/>
      </w:pPr>
      <w:r>
        <w:rPr>
          <w:spacing w:val="-2"/>
          <w:u w:val="single"/>
        </w:rPr>
        <w:t>Berufserfahrung</w:t>
      </w:r>
    </w:p>
    <w:p>
      <w:pPr>
        <w:pStyle w:val="BodyText"/>
        <w:spacing w:before="10"/>
        <w:rPr>
          <w:sz w:val="13"/>
        </w:rPr>
      </w:pPr>
    </w:p>
    <w:p>
      <w:pPr>
        <w:pStyle w:val="BodyText"/>
        <w:spacing w:before="92"/>
        <w:ind w:left="1080"/>
      </w:pPr>
      <w:r>
        <w:rPr>
          <w:u w:val="single"/>
        </w:rPr>
        <w:t>5</w:t>
      </w:r>
      <w:r>
        <w:rPr>
          <w:spacing w:val="-5"/>
          <w:u w:val="single"/>
        </w:rPr>
        <w:t> </w:t>
      </w:r>
      <w:r>
        <w:rPr>
          <w:u w:val="single"/>
        </w:rPr>
        <w:t>Jahre</w:t>
      </w:r>
      <w:r>
        <w:rPr>
          <w:spacing w:val="-1"/>
          <w:u w:val="single"/>
        </w:rPr>
        <w:t> </w:t>
      </w:r>
      <w:r>
        <w:rPr>
          <w:u w:val="single"/>
        </w:rPr>
        <w:t>im</w:t>
      </w:r>
      <w:r>
        <w:rPr>
          <w:spacing w:val="-5"/>
          <w:u w:val="single"/>
        </w:rPr>
        <w:t> </w:t>
      </w:r>
      <w:r>
        <w:rPr>
          <w:u w:val="single"/>
        </w:rPr>
        <w:t>Bereich</w:t>
      </w:r>
      <w:r>
        <w:rPr>
          <w:spacing w:val="-2"/>
          <w:u w:val="single"/>
        </w:rPr>
        <w:t> </w:t>
      </w:r>
      <w:r>
        <w:rPr>
          <w:u w:val="single"/>
        </w:rPr>
        <w:t>der gesuchten</w:t>
      </w:r>
      <w:r>
        <w:rPr>
          <w:spacing w:val="-6"/>
          <w:u w:val="single"/>
        </w:rPr>
        <w:t> </w:t>
      </w:r>
      <w:r>
        <w:rPr>
          <w:spacing w:val="-2"/>
          <w:u w:val="single"/>
        </w:rPr>
        <w:t>Tätigkeitsbeschreibung</w:t>
      </w:r>
    </w:p>
    <w:p>
      <w:pPr>
        <w:pStyle w:val="BodyText"/>
        <w:spacing w:before="1"/>
        <w:rPr>
          <w:sz w:val="14"/>
        </w:rPr>
      </w:pPr>
    </w:p>
    <w:p>
      <w:pPr>
        <w:pStyle w:val="BodyText"/>
        <w:spacing w:before="92"/>
        <w:ind w:left="1080"/>
      </w:pPr>
      <w:r>
        <w:rPr>
          <w:u w:val="single"/>
        </w:rPr>
        <w:t>Zur</w:t>
      </w:r>
      <w:r>
        <w:rPr>
          <w:spacing w:val="-5"/>
          <w:u w:val="single"/>
        </w:rPr>
        <w:t> </w:t>
      </w:r>
      <w:r>
        <w:rPr>
          <w:u w:val="single"/>
        </w:rPr>
        <w:t>Ausübung</w:t>
      </w:r>
      <w:r>
        <w:rPr>
          <w:spacing w:val="-5"/>
          <w:u w:val="single"/>
        </w:rPr>
        <w:t> </w:t>
      </w:r>
      <w:r>
        <w:rPr>
          <w:u w:val="single"/>
        </w:rPr>
        <w:t>der</w:t>
      </w:r>
      <w:r>
        <w:rPr>
          <w:spacing w:val="-6"/>
          <w:u w:val="single"/>
        </w:rPr>
        <w:t> </w:t>
      </w:r>
      <w:r>
        <w:rPr>
          <w:u w:val="single"/>
        </w:rPr>
        <w:t>Tätigkeit</w:t>
      </w:r>
      <w:r>
        <w:rPr>
          <w:spacing w:val="-1"/>
          <w:u w:val="single"/>
        </w:rPr>
        <w:t> </w:t>
      </w:r>
      <w:r>
        <w:rPr>
          <w:u w:val="single"/>
        </w:rPr>
        <w:t>erforderliche</w:t>
      </w:r>
      <w:r>
        <w:rPr>
          <w:spacing w:val="-4"/>
          <w:u w:val="single"/>
        </w:rPr>
        <w:t> </w:t>
      </w:r>
      <w:r>
        <w:rPr>
          <w:spacing w:val="-2"/>
          <w:u w:val="single"/>
        </w:rPr>
        <w:t>Sprachkenntnisse</w:t>
      </w:r>
    </w:p>
    <w:p>
      <w:pPr>
        <w:pStyle w:val="BodyText"/>
        <w:rPr>
          <w:sz w:val="14"/>
        </w:rPr>
      </w:pPr>
    </w:p>
    <w:p>
      <w:pPr>
        <w:pStyle w:val="BodyText"/>
        <w:spacing w:before="92"/>
        <w:ind w:left="1080"/>
      </w:pPr>
      <w:r>
        <w:rPr>
          <w:spacing w:val="-2"/>
          <w:u w:val="single"/>
        </w:rPr>
        <w:t>Englisch</w:t>
      </w:r>
    </w:p>
    <w:p>
      <w:pPr>
        <w:pStyle w:val="BodyText"/>
        <w:rPr>
          <w:sz w:val="20"/>
        </w:rPr>
      </w:pPr>
    </w:p>
    <w:p>
      <w:pPr>
        <w:pStyle w:val="BodyText"/>
        <w:spacing w:before="7"/>
        <w:rPr>
          <w:sz w:val="16"/>
        </w:rPr>
      </w:pPr>
    </w:p>
    <w:p>
      <w:pPr>
        <w:pStyle w:val="ListParagraph"/>
        <w:numPr>
          <w:ilvl w:val="0"/>
          <w:numId w:val="2"/>
        </w:numPr>
        <w:tabs>
          <w:tab w:pos="799" w:val="left" w:leader="none"/>
          <w:tab w:pos="800" w:val="left" w:leader="none"/>
        </w:tabs>
        <w:spacing w:line="240" w:lineRule="auto" w:before="90" w:after="0"/>
        <w:ind w:left="799" w:right="0" w:hanging="428"/>
        <w:jc w:val="left"/>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pStyle w:val="BodyText"/>
        <w:spacing w:before="6"/>
        <w:rPr>
          <w:b/>
          <w:sz w:val="15"/>
        </w:rPr>
      </w:pPr>
    </w:p>
    <w:p>
      <w:pPr>
        <w:spacing w:before="92"/>
        <w:ind w:left="799" w:right="276"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8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ind w:left="799" w:right="283"/>
        <w:jc w:val="both"/>
      </w:pPr>
      <w:r>
        <w:rPr/>
        <w:t>Die Bewerberinnen und Bewerber werden von dem einstellenden Referat über den Stand ihrer Bewerbung </w:t>
      </w:r>
      <w:r>
        <w:rPr>
          <w:spacing w:val="-2"/>
        </w:rPr>
        <w:t>informiert.</w:t>
      </w:r>
    </w:p>
    <w:p>
      <w:pPr>
        <w:pStyle w:val="BodyText"/>
        <w:spacing w:before="7"/>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8"/>
          <w:sz w:val="24"/>
          <w:u w:val="single"/>
        </w:rPr>
        <w:t> </w:t>
      </w:r>
      <w:r>
        <w:rPr>
          <w:b/>
          <w:sz w:val="24"/>
          <w:u w:val="single"/>
        </w:rPr>
        <w:t>Abordnung</w:t>
      </w:r>
      <w:r>
        <w:rPr>
          <w:b/>
          <w:spacing w:val="-8"/>
          <w:sz w:val="24"/>
          <w:u w:val="single"/>
        </w:rPr>
        <w:t> </w:t>
      </w:r>
      <w:r>
        <w:rPr>
          <w:b/>
          <w:sz w:val="24"/>
          <w:u w:val="single"/>
        </w:rPr>
        <w:t>nationaler</w:t>
      </w:r>
      <w:r>
        <w:rPr>
          <w:b/>
          <w:spacing w:val="-10"/>
          <w:sz w:val="24"/>
          <w:u w:val="single"/>
        </w:rPr>
        <w:t> </w:t>
      </w:r>
      <w:r>
        <w:rPr>
          <w:b/>
          <w:spacing w:val="-2"/>
          <w:sz w:val="24"/>
          <w:u w:val="single"/>
        </w:rPr>
        <w:t>Sachverständiger</w:t>
      </w:r>
    </w:p>
    <w:p>
      <w:pPr>
        <w:pStyle w:val="BodyText"/>
        <w:spacing w:before="7"/>
        <w:rPr>
          <w:b/>
          <w:sz w:val="15"/>
        </w:rPr>
      </w:pPr>
    </w:p>
    <w:p>
      <w:pPr>
        <w:spacing w:before="92"/>
        <w:ind w:left="799" w:right="276" w:firstLine="0"/>
        <w:jc w:val="both"/>
        <w:rPr>
          <w:sz w:val="22"/>
        </w:rPr>
      </w:pPr>
      <w:r>
        <w:rPr>
          <w:sz w:val="22"/>
        </w:rPr>
        <w:t>Abordnungen fallen unter den </w:t>
      </w:r>
      <w:r>
        <w:rPr>
          <w:b/>
          <w:sz w:val="22"/>
        </w:rPr>
        <w:t>Beschluss C(2008)</w:t>
      </w:r>
      <w:r>
        <w:rPr>
          <w:b/>
          <w:spacing w:val="-2"/>
          <w:sz w:val="22"/>
        </w:rPr>
        <w:t> </w:t>
      </w:r>
      <w:r>
        <w:rPr>
          <w:b/>
          <w:sz w:val="22"/>
        </w:rPr>
        <w:t>6866 der Kommission vom 12.11.2008 </w:t>
      </w:r>
      <w:r>
        <w:rPr>
          <w:sz w:val="22"/>
        </w:rPr>
        <w:t>über die Regelung für zur Kommission abgeordnete oder sich zu Zwecken der beruflichen Weiterbildung bei der Kommission aufhaltende nationale Sachverständige (ANS-Beschluss).</w:t>
      </w:r>
    </w:p>
    <w:p>
      <w:pPr>
        <w:pStyle w:val="BodyText"/>
        <w:ind w:left="799" w:right="284"/>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spacing w:before="9"/>
        <w:rPr>
          <w:sz w:val="21"/>
        </w:rPr>
      </w:pPr>
    </w:p>
    <w:p>
      <w:pPr>
        <w:pStyle w:val="BodyText"/>
        <w:spacing w:before="1"/>
        <w:ind w:left="799" w:right="281"/>
        <w:jc w:val="both"/>
      </w:pPr>
      <w:r>
        <w:rPr/>
        <w:t>Mit Ausnahme der unentgeltlich abgeordneten Sachverständigen können den ANS, die die Bedingungen nach Artikel 17 des ANS-Beschlusses erfüllen, Tagegelder gezahlt werden.</w:t>
      </w:r>
    </w:p>
    <w:p>
      <w:pPr>
        <w:pStyle w:val="BodyText"/>
        <w:ind w:left="799" w:right="277"/>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spacing w:before="1"/>
      </w:pPr>
    </w:p>
    <w:p>
      <w:pPr>
        <w:pStyle w:val="BodyText"/>
        <w:ind w:left="797"/>
        <w:jc w:val="both"/>
      </w:pPr>
      <w:r>
        <w:rPr/>
        <w:t>Bei</w:t>
      </w:r>
      <w:r>
        <w:rPr>
          <w:spacing w:val="-5"/>
        </w:rPr>
        <w:t> </w:t>
      </w:r>
      <w:r>
        <w:rPr/>
        <w:t>unvollständigen</w:t>
      </w:r>
      <w:r>
        <w:rPr>
          <w:spacing w:val="-4"/>
        </w:rPr>
        <w:t> </w:t>
      </w:r>
      <w:r>
        <w:rPr/>
        <w:t>oder</w:t>
      </w:r>
      <w:r>
        <w:rPr>
          <w:spacing w:val="-5"/>
        </w:rPr>
        <w:t> </w:t>
      </w:r>
      <w:r>
        <w:rPr/>
        <w:t>falschen</w:t>
      </w:r>
      <w:r>
        <w:rPr>
          <w:spacing w:val="-4"/>
        </w:rPr>
        <w:t> </w:t>
      </w:r>
      <w:r>
        <w:rPr/>
        <w:t>Angaben</w:t>
      </w:r>
      <w:r>
        <w:rPr>
          <w:spacing w:val="-3"/>
        </w:rPr>
        <w:t> </w:t>
      </w:r>
      <w:r>
        <w:rPr/>
        <w:t>kann</w:t>
      </w:r>
      <w:r>
        <w:rPr>
          <w:spacing w:val="-4"/>
        </w:rPr>
        <w:t> </w:t>
      </w:r>
      <w:r>
        <w:rPr/>
        <w:t>die</w:t>
      </w:r>
      <w:r>
        <w:rPr>
          <w:spacing w:val="-3"/>
        </w:rPr>
        <w:t> </w:t>
      </w:r>
      <w:r>
        <w:rPr/>
        <w:t>Bewerbung</w:t>
      </w:r>
      <w:r>
        <w:rPr>
          <w:spacing w:val="-6"/>
        </w:rPr>
        <w:t> </w:t>
      </w:r>
      <w:r>
        <w:rPr/>
        <w:t>abgelehnt</w:t>
      </w:r>
      <w:r>
        <w:rPr>
          <w:spacing w:val="-2"/>
        </w:rPr>
        <w:t> werden.</w:t>
      </w:r>
    </w:p>
    <w:p>
      <w:pPr>
        <w:pStyle w:val="BodyText"/>
        <w:spacing w:before="1"/>
      </w:pPr>
    </w:p>
    <w:p>
      <w:pPr>
        <w:pStyle w:val="BodyText"/>
        <w:ind w:left="799"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3"/>
        <w:rPr>
          <w:sz w:val="24"/>
        </w:rPr>
      </w:pPr>
    </w:p>
    <w:p>
      <w:pPr>
        <w:pStyle w:val="ListParagraph"/>
        <w:numPr>
          <w:ilvl w:val="0"/>
          <w:numId w:val="2"/>
        </w:numPr>
        <w:tabs>
          <w:tab w:pos="799" w:val="left" w:leader="none"/>
          <w:tab w:pos="800" w:val="left" w:leader="none"/>
        </w:tabs>
        <w:spacing w:line="240" w:lineRule="auto" w:before="1" w:after="0"/>
        <w:ind w:left="799" w:right="0" w:hanging="428"/>
        <w:jc w:val="left"/>
        <w:rPr>
          <w:b/>
          <w:sz w:val="24"/>
        </w:rPr>
      </w:pPr>
      <w:r>
        <w:rPr>
          <w:b/>
          <w:sz w:val="24"/>
          <w:u w:val="single"/>
        </w:rPr>
        <w:t>Verarbeitung</w:t>
      </w:r>
      <w:r>
        <w:rPr>
          <w:b/>
          <w:spacing w:val="-14"/>
          <w:sz w:val="24"/>
          <w:u w:val="single"/>
        </w:rPr>
        <w:t> </w:t>
      </w:r>
      <w:r>
        <w:rPr>
          <w:b/>
          <w:sz w:val="24"/>
          <w:u w:val="single"/>
        </w:rPr>
        <w:t>personenbezogener</w:t>
      </w:r>
      <w:r>
        <w:rPr>
          <w:b/>
          <w:spacing w:val="-14"/>
          <w:sz w:val="24"/>
          <w:u w:val="single"/>
        </w:rPr>
        <w:t> </w:t>
      </w:r>
      <w:r>
        <w:rPr>
          <w:b/>
          <w:spacing w:val="-4"/>
          <w:sz w:val="24"/>
          <w:u w:val="single"/>
        </w:rPr>
        <w:t>Daten</w:t>
      </w:r>
    </w:p>
    <w:p>
      <w:pPr>
        <w:spacing w:after="0" w:line="240" w:lineRule="auto"/>
        <w:jc w:val="left"/>
        <w:rPr>
          <w:sz w:val="24"/>
        </w:rPr>
        <w:sectPr>
          <w:pgSz w:w="11910" w:h="16840"/>
          <w:pgMar w:header="0" w:footer="690" w:top="1040" w:bottom="880" w:left="480" w:right="740"/>
        </w:sectPr>
      </w:pPr>
    </w:p>
    <w:p>
      <w:pPr>
        <w:pStyle w:val="BodyText"/>
        <w:spacing w:before="64"/>
        <w:ind w:left="799" w:right="105"/>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HR.B.1. Diese Datenverarbeitung erfolgt auf der Grundlage des ANS-Beschlusses der Kommission und unterliegt der Verordnung (EU) Nr. 2018/1725.</w:t>
      </w:r>
    </w:p>
    <w:p>
      <w:pPr>
        <w:pStyle w:val="BodyText"/>
        <w:spacing w:before="3"/>
        <w:ind w:left="799" w:right="283"/>
        <w:jc w:val="both"/>
      </w:pPr>
      <w:r>
        <w:rPr/>
        <w:t>Die Daten der ANS werden</w:t>
      </w:r>
      <w:r>
        <w:rPr>
          <w:spacing w:val="-1"/>
        </w:rPr>
        <w:t> </w:t>
      </w:r>
      <w:r>
        <w:rPr/>
        <w:t>für die Dauer von 7 Jahren</w:t>
      </w:r>
      <w:r>
        <w:rPr>
          <w:spacing w:val="-2"/>
        </w:rPr>
        <w:t> </w:t>
      </w:r>
      <w:r>
        <w:rPr/>
        <w:t>ab dem</w:t>
      </w:r>
      <w:r>
        <w:rPr>
          <w:spacing w:val="-2"/>
        </w:rPr>
        <w:t> </w:t>
      </w:r>
      <w:r>
        <w:rPr/>
        <w:t>Ende der Abordnung</w:t>
      </w:r>
      <w:r>
        <w:rPr>
          <w:spacing w:val="-2"/>
        </w:rPr>
        <w:t> </w:t>
      </w:r>
      <w:r>
        <w:rPr/>
        <w:t>aufbewahrt (zwei Jahre bei ANS, deren Bewerbung zurückgezogen wurde).</w:t>
      </w:r>
    </w:p>
    <w:p>
      <w:pPr>
        <w:pStyle w:val="BodyText"/>
        <w:ind w:left="799" w:right="108"/>
        <w:jc w:val="both"/>
      </w:pPr>
      <w:r>
        <w:rPr/>
        <w:t>Gemäß Kapitel III (Artikel 14-25) der Verordnung (EU) 2018/1725 haben Sie als „betroffene Person“ bestimmte</w:t>
      </w:r>
      <w:r>
        <w:rPr>
          <w:spacing w:val="-3"/>
        </w:rPr>
        <w:t> </w:t>
      </w:r>
      <w:r>
        <w:rPr/>
        <w:t>Rechte,</w:t>
      </w:r>
      <w:r>
        <w:rPr>
          <w:spacing w:val="-3"/>
        </w:rPr>
        <w:t> </w:t>
      </w:r>
      <w:r>
        <w:rPr/>
        <w:t>insbesondere</w:t>
      </w:r>
      <w:r>
        <w:rPr>
          <w:spacing w:val="-5"/>
        </w:rPr>
        <w:t> </w:t>
      </w:r>
      <w:r>
        <w:rPr/>
        <w:t>das</w:t>
      </w:r>
      <w:r>
        <w:rPr>
          <w:spacing w:val="-3"/>
        </w:rPr>
        <w:t> </w:t>
      </w:r>
      <w:r>
        <w:rPr/>
        <w:t>Recht</w:t>
      </w:r>
      <w:r>
        <w:rPr>
          <w:spacing w:val="-5"/>
        </w:rPr>
        <w:t> </w:t>
      </w:r>
      <w:r>
        <w:rPr/>
        <w:t>auf</w:t>
      </w:r>
      <w:r>
        <w:rPr>
          <w:spacing w:val="-2"/>
        </w:rPr>
        <w:t> </w:t>
      </w:r>
      <w:r>
        <w:rPr/>
        <w:t>Zugang</w:t>
      </w:r>
      <w:r>
        <w:rPr>
          <w:spacing w:val="-3"/>
        </w:rPr>
        <w:t> </w:t>
      </w:r>
      <w:r>
        <w:rPr/>
        <w:t>zu</w:t>
      </w:r>
      <w:r>
        <w:rPr>
          <w:spacing w:val="-1"/>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ind w:left="799" w:right="106"/>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5"/>
      </w:pPr>
    </w:p>
    <w:p>
      <w:pPr>
        <w:pStyle w:val="Heading1"/>
        <w:spacing w:line="250" w:lineRule="exact"/>
        <w:ind w:left="799" w:firstLine="0"/>
      </w:pPr>
      <w:r>
        <w:rPr>
          <w:spacing w:val="-2"/>
          <w:u w:val="single"/>
        </w:rPr>
        <w:t>Kontaktinformationen</w:t>
      </w:r>
    </w:p>
    <w:p>
      <w:pPr>
        <w:pStyle w:val="ListParagraph"/>
        <w:numPr>
          <w:ilvl w:val="0"/>
          <w:numId w:val="4"/>
        </w:numPr>
        <w:tabs>
          <w:tab w:pos="1080" w:val="left" w:leader="none"/>
          <w:tab w:pos="1081" w:val="left" w:leader="none"/>
        </w:tabs>
        <w:spacing w:line="250" w:lineRule="exact" w:before="0" w:after="0"/>
        <w:ind w:left="1080" w:right="0" w:hanging="282"/>
        <w:jc w:val="left"/>
        <w:rPr>
          <w:b/>
          <w:sz w:val="22"/>
        </w:rPr>
      </w:pPr>
      <w:r>
        <w:rPr>
          <w:b/>
          <w:sz w:val="22"/>
        </w:rPr>
        <w:t>Data</w:t>
      </w:r>
      <w:r>
        <w:rPr>
          <w:b/>
          <w:spacing w:val="-2"/>
          <w:sz w:val="22"/>
        </w:rPr>
        <w:t> Controller</w:t>
      </w:r>
    </w:p>
    <w:p>
      <w:pPr>
        <w:pStyle w:val="BodyText"/>
        <w:ind w:left="1080" w:right="106"/>
        <w:jc w:val="both"/>
      </w:pPr>
      <w:r>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HR.B.1, </w:t>
      </w:r>
      <w:hyperlink r:id="rId9">
        <w:r>
          <w:rPr>
            <w:color w:val="0000FF"/>
            <w:u w:val="single" w:color="0000FF"/>
          </w:rPr>
          <w:t>HR-B1-DPR@ec.europa.eu</w:t>
        </w:r>
      </w:hyperlink>
      <w:r>
        <w:rPr>
          <w:color w:val="0000FF"/>
        </w:rPr>
        <w:t> </w:t>
      </w:r>
      <w:r>
        <w:rPr/>
        <w:t>wenden.</w:t>
      </w:r>
    </w:p>
    <w:p>
      <w:pPr>
        <w:pStyle w:val="BodyText"/>
        <w:rPr>
          <w:sz w:val="14"/>
        </w:rPr>
      </w:pPr>
    </w:p>
    <w:p>
      <w:pPr>
        <w:pStyle w:val="Heading1"/>
        <w:numPr>
          <w:ilvl w:val="0"/>
          <w:numId w:val="4"/>
        </w:numPr>
        <w:tabs>
          <w:tab w:pos="1081" w:val="left" w:leader="none"/>
        </w:tabs>
        <w:spacing w:line="240" w:lineRule="auto" w:before="91" w:after="0"/>
        <w:ind w:left="1080" w:right="0" w:hanging="282"/>
        <w:jc w:val="both"/>
      </w:pPr>
      <w:r>
        <w:rPr/>
        <w:t>Datenschutzbeauftragte</w:t>
      </w:r>
      <w:r>
        <w:rPr>
          <w:spacing w:val="-9"/>
        </w:rPr>
        <w:t> </w:t>
      </w:r>
      <w:r>
        <w:rPr/>
        <w:t>(DPO)</w:t>
      </w:r>
      <w:r>
        <w:rPr>
          <w:spacing w:val="-7"/>
        </w:rPr>
        <w:t> </w:t>
      </w:r>
      <w:r>
        <w:rPr/>
        <w:t>der</w:t>
      </w:r>
      <w:r>
        <w:rPr>
          <w:spacing w:val="-7"/>
        </w:rPr>
        <w:t> </w:t>
      </w:r>
      <w:r>
        <w:rPr>
          <w:spacing w:val="-2"/>
        </w:rPr>
        <w:t>Kommission</w:t>
      </w:r>
    </w:p>
    <w:p>
      <w:pPr>
        <w:pStyle w:val="BodyText"/>
        <w:spacing w:before="2"/>
        <w:ind w:left="1080" w:right="104"/>
        <w:jc w:val="both"/>
      </w:pPr>
      <w:r>
        <w:rPr/>
        <w:t>Sie können sich an den Datenschutzbeauftragten (</w:t>
      </w:r>
      <w:hyperlink r:id="rId10">
        <w:r>
          <w:rPr>
            <w:color w:val="0000FF"/>
            <w:u w:val="single" w:color="0000FF"/>
          </w:rPr>
          <w:t>DATA-PROTECTION-OFFICER@ec.europa.eu</w:t>
        </w:r>
      </w:hyperlink>
      <w:r>
        <w:rPr/>
        <w:t>) wenden, wenn Sie Fragen zur Verarbeitung Ihrer personenbezogenen Daten gemäß der Verordnung (EU) 2018/1725 haben.</w:t>
      </w:r>
    </w:p>
    <w:p>
      <w:pPr>
        <w:pStyle w:val="BodyText"/>
        <w:spacing w:before="10"/>
        <w:rPr>
          <w:sz w:val="21"/>
        </w:rPr>
      </w:pPr>
    </w:p>
    <w:p>
      <w:pPr>
        <w:pStyle w:val="Heading1"/>
        <w:numPr>
          <w:ilvl w:val="0"/>
          <w:numId w:val="4"/>
        </w:numPr>
        <w:tabs>
          <w:tab w:pos="1081" w:val="left" w:leader="none"/>
        </w:tabs>
        <w:spacing w:line="240" w:lineRule="auto" w:before="0" w:after="0"/>
        <w:ind w:left="1080" w:right="0" w:hanging="282"/>
        <w:jc w:val="both"/>
      </w:pPr>
      <w:r>
        <w:rPr/>
        <w:t>Europäische</w:t>
      </w:r>
      <w:r>
        <w:rPr>
          <w:spacing w:val="-8"/>
        </w:rPr>
        <w:t> </w:t>
      </w:r>
      <w:r>
        <w:rPr/>
        <w:t>Datenschutzbeauftragte</w:t>
      </w:r>
      <w:r>
        <w:rPr>
          <w:spacing w:val="-8"/>
        </w:rPr>
        <w:t> </w:t>
      </w:r>
      <w:r>
        <w:rPr>
          <w:spacing w:val="-2"/>
        </w:rPr>
        <w:t>(EDSB)</w:t>
      </w:r>
    </w:p>
    <w:p>
      <w:pPr>
        <w:pStyle w:val="BodyText"/>
        <w:spacing w:before="1"/>
        <w:ind w:left="1080" w:right="105"/>
        <w:jc w:val="both"/>
      </w:pPr>
      <w:r>
        <w:rPr/>
        <w:t>Sie haben das Recht, sich an den Europäischen Datenschutzbeauftragten (</w:t>
      </w:r>
      <w:hyperlink r:id="rId11">
        <w:r>
          <w:rPr>
            <w:color w:val="0000FF"/>
            <w:u w:val="single" w:color="0000FF"/>
          </w:rPr>
          <w:t>edps@edps.europa.eu</w:t>
        </w:r>
      </w:hyperlink>
      <w:r>
        <w:rPr/>
        <w:t>) zu</w:t>
      </w:r>
      <w:r>
        <w:rPr>
          <w:spacing w:val="80"/>
        </w:rPr>
        <w:t> </w:t>
      </w:r>
      <w:r>
        <w:rPr/>
        <w:t>wenden (d.h. Sie können eine Beschwerde einlegen), wenn Sie der Ansicht sind, dass Ihre Rechte gemäß der Verordnung (EU) 2018/1725 bei der Verarbeitung Ihrer persönlichen Daten durch den Data Controller verletzt wurden.</w:t>
      </w:r>
    </w:p>
    <w:p>
      <w:pPr>
        <w:pStyle w:val="BodyText"/>
      </w:pPr>
    </w:p>
    <w:p>
      <w:pPr>
        <w:pStyle w:val="BodyText"/>
        <w:ind w:left="1080" w:right="113"/>
        <w:jc w:val="both"/>
      </w:pPr>
      <w:r>
        <w:rPr/>
        <w:t>Hinweis für Bewerber aus Drittländern: Ihre personenbezogenen Daten können für erforderliche Überprüfungen herangezogen werden.</w:t>
      </w:r>
    </w:p>
    <w:sectPr>
      <w:pgSz w:w="11910" w:h="16840"/>
      <w:pgMar w:header="0" w:footer="690" w:top="132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pt;height:10.95pt;mso-position-horizontal-relative:page;mso-position-vertical-relative:page;z-index:-15821824" type="#_x0000_t202" id="docshape1" filled="false" stroked="false">
          <v:textbox inset="0,0,0,0">
            <w:txbxContent>
              <w:p>
                <w:pPr>
                  <w:spacing w:before="14"/>
                  <w:ind w:left="20" w:right="0" w:firstLine="0"/>
                  <w:jc w:val="left"/>
                  <w:rPr>
                    <w:sz w:val="16"/>
                  </w:rPr>
                </w:pPr>
                <w:r>
                  <w:rPr>
                    <w:sz w:val="16"/>
                  </w:rPr>
                  <w:t>Version</w:t>
                </w:r>
                <w:r>
                  <w:rPr>
                    <w:spacing w:val="-8"/>
                    <w:sz w:val="16"/>
                  </w:rPr>
                  <w:t> </w:t>
                </w:r>
                <w:r>
                  <w:rPr>
                    <w:sz w:val="16"/>
                  </w:rPr>
                  <w:t>10-</w:t>
                </w:r>
                <w:r>
                  <w:rPr>
                    <w:spacing w:val="-4"/>
                    <w:sz w:val="16"/>
                  </w:rPr>
                  <w:t>2022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2">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0">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816" w:hanging="252"/>
      </w:pPr>
      <w:rPr>
        <w:rFonts w:hint="default" w:ascii="Wingdings 2" w:hAnsi="Wingdings 2" w:eastAsia="Wingdings 2" w:cs="Wingdings 2"/>
        <w:b w:val="0"/>
        <w:bCs w:val="0"/>
        <w:i w:val="0"/>
        <w:iCs w:val="0"/>
        <w:w w:val="100"/>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1">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1"/>
      <w:numFmt w:val="lowerLetter"/>
      <w:lvlText w:val="%2)"/>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2">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de-DE" w:eastAsia="en-US" w:bidi="ar-SA"/>
      </w:rPr>
    </w:lvl>
    <w:lvl w:ilvl="3">
      <w:start w:val="0"/>
      <w:numFmt w:val="bullet"/>
      <w:lvlText w:val="•"/>
      <w:lvlJc w:val="left"/>
      <w:pPr>
        <w:ind w:left="2385" w:hanging="125"/>
      </w:pPr>
      <w:rPr>
        <w:rFonts w:hint="default"/>
        <w:lang w:val="de-DE" w:eastAsia="en-US" w:bidi="ar-SA"/>
      </w:rPr>
    </w:lvl>
    <w:lvl w:ilvl="4">
      <w:start w:val="0"/>
      <w:numFmt w:val="bullet"/>
      <w:lvlText w:val="•"/>
      <w:lvlJc w:val="left"/>
      <w:pPr>
        <w:ind w:left="3571" w:hanging="125"/>
      </w:pPr>
      <w:rPr>
        <w:rFonts w:hint="default"/>
        <w:lang w:val="de-DE" w:eastAsia="en-US" w:bidi="ar-SA"/>
      </w:rPr>
    </w:lvl>
    <w:lvl w:ilvl="5">
      <w:start w:val="0"/>
      <w:numFmt w:val="bullet"/>
      <w:lvlText w:val="•"/>
      <w:lvlJc w:val="left"/>
      <w:pPr>
        <w:ind w:left="4757" w:hanging="125"/>
      </w:pPr>
      <w:rPr>
        <w:rFonts w:hint="default"/>
        <w:lang w:val="de-DE" w:eastAsia="en-US" w:bidi="ar-SA"/>
      </w:rPr>
    </w:lvl>
    <w:lvl w:ilvl="6">
      <w:start w:val="0"/>
      <w:numFmt w:val="bullet"/>
      <w:lvlText w:val="•"/>
      <w:lvlJc w:val="left"/>
      <w:pPr>
        <w:ind w:left="5943" w:hanging="125"/>
      </w:pPr>
      <w:rPr>
        <w:rFonts w:hint="default"/>
        <w:lang w:val="de-DE" w:eastAsia="en-US" w:bidi="ar-SA"/>
      </w:rPr>
    </w:lvl>
    <w:lvl w:ilvl="7">
      <w:start w:val="0"/>
      <w:numFmt w:val="bullet"/>
      <w:lvlText w:val="•"/>
      <w:lvlJc w:val="left"/>
      <w:pPr>
        <w:ind w:left="7129" w:hanging="125"/>
      </w:pPr>
      <w:rPr>
        <w:rFonts w:hint="default"/>
        <w:lang w:val="de-DE" w:eastAsia="en-US" w:bidi="ar-SA"/>
      </w:rPr>
    </w:lvl>
    <w:lvl w:ilvl="8">
      <w:start w:val="0"/>
      <w:numFmt w:val="bullet"/>
      <w:lvlText w:val="•"/>
      <w:lvlJc w:val="left"/>
      <w:pPr>
        <w:ind w:left="8314" w:hanging="125"/>
      </w:pPr>
      <w:rPr>
        <w:rFonts w:hint="default"/>
        <w:lang w:val="de-DE" w:eastAsia="en-US" w:bidi="ar-SA"/>
      </w:rPr>
    </w:lvl>
  </w:abstract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Martin.koehler@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2023-02-16T17:00:59Z</dcterms:created>
  <dcterms:modified xsi:type="dcterms:W3CDTF">2023-02-16T17:00:59Z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