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422DC7"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COMP-H-2</w:t>
            </w:r>
          </w:p>
        </w:tc>
      </w:tr>
      <w:tr w:rsidR="00130F26" w:rsidRPr="00745B97" w:rsidTr="00E741E0">
        <w:trPr>
          <w:trHeight w:val="1977"/>
          <w:jc w:val="center"/>
        </w:trPr>
        <w:tc>
          <w:tcPr>
            <w:tcW w:w="4359" w:type="dxa"/>
            <w:tcBorders>
              <w:bottom w:val="nil"/>
            </w:tcBorders>
          </w:tcPr>
          <w:p w:rsidR="00130F26" w:rsidRPr="00C4363D" w:rsidRDefault="00707641" w:rsidP="000B03DD">
            <w:pPr>
              <w:tabs>
                <w:tab w:val="left" w:pos="1697"/>
              </w:tabs>
              <w:spacing w:after="0" w:line="240" w:lineRule="auto"/>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130F26" w:rsidRPr="00C4363D">
              <w:rPr>
                <w:rFonts w:ascii="Times New Roman" w:eastAsia="Times New Roman" w:hAnsi="Times New Roman" w:cs="Times New Roman"/>
                <w:b/>
                <w:lang w:eastAsia="en-GB"/>
              </w:rPr>
              <w:t>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422DC7" w:rsidRDefault="00422DC7" w:rsidP="00422DC7">
            <w:pPr>
              <w:spacing w:after="0" w:line="240" w:lineRule="auto"/>
              <w:jc w:val="both"/>
              <w:outlineLvl w:val="1"/>
              <w:rPr>
                <w:rFonts w:ascii="Times New Roman" w:eastAsia="Times New Roman" w:hAnsi="Times New Roman" w:cs="Times New Roman"/>
                <w:b/>
                <w:bCs/>
                <w:lang w:eastAsia="fr-BE"/>
              </w:rPr>
            </w:pPr>
            <w:r w:rsidRPr="00422DC7">
              <w:rPr>
                <w:rFonts w:ascii="Times New Roman" w:eastAsia="Times New Roman" w:hAnsi="Times New Roman" w:cs="Times New Roman"/>
                <w:b/>
                <w:bCs/>
                <w:lang w:eastAsia="fr-BE"/>
              </w:rPr>
              <w:t>Max</w:t>
            </w:r>
            <w:r w:rsidR="00E45E35">
              <w:rPr>
                <w:rFonts w:ascii="Times New Roman" w:eastAsia="Times New Roman" w:hAnsi="Times New Roman" w:cs="Times New Roman"/>
                <w:b/>
                <w:bCs/>
                <w:lang w:eastAsia="fr-BE"/>
              </w:rPr>
              <w:t xml:space="preserve"> </w:t>
            </w:r>
            <w:r w:rsidRPr="00422DC7">
              <w:rPr>
                <w:rFonts w:ascii="Times New Roman" w:eastAsia="Times New Roman" w:hAnsi="Times New Roman" w:cs="Times New Roman"/>
                <w:b/>
                <w:bCs/>
                <w:lang w:eastAsia="fr-BE"/>
              </w:rPr>
              <w:t xml:space="preserve">LIENEMEYER </w:t>
            </w:r>
          </w:p>
          <w:p w:rsidR="00422DC7" w:rsidRPr="00422DC7" w:rsidRDefault="0034609F" w:rsidP="00422DC7">
            <w:pPr>
              <w:spacing w:after="0" w:line="240" w:lineRule="auto"/>
              <w:jc w:val="both"/>
              <w:outlineLvl w:val="1"/>
              <w:rPr>
                <w:rFonts w:ascii="Times New Roman" w:eastAsia="Times New Roman" w:hAnsi="Times New Roman" w:cs="Times New Roman"/>
                <w:b/>
                <w:bCs/>
                <w:color w:val="0000FF"/>
                <w:lang w:eastAsia="fr-BE"/>
              </w:rPr>
            </w:pPr>
            <w:hyperlink r:id="rId9" w:history="1">
              <w:r w:rsidR="00422DC7" w:rsidRPr="00422DC7">
                <w:rPr>
                  <w:rStyle w:val="Hyperlink"/>
                  <w:rFonts w:ascii="Times New Roman" w:eastAsia="Times New Roman" w:hAnsi="Times New Roman" w:cs="Times New Roman"/>
                  <w:b/>
                  <w:bCs/>
                  <w:color w:val="0000FF"/>
                  <w:lang w:eastAsia="fr-BE"/>
                </w:rPr>
                <w:t>Max.LIENEMEYER@ec.europa.eu</w:t>
              </w:r>
            </w:hyperlink>
            <w:r w:rsidR="00422DC7" w:rsidRPr="00422DC7">
              <w:rPr>
                <w:rFonts w:ascii="Times New Roman" w:eastAsia="Times New Roman" w:hAnsi="Times New Roman" w:cs="Times New Roman"/>
                <w:b/>
                <w:bCs/>
                <w:color w:val="0000FF"/>
                <w:lang w:eastAsia="fr-BE"/>
              </w:rPr>
              <w:t xml:space="preserve">  </w:t>
            </w:r>
          </w:p>
          <w:p w:rsidR="00E9679F" w:rsidRDefault="00422DC7" w:rsidP="00422DC7">
            <w:pPr>
              <w:spacing w:after="0" w:line="240" w:lineRule="auto"/>
              <w:rPr>
                <w:rFonts w:ascii="Times New Roman" w:eastAsia="Calibri" w:hAnsi="Times New Roman" w:cs="Times New Roman"/>
                <w:b/>
                <w:lang w:val="es-ES" w:eastAsia="en-GB"/>
              </w:rPr>
            </w:pPr>
            <w:r w:rsidRPr="00422DC7">
              <w:rPr>
                <w:rFonts w:ascii="Times New Roman" w:eastAsia="Times New Roman" w:hAnsi="Times New Roman" w:cs="Times New Roman"/>
                <w:b/>
                <w:bCs/>
                <w:lang w:eastAsia="fr-BE"/>
              </w:rPr>
              <w:t>+32 229-86243</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2C5FFA" w:rsidP="00EA08A5">
            <w:pPr>
              <w:spacing w:after="0" w:line="240" w:lineRule="auto"/>
              <w:ind w:right="1317"/>
              <w:jc w:val="both"/>
              <w:rPr>
                <w:rFonts w:ascii="Times New Roman" w:hAnsi="Times New Roman" w:cs="Times New Roman"/>
                <w:b/>
              </w:rPr>
            </w:pPr>
            <w:r>
              <w:rPr>
                <w:rFonts w:ascii="Times New Roman" w:hAnsi="Times New Roman" w:cs="Times New Roman"/>
                <w:b/>
              </w:rPr>
              <w:t>2</w:t>
            </w:r>
            <w:r w:rsidRPr="002C5FFA">
              <w:rPr>
                <w:rFonts w:ascii="Times New Roman" w:hAnsi="Times New Roman" w:cs="Times New Roman"/>
                <w:b/>
                <w:vertAlign w:val="superscript"/>
              </w:rPr>
              <w:t>ème</w:t>
            </w:r>
            <w:r>
              <w:rPr>
                <w:rFonts w:ascii="Times New Roman" w:hAnsi="Times New Roman" w:cs="Times New Roman"/>
                <w:b/>
              </w:rPr>
              <w:t xml:space="preserve"> </w:t>
            </w:r>
            <w:r w:rsidR="005E606B" w:rsidRPr="00C4363D">
              <w:rPr>
                <w:rFonts w:ascii="Times New Roman" w:hAnsi="Times New Roman" w:cs="Times New Roman"/>
                <w:b/>
              </w:rPr>
              <w:t>trimestre 202</w:t>
            </w:r>
            <w:r w:rsidR="00CE55D0">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E45E35"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1</w:t>
            </w:r>
            <w:r w:rsidR="00130F26" w:rsidRPr="00C4363D">
              <w:rPr>
                <w:rFonts w:ascii="Times New Roman" w:hAnsi="Times New Roman" w:cs="Times New Roman"/>
                <w:b/>
              </w:rPr>
              <w:t xml:space="preserve"> an</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E45E35" w:rsidRPr="00E45E35" w:rsidRDefault="00E45E35" w:rsidP="00E45E35">
      <w:pPr>
        <w:spacing w:after="0" w:line="240" w:lineRule="auto"/>
        <w:ind w:left="426"/>
        <w:jc w:val="both"/>
        <w:rPr>
          <w:rFonts w:ascii="Times New Roman" w:eastAsia="Calibri" w:hAnsi="Times New Roman" w:cs="Times New Roman"/>
          <w:lang w:eastAsia="en-GB"/>
        </w:rPr>
      </w:pPr>
      <w:r w:rsidRPr="00E45E35">
        <w:rPr>
          <w:rFonts w:ascii="Times New Roman" w:eastAsia="Calibri" w:hAnsi="Times New Roman" w:cs="Times New Roman"/>
          <w:lang w:eastAsia="en-GB"/>
        </w:rPr>
        <w:t xml:space="preserve">Les unités COMP.H.2 et H.3 (travaillant ensemble en tant que pôle) sont chargées d’appliquer les règles de l’UE en matière d’aides d’État dans tous les États membres dans les domaines suivants: recherche, développement et innovation, environnement (y compris la </w:t>
      </w:r>
      <w:proofErr w:type="spellStart"/>
      <w:r w:rsidRPr="00E45E35">
        <w:rPr>
          <w:rFonts w:ascii="Times New Roman" w:eastAsia="Calibri" w:hAnsi="Times New Roman" w:cs="Times New Roman"/>
          <w:lang w:eastAsia="en-GB"/>
        </w:rPr>
        <w:t>décarbonation</w:t>
      </w:r>
      <w:proofErr w:type="spellEnd"/>
      <w:r w:rsidRPr="00E45E35">
        <w:rPr>
          <w:rFonts w:ascii="Times New Roman" w:eastAsia="Calibri" w:hAnsi="Times New Roman" w:cs="Times New Roman"/>
          <w:lang w:eastAsia="en-GB"/>
        </w:rPr>
        <w:t xml:space="preserve"> des processus industriels, l’efficacité énergétique, l’électromobilité, l’économie circulaire, etc.), emploi et Projets Importants d’Intérêt Européen Commun (PIIEC ou IPCEI en anglais). Les unités sont donc responsables de l’application des règles de l’Union en matière d’aides d'État dans les domaines susmentionnés, conformément à la législation (encadrements et lignes directrices) en vigueur et à la pratique pertinente. Elle met en œuvre le contrôle des aides d'État par le biais de l’analyse de compatibilité de cas individuels et de régimes d’aide d’État et contribue, par l’interprétation des règles, au développement et aux initiatives de politiques d’aide d’État dans ces domaines. Les unités suivent également de manière étroite les discussions en cours au sein de la Commission, par exemple en ce qui concerne le « Green Deal », la Stratégie Numérique, les nouvelles stratégies industrielles ainsi que celles concernant les PME, l’économie circulaire, « </w:t>
      </w:r>
      <w:proofErr w:type="spellStart"/>
      <w:r w:rsidRPr="00E45E35">
        <w:rPr>
          <w:rFonts w:ascii="Times New Roman" w:eastAsia="Calibri" w:hAnsi="Times New Roman" w:cs="Times New Roman"/>
          <w:lang w:eastAsia="en-GB"/>
        </w:rPr>
        <w:t>REPowerEU</w:t>
      </w:r>
      <w:proofErr w:type="spellEnd"/>
      <w:r w:rsidRPr="00E45E35">
        <w:rPr>
          <w:rFonts w:ascii="Times New Roman" w:eastAsia="Calibri" w:hAnsi="Times New Roman" w:cs="Times New Roman"/>
          <w:lang w:eastAsia="en-GB"/>
        </w:rPr>
        <w:t xml:space="preserve"> », etc., afin d’en assurer la cohérence avec la politique de concurrence de l’UE.</w:t>
      </w:r>
    </w:p>
    <w:p w:rsidR="00E45E35" w:rsidRPr="00E45E35" w:rsidRDefault="00E45E35" w:rsidP="00E45E35">
      <w:pPr>
        <w:spacing w:after="0" w:line="240" w:lineRule="auto"/>
        <w:ind w:left="426"/>
        <w:jc w:val="both"/>
        <w:rPr>
          <w:rFonts w:ascii="Times New Roman" w:eastAsia="Calibri" w:hAnsi="Times New Roman" w:cs="Times New Roman"/>
          <w:lang w:eastAsia="en-GB"/>
        </w:rPr>
      </w:pPr>
    </w:p>
    <w:p w:rsidR="00E45E35" w:rsidRPr="00E45E35" w:rsidRDefault="00E45E35" w:rsidP="00E45E35">
      <w:pPr>
        <w:spacing w:after="0" w:line="240" w:lineRule="auto"/>
        <w:ind w:left="426"/>
        <w:jc w:val="both"/>
        <w:rPr>
          <w:rFonts w:ascii="Times New Roman" w:eastAsia="Calibri" w:hAnsi="Times New Roman" w:cs="Times New Roman"/>
          <w:lang w:eastAsia="en-GB"/>
        </w:rPr>
      </w:pPr>
      <w:r w:rsidRPr="00E45E35">
        <w:rPr>
          <w:rFonts w:ascii="Times New Roman" w:eastAsia="Calibri" w:hAnsi="Times New Roman" w:cs="Times New Roman"/>
          <w:lang w:eastAsia="en-GB"/>
        </w:rPr>
        <w:t>Nous offrons un poste de gestionnaire de cas très intéressant et enrichissant. Les gestionnaires de cas d’aide d’État ont un travail à responsabilité, comprenant un éventail de tâches variées. Ils sont responsables des régimes d’aide et des cas individuels notifiés par les États membres et des plaintes ou des dossiers ex-</w:t>
      </w:r>
      <w:proofErr w:type="spellStart"/>
      <w:r w:rsidRPr="00E45E35">
        <w:rPr>
          <w:rFonts w:ascii="Times New Roman" w:eastAsia="Calibri" w:hAnsi="Times New Roman" w:cs="Times New Roman"/>
          <w:lang w:eastAsia="en-GB"/>
        </w:rPr>
        <w:t>officio</w:t>
      </w:r>
      <w:proofErr w:type="spellEnd"/>
      <w:r w:rsidRPr="00E45E35">
        <w:rPr>
          <w:rFonts w:ascii="Times New Roman" w:eastAsia="Calibri" w:hAnsi="Times New Roman" w:cs="Times New Roman"/>
          <w:lang w:eastAsia="en-GB"/>
        </w:rPr>
        <w:t>. Les cas impliquant des montants d’aides importants doivent faire l’objet d'une évaluation juridique et économique approfondie et détaillée, qui est une tâche complexe et stimulante. Le poste implique des contacts fréquents avec les conseillers économiques et juridiques des entreprises concernées, les fonctionnaires en charge de ces dossiers dans les États membres et les collègues d’autres DG. Les dossiers horizontaux dont le gestionnaire de cas aura la charge supposent également un engagement actif et des contacts étroits avec les autres DG et des parties tierces concernées.</w:t>
      </w:r>
    </w:p>
    <w:p w:rsidR="00E45E35" w:rsidRPr="00E45E35" w:rsidRDefault="00E45E35" w:rsidP="00E45E35">
      <w:pPr>
        <w:spacing w:after="0" w:line="240" w:lineRule="auto"/>
        <w:ind w:left="426"/>
        <w:jc w:val="both"/>
        <w:rPr>
          <w:rFonts w:ascii="Times New Roman" w:eastAsia="Calibri" w:hAnsi="Times New Roman" w:cs="Times New Roman"/>
          <w:lang w:eastAsia="en-GB"/>
        </w:rPr>
      </w:pPr>
    </w:p>
    <w:p w:rsidR="00E45E35" w:rsidRPr="00E45E35" w:rsidRDefault="00E45E35" w:rsidP="00E45E35">
      <w:pPr>
        <w:spacing w:after="0" w:line="240" w:lineRule="auto"/>
        <w:ind w:left="426"/>
        <w:jc w:val="both"/>
        <w:rPr>
          <w:rFonts w:ascii="Times New Roman" w:eastAsia="Calibri" w:hAnsi="Times New Roman" w:cs="Times New Roman"/>
          <w:lang w:eastAsia="en-GB"/>
        </w:rPr>
      </w:pPr>
      <w:r w:rsidRPr="00E45E35">
        <w:rPr>
          <w:rFonts w:ascii="Times New Roman" w:eastAsia="Calibri" w:hAnsi="Times New Roman" w:cs="Times New Roman"/>
          <w:lang w:eastAsia="en-GB"/>
        </w:rPr>
        <w:t xml:space="preserve">Les gestionnaires de cas travaillent normalement dans de petites équipes responsables des cas dès leur enregistrement et jusqu’à l’adoption formelle d’une décision de la Commission. L’unité travaille aussi en étroite collaboration avec d’autres unités dans la même direction et les gestionnaires de cas d’une unité aident souvent aux cas des unités sœurs. </w:t>
      </w:r>
    </w:p>
    <w:p w:rsidR="00E45E35" w:rsidRPr="00E45E35" w:rsidRDefault="00E45E35" w:rsidP="00E45E35">
      <w:pPr>
        <w:spacing w:after="0" w:line="240" w:lineRule="auto"/>
        <w:ind w:left="426"/>
        <w:jc w:val="both"/>
        <w:rPr>
          <w:rFonts w:ascii="Times New Roman" w:eastAsia="Calibri" w:hAnsi="Times New Roman" w:cs="Times New Roman"/>
          <w:lang w:eastAsia="en-GB"/>
        </w:rPr>
      </w:pPr>
    </w:p>
    <w:p w:rsidR="00E45E35" w:rsidRPr="00E45E35" w:rsidRDefault="00E45E35" w:rsidP="00E45E35">
      <w:pPr>
        <w:spacing w:after="0" w:line="240" w:lineRule="auto"/>
        <w:ind w:left="426"/>
        <w:jc w:val="both"/>
        <w:rPr>
          <w:rFonts w:ascii="Times New Roman" w:eastAsia="Calibri" w:hAnsi="Times New Roman" w:cs="Times New Roman"/>
          <w:lang w:eastAsia="en-GB"/>
        </w:rPr>
      </w:pPr>
      <w:r w:rsidRPr="00E45E35">
        <w:rPr>
          <w:rFonts w:ascii="Times New Roman" w:eastAsia="Calibri" w:hAnsi="Times New Roman" w:cs="Times New Roman"/>
          <w:lang w:eastAsia="en-GB"/>
        </w:rPr>
        <w:t>Nous vous offrons l’opportunité de rejoindre une équipe dynamique de professionnels travaillant dans un environnement stimulant, convivial et fonctionnant en équipe. En raison de l’importance économique et stratégique des domaines dont l’unité est responsable, le poste offre de réelles perspectives de développement professionnel et personnel.</w:t>
      </w:r>
    </w:p>
    <w:p w:rsidR="00E45E35" w:rsidRPr="00E45E35" w:rsidRDefault="00E45E35" w:rsidP="00E45E35">
      <w:pPr>
        <w:spacing w:after="0" w:line="240" w:lineRule="auto"/>
        <w:ind w:left="426"/>
        <w:jc w:val="both"/>
        <w:rPr>
          <w:rFonts w:ascii="Times New Roman" w:eastAsia="Calibri" w:hAnsi="Times New Roman" w:cs="Times New Roman"/>
          <w:lang w:eastAsia="en-GB"/>
        </w:rPr>
      </w:pPr>
    </w:p>
    <w:p w:rsidR="00E45E35" w:rsidRPr="00E45E35" w:rsidRDefault="00E45E35" w:rsidP="00E45E35">
      <w:pPr>
        <w:spacing w:after="0" w:line="240" w:lineRule="auto"/>
        <w:ind w:left="426"/>
        <w:jc w:val="both"/>
        <w:rPr>
          <w:rFonts w:ascii="Times New Roman" w:eastAsia="Calibri" w:hAnsi="Times New Roman" w:cs="Times New Roman"/>
          <w:lang w:eastAsia="en-GB"/>
        </w:rPr>
      </w:pPr>
      <w:r w:rsidRPr="00E45E35">
        <w:rPr>
          <w:rFonts w:ascii="Times New Roman" w:eastAsia="Calibri" w:hAnsi="Times New Roman" w:cs="Times New Roman"/>
          <w:lang w:eastAsia="en-GB"/>
        </w:rPr>
        <w:t>L’unité H2 travaille en étroite collaboration avec d’autres unités de la Direction et, par conséquent, des collègues pourraient être amenés de temps à autre, en fonction de la charge de travail et des besoins linguistiques, à travailler sur les cas relevant des autres unités.</w:t>
      </w:r>
    </w:p>
    <w:p w:rsidR="00E45E35" w:rsidRPr="00E45E35" w:rsidRDefault="00E45E35" w:rsidP="00E45E35">
      <w:pPr>
        <w:spacing w:after="0" w:line="240" w:lineRule="auto"/>
        <w:ind w:left="426"/>
        <w:jc w:val="both"/>
        <w:rPr>
          <w:rFonts w:ascii="Times New Roman" w:eastAsia="Calibri" w:hAnsi="Times New Roman" w:cs="Times New Roman"/>
          <w:lang w:eastAsia="en-GB"/>
        </w:rPr>
      </w:pPr>
    </w:p>
    <w:p w:rsidR="00B7355D" w:rsidRDefault="00E45E35" w:rsidP="00E45E35">
      <w:pPr>
        <w:spacing w:after="0" w:line="240" w:lineRule="auto"/>
        <w:ind w:left="426"/>
        <w:jc w:val="both"/>
        <w:rPr>
          <w:rFonts w:ascii="Times New Roman" w:eastAsia="Calibri" w:hAnsi="Times New Roman" w:cs="Times New Roman"/>
          <w:lang w:eastAsia="en-GB"/>
        </w:rPr>
      </w:pPr>
      <w:r w:rsidRPr="00E45E35">
        <w:rPr>
          <w:rFonts w:ascii="Times New Roman" w:eastAsia="Calibri" w:hAnsi="Times New Roman" w:cs="Times New Roman"/>
          <w:lang w:eastAsia="en-GB"/>
        </w:rPr>
        <w:t>Les collègues rejoignant la DG COMP reçoivent une formation spécialisée pour se familiariser avec l’organisation et les procédures de travail de la Direction générale. Un coaching est offert par un collègue expérimenté de l’unité. La DG COMP met en œuvre une politique d’égalité des chances et applique un système d’horaires flexibles (permettant la récupération des heures supplémentaires).</w:t>
      </w:r>
    </w:p>
    <w:p w:rsidR="002C5FFA" w:rsidRDefault="002C5FFA" w:rsidP="002C5FFA">
      <w:pPr>
        <w:spacing w:after="0" w:line="240" w:lineRule="auto"/>
        <w:ind w:left="426"/>
        <w:jc w:val="both"/>
        <w:rPr>
          <w:rFonts w:ascii="Times New Roman" w:eastAsia="Calibri"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 xml:space="preserve">professionnelle d'au moins </w:t>
      </w:r>
      <w:r w:rsidR="0034609F">
        <w:rPr>
          <w:rFonts w:ascii="Times New Roman" w:eastAsia="Times New Roman" w:hAnsi="Times New Roman" w:cs="Times New Roman"/>
          <w:lang w:eastAsia="en-GB"/>
        </w:rPr>
        <w:t>trois</w:t>
      </w:r>
      <w:bookmarkStart w:id="0" w:name="_GoBack"/>
      <w:bookmarkEnd w:id="0"/>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8F4C33">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E45E35">
        <w:rPr>
          <w:rFonts w:ascii="Times New Roman" w:eastAsia="Times New Roman" w:hAnsi="Times New Roman" w:cs="Times New Roman"/>
          <w:lang w:eastAsia="en-GB"/>
        </w:rPr>
        <w:t>économie, droit et/ou finance</w:t>
      </w:r>
      <w:r w:rsidR="002C5FFA" w:rsidRPr="002C5FFA">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8F4C33" w:rsidRDefault="00E45E35" w:rsidP="00E45E35">
      <w:pPr>
        <w:tabs>
          <w:tab w:val="left" w:pos="1418"/>
        </w:tabs>
        <w:spacing w:after="0" w:line="240" w:lineRule="auto"/>
        <w:ind w:left="709" w:right="60"/>
        <w:jc w:val="both"/>
        <w:rPr>
          <w:rFonts w:ascii="Times New Roman" w:hAnsi="Times New Roman" w:cs="Times New Roman"/>
        </w:rPr>
      </w:pPr>
      <w:r>
        <w:rPr>
          <w:rFonts w:ascii="Times New Roman" w:hAnsi="Times New Roman" w:cs="Times New Roman"/>
        </w:rPr>
        <w:t>S</w:t>
      </w:r>
      <w:r w:rsidRPr="00E45E35">
        <w:rPr>
          <w:rFonts w:ascii="Times New Roman" w:hAnsi="Times New Roman" w:cs="Times New Roman"/>
        </w:rPr>
        <w:t>olide expérience en économie et/ou en droit et/ou en finance avec de bonnes compétences analytiques, de rédaction et de communication.</w:t>
      </w:r>
    </w:p>
    <w:p w:rsidR="00E45E35" w:rsidRDefault="00E45E35" w:rsidP="00E45E35">
      <w:pPr>
        <w:tabs>
          <w:tab w:val="left" w:pos="1418"/>
        </w:tabs>
        <w:spacing w:after="0" w:line="240" w:lineRule="auto"/>
        <w:ind w:left="709" w:right="60"/>
        <w:jc w:val="both"/>
        <w:rPr>
          <w:rFonts w:ascii="Times New Roman" w:hAnsi="Times New Roman" w:cs="Times New Roman"/>
        </w:rPr>
      </w:pPr>
    </w:p>
    <w:p w:rsidR="00E45E35" w:rsidRPr="008F4C33" w:rsidRDefault="00E45E35" w:rsidP="00E45E35">
      <w:pPr>
        <w:tabs>
          <w:tab w:val="left" w:pos="1418"/>
        </w:tabs>
        <w:spacing w:after="0" w:line="240" w:lineRule="auto"/>
        <w:ind w:left="709" w:right="60"/>
        <w:jc w:val="both"/>
        <w:rPr>
          <w:rFonts w:ascii="Times New Roman" w:hAnsi="Times New Roman" w:cs="Times New Roman"/>
        </w:rPr>
      </w:pPr>
      <w:r w:rsidRPr="00E45E35">
        <w:rPr>
          <w:rFonts w:ascii="Times New Roman" w:hAnsi="Times New Roman" w:cs="Times New Roman"/>
        </w:rPr>
        <w:t>L’expérience professionnelle liée aux règles relatives aux aides d’État dans tout domaine, mais surtout dans le domaine des aides à la RDI, environnement, emploi et PIIEC serait plus généralement un atout.</w:t>
      </w:r>
    </w:p>
    <w:p w:rsidR="008F4C33" w:rsidRPr="008F4C33" w:rsidRDefault="008F4C33" w:rsidP="008F4C33">
      <w:pPr>
        <w:tabs>
          <w:tab w:val="left" w:pos="993"/>
        </w:tabs>
        <w:spacing w:after="0" w:line="240" w:lineRule="auto"/>
        <w:ind w:left="993" w:right="60" w:hanging="284"/>
        <w:jc w:val="both"/>
        <w:rPr>
          <w:rFonts w:ascii="Times New Roman" w:hAnsi="Times New Roman" w:cs="Times New Roman"/>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E45E35" w:rsidP="00F40CDA">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hAnsi="Times New Roman" w:cs="Times New Roman"/>
        </w:rPr>
        <w:t>L</w:t>
      </w:r>
      <w:r w:rsidRPr="00E45E35">
        <w:rPr>
          <w:rFonts w:ascii="Times New Roman" w:hAnsi="Times New Roman" w:cs="Times New Roman"/>
        </w:rPr>
        <w:t>’anglais est la principale langue de travail, de sorte que de tr</w:t>
      </w:r>
      <w:r>
        <w:rPr>
          <w:rFonts w:ascii="Times New Roman" w:hAnsi="Times New Roman" w:cs="Times New Roman"/>
        </w:rPr>
        <w:t>è</w:t>
      </w:r>
      <w:r w:rsidRPr="00E45E35">
        <w:rPr>
          <w:rFonts w:ascii="Times New Roman" w:hAnsi="Times New Roman" w:cs="Times New Roman"/>
        </w:rPr>
        <w:t>s bonnes compétences de rédaction en anglais sont nécessaires. Une bonne connaissance pratique des autres langues communautaires est un atout.</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F40CDA" w:rsidRPr="00782068" w:rsidRDefault="00F40CD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sectPr w:rsidR="00130F26" w:rsidRPr="00745B97"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880D00"/>
    <w:multiLevelType w:val="hybridMultilevel"/>
    <w:tmpl w:val="CB8EB95E"/>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7"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D25D9B"/>
    <w:multiLevelType w:val="hybridMultilevel"/>
    <w:tmpl w:val="DC8EB2BC"/>
    <w:lvl w:ilvl="0" w:tplc="E4AEA49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4351A7"/>
    <w:multiLevelType w:val="hybridMultilevel"/>
    <w:tmpl w:val="A6A0B14A"/>
    <w:lvl w:ilvl="0" w:tplc="5550754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6F87A48"/>
    <w:multiLevelType w:val="hybridMultilevel"/>
    <w:tmpl w:val="EC0062AC"/>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27921F2"/>
    <w:multiLevelType w:val="hybridMultilevel"/>
    <w:tmpl w:val="EF10F7C2"/>
    <w:lvl w:ilvl="0" w:tplc="3B300B6C">
      <w:start w:val="5"/>
      <w:numFmt w:val="bullet"/>
      <w:lvlText w:val="-"/>
      <w:lvlJc w:val="left"/>
      <w:pPr>
        <w:ind w:left="1146" w:hanging="360"/>
      </w:pPr>
      <w:rPr>
        <w:rFonts w:ascii="Times New Roman" w:eastAsia="Calibr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421438D"/>
    <w:multiLevelType w:val="hybridMultilevel"/>
    <w:tmpl w:val="EFFE90FA"/>
    <w:lvl w:ilvl="0" w:tplc="4DA29976">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6343B"/>
    <w:multiLevelType w:val="hybridMultilevel"/>
    <w:tmpl w:val="E29AC4EE"/>
    <w:lvl w:ilvl="0" w:tplc="475AB99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84F400C"/>
    <w:multiLevelType w:val="hybridMultilevel"/>
    <w:tmpl w:val="7E48232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A585250"/>
    <w:multiLevelType w:val="hybridMultilevel"/>
    <w:tmpl w:val="F858CF7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DA57CB8"/>
    <w:multiLevelType w:val="hybridMultilevel"/>
    <w:tmpl w:val="C3E4906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5"/>
  </w:num>
  <w:num w:numId="3">
    <w:abstractNumId w:val="16"/>
  </w:num>
  <w:num w:numId="4">
    <w:abstractNumId w:val="10"/>
  </w:num>
  <w:num w:numId="5">
    <w:abstractNumId w:val="27"/>
  </w:num>
  <w:num w:numId="6">
    <w:abstractNumId w:val="6"/>
  </w:num>
  <w:num w:numId="7">
    <w:abstractNumId w:val="15"/>
  </w:num>
  <w:num w:numId="8">
    <w:abstractNumId w:val="8"/>
  </w:num>
  <w:num w:numId="9">
    <w:abstractNumId w:val="2"/>
  </w:num>
  <w:num w:numId="10">
    <w:abstractNumId w:val="28"/>
  </w:num>
  <w:num w:numId="11">
    <w:abstractNumId w:val="30"/>
  </w:num>
  <w:num w:numId="12">
    <w:abstractNumId w:val="25"/>
  </w:num>
  <w:num w:numId="13">
    <w:abstractNumId w:val="21"/>
  </w:num>
  <w:num w:numId="14">
    <w:abstractNumId w:val="23"/>
  </w:num>
  <w:num w:numId="15">
    <w:abstractNumId w:val="24"/>
  </w:num>
  <w:num w:numId="16">
    <w:abstractNumId w:val="18"/>
  </w:num>
  <w:num w:numId="17">
    <w:abstractNumId w:val="29"/>
  </w:num>
  <w:num w:numId="18">
    <w:abstractNumId w:val="12"/>
  </w:num>
  <w:num w:numId="19">
    <w:abstractNumId w:val="22"/>
  </w:num>
  <w:num w:numId="20">
    <w:abstractNumId w:val="7"/>
  </w:num>
  <w:num w:numId="21">
    <w:abstractNumId w:val="0"/>
  </w:num>
  <w:num w:numId="22">
    <w:abstractNumId w:val="17"/>
  </w:num>
  <w:num w:numId="23">
    <w:abstractNumId w:val="33"/>
  </w:num>
  <w:num w:numId="24">
    <w:abstractNumId w:val="14"/>
  </w:num>
  <w:num w:numId="25">
    <w:abstractNumId w:val="1"/>
  </w:num>
  <w:num w:numId="26">
    <w:abstractNumId w:val="4"/>
  </w:num>
  <w:num w:numId="27">
    <w:abstractNumId w:val="26"/>
  </w:num>
  <w:num w:numId="28">
    <w:abstractNumId w:val="32"/>
  </w:num>
  <w:num w:numId="29">
    <w:abstractNumId w:val="9"/>
  </w:num>
  <w:num w:numId="30">
    <w:abstractNumId w:val="34"/>
  </w:num>
  <w:num w:numId="31">
    <w:abstractNumId w:val="20"/>
  </w:num>
  <w:num w:numId="32">
    <w:abstractNumId w:val="19"/>
  </w:num>
  <w:num w:numId="33">
    <w:abstractNumId w:val="11"/>
  </w:num>
  <w:num w:numId="34">
    <w:abstractNumId w:val="3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178C0"/>
    <w:rsid w:val="000340C9"/>
    <w:rsid w:val="000414D7"/>
    <w:rsid w:val="000A1797"/>
    <w:rsid w:val="000B03DD"/>
    <w:rsid w:val="000C6B7E"/>
    <w:rsid w:val="00130F26"/>
    <w:rsid w:val="0014734F"/>
    <w:rsid w:val="00165C06"/>
    <w:rsid w:val="001B3870"/>
    <w:rsid w:val="001B4CE7"/>
    <w:rsid w:val="001C7BD9"/>
    <w:rsid w:val="001D7A41"/>
    <w:rsid w:val="00203BA7"/>
    <w:rsid w:val="002249B3"/>
    <w:rsid w:val="002C5FFA"/>
    <w:rsid w:val="002E490B"/>
    <w:rsid w:val="0034609F"/>
    <w:rsid w:val="003D6E31"/>
    <w:rsid w:val="00422DC7"/>
    <w:rsid w:val="004406BF"/>
    <w:rsid w:val="00456A5D"/>
    <w:rsid w:val="00462A9F"/>
    <w:rsid w:val="004A1EC4"/>
    <w:rsid w:val="004C0BE3"/>
    <w:rsid w:val="004D54C2"/>
    <w:rsid w:val="005175E6"/>
    <w:rsid w:val="00571B00"/>
    <w:rsid w:val="005E606B"/>
    <w:rsid w:val="005F0D83"/>
    <w:rsid w:val="005F771A"/>
    <w:rsid w:val="00612243"/>
    <w:rsid w:val="0066595C"/>
    <w:rsid w:val="006F7C8A"/>
    <w:rsid w:val="00707641"/>
    <w:rsid w:val="00724B13"/>
    <w:rsid w:val="00755542"/>
    <w:rsid w:val="00782068"/>
    <w:rsid w:val="00783069"/>
    <w:rsid w:val="00811ED4"/>
    <w:rsid w:val="008B2D16"/>
    <w:rsid w:val="008D684A"/>
    <w:rsid w:val="008E3D1B"/>
    <w:rsid w:val="008F4C33"/>
    <w:rsid w:val="00902117"/>
    <w:rsid w:val="00951E71"/>
    <w:rsid w:val="009570EB"/>
    <w:rsid w:val="00974126"/>
    <w:rsid w:val="00986EC3"/>
    <w:rsid w:val="00A32404"/>
    <w:rsid w:val="00A67F3B"/>
    <w:rsid w:val="00A725C2"/>
    <w:rsid w:val="00A75FE3"/>
    <w:rsid w:val="00AD4AC5"/>
    <w:rsid w:val="00AF1B8C"/>
    <w:rsid w:val="00B07523"/>
    <w:rsid w:val="00B617C2"/>
    <w:rsid w:val="00B7355D"/>
    <w:rsid w:val="00B93C1E"/>
    <w:rsid w:val="00C226B5"/>
    <w:rsid w:val="00C4363D"/>
    <w:rsid w:val="00C4452E"/>
    <w:rsid w:val="00C54D41"/>
    <w:rsid w:val="00C60F8A"/>
    <w:rsid w:val="00C77C1F"/>
    <w:rsid w:val="00CE30FC"/>
    <w:rsid w:val="00CE55D0"/>
    <w:rsid w:val="00CF1A8E"/>
    <w:rsid w:val="00D32B7F"/>
    <w:rsid w:val="00D343AE"/>
    <w:rsid w:val="00D86EEB"/>
    <w:rsid w:val="00DB7D1A"/>
    <w:rsid w:val="00E45E35"/>
    <w:rsid w:val="00E9679F"/>
    <w:rsid w:val="00EA08A5"/>
    <w:rsid w:val="00EB414C"/>
    <w:rsid w:val="00ED1C7A"/>
    <w:rsid w:val="00F40CD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06DE4"/>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x.LIENEMEYER@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37A69-F2ED-4F44-9EA1-182F6AE2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1711</Words>
  <Characters>9827</Characters>
  <Application>Microsoft Office Word</Application>
  <DocSecurity>0</DocSecurity>
  <Lines>196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2022-12-01T16:17:00Z</dcterms:created>
  <dcterms:modified xsi:type="dcterms:W3CDTF">2022-12-05T11:13:00Z</dcterms:modified>
</cp:coreProperties>
</file>