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21A60"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w:t>
            </w:r>
            <w:r w:rsidR="00B64721">
              <w:rPr>
                <w:rFonts w:ascii="Times New Roman" w:eastAsia="Times New Roman" w:hAnsi="Times New Roman" w:cs="Times New Roman"/>
                <w:b/>
                <w:sz w:val="24"/>
                <w:szCs w:val="20"/>
                <w:lang w:eastAsia="en-GB"/>
              </w:rPr>
              <w:t>-B-1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21A60" w:rsidRPr="00021A60" w:rsidRDefault="00021A60" w:rsidP="00021A60">
            <w:pPr>
              <w:rPr>
                <w:rFonts w:ascii="Times New Roman" w:hAnsi="Times New Roman" w:cs="Times New Roman"/>
                <w:b/>
              </w:rPr>
            </w:pPr>
            <w:r w:rsidRPr="00021A60">
              <w:rPr>
                <w:rFonts w:ascii="Times New Roman" w:hAnsi="Times New Roman" w:cs="Times New Roman"/>
                <w:b/>
              </w:rPr>
              <w:t>Pavel MISIGA</w:t>
            </w:r>
          </w:p>
          <w:p w:rsidR="00021A60" w:rsidRPr="00021A60" w:rsidRDefault="00021A60" w:rsidP="00021A60">
            <w:pPr>
              <w:rPr>
                <w:rFonts w:ascii="Times New Roman" w:hAnsi="Times New Roman" w:cs="Times New Roman"/>
                <w:b/>
              </w:rPr>
            </w:pPr>
            <w:hyperlink r:id="rId8" w:history="1">
              <w:r w:rsidRPr="009B1E1F">
                <w:rPr>
                  <w:rStyle w:val="Hyperlink"/>
                  <w:rFonts w:ascii="Times New Roman" w:hAnsi="Times New Roman" w:cs="Times New Roman"/>
                  <w:b/>
                </w:rPr>
                <w:t>Pavel.misiga@ec.europa.eu</w:t>
              </w:r>
            </w:hyperlink>
            <w:r>
              <w:rPr>
                <w:rFonts w:ascii="Times New Roman" w:hAnsi="Times New Roman" w:cs="Times New Roman"/>
                <w:b/>
              </w:rPr>
              <w:t xml:space="preserve"> </w:t>
            </w:r>
          </w:p>
          <w:p w:rsidR="00FE31F9" w:rsidRPr="00FE31F9" w:rsidRDefault="00021A60" w:rsidP="00021A60">
            <w:pPr>
              <w:rPr>
                <w:rFonts w:ascii="Times New Roman" w:hAnsi="Times New Roman" w:cs="Times New Roman"/>
                <w:b/>
              </w:rPr>
            </w:pPr>
            <w:r w:rsidRPr="00021A60">
              <w:rPr>
                <w:rFonts w:ascii="Times New Roman" w:hAnsi="Times New Roman" w:cs="Times New Roman"/>
                <w:b/>
                <w:lang w:val="en-GB"/>
              </w:rPr>
              <w:t>+3222994420</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021A60"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Pr="00021A60">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B647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219BC"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031FE" w:rsidRPr="00C031FE" w:rsidRDefault="00C031FE" w:rsidP="00C031FE">
      <w:pPr>
        <w:spacing w:after="3" w:line="248" w:lineRule="auto"/>
        <w:ind w:left="422" w:hanging="10"/>
        <w:jc w:val="both"/>
        <w:rPr>
          <w:rFonts w:ascii="Times New Roman" w:eastAsia="Times New Roman" w:hAnsi="Times New Roman" w:cs="Times New Roman"/>
          <w:color w:val="000000"/>
          <w:lang w:eastAsia="en-IE"/>
        </w:rPr>
      </w:pPr>
      <w:r w:rsidRPr="00C031FE">
        <w:rPr>
          <w:rFonts w:ascii="Times New Roman" w:eastAsia="Times New Roman" w:hAnsi="Times New Roman" w:cs="Times New Roman"/>
          <w:color w:val="000000"/>
          <w:lang w:eastAsia="en-IE"/>
        </w:rPr>
        <w:t xml:space="preserve">L’expert national détaché contribuera aux travaux de l’unité « Économie circulaire et Systèmes </w:t>
      </w:r>
      <w:proofErr w:type="spellStart"/>
      <w:r w:rsidRPr="00C031FE">
        <w:rPr>
          <w:rFonts w:ascii="Times New Roman" w:eastAsia="Times New Roman" w:hAnsi="Times New Roman" w:cs="Times New Roman"/>
          <w:color w:val="000000"/>
          <w:lang w:eastAsia="en-IE"/>
        </w:rPr>
        <w:t>biosourcés</w:t>
      </w:r>
      <w:proofErr w:type="spellEnd"/>
      <w:r w:rsidRPr="00C031FE">
        <w:rPr>
          <w:rFonts w:ascii="Times New Roman" w:eastAsia="Times New Roman" w:hAnsi="Times New Roman" w:cs="Times New Roman"/>
          <w:color w:val="000000"/>
          <w:lang w:eastAsia="en-IE"/>
        </w:rPr>
        <w:t xml:space="preserve"> » de la Direction Générale de la Recherche et de l’Innovation. La tâche principale de l’unité est d’élaborer des documents de programmation (par exemple, le plan stratégique et les programmes de travail semestriels) pour le programme « Horizon Europe » pour la recherche et l’innovation. L’unité contribue également activement à l’élaboration de politiques dans le domaine de l’économie circulaire et de la </w:t>
      </w:r>
      <w:proofErr w:type="spellStart"/>
      <w:r w:rsidRPr="00C031FE">
        <w:rPr>
          <w:rFonts w:ascii="Times New Roman" w:eastAsia="Times New Roman" w:hAnsi="Times New Roman" w:cs="Times New Roman"/>
          <w:color w:val="000000"/>
          <w:lang w:eastAsia="en-IE"/>
        </w:rPr>
        <w:t>bioéconomie</w:t>
      </w:r>
      <w:proofErr w:type="spellEnd"/>
      <w:r w:rsidRPr="00C031FE">
        <w:rPr>
          <w:rFonts w:ascii="Times New Roman" w:eastAsia="Times New Roman" w:hAnsi="Times New Roman" w:cs="Times New Roman"/>
          <w:color w:val="000000"/>
          <w:lang w:eastAsia="en-IE"/>
        </w:rPr>
        <w:t>.</w:t>
      </w:r>
    </w:p>
    <w:p w:rsidR="00C031FE" w:rsidRPr="00C031FE" w:rsidRDefault="00C031FE" w:rsidP="00C031FE">
      <w:pPr>
        <w:spacing w:after="3" w:line="248" w:lineRule="auto"/>
        <w:ind w:left="422" w:hanging="10"/>
        <w:jc w:val="both"/>
        <w:rPr>
          <w:rFonts w:ascii="Times New Roman" w:eastAsia="Times New Roman" w:hAnsi="Times New Roman" w:cs="Times New Roman"/>
          <w:color w:val="000000"/>
          <w:lang w:eastAsia="en-IE"/>
        </w:rPr>
      </w:pPr>
    </w:p>
    <w:p w:rsidR="00C031FE" w:rsidRPr="00C031FE" w:rsidRDefault="00C031FE" w:rsidP="00C031FE">
      <w:pPr>
        <w:spacing w:after="3" w:line="248" w:lineRule="auto"/>
        <w:ind w:left="422" w:hanging="10"/>
        <w:jc w:val="both"/>
        <w:rPr>
          <w:rFonts w:ascii="Times New Roman" w:eastAsia="Times New Roman" w:hAnsi="Times New Roman" w:cs="Times New Roman"/>
          <w:color w:val="000000"/>
          <w:lang w:eastAsia="en-IE"/>
        </w:rPr>
      </w:pPr>
      <w:r w:rsidRPr="00C031FE">
        <w:rPr>
          <w:rFonts w:ascii="Times New Roman" w:eastAsia="Times New Roman" w:hAnsi="Times New Roman" w:cs="Times New Roman"/>
          <w:color w:val="000000"/>
          <w:lang w:eastAsia="en-IE"/>
        </w:rPr>
        <w:t>L’expert national détaché analysera les obstacles et les lacunes dans le processus de transition vers l’économie circulaire et identifiera les besoins en matière de recherche et d’innovation pour surmonter ces obstacles et lacunes. Cela nécessite une bonne compréhension de la politique dans ce domaine, de la situation de l’économie de l’UE, des marchés, des facteurs technologiques et autres influençant le processus de transition. L’expert identifiera les actions de R&amp;I et proposera des thèmes de R&amp;I qui seront, après consultation des parties prenantes, inclus dans les programmes de travail d</w:t>
      </w:r>
      <w:proofErr w:type="gramStart"/>
      <w:r w:rsidRPr="00C031FE">
        <w:rPr>
          <w:rFonts w:ascii="Times New Roman" w:eastAsia="Times New Roman" w:hAnsi="Times New Roman" w:cs="Times New Roman"/>
          <w:color w:val="000000"/>
          <w:lang w:eastAsia="en-IE"/>
        </w:rPr>
        <w:t>’«</w:t>
      </w:r>
      <w:proofErr w:type="gramEnd"/>
      <w:r w:rsidRPr="00C031FE">
        <w:rPr>
          <w:rFonts w:ascii="Times New Roman" w:eastAsia="Times New Roman" w:hAnsi="Times New Roman" w:cs="Times New Roman"/>
          <w:color w:val="000000"/>
          <w:lang w:eastAsia="en-IE"/>
        </w:rPr>
        <w:t xml:space="preserve"> Horizon Europe ».</w:t>
      </w:r>
    </w:p>
    <w:p w:rsidR="00C031FE" w:rsidRPr="00C031FE" w:rsidRDefault="00C031FE" w:rsidP="00C031FE">
      <w:pPr>
        <w:spacing w:after="3" w:line="248" w:lineRule="auto"/>
        <w:ind w:left="422" w:hanging="10"/>
        <w:jc w:val="both"/>
        <w:rPr>
          <w:rFonts w:ascii="Times New Roman" w:eastAsia="Times New Roman" w:hAnsi="Times New Roman" w:cs="Times New Roman"/>
          <w:color w:val="000000"/>
          <w:lang w:eastAsia="en-IE"/>
        </w:rPr>
      </w:pPr>
    </w:p>
    <w:p w:rsidR="00C031FE" w:rsidRPr="00C031FE" w:rsidRDefault="00C031FE" w:rsidP="00C031FE">
      <w:pPr>
        <w:spacing w:after="3" w:line="248" w:lineRule="auto"/>
        <w:ind w:left="422" w:hanging="10"/>
        <w:jc w:val="both"/>
        <w:rPr>
          <w:rFonts w:ascii="Times New Roman" w:eastAsia="Times New Roman" w:hAnsi="Times New Roman" w:cs="Times New Roman"/>
          <w:color w:val="000000"/>
          <w:lang w:eastAsia="en-IE"/>
        </w:rPr>
      </w:pPr>
      <w:r w:rsidRPr="00C031FE">
        <w:rPr>
          <w:rFonts w:ascii="Times New Roman" w:eastAsia="Times New Roman" w:hAnsi="Times New Roman" w:cs="Times New Roman"/>
          <w:color w:val="000000"/>
          <w:lang w:eastAsia="en-IE"/>
        </w:rPr>
        <w:t>L’expert national détaché effectuera également différents types d’analyses politiques dans le but de contribuer aux initiatives politiques de la Commission européenne. Cela peut inclure la participation à divers groupes interservices thématiques, la contribution aux analyses d’impact pour les nouvelles initiatives, la formulation de suggestions rédactionnelles pour la communication et les propositions législatives. Les tâches peuvent également inclure une analyse du portefeuille de projets de recherche passés ou en cours financés par des instruments de l’UE et extraire des informations et des recommandations pertinentes pour les politiques.</w:t>
      </w:r>
    </w:p>
    <w:p w:rsidR="00C031FE" w:rsidRPr="00C031FE" w:rsidRDefault="00C031FE" w:rsidP="00C031FE">
      <w:pPr>
        <w:spacing w:after="3" w:line="248" w:lineRule="auto"/>
        <w:ind w:left="422" w:hanging="10"/>
        <w:jc w:val="both"/>
        <w:rPr>
          <w:rFonts w:ascii="Times New Roman" w:eastAsia="Times New Roman" w:hAnsi="Times New Roman" w:cs="Times New Roman"/>
          <w:color w:val="000000"/>
          <w:lang w:eastAsia="en-IE"/>
        </w:rPr>
      </w:pPr>
    </w:p>
    <w:p w:rsidR="00B64721" w:rsidRPr="00B64721" w:rsidRDefault="00C031FE" w:rsidP="00C031FE">
      <w:pPr>
        <w:spacing w:after="3" w:line="248" w:lineRule="auto"/>
        <w:ind w:left="422" w:hanging="10"/>
        <w:jc w:val="both"/>
        <w:rPr>
          <w:rFonts w:ascii="Times New Roman" w:eastAsia="Times New Roman" w:hAnsi="Times New Roman" w:cs="Times New Roman"/>
          <w:color w:val="000000"/>
          <w:lang w:eastAsia="en-IE"/>
        </w:rPr>
      </w:pPr>
      <w:r w:rsidRPr="00C031FE">
        <w:rPr>
          <w:rFonts w:ascii="Times New Roman" w:eastAsia="Times New Roman" w:hAnsi="Times New Roman" w:cs="Times New Roman"/>
          <w:color w:val="000000"/>
          <w:lang w:eastAsia="en-IE"/>
        </w:rPr>
        <w:t>Dans le cadre de son travail, l’expert national détaché collaborera avec les collègues de son unité et d’autres unités de la Direction Générale de la Recherche et de l’Innovation ainsi qu’avec d’autres services compétents de la Commission, avec les agences chargées de la mise en œuvre d</w:t>
      </w:r>
      <w:proofErr w:type="gramStart"/>
      <w:r w:rsidRPr="00C031FE">
        <w:rPr>
          <w:rFonts w:ascii="Times New Roman" w:eastAsia="Times New Roman" w:hAnsi="Times New Roman" w:cs="Times New Roman"/>
          <w:color w:val="000000"/>
          <w:lang w:eastAsia="en-IE"/>
        </w:rPr>
        <w:t>’«</w:t>
      </w:r>
      <w:proofErr w:type="gramEnd"/>
      <w:r w:rsidRPr="00C031FE">
        <w:rPr>
          <w:rFonts w:ascii="Times New Roman" w:eastAsia="Times New Roman" w:hAnsi="Times New Roman" w:cs="Times New Roman"/>
          <w:color w:val="000000"/>
          <w:lang w:eastAsia="en-IE"/>
        </w:rPr>
        <w:t xml:space="preserve"> Horizon Europe », l’Agence européenne </w:t>
      </w:r>
      <w:r w:rsidRPr="00C031FE">
        <w:rPr>
          <w:rFonts w:ascii="Times New Roman" w:eastAsia="Times New Roman" w:hAnsi="Times New Roman" w:cs="Times New Roman"/>
          <w:color w:val="000000"/>
          <w:lang w:eastAsia="en-IE"/>
        </w:rPr>
        <w:lastRenderedPageBreak/>
        <w:t xml:space="preserve">pour l’environnement, la Banque européenne d’investissement et avec des organisations internationales telles que le UNEP et l’OCDE. L’expert interagira également avec les parties prenantes industrielles, par exemple les associations industrielles sectorielles et les organisations de la société civile. </w:t>
      </w:r>
    </w:p>
    <w:p w:rsidR="00B64721" w:rsidRPr="00B64721" w:rsidRDefault="00B64721" w:rsidP="00B64721">
      <w:pPr>
        <w:spacing w:after="3" w:line="248" w:lineRule="auto"/>
        <w:ind w:left="422" w:hanging="10"/>
        <w:jc w:val="both"/>
        <w:rPr>
          <w:rFonts w:ascii="Times New Roman" w:eastAsia="Times New Roman" w:hAnsi="Times New Roman" w:cs="Times New Roman"/>
          <w:color w:val="000000"/>
          <w:lang w:eastAsia="en-IE"/>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C031FE">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C031FE" w:rsidRPr="00C031FE">
        <w:rPr>
          <w:rFonts w:ascii="Times New Roman" w:hAnsi="Times New Roman" w:cs="Times New Roman"/>
        </w:rPr>
        <w:t>sciences naturelles, sciences de l’environnement, ingénierie, économie, gestion d’entreprise, sciences politiques, administration publique ou droit</w:t>
      </w:r>
      <w:r w:rsidR="00B64721" w:rsidRPr="00B64721">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031FE" w:rsidRPr="00C031FE" w:rsidRDefault="00C031FE" w:rsidP="00C031FE">
      <w:pPr>
        <w:tabs>
          <w:tab w:val="left" w:pos="709"/>
        </w:tabs>
        <w:spacing w:after="0" w:line="240" w:lineRule="auto"/>
        <w:ind w:left="709" w:right="60"/>
        <w:jc w:val="both"/>
        <w:rPr>
          <w:rFonts w:ascii="Times New Roman" w:eastAsia="Times New Roman" w:hAnsi="Times New Roman" w:cs="Times New Roman"/>
          <w:lang w:eastAsia="en-GB"/>
        </w:rPr>
      </w:pPr>
      <w:r w:rsidRPr="00C031FE">
        <w:rPr>
          <w:rFonts w:ascii="Times New Roman" w:eastAsia="Times New Roman" w:hAnsi="Times New Roman" w:cs="Times New Roman"/>
          <w:lang w:eastAsia="en-GB"/>
        </w:rPr>
        <w:t>Au moins l’un des éléments suivants, de préférence dans le domaine de l’économie circulaire, de la production et de la consommation durables, de la gestion des déchets ou de la politique industrielle:</w:t>
      </w:r>
    </w:p>
    <w:p w:rsidR="00C031FE" w:rsidRPr="00C031FE" w:rsidRDefault="00C031FE" w:rsidP="00C031FE">
      <w:pPr>
        <w:pStyle w:val="ListParagraph"/>
        <w:numPr>
          <w:ilvl w:val="0"/>
          <w:numId w:val="37"/>
        </w:numPr>
        <w:tabs>
          <w:tab w:val="left" w:pos="709"/>
        </w:tabs>
        <w:spacing w:after="0" w:line="240" w:lineRule="auto"/>
        <w:ind w:left="993" w:right="60" w:hanging="284"/>
        <w:jc w:val="both"/>
        <w:rPr>
          <w:rFonts w:ascii="Times New Roman" w:eastAsia="Times New Roman" w:hAnsi="Times New Roman" w:cs="Times New Roman"/>
          <w:lang w:eastAsia="en-GB"/>
        </w:rPr>
      </w:pPr>
      <w:r w:rsidRPr="00C031FE">
        <w:rPr>
          <w:rFonts w:ascii="Times New Roman" w:eastAsia="Times New Roman" w:hAnsi="Times New Roman" w:cs="Times New Roman"/>
          <w:lang w:eastAsia="en-GB"/>
        </w:rPr>
        <w:t xml:space="preserve">Analyse et formulation des politiques; </w:t>
      </w:r>
    </w:p>
    <w:p w:rsidR="00C031FE" w:rsidRPr="00C031FE" w:rsidRDefault="00C031FE" w:rsidP="00C031FE">
      <w:pPr>
        <w:pStyle w:val="ListParagraph"/>
        <w:numPr>
          <w:ilvl w:val="0"/>
          <w:numId w:val="37"/>
        </w:numPr>
        <w:tabs>
          <w:tab w:val="left" w:pos="709"/>
        </w:tabs>
        <w:spacing w:after="0" w:line="240" w:lineRule="auto"/>
        <w:ind w:left="993" w:right="60" w:hanging="284"/>
        <w:jc w:val="both"/>
        <w:rPr>
          <w:rFonts w:ascii="Times New Roman" w:eastAsia="Times New Roman" w:hAnsi="Times New Roman" w:cs="Times New Roman"/>
          <w:lang w:eastAsia="en-GB"/>
        </w:rPr>
      </w:pPr>
      <w:r w:rsidRPr="00C031FE">
        <w:rPr>
          <w:rFonts w:ascii="Times New Roman" w:eastAsia="Times New Roman" w:hAnsi="Times New Roman" w:cs="Times New Roman"/>
          <w:lang w:eastAsia="en-GB"/>
        </w:rPr>
        <w:t>Planification, organisation et mise en œuvre d’initiatives et d’instruments complexes de politique publique;</w:t>
      </w:r>
    </w:p>
    <w:p w:rsidR="00C031FE" w:rsidRPr="00C031FE" w:rsidRDefault="00C031FE" w:rsidP="00C031FE">
      <w:pPr>
        <w:pStyle w:val="ListParagraph"/>
        <w:numPr>
          <w:ilvl w:val="0"/>
          <w:numId w:val="37"/>
        </w:numPr>
        <w:tabs>
          <w:tab w:val="left" w:pos="709"/>
        </w:tabs>
        <w:spacing w:after="0" w:line="240" w:lineRule="auto"/>
        <w:ind w:left="993" w:right="60" w:hanging="284"/>
        <w:jc w:val="both"/>
        <w:rPr>
          <w:rFonts w:ascii="Times New Roman" w:eastAsia="Times New Roman" w:hAnsi="Times New Roman" w:cs="Times New Roman"/>
          <w:lang w:eastAsia="en-GB"/>
        </w:rPr>
      </w:pPr>
      <w:r w:rsidRPr="00C031FE">
        <w:rPr>
          <w:rFonts w:ascii="Times New Roman" w:eastAsia="Times New Roman" w:hAnsi="Times New Roman" w:cs="Times New Roman"/>
          <w:lang w:eastAsia="en-GB"/>
        </w:rPr>
        <w:t>La planification, le financement et l’évaluation de la recherche et de l’innovation;</w:t>
      </w:r>
    </w:p>
    <w:p w:rsidR="0047293A" w:rsidRPr="00C031FE" w:rsidRDefault="00C031FE" w:rsidP="00C031FE">
      <w:pPr>
        <w:pStyle w:val="ListParagraph"/>
        <w:numPr>
          <w:ilvl w:val="0"/>
          <w:numId w:val="37"/>
        </w:numPr>
        <w:tabs>
          <w:tab w:val="left" w:pos="709"/>
        </w:tabs>
        <w:spacing w:after="0" w:line="240" w:lineRule="auto"/>
        <w:ind w:left="993" w:right="60" w:hanging="284"/>
        <w:jc w:val="both"/>
        <w:rPr>
          <w:rFonts w:ascii="Times New Roman" w:eastAsia="Times New Roman" w:hAnsi="Times New Roman" w:cs="Times New Roman"/>
          <w:lang w:eastAsia="en-GB"/>
        </w:rPr>
      </w:pPr>
      <w:r w:rsidRPr="00C031FE">
        <w:rPr>
          <w:rFonts w:ascii="Times New Roman" w:eastAsia="Times New Roman" w:hAnsi="Times New Roman" w:cs="Times New Roman"/>
          <w:lang w:eastAsia="en-GB"/>
        </w:rPr>
        <w:t>C</w:t>
      </w:r>
      <w:r w:rsidRPr="00C031FE">
        <w:rPr>
          <w:rFonts w:ascii="Times New Roman" w:eastAsia="Times New Roman" w:hAnsi="Times New Roman" w:cs="Times New Roman"/>
          <w:lang w:eastAsia="en-GB"/>
        </w:rPr>
        <w:t>ommunication avec les acteurs industriels et de la société civile.</w:t>
      </w:r>
    </w:p>
    <w:p w:rsidR="00C031FE" w:rsidRDefault="00C031FE" w:rsidP="00C031FE">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C031FE" w:rsidP="001F18BF">
      <w:pPr>
        <w:spacing w:after="0" w:line="240" w:lineRule="auto"/>
        <w:ind w:left="709"/>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B64721" w:rsidRPr="00B64721">
        <w:rPr>
          <w:rFonts w:ascii="Times New Roman" w:eastAsia="Times New Roman" w:hAnsi="Times New Roman" w:cs="Times New Roman"/>
          <w:lang w:eastAsia="en-GB"/>
        </w:rPr>
        <w:t>nglais</w:t>
      </w:r>
      <w:bookmarkStart w:id="0" w:name="_GoBack"/>
      <w:bookmarkEnd w:id="0"/>
      <w:r w:rsidR="00B64721" w:rsidRPr="00B64721">
        <w:rPr>
          <w:rFonts w:ascii="Times New Roman" w:eastAsia="Times New Roman" w:hAnsi="Times New Roman" w:cs="Times New Roman"/>
          <w:lang w:eastAsia="en-GB"/>
        </w:rPr>
        <w:t>.</w:t>
      </w:r>
    </w:p>
    <w:p w:rsidR="00B64721" w:rsidRPr="00100B37" w:rsidRDefault="00B6472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D104842"/>
    <w:multiLevelType w:val="hybridMultilevel"/>
    <w:tmpl w:val="B27CB35A"/>
    <w:lvl w:ilvl="0" w:tplc="00480BF6">
      <w:start w:val="1"/>
      <w:numFmt w:val="bullet"/>
      <w:lvlText w:val="-"/>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445014">
      <w:start w:val="1"/>
      <w:numFmt w:val="bullet"/>
      <w:lvlText w:val="o"/>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38AE462">
      <w:start w:val="1"/>
      <w:numFmt w:val="bullet"/>
      <w:lvlText w:val="▪"/>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4432F0">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8C4DC02">
      <w:start w:val="1"/>
      <w:numFmt w:val="bullet"/>
      <w:lvlText w:val="o"/>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EC74F0">
      <w:start w:val="1"/>
      <w:numFmt w:val="bullet"/>
      <w:lvlText w:val="▪"/>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4256BA">
      <w:start w:val="1"/>
      <w:numFmt w:val="bullet"/>
      <w:lvlText w:val="•"/>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B4F9A4">
      <w:start w:val="1"/>
      <w:numFmt w:val="bullet"/>
      <w:lvlText w:val="o"/>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B5C2F9E">
      <w:start w:val="1"/>
      <w:numFmt w:val="bullet"/>
      <w:lvlText w:val="▪"/>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D140344"/>
    <w:multiLevelType w:val="hybridMultilevel"/>
    <w:tmpl w:val="71B46AC0"/>
    <w:lvl w:ilvl="0" w:tplc="7E68DF2E">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7"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0"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9654072"/>
    <w:multiLevelType w:val="hybridMultilevel"/>
    <w:tmpl w:val="44A6EECC"/>
    <w:lvl w:ilvl="0" w:tplc="8FE840EA">
      <w:start w:val="1"/>
      <w:numFmt w:val="bullet"/>
      <w:lvlText w:val="-"/>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26E490">
      <w:start w:val="1"/>
      <w:numFmt w:val="bullet"/>
      <w:lvlText w:val="o"/>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EFCFAAC">
      <w:start w:val="1"/>
      <w:numFmt w:val="bullet"/>
      <w:lvlText w:val="▪"/>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8BAB9D8">
      <w:start w:val="1"/>
      <w:numFmt w:val="bullet"/>
      <w:lvlText w:val="•"/>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BB66438">
      <w:start w:val="1"/>
      <w:numFmt w:val="bullet"/>
      <w:lvlText w:val="o"/>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FD085AC">
      <w:start w:val="1"/>
      <w:numFmt w:val="bullet"/>
      <w:lvlText w:val="▪"/>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BED436">
      <w:start w:val="1"/>
      <w:numFmt w:val="bullet"/>
      <w:lvlText w:val="•"/>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7B6926E">
      <w:start w:val="1"/>
      <w:numFmt w:val="bullet"/>
      <w:lvlText w:val="o"/>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C5C1018">
      <w:start w:val="1"/>
      <w:numFmt w:val="bullet"/>
      <w:lvlText w:val="▪"/>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93679D3"/>
    <w:multiLevelType w:val="hybridMultilevel"/>
    <w:tmpl w:val="E4E2585E"/>
    <w:lvl w:ilvl="0" w:tplc="A2A4E6CC">
      <w:start w:val="1"/>
      <w:numFmt w:val="bullet"/>
      <w:lvlText w:val="-"/>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310AE94">
      <w:start w:val="1"/>
      <w:numFmt w:val="bullet"/>
      <w:lvlText w:val="o"/>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80022FC">
      <w:start w:val="1"/>
      <w:numFmt w:val="bullet"/>
      <w:lvlText w:val="▪"/>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B8A524">
      <w:start w:val="1"/>
      <w:numFmt w:val="bullet"/>
      <w:lvlText w:val="•"/>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092F0D6">
      <w:start w:val="1"/>
      <w:numFmt w:val="bullet"/>
      <w:lvlText w:val="o"/>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B6ECB0C">
      <w:start w:val="1"/>
      <w:numFmt w:val="bullet"/>
      <w:lvlText w:val="▪"/>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170124C">
      <w:start w:val="1"/>
      <w:numFmt w:val="bullet"/>
      <w:lvlText w:val="•"/>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0CAEAC0">
      <w:start w:val="1"/>
      <w:numFmt w:val="bullet"/>
      <w:lvlText w:val="o"/>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F468EB8">
      <w:start w:val="1"/>
      <w:numFmt w:val="bullet"/>
      <w:lvlText w:val="▪"/>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52C7575"/>
    <w:multiLevelType w:val="hybridMultilevel"/>
    <w:tmpl w:val="A37E9A7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DE51745"/>
    <w:multiLevelType w:val="hybridMultilevel"/>
    <w:tmpl w:val="E870D518"/>
    <w:lvl w:ilvl="0" w:tplc="8BC220FE">
      <w:start w:val="1"/>
      <w:numFmt w:val="bullet"/>
      <w:lvlText w:val="-"/>
      <w:lvlJc w:val="left"/>
      <w:pPr>
        <w:ind w:left="7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38667EC">
      <w:start w:val="1"/>
      <w:numFmt w:val="bullet"/>
      <w:lvlText w:val="o"/>
      <w:lvlJc w:val="left"/>
      <w:pPr>
        <w:ind w:left="16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49AED90">
      <w:start w:val="1"/>
      <w:numFmt w:val="bullet"/>
      <w:lvlText w:val="▪"/>
      <w:lvlJc w:val="left"/>
      <w:pPr>
        <w:ind w:left="23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742B4BA">
      <w:start w:val="1"/>
      <w:numFmt w:val="bullet"/>
      <w:lvlText w:val="•"/>
      <w:lvlJc w:val="left"/>
      <w:pPr>
        <w:ind w:left="30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AE845A2">
      <w:start w:val="1"/>
      <w:numFmt w:val="bullet"/>
      <w:lvlText w:val="o"/>
      <w:lvlJc w:val="left"/>
      <w:pPr>
        <w:ind w:left="37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EE8E374">
      <w:start w:val="1"/>
      <w:numFmt w:val="bullet"/>
      <w:lvlText w:val="▪"/>
      <w:lvlJc w:val="left"/>
      <w:pPr>
        <w:ind w:left="4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600BDDE">
      <w:start w:val="1"/>
      <w:numFmt w:val="bullet"/>
      <w:lvlText w:val="•"/>
      <w:lvlJc w:val="left"/>
      <w:pPr>
        <w:ind w:left="5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924BA6">
      <w:start w:val="1"/>
      <w:numFmt w:val="bullet"/>
      <w:lvlText w:val="o"/>
      <w:lvlJc w:val="left"/>
      <w:pPr>
        <w:ind w:left="5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9446364">
      <w:start w:val="1"/>
      <w:numFmt w:val="bullet"/>
      <w:lvlText w:val="▪"/>
      <w:lvlJc w:val="left"/>
      <w:pPr>
        <w:ind w:left="6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5"/>
  </w:num>
  <w:num w:numId="2">
    <w:abstractNumId w:val="12"/>
  </w:num>
  <w:num w:numId="3">
    <w:abstractNumId w:val="30"/>
  </w:num>
  <w:num w:numId="4">
    <w:abstractNumId w:val="18"/>
  </w:num>
  <w:num w:numId="5">
    <w:abstractNumId w:val="13"/>
  </w:num>
  <w:num w:numId="6">
    <w:abstractNumId w:val="2"/>
  </w:num>
  <w:num w:numId="7">
    <w:abstractNumId w:val="22"/>
  </w:num>
  <w:num w:numId="8">
    <w:abstractNumId w:val="14"/>
  </w:num>
  <w:num w:numId="9">
    <w:abstractNumId w:val="23"/>
  </w:num>
  <w:num w:numId="10">
    <w:abstractNumId w:val="10"/>
  </w:num>
  <w:num w:numId="11">
    <w:abstractNumId w:val="1"/>
  </w:num>
  <w:num w:numId="12">
    <w:abstractNumId w:val="6"/>
  </w:num>
  <w:num w:numId="13">
    <w:abstractNumId w:val="24"/>
  </w:num>
  <w:num w:numId="14">
    <w:abstractNumId w:val="28"/>
  </w:num>
  <w:num w:numId="15">
    <w:abstractNumId w:val="7"/>
  </w:num>
  <w:num w:numId="16">
    <w:abstractNumId w:val="0"/>
  </w:num>
  <w:num w:numId="17">
    <w:abstractNumId w:val="34"/>
  </w:num>
  <w:num w:numId="18">
    <w:abstractNumId w:val="31"/>
  </w:num>
  <w:num w:numId="19">
    <w:abstractNumId w:val="21"/>
  </w:num>
  <w:num w:numId="20">
    <w:abstractNumId w:val="17"/>
  </w:num>
  <w:num w:numId="21">
    <w:abstractNumId w:val="35"/>
  </w:num>
  <w:num w:numId="22">
    <w:abstractNumId w:val="27"/>
  </w:num>
  <w:num w:numId="23">
    <w:abstractNumId w:val="9"/>
  </w:num>
  <w:num w:numId="24">
    <w:abstractNumId w:val="19"/>
  </w:num>
  <w:num w:numId="25">
    <w:abstractNumId w:val="37"/>
  </w:num>
  <w:num w:numId="26">
    <w:abstractNumId w:val="16"/>
  </w:num>
  <w:num w:numId="27">
    <w:abstractNumId w:val="11"/>
  </w:num>
  <w:num w:numId="28">
    <w:abstractNumId w:val="20"/>
  </w:num>
  <w:num w:numId="29">
    <w:abstractNumId w:val="29"/>
  </w:num>
  <w:num w:numId="30">
    <w:abstractNumId w:val="5"/>
  </w:num>
  <w:num w:numId="31">
    <w:abstractNumId w:val="32"/>
  </w:num>
  <w:num w:numId="32">
    <w:abstractNumId w:val="4"/>
  </w:num>
  <w:num w:numId="33">
    <w:abstractNumId w:val="36"/>
  </w:num>
  <w:num w:numId="34">
    <w:abstractNumId w:val="26"/>
  </w:num>
  <w:num w:numId="35">
    <w:abstractNumId w:val="25"/>
  </w:num>
  <w:num w:numId="36">
    <w:abstractNumId w:val="3"/>
  </w:num>
  <w:num w:numId="37">
    <w:abstractNumId w:val="33"/>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21A60"/>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B3223"/>
    <w:rsid w:val="003F6A2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219BC"/>
    <w:rsid w:val="0088103D"/>
    <w:rsid w:val="00902804"/>
    <w:rsid w:val="009A421C"/>
    <w:rsid w:val="009C39A3"/>
    <w:rsid w:val="00A140DB"/>
    <w:rsid w:val="00A23D3E"/>
    <w:rsid w:val="00A516E1"/>
    <w:rsid w:val="00B05153"/>
    <w:rsid w:val="00B36D07"/>
    <w:rsid w:val="00B64721"/>
    <w:rsid w:val="00B9574D"/>
    <w:rsid w:val="00BA34CF"/>
    <w:rsid w:val="00BC14A5"/>
    <w:rsid w:val="00BC661A"/>
    <w:rsid w:val="00C031FE"/>
    <w:rsid w:val="00C20621"/>
    <w:rsid w:val="00CF677F"/>
    <w:rsid w:val="00D805C9"/>
    <w:rsid w:val="00D869ED"/>
    <w:rsid w:val="00D9400C"/>
    <w:rsid w:val="00DF5355"/>
    <w:rsid w:val="00E109FB"/>
    <w:rsid w:val="00E441A0"/>
    <w:rsid w:val="00F714E3"/>
    <w:rsid w:val="00F821EA"/>
    <w:rsid w:val="00FD717F"/>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C464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misig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1524</Words>
  <Characters>8888</Characters>
  <Application>Microsoft Office Word</Application>
  <DocSecurity>0</DocSecurity>
  <Lines>181</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2022-12-08T13:59:00Z</dcterms:created>
  <dcterms:modified xsi:type="dcterms:W3CDTF">2022-12-08T13:59:00Z</dcterms:modified>
</cp:coreProperties>
</file>