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A1E34" w:rsidP="00E85AB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w:t>
            </w:r>
            <w:r w:rsidR="00E85ABF">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A1E34" w:rsidRPr="001A1E34" w:rsidRDefault="001A1E34" w:rsidP="001A1E34">
            <w:pPr>
              <w:rPr>
                <w:rFonts w:ascii="Times New Roman" w:hAnsi="Times New Roman" w:cs="Times New Roman"/>
                <w:b/>
              </w:rPr>
            </w:pPr>
            <w:r w:rsidRPr="001A1E34">
              <w:rPr>
                <w:rFonts w:ascii="Times New Roman" w:hAnsi="Times New Roman" w:cs="Times New Roman"/>
                <w:b/>
              </w:rPr>
              <w:t>DAS Hans</w:t>
            </w:r>
          </w:p>
          <w:p w:rsidR="001A1E34" w:rsidRPr="001A1E34" w:rsidRDefault="001A1E34" w:rsidP="001A1E34">
            <w:pPr>
              <w:rPr>
                <w:rFonts w:ascii="Times New Roman" w:hAnsi="Times New Roman" w:cs="Times New Roman"/>
                <w:b/>
              </w:rPr>
            </w:pPr>
            <w:hyperlink r:id="rId8" w:history="1">
              <w:r w:rsidRPr="00153A24">
                <w:rPr>
                  <w:rStyle w:val="Hyperlink"/>
                  <w:rFonts w:ascii="Times New Roman" w:hAnsi="Times New Roman" w:cs="Times New Roman"/>
                  <w:b/>
                </w:rPr>
                <w:t>Hans.DAS@ec.europa.eu</w:t>
              </w:r>
            </w:hyperlink>
            <w:r>
              <w:rPr>
                <w:rFonts w:ascii="Times New Roman" w:hAnsi="Times New Roman" w:cs="Times New Roman"/>
                <w:b/>
              </w:rPr>
              <w:t xml:space="preserve"> </w:t>
            </w:r>
          </w:p>
          <w:p w:rsidR="00FE31F9" w:rsidRPr="00FE31F9" w:rsidRDefault="001A1E34" w:rsidP="001A1E34">
            <w:pPr>
              <w:rPr>
                <w:rFonts w:ascii="Times New Roman" w:hAnsi="Times New Roman" w:cs="Times New Roman"/>
                <w:b/>
              </w:rPr>
            </w:pPr>
            <w:r w:rsidRPr="001A1E34">
              <w:rPr>
                <w:rFonts w:ascii="Times New Roman" w:hAnsi="Times New Roman" w:cs="Times New Roman"/>
                <w:b/>
              </w:rPr>
              <w:t>+32 229-90436</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E85ABF"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E85ABF">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1A1E3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A1E34"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1C5214"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A1E34"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A1E34"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1C521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A1E34"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A1E34" w:rsidRPr="001A1E34" w:rsidRDefault="001A1E34" w:rsidP="001A1E34">
      <w:pPr>
        <w:spacing w:after="0" w:line="240" w:lineRule="auto"/>
        <w:ind w:left="426"/>
        <w:jc w:val="both"/>
        <w:rPr>
          <w:rFonts w:ascii="Times New Roman" w:hAnsi="Times New Roman" w:cs="Times New Roman"/>
          <w:lang w:eastAsia="en-GB"/>
        </w:rPr>
      </w:pPr>
      <w:r w:rsidRPr="001A1E34">
        <w:rPr>
          <w:rFonts w:ascii="Times New Roman" w:hAnsi="Times New Roman" w:cs="Times New Roman"/>
          <w:lang w:eastAsia="en-GB"/>
        </w:rPr>
        <w:t>La direction générale de la protection civile et des opérations humanitaires (ECHO) de la Commission européenne est chargée de réagir aux crises majeures dans le monde par l’intermédiaire du mécanisme de protection civile de l’Union (MPCU) et des canaux humanitaires d’ECHO. Le titulaire du poste sera affecté à l’unité Sécurité et connaissance de la situation (ECHO A.3) au sein de la direction</w:t>
      </w:r>
      <w:proofErr w:type="gramStart"/>
      <w:r w:rsidRPr="001A1E34">
        <w:rPr>
          <w:rFonts w:ascii="Times New Roman" w:hAnsi="Times New Roman" w:cs="Times New Roman"/>
          <w:lang w:eastAsia="en-GB"/>
        </w:rPr>
        <w:t xml:space="preserve"> «Gestion</w:t>
      </w:r>
      <w:proofErr w:type="gramEnd"/>
      <w:r w:rsidRPr="001A1E34">
        <w:rPr>
          <w:rFonts w:ascii="Times New Roman" w:hAnsi="Times New Roman" w:cs="Times New Roman"/>
          <w:lang w:eastAsia="en-GB"/>
        </w:rPr>
        <w:t xml:space="preserve"> des situations d’urgence et </w:t>
      </w:r>
      <w:proofErr w:type="spellStart"/>
      <w:r w:rsidRPr="001A1E34">
        <w:rPr>
          <w:rFonts w:ascii="Times New Roman" w:hAnsi="Times New Roman" w:cs="Times New Roman"/>
          <w:lang w:eastAsia="en-GB"/>
        </w:rPr>
        <w:t>rescEU</w:t>
      </w:r>
      <w:proofErr w:type="spellEnd"/>
      <w:r w:rsidRPr="001A1E34">
        <w:rPr>
          <w:rFonts w:ascii="Times New Roman" w:hAnsi="Times New Roman" w:cs="Times New Roman"/>
          <w:lang w:eastAsia="en-GB"/>
        </w:rPr>
        <w:t>», qui est chargée de faciliter les réactions aux crises par l’intermédiaire du centre de coordination de la réaction d’urgence (ERCC), l’organe opérationnel du MPCU.</w:t>
      </w:r>
    </w:p>
    <w:p w:rsidR="001A1E34" w:rsidRPr="001A1E34" w:rsidRDefault="001A1E34" w:rsidP="001A1E34">
      <w:pPr>
        <w:spacing w:after="0" w:line="240" w:lineRule="auto"/>
        <w:ind w:left="426"/>
        <w:jc w:val="both"/>
        <w:rPr>
          <w:rFonts w:ascii="Times New Roman" w:hAnsi="Times New Roman" w:cs="Times New Roman"/>
          <w:lang w:eastAsia="en-GB"/>
        </w:rPr>
      </w:pPr>
    </w:p>
    <w:p w:rsidR="001A1E34" w:rsidRPr="001A1E34" w:rsidRDefault="001A1E34" w:rsidP="001A1E34">
      <w:pPr>
        <w:spacing w:after="0" w:line="240" w:lineRule="auto"/>
        <w:ind w:left="426"/>
        <w:jc w:val="both"/>
        <w:rPr>
          <w:rFonts w:ascii="Times New Roman" w:hAnsi="Times New Roman" w:cs="Times New Roman"/>
          <w:lang w:eastAsia="en-GB"/>
        </w:rPr>
      </w:pPr>
      <w:r w:rsidRPr="001A1E34">
        <w:rPr>
          <w:rFonts w:ascii="Times New Roman" w:hAnsi="Times New Roman" w:cs="Times New Roman"/>
          <w:lang w:eastAsia="en-GB"/>
        </w:rPr>
        <w:t xml:space="preserve">La tâche première du titulaire du poste sera de soutenir les travaux de l’ERCC en matière d’anticipation stratégique et de prospective à plus long terme, qui visent à éclairer l’état de préparation opérationnelle interne, à renforcer l’efficacité opérationnelle et à soutenir d’autres axes de travail connexes au sein d’ECHO et par les interlocuteurs, y compris les autorités des États membres. À ce titre, le titulaire du poste devrait travailler en étroite collaboration avec de nombreux éléments différents de la DG ECHO, y compris l’ERCC, l’équipe chargée des capacités d’ECHO (responsable de </w:t>
      </w:r>
      <w:proofErr w:type="spellStart"/>
      <w:r w:rsidRPr="001A1E34">
        <w:rPr>
          <w:rFonts w:ascii="Times New Roman" w:hAnsi="Times New Roman" w:cs="Times New Roman"/>
          <w:lang w:eastAsia="en-GB"/>
        </w:rPr>
        <w:t>rescEU</w:t>
      </w:r>
      <w:proofErr w:type="spellEnd"/>
      <w:r w:rsidRPr="001A1E34">
        <w:rPr>
          <w:rFonts w:ascii="Times New Roman" w:hAnsi="Times New Roman" w:cs="Times New Roman"/>
          <w:lang w:eastAsia="en-GB"/>
        </w:rPr>
        <w:t xml:space="preserve"> et de la maintenance de la réserve européenne de protection civile), les unités politiques concernées au sein d’ECHO chargées à la fois de la protection civile et des affaires humanitaires, ainsi que d’autres services de la Commission et du SEAE, les fonctions du Conseil [y compris le dispositif intégré pour une réaction au niveau politique dans les situations de crise (IPCR)], les autorités des États membres, les organisations internationales et d’autres parties prenantes importantes. À tous égards, l’attention du titulaire du poste sera de nature transfrontalière et </w:t>
      </w:r>
      <w:proofErr w:type="spellStart"/>
      <w:r w:rsidRPr="001A1E34">
        <w:rPr>
          <w:rFonts w:ascii="Times New Roman" w:hAnsi="Times New Roman" w:cs="Times New Roman"/>
          <w:lang w:eastAsia="en-GB"/>
        </w:rPr>
        <w:t>transsectorielle</w:t>
      </w:r>
      <w:proofErr w:type="spellEnd"/>
      <w:r w:rsidRPr="001A1E34">
        <w:rPr>
          <w:rFonts w:ascii="Times New Roman" w:hAnsi="Times New Roman" w:cs="Times New Roman"/>
          <w:lang w:eastAsia="en-GB"/>
        </w:rPr>
        <w:t>.</w:t>
      </w:r>
    </w:p>
    <w:p w:rsidR="001A1E34" w:rsidRPr="001A1E34" w:rsidRDefault="001A1E34" w:rsidP="001A1E34">
      <w:pPr>
        <w:spacing w:after="0" w:line="240" w:lineRule="auto"/>
        <w:ind w:left="426"/>
        <w:jc w:val="both"/>
        <w:rPr>
          <w:rFonts w:ascii="Times New Roman" w:hAnsi="Times New Roman" w:cs="Times New Roman"/>
          <w:lang w:eastAsia="en-GB"/>
        </w:rPr>
      </w:pPr>
      <w:r w:rsidRPr="001A1E34">
        <w:rPr>
          <w:rFonts w:ascii="Times New Roman" w:hAnsi="Times New Roman" w:cs="Times New Roman"/>
          <w:lang w:eastAsia="en-GB"/>
        </w:rPr>
        <w:t>Plus précisément, il sera censé contribuer à:</w:t>
      </w:r>
    </w:p>
    <w:p w:rsidR="001A1E34" w:rsidRPr="001A1E34" w:rsidRDefault="001A1E34" w:rsidP="001A1E34">
      <w:pPr>
        <w:spacing w:after="0" w:line="240" w:lineRule="auto"/>
        <w:ind w:left="426"/>
        <w:jc w:val="both"/>
        <w:rPr>
          <w:rFonts w:ascii="Times New Roman" w:hAnsi="Times New Roman" w:cs="Times New Roman"/>
          <w:lang w:eastAsia="en-GB"/>
        </w:rPr>
      </w:pPr>
    </w:p>
    <w:p w:rsidR="001A1E34" w:rsidRPr="001A1E34" w:rsidRDefault="001A1E34" w:rsidP="001A1E34">
      <w:pPr>
        <w:spacing w:after="0" w:line="240" w:lineRule="auto"/>
        <w:ind w:left="709" w:hanging="283"/>
        <w:jc w:val="both"/>
        <w:rPr>
          <w:rFonts w:ascii="Times New Roman" w:hAnsi="Times New Roman" w:cs="Times New Roman"/>
          <w:lang w:eastAsia="en-GB"/>
        </w:rPr>
      </w:pPr>
      <w:r w:rsidRPr="001A1E34">
        <w:rPr>
          <w:rFonts w:ascii="Times New Roman" w:hAnsi="Times New Roman" w:cs="Times New Roman"/>
          <w:lang w:eastAsia="en-GB"/>
        </w:rPr>
        <w:t>-</w:t>
      </w:r>
      <w:r w:rsidRPr="001A1E34">
        <w:rPr>
          <w:rFonts w:ascii="Times New Roman" w:hAnsi="Times New Roman" w:cs="Times New Roman"/>
          <w:lang w:eastAsia="en-GB"/>
        </w:rPr>
        <w:tab/>
        <w:t>La maintenance et le renforcement de la fonction d’anticipation stratégique et de prospective de l’ERCC, dans le cadre de l’initiative</w:t>
      </w:r>
      <w:proofErr w:type="gramStart"/>
      <w:r w:rsidRPr="001A1E34">
        <w:rPr>
          <w:rFonts w:ascii="Times New Roman" w:hAnsi="Times New Roman" w:cs="Times New Roman"/>
          <w:lang w:eastAsia="en-GB"/>
        </w:rPr>
        <w:t xml:space="preserve"> «ERCC</w:t>
      </w:r>
      <w:proofErr w:type="gramEnd"/>
      <w:r w:rsidRPr="001A1E34">
        <w:rPr>
          <w:rFonts w:ascii="Times New Roman" w:hAnsi="Times New Roman" w:cs="Times New Roman"/>
          <w:lang w:eastAsia="en-GB"/>
        </w:rPr>
        <w:t xml:space="preserve"> 2.0» lancée en 2021. Cette fonction vise à fournir à l’ERCC et aux autres parties prenantes une meilleure compréhension de l’évolution du paysage transfrontière et </w:t>
      </w:r>
      <w:proofErr w:type="spellStart"/>
      <w:r w:rsidRPr="001A1E34">
        <w:rPr>
          <w:rFonts w:ascii="Times New Roman" w:hAnsi="Times New Roman" w:cs="Times New Roman"/>
          <w:lang w:eastAsia="en-GB"/>
        </w:rPr>
        <w:lastRenderedPageBreak/>
        <w:t>transsectoriel</w:t>
      </w:r>
      <w:proofErr w:type="spellEnd"/>
      <w:r w:rsidRPr="001A1E34">
        <w:rPr>
          <w:rFonts w:ascii="Times New Roman" w:hAnsi="Times New Roman" w:cs="Times New Roman"/>
          <w:lang w:eastAsia="en-GB"/>
        </w:rPr>
        <w:t xml:space="preserve"> des risques/menaces et des implications qu’il pourrait avoir tant pour les opérations individuelles en cours que pour la gestion des crises par l’intermédiaire du MPCU;</w:t>
      </w:r>
    </w:p>
    <w:p w:rsidR="001A1E34" w:rsidRPr="001A1E34" w:rsidRDefault="001A1E34" w:rsidP="001A1E34">
      <w:pPr>
        <w:spacing w:after="0" w:line="240" w:lineRule="auto"/>
        <w:ind w:left="709" w:hanging="283"/>
        <w:jc w:val="both"/>
        <w:rPr>
          <w:rFonts w:ascii="Times New Roman" w:hAnsi="Times New Roman" w:cs="Times New Roman"/>
          <w:lang w:eastAsia="en-GB"/>
        </w:rPr>
      </w:pPr>
      <w:r w:rsidRPr="001A1E34">
        <w:rPr>
          <w:rFonts w:ascii="Times New Roman" w:hAnsi="Times New Roman" w:cs="Times New Roman"/>
          <w:lang w:eastAsia="en-GB"/>
        </w:rPr>
        <w:t>-</w:t>
      </w:r>
      <w:r w:rsidRPr="001A1E34">
        <w:rPr>
          <w:rFonts w:ascii="Times New Roman" w:hAnsi="Times New Roman" w:cs="Times New Roman"/>
          <w:lang w:eastAsia="en-GB"/>
        </w:rPr>
        <w:tab/>
        <w:t>La poursuite de l’intégration de la réflexion d’anticipation/prospective dans les opérations et la planification opérationnelle du MPCU;</w:t>
      </w:r>
    </w:p>
    <w:p w:rsidR="001A1E34" w:rsidRPr="001A1E34" w:rsidRDefault="001A1E34" w:rsidP="001A1E34">
      <w:pPr>
        <w:spacing w:after="0" w:line="240" w:lineRule="auto"/>
        <w:ind w:left="709" w:hanging="283"/>
        <w:jc w:val="both"/>
        <w:rPr>
          <w:rFonts w:ascii="Times New Roman" w:hAnsi="Times New Roman" w:cs="Times New Roman"/>
          <w:lang w:eastAsia="en-GB"/>
        </w:rPr>
      </w:pPr>
      <w:r w:rsidRPr="001A1E34">
        <w:rPr>
          <w:rFonts w:ascii="Times New Roman" w:hAnsi="Times New Roman" w:cs="Times New Roman"/>
          <w:lang w:eastAsia="en-GB"/>
        </w:rPr>
        <w:t>-</w:t>
      </w:r>
      <w:r w:rsidRPr="001A1E34">
        <w:rPr>
          <w:rFonts w:ascii="Times New Roman" w:hAnsi="Times New Roman" w:cs="Times New Roman"/>
          <w:lang w:eastAsia="en-GB"/>
        </w:rPr>
        <w:tab/>
        <w:t xml:space="preserve">La poursuite du lien entre les résultats de l’anticipation/prospective et le développement des capacités vis-à-vis de </w:t>
      </w:r>
      <w:proofErr w:type="spellStart"/>
      <w:r w:rsidRPr="001A1E34">
        <w:rPr>
          <w:rFonts w:ascii="Times New Roman" w:hAnsi="Times New Roman" w:cs="Times New Roman"/>
          <w:lang w:eastAsia="en-GB"/>
        </w:rPr>
        <w:t>rescEU</w:t>
      </w:r>
      <w:proofErr w:type="spellEnd"/>
      <w:r w:rsidRPr="001A1E34">
        <w:rPr>
          <w:rFonts w:ascii="Times New Roman" w:hAnsi="Times New Roman" w:cs="Times New Roman"/>
          <w:lang w:eastAsia="en-GB"/>
        </w:rPr>
        <w:t xml:space="preserve"> et de la réserve européenne de protection civile;</w:t>
      </w:r>
    </w:p>
    <w:p w:rsidR="001A1E34" w:rsidRPr="001A1E34" w:rsidRDefault="001A1E34" w:rsidP="001A1E34">
      <w:pPr>
        <w:spacing w:after="0" w:line="240" w:lineRule="auto"/>
        <w:ind w:left="709" w:hanging="283"/>
        <w:jc w:val="both"/>
        <w:rPr>
          <w:rFonts w:ascii="Times New Roman" w:hAnsi="Times New Roman" w:cs="Times New Roman"/>
          <w:lang w:eastAsia="en-GB"/>
        </w:rPr>
      </w:pPr>
      <w:r w:rsidRPr="001A1E34">
        <w:rPr>
          <w:rFonts w:ascii="Times New Roman" w:hAnsi="Times New Roman" w:cs="Times New Roman"/>
          <w:lang w:eastAsia="en-GB"/>
        </w:rPr>
        <w:t>-</w:t>
      </w:r>
      <w:r w:rsidRPr="001A1E34">
        <w:rPr>
          <w:rFonts w:ascii="Times New Roman" w:hAnsi="Times New Roman" w:cs="Times New Roman"/>
          <w:lang w:eastAsia="en-GB"/>
        </w:rPr>
        <w:tab/>
        <w:t>La prise de décision sur des opérations spécifiques du MPCU, y compris par la préparation de différents types de produits analytiques, un suivi ciblé des médias et l’établissement de rapports à ce sujet;</w:t>
      </w:r>
    </w:p>
    <w:p w:rsidR="00FF1753" w:rsidRDefault="001A1E34" w:rsidP="001A1E34">
      <w:pPr>
        <w:spacing w:after="0" w:line="240" w:lineRule="auto"/>
        <w:ind w:left="709" w:hanging="283"/>
        <w:jc w:val="both"/>
        <w:rPr>
          <w:rFonts w:ascii="Times New Roman" w:hAnsi="Times New Roman" w:cs="Times New Roman"/>
          <w:lang w:eastAsia="en-GB"/>
        </w:rPr>
      </w:pPr>
      <w:r w:rsidRPr="001A1E34">
        <w:rPr>
          <w:rFonts w:ascii="Times New Roman" w:hAnsi="Times New Roman" w:cs="Times New Roman"/>
          <w:lang w:eastAsia="en-GB"/>
        </w:rPr>
        <w:t>-</w:t>
      </w:r>
      <w:r w:rsidRPr="001A1E34">
        <w:rPr>
          <w:rFonts w:ascii="Times New Roman" w:hAnsi="Times New Roman" w:cs="Times New Roman"/>
          <w:lang w:eastAsia="en-GB"/>
        </w:rPr>
        <w:tab/>
        <w:t xml:space="preserve">Les travaux en cours sur la résilience des infrastructures critiques, les hybrides, la </w:t>
      </w:r>
      <w:proofErr w:type="spellStart"/>
      <w:r w:rsidRPr="001A1E34">
        <w:rPr>
          <w:rFonts w:ascii="Times New Roman" w:hAnsi="Times New Roman" w:cs="Times New Roman"/>
          <w:lang w:eastAsia="en-GB"/>
        </w:rPr>
        <w:t>cybersécurité</w:t>
      </w:r>
      <w:proofErr w:type="spellEnd"/>
      <w:r w:rsidRPr="001A1E34">
        <w:rPr>
          <w:rFonts w:ascii="Times New Roman" w:hAnsi="Times New Roman" w:cs="Times New Roman"/>
          <w:lang w:eastAsia="en-GB"/>
        </w:rPr>
        <w:t>, etc., menés par d’autres services au sein de la Commission.</w:t>
      </w:r>
    </w:p>
    <w:p w:rsidR="002D1720" w:rsidRPr="002D1720" w:rsidRDefault="002D1720" w:rsidP="002D1720">
      <w:pPr>
        <w:spacing w:after="0" w:line="240" w:lineRule="auto"/>
        <w:ind w:left="426"/>
        <w:contextualSpacing/>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1A1E34">
        <w:rPr>
          <w:rFonts w:ascii="Times New Roman" w:hAnsi="Times New Roman" w:cs="Times New Roman"/>
        </w:rPr>
        <w:t>p</w:t>
      </w:r>
      <w:r w:rsidR="001A1E34" w:rsidRPr="001A1E34">
        <w:rPr>
          <w:rFonts w:ascii="Times New Roman" w:hAnsi="Times New Roman" w:cs="Times New Roman"/>
        </w:rPr>
        <w:t>rospective stratégique, données probantes, élaboration de politiques anticipatives, gestion des crises, gestion des situations d’urgence, gestion de la continuité des activités, etc.</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A1E34" w:rsidRPr="001A1E34" w:rsidRDefault="001A1E34" w:rsidP="001A1E34">
      <w:pPr>
        <w:tabs>
          <w:tab w:val="left" w:pos="709"/>
        </w:tabs>
        <w:spacing w:after="0" w:line="240" w:lineRule="auto"/>
        <w:ind w:left="709" w:right="60"/>
        <w:jc w:val="both"/>
        <w:rPr>
          <w:rFonts w:ascii="Times New Roman" w:eastAsia="Times New Roman" w:hAnsi="Times New Roman" w:cs="Times New Roman"/>
          <w:lang w:eastAsia="en-GB"/>
        </w:rPr>
      </w:pPr>
      <w:r w:rsidRPr="001A1E34">
        <w:rPr>
          <w:rFonts w:ascii="Times New Roman" w:eastAsia="Times New Roman" w:hAnsi="Times New Roman" w:cs="Times New Roman"/>
          <w:lang w:eastAsia="en-GB"/>
        </w:rPr>
        <w:t>L’unité Sécurité et connaissance de la situation (ECHO A.3) recherche un collègue flexible et soucieux du service ayant une expérience antérieure considérable en matière de gestion opérationnelle des crises, d’élaboration de politiques dans le domaine de la gestion des crises et de fourniture d’un large soutien analytique transfrontalier/</w:t>
      </w:r>
      <w:proofErr w:type="spellStart"/>
      <w:r w:rsidRPr="001A1E34">
        <w:rPr>
          <w:rFonts w:ascii="Times New Roman" w:eastAsia="Times New Roman" w:hAnsi="Times New Roman" w:cs="Times New Roman"/>
          <w:lang w:eastAsia="en-GB"/>
        </w:rPr>
        <w:t>transsectoriel</w:t>
      </w:r>
      <w:proofErr w:type="spellEnd"/>
      <w:r w:rsidRPr="001A1E34">
        <w:rPr>
          <w:rFonts w:ascii="Times New Roman" w:eastAsia="Times New Roman" w:hAnsi="Times New Roman" w:cs="Times New Roman"/>
          <w:lang w:eastAsia="en-GB"/>
        </w:rPr>
        <w:t xml:space="preserve"> dans le contexte de la gestion des crises/des situations d’urgence. Une expérience antérieure dans des secteurs spécifiques (par exemple, gestion de crises, protection civile, aide humanitaire, défense, énergie, transports, télécommunications, etc.), dans les administrations publiques nationales (y compris les fonctions nationales de coordination des crises) et/ou dans/avec des organisations internationales est pertinente. Une expérience antérieure dans un centre national de crise est un atout. Une expérience internationale sur le terrain est également un atout. En outre, le candidat devrait connaître le MPCU en particulier ainsi que le fonctionnement de l’UE en général, y compris l’interaction entre les différentes institutions européennes. </w:t>
      </w:r>
    </w:p>
    <w:p w:rsidR="001A1E34" w:rsidRPr="001A1E34" w:rsidRDefault="001A1E34" w:rsidP="001A1E34">
      <w:pPr>
        <w:tabs>
          <w:tab w:val="left" w:pos="709"/>
        </w:tabs>
        <w:spacing w:after="0" w:line="240" w:lineRule="auto"/>
        <w:ind w:left="709" w:right="60"/>
        <w:jc w:val="both"/>
        <w:rPr>
          <w:rFonts w:ascii="Times New Roman" w:eastAsia="Times New Roman" w:hAnsi="Times New Roman" w:cs="Times New Roman"/>
          <w:lang w:eastAsia="en-GB"/>
        </w:rPr>
      </w:pPr>
    </w:p>
    <w:p w:rsidR="0047293A" w:rsidRDefault="001A1E34" w:rsidP="001A1E34">
      <w:pPr>
        <w:tabs>
          <w:tab w:val="left" w:pos="709"/>
        </w:tabs>
        <w:spacing w:after="0" w:line="240" w:lineRule="auto"/>
        <w:ind w:left="709" w:right="60"/>
        <w:jc w:val="both"/>
        <w:rPr>
          <w:rFonts w:ascii="Times New Roman" w:eastAsia="Times New Roman" w:hAnsi="Times New Roman" w:cs="Times New Roman"/>
          <w:lang w:eastAsia="en-GB"/>
        </w:rPr>
      </w:pPr>
      <w:r w:rsidRPr="001A1E34">
        <w:rPr>
          <w:rFonts w:ascii="Times New Roman" w:eastAsia="Times New Roman" w:hAnsi="Times New Roman" w:cs="Times New Roman"/>
          <w:lang w:eastAsia="en-GB"/>
        </w:rPr>
        <w:lastRenderedPageBreak/>
        <w:t>Le titulaire du poste doit être en mesure de se familiariser rapidement avec de nouveaux sujets, parfois très techniques, et de gérer simultanément un certain nombre de dossiers complexes. Il/elle devra avoir de très bonnes compétences en matière d’organisation et de rédaction, maîtriser l’informatique et avoir une expérience du travail avec des outils collaboratifs. L’esprit d’équipe est essentiel.</w:t>
      </w:r>
    </w:p>
    <w:p w:rsidR="002D1720" w:rsidRDefault="002D1720"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A1E34" w:rsidP="001C5214">
      <w:pPr>
        <w:spacing w:after="0" w:line="240" w:lineRule="auto"/>
        <w:ind w:left="709"/>
        <w:rPr>
          <w:rFonts w:ascii="Times New Roman" w:eastAsia="Times New Roman" w:hAnsi="Times New Roman" w:cs="Times New Roman"/>
          <w:lang w:eastAsia="en-GB"/>
        </w:rPr>
      </w:pPr>
      <w:r w:rsidRPr="001A1E34">
        <w:rPr>
          <w:rFonts w:ascii="Times New Roman" w:eastAsia="Times New Roman" w:hAnsi="Times New Roman" w:cs="Times New Roman"/>
          <w:lang w:eastAsia="en-GB"/>
        </w:rPr>
        <w:t>Un niveau élevé d’anglais et d’excellentes compétences rédactionnelles sont requis. D’autres langues de l’Union peuvent constituer un atout.</w:t>
      </w:r>
      <w:bookmarkStart w:id="0" w:name="_GoBack"/>
      <w:bookmarkEnd w:id="0"/>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49413A"/>
    <w:multiLevelType w:val="hybridMultilevel"/>
    <w:tmpl w:val="CCECEF9A"/>
    <w:lvl w:ilvl="0" w:tplc="028AC8B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7B4716"/>
    <w:multiLevelType w:val="hybridMultilevel"/>
    <w:tmpl w:val="C80C13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1901859"/>
    <w:multiLevelType w:val="hybridMultilevel"/>
    <w:tmpl w:val="BBD2F0EE"/>
    <w:lvl w:ilvl="0" w:tplc="348AED22">
      <w:start w:val="3"/>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FD6082F"/>
    <w:multiLevelType w:val="hybridMultilevel"/>
    <w:tmpl w:val="49B89E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3A97AC2"/>
    <w:multiLevelType w:val="hybridMultilevel"/>
    <w:tmpl w:val="0AAE3350"/>
    <w:lvl w:ilvl="0" w:tplc="A3CC5D10">
      <w:start w:val="1"/>
      <w:numFmt w:val="bullet"/>
      <w:lvlText w:val="-"/>
      <w:lvlJc w:val="left"/>
      <w:pPr>
        <w:ind w:left="1146" w:hanging="360"/>
      </w:pPr>
      <w:rPr>
        <w:rFonts w:ascii="Times New Roman" w:hAnsi="Times New Roman" w:hint="default"/>
        <w:sz w:val="22"/>
      </w:rPr>
    </w:lvl>
    <w:lvl w:ilvl="1" w:tplc="14648E3C">
      <w:start w:val="3"/>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4F40698"/>
    <w:multiLevelType w:val="hybridMultilevel"/>
    <w:tmpl w:val="40B6E48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7"/>
  </w:num>
  <w:num w:numId="2">
    <w:abstractNumId w:val="14"/>
  </w:num>
  <w:num w:numId="3">
    <w:abstractNumId w:val="33"/>
  </w:num>
  <w:num w:numId="4">
    <w:abstractNumId w:val="20"/>
  </w:num>
  <w:num w:numId="5">
    <w:abstractNumId w:val="15"/>
  </w:num>
  <w:num w:numId="6">
    <w:abstractNumId w:val="2"/>
  </w:num>
  <w:num w:numId="7">
    <w:abstractNumId w:val="27"/>
  </w:num>
  <w:num w:numId="8">
    <w:abstractNumId w:val="16"/>
  </w:num>
  <w:num w:numId="9">
    <w:abstractNumId w:val="28"/>
  </w:num>
  <w:num w:numId="10">
    <w:abstractNumId w:val="11"/>
  </w:num>
  <w:num w:numId="11">
    <w:abstractNumId w:val="1"/>
  </w:num>
  <w:num w:numId="12">
    <w:abstractNumId w:val="7"/>
  </w:num>
  <w:num w:numId="13">
    <w:abstractNumId w:val="29"/>
  </w:num>
  <w:num w:numId="14">
    <w:abstractNumId w:val="31"/>
  </w:num>
  <w:num w:numId="15">
    <w:abstractNumId w:val="8"/>
  </w:num>
  <w:num w:numId="16">
    <w:abstractNumId w:val="0"/>
  </w:num>
  <w:num w:numId="17">
    <w:abstractNumId w:val="38"/>
  </w:num>
  <w:num w:numId="18">
    <w:abstractNumId w:val="34"/>
  </w:num>
  <w:num w:numId="19">
    <w:abstractNumId w:val="26"/>
  </w:num>
  <w:num w:numId="20">
    <w:abstractNumId w:val="19"/>
  </w:num>
  <w:num w:numId="21">
    <w:abstractNumId w:val="39"/>
  </w:num>
  <w:num w:numId="22">
    <w:abstractNumId w:val="30"/>
  </w:num>
  <w:num w:numId="23">
    <w:abstractNumId w:val="10"/>
  </w:num>
  <w:num w:numId="24">
    <w:abstractNumId w:val="23"/>
  </w:num>
  <w:num w:numId="25">
    <w:abstractNumId w:val="41"/>
  </w:num>
  <w:num w:numId="26">
    <w:abstractNumId w:val="18"/>
  </w:num>
  <w:num w:numId="27">
    <w:abstractNumId w:val="13"/>
  </w:num>
  <w:num w:numId="28">
    <w:abstractNumId w:val="24"/>
  </w:num>
  <w:num w:numId="29">
    <w:abstractNumId w:val="32"/>
  </w:num>
  <w:num w:numId="30">
    <w:abstractNumId w:val="6"/>
  </w:num>
  <w:num w:numId="31">
    <w:abstractNumId w:val="37"/>
  </w:num>
  <w:num w:numId="32">
    <w:abstractNumId w:val="4"/>
  </w:num>
  <w:num w:numId="33">
    <w:abstractNumId w:val="40"/>
  </w:num>
  <w:num w:numId="34">
    <w:abstractNumId w:val="5"/>
  </w:num>
  <w:num w:numId="35">
    <w:abstractNumId w:val="22"/>
  </w:num>
  <w:num w:numId="36">
    <w:abstractNumId w:val="21"/>
  </w:num>
  <w:num w:numId="37">
    <w:abstractNumId w:val="25"/>
  </w:num>
  <w:num w:numId="38">
    <w:abstractNumId w:val="3"/>
  </w:num>
  <w:num w:numId="39">
    <w:abstractNumId w:val="35"/>
  </w:num>
  <w:num w:numId="40">
    <w:abstractNumId w:val="36"/>
  </w:num>
  <w:num w:numId="41">
    <w:abstractNumId w:val="9"/>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A1E34"/>
    <w:rsid w:val="001C5214"/>
    <w:rsid w:val="001D1CEB"/>
    <w:rsid w:val="001F18BF"/>
    <w:rsid w:val="001F6A8B"/>
    <w:rsid w:val="00294A59"/>
    <w:rsid w:val="002A3536"/>
    <w:rsid w:val="002D1720"/>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8F0EFA"/>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E85ABF"/>
    <w:rsid w:val="00EB3567"/>
    <w:rsid w:val="00F821EA"/>
    <w:rsid w:val="00FD717F"/>
    <w:rsid w:val="00FE2FCD"/>
    <w:rsid w:val="00FE31F9"/>
    <w:rsid w:val="00FF175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3BAC"/>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D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1791</Words>
  <Characters>10388</Characters>
  <Application>Microsoft Office Word</Application>
  <DocSecurity>0</DocSecurity>
  <Lines>207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2022-12-13T16:19:00Z</dcterms:created>
  <dcterms:modified xsi:type="dcterms:W3CDTF">2022-12-13T16:19:00Z</dcterms:modified>
</cp:coreProperties>
</file>