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30F0B"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GROW-A-2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30F0B" w:rsidRPr="00830F0B" w:rsidRDefault="00830F0B" w:rsidP="00830F0B">
            <w:pPr>
              <w:rPr>
                <w:rFonts w:ascii="Times New Roman" w:hAnsi="Times New Roman" w:cs="Times New Roman"/>
                <w:b/>
              </w:rPr>
            </w:pPr>
            <w:r w:rsidRPr="00830F0B">
              <w:rPr>
                <w:rFonts w:ascii="Times New Roman" w:hAnsi="Times New Roman" w:cs="Times New Roman"/>
                <w:b/>
              </w:rPr>
              <w:t xml:space="preserve">Bonifacio García </w:t>
            </w:r>
            <w:proofErr w:type="spellStart"/>
            <w:r w:rsidRPr="00830F0B">
              <w:rPr>
                <w:rFonts w:ascii="Times New Roman" w:hAnsi="Times New Roman" w:cs="Times New Roman"/>
                <w:b/>
              </w:rPr>
              <w:t>Porras</w:t>
            </w:r>
            <w:proofErr w:type="spellEnd"/>
          </w:p>
          <w:p w:rsidR="00830F0B" w:rsidRPr="00830F0B" w:rsidRDefault="00830F0B" w:rsidP="00830F0B">
            <w:pPr>
              <w:rPr>
                <w:rFonts w:ascii="Times New Roman" w:hAnsi="Times New Roman" w:cs="Times New Roman"/>
                <w:b/>
              </w:rPr>
            </w:pPr>
            <w:hyperlink r:id="rId8" w:history="1">
              <w:r w:rsidRPr="00153A24">
                <w:rPr>
                  <w:rStyle w:val="Hyperlink"/>
                  <w:rFonts w:ascii="Times New Roman" w:hAnsi="Times New Roman" w:cs="Times New Roman"/>
                  <w:b/>
                </w:rPr>
                <w:t>Bonifacio.garcia-porras@ec.europa.eu</w:t>
              </w:r>
            </w:hyperlink>
            <w:r>
              <w:rPr>
                <w:rFonts w:ascii="Times New Roman" w:hAnsi="Times New Roman" w:cs="Times New Roman"/>
                <w:b/>
              </w:rPr>
              <w:t xml:space="preserve"> </w:t>
            </w:r>
          </w:p>
          <w:p w:rsidR="00FE31F9" w:rsidRPr="00FE31F9" w:rsidRDefault="00830F0B" w:rsidP="00830F0B">
            <w:pPr>
              <w:rPr>
                <w:rFonts w:ascii="Times New Roman" w:hAnsi="Times New Roman" w:cs="Times New Roman"/>
                <w:b/>
              </w:rPr>
            </w:pPr>
            <w:r w:rsidRPr="00830F0B">
              <w:rPr>
                <w:rFonts w:ascii="Times New Roman" w:hAnsi="Times New Roman" w:cs="Times New Roman"/>
                <w:b/>
              </w:rPr>
              <w:t>0032.2.2968721</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830F0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L'unité A2 de la DG GROW soutient toutes les petites et moyennes entreprises (PME) afin d´apporter prospérité et bien-être à tous dans l'Union Européenne (UE).</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Nous aidons nos collègues à élaborer des politiques favorables aux PME, en vue de rendre les petites entreprises plus compétitives et de créer des emplois plus nombreux et de meilleure qualité. Pour atteindre ces objectifs, nous créons un environnement commercial qui soutient l'esprit d'entreprise, les start-ups et les entreprises en pleine expansion, ainsi que les entreprises confrontées à l'insolvabilité dans l'UE.</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Nous soutenons les PME de l'UE dans leur transition vers une croissance durable, la digitalisation et la résilience, ce qui contribue à renforcer l'autonomie stratégique des écosystèmes industriels de l'UE.</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Nous intégrons les PME dans les politiques européennes et collaborons avec les entreprises, les organisations professionnelles et les administrations publiques des États membres.</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P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L'unité supervise la politique des PME au sein de l'UE, notamment la mise en œuvre de la Stratégie PME 2020 de la Commission, l'élaboration du programme d'aide aux PME annoncé par la présidente de la Commission européenne et la révision de la directive européenne sur les retards de paiement. Dans le cadre de la politique des PME de l'UE, l'unité mène des activités visant à améliorer la réglementation pour les PME.</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Pr="00830F0B" w:rsidRDefault="00830F0B" w:rsidP="00830F0B">
      <w:pPr>
        <w:spacing w:after="0" w:line="240" w:lineRule="auto"/>
        <w:ind w:left="426"/>
        <w:contextualSpacing/>
        <w:jc w:val="both"/>
        <w:rPr>
          <w:rFonts w:ascii="Times New Roman" w:hAnsi="Times New Roman" w:cs="Times New Roman"/>
        </w:rPr>
      </w:pPr>
      <w:r w:rsidRPr="00830F0B">
        <w:rPr>
          <w:rFonts w:ascii="Times New Roman" w:hAnsi="Times New Roman" w:cs="Times New Roman"/>
        </w:rPr>
        <w:t>Les fonctions principales de l'expert national détaché à GROW A.2 sont de :</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Pr="00830F0B" w:rsidRDefault="00830F0B" w:rsidP="00830F0B">
      <w:pPr>
        <w:pStyle w:val="ListParagraph"/>
        <w:numPr>
          <w:ilvl w:val="0"/>
          <w:numId w:val="33"/>
        </w:numPr>
        <w:spacing w:after="0" w:line="240" w:lineRule="auto"/>
        <w:ind w:left="709" w:hanging="283"/>
        <w:jc w:val="both"/>
        <w:rPr>
          <w:rFonts w:ascii="Times New Roman" w:hAnsi="Times New Roman" w:cs="Times New Roman"/>
        </w:rPr>
      </w:pPr>
      <w:r w:rsidRPr="00830F0B">
        <w:rPr>
          <w:rFonts w:ascii="Times New Roman" w:hAnsi="Times New Roman" w:cs="Times New Roman"/>
        </w:rPr>
        <w:t>Travailler en tant que membre de l'équipe Mieux Légiférer, surtout en vue de réduire la charge administrative pesant sur les PME, et l'application du test PME, et notamment :</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lastRenderedPageBreak/>
        <w:t>Aider à identifier les initiatives prioritaires pour les PME dans le programme de travail de la Commission et sur le portail Mieux Légiférer (filtre PME),</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Suivre les initiatives sélectionnées tout au long de leur cycle préparatoire (rapports d'analyse d'impact) et contribuer à renforcer l'angle PME dans une série de politiques de la Commission,</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Organiser et coordonner la collecte de données sur les PME dans les projets de rapports d'analyse d'impact de collègues participant aux réunions du groupe de pilotage interservices, examiner et résumer ces contributions pour en faciliter la consultation,</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Donner des conseils sur l'application du test PME aux services de la Commission,</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Examiner la qualité de l'analyse des tests PME dans les rapports d'évaluation d'impact,</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Soutenir les activités liées au dialogue avec les parties prenantes des PME de l'UE, y compris l'organisation de réunions avec des associations de PME de l'UE,</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Contribuer au développement du programme d'amélioration de la réglementation pour les PME de la Commission (par exemple, en soutenant le représentant des PME de l'UE dans leur dialogue avec la plateforme Fit for Future et le comité d'examen de la réglementation, ainsi que dans leurs travaux sur l'amélioration de la réglementation), à l'application de l'approche one-in-one-out et à l'identification de la pression cumulative pesant sur les PME dans la législation existante (y compris par l'utilisation d'outils informatiques),</w:t>
      </w:r>
    </w:p>
    <w:p w:rsidR="00830F0B" w:rsidRPr="00830F0B" w:rsidRDefault="00830F0B" w:rsidP="00830F0B">
      <w:pPr>
        <w:pStyle w:val="ListParagraph"/>
        <w:numPr>
          <w:ilvl w:val="1"/>
          <w:numId w:val="36"/>
        </w:numPr>
        <w:spacing w:after="0" w:line="240" w:lineRule="auto"/>
        <w:ind w:left="993" w:hanging="284"/>
        <w:jc w:val="both"/>
        <w:rPr>
          <w:rFonts w:ascii="Times New Roman" w:hAnsi="Times New Roman" w:cs="Times New Roman"/>
        </w:rPr>
      </w:pPr>
      <w:r w:rsidRPr="00830F0B">
        <w:rPr>
          <w:rFonts w:ascii="Times New Roman" w:hAnsi="Times New Roman" w:cs="Times New Roman"/>
        </w:rPr>
        <w:t>Soutenir l'équipe Mieux Légiférer dans d'autres fonctions quotidiennes (par exemple, interaction avec des organisations d´entreprises et d'autres parties intéressées).</w:t>
      </w:r>
    </w:p>
    <w:p w:rsidR="00830F0B" w:rsidRPr="00830F0B" w:rsidRDefault="00830F0B" w:rsidP="00830F0B">
      <w:pPr>
        <w:spacing w:after="0" w:line="240" w:lineRule="auto"/>
        <w:ind w:left="426"/>
        <w:contextualSpacing/>
        <w:jc w:val="both"/>
        <w:rPr>
          <w:rFonts w:ascii="Times New Roman" w:hAnsi="Times New Roman" w:cs="Times New Roman"/>
        </w:rPr>
      </w:pPr>
    </w:p>
    <w:p w:rsidR="00830F0B" w:rsidRPr="00830F0B" w:rsidRDefault="00830F0B" w:rsidP="00830F0B">
      <w:pPr>
        <w:pStyle w:val="ListParagraph"/>
        <w:numPr>
          <w:ilvl w:val="0"/>
          <w:numId w:val="33"/>
        </w:numPr>
        <w:spacing w:after="0" w:line="240" w:lineRule="auto"/>
        <w:ind w:left="709" w:hanging="283"/>
        <w:jc w:val="both"/>
        <w:rPr>
          <w:rFonts w:ascii="Times New Roman" w:hAnsi="Times New Roman" w:cs="Times New Roman"/>
        </w:rPr>
      </w:pPr>
      <w:r w:rsidRPr="00830F0B">
        <w:rPr>
          <w:rFonts w:ascii="Times New Roman" w:hAnsi="Times New Roman" w:cs="Times New Roman"/>
        </w:rPr>
        <w:t>Contribuer aux autres activités menées dans l'unité, notamment :</w:t>
      </w:r>
    </w:p>
    <w:p w:rsidR="00830F0B" w:rsidRPr="00830F0B" w:rsidRDefault="00830F0B" w:rsidP="00830F0B">
      <w:pPr>
        <w:pStyle w:val="ListParagraph"/>
        <w:numPr>
          <w:ilvl w:val="1"/>
          <w:numId w:val="38"/>
        </w:numPr>
        <w:spacing w:after="0" w:line="240" w:lineRule="auto"/>
        <w:ind w:left="993" w:hanging="284"/>
        <w:jc w:val="both"/>
        <w:rPr>
          <w:rFonts w:ascii="Times New Roman" w:hAnsi="Times New Roman" w:cs="Times New Roman"/>
        </w:rPr>
      </w:pPr>
      <w:r w:rsidRPr="00830F0B">
        <w:rPr>
          <w:rFonts w:ascii="Times New Roman" w:hAnsi="Times New Roman" w:cs="Times New Roman"/>
        </w:rPr>
        <w:t>Soutenir la mise en œuvre de la Stratégie PME 2020 ainsi que la préparation et la mise en œuvre du programme d'aide aux PME,</w:t>
      </w:r>
    </w:p>
    <w:p w:rsidR="00830F0B" w:rsidRPr="00830F0B" w:rsidRDefault="00830F0B" w:rsidP="00830F0B">
      <w:pPr>
        <w:pStyle w:val="ListParagraph"/>
        <w:numPr>
          <w:ilvl w:val="1"/>
          <w:numId w:val="38"/>
        </w:numPr>
        <w:spacing w:after="0" w:line="240" w:lineRule="auto"/>
        <w:ind w:left="993" w:hanging="284"/>
        <w:jc w:val="both"/>
        <w:rPr>
          <w:rFonts w:ascii="Times New Roman" w:hAnsi="Times New Roman" w:cs="Times New Roman"/>
        </w:rPr>
      </w:pPr>
      <w:r w:rsidRPr="00830F0B">
        <w:rPr>
          <w:rFonts w:ascii="Times New Roman" w:hAnsi="Times New Roman" w:cs="Times New Roman"/>
        </w:rPr>
        <w:t>Aider à la rédaction de l'analyse d'impact pour la révision de la directive sur les retards de paiement (une proposition très pertinente du point de vue des PME) ;</w:t>
      </w:r>
    </w:p>
    <w:p w:rsidR="00830F0B" w:rsidRPr="00830F0B" w:rsidRDefault="00830F0B" w:rsidP="00830F0B">
      <w:pPr>
        <w:pStyle w:val="ListParagraph"/>
        <w:numPr>
          <w:ilvl w:val="1"/>
          <w:numId w:val="38"/>
        </w:numPr>
        <w:spacing w:after="0" w:line="240" w:lineRule="auto"/>
        <w:ind w:left="993" w:hanging="284"/>
        <w:jc w:val="both"/>
        <w:rPr>
          <w:rFonts w:ascii="Times New Roman" w:hAnsi="Times New Roman" w:cs="Times New Roman"/>
        </w:rPr>
      </w:pPr>
      <w:r w:rsidRPr="00830F0B">
        <w:rPr>
          <w:rFonts w:ascii="Times New Roman" w:hAnsi="Times New Roman" w:cs="Times New Roman"/>
        </w:rPr>
        <w:t>Effectuer des tâches analytiques liés à la mise en relation de la stratégie PME avec le paquet Relance et Résilience et avec les écosystèmes (évaluation des besoins, preuves, etc.),</w:t>
      </w:r>
    </w:p>
    <w:p w:rsidR="00830F0B" w:rsidRPr="00830F0B" w:rsidRDefault="00830F0B" w:rsidP="00830F0B">
      <w:pPr>
        <w:spacing w:after="0" w:line="240" w:lineRule="auto"/>
        <w:ind w:left="426"/>
        <w:contextualSpacing/>
        <w:jc w:val="both"/>
        <w:rPr>
          <w:rFonts w:ascii="Times New Roman" w:hAnsi="Times New Roman" w:cs="Times New Roman"/>
        </w:rPr>
      </w:pPr>
    </w:p>
    <w:p w:rsidR="008219BC" w:rsidRPr="00830F0B" w:rsidRDefault="00830F0B" w:rsidP="00830F0B">
      <w:pPr>
        <w:pStyle w:val="ListParagraph"/>
        <w:numPr>
          <w:ilvl w:val="0"/>
          <w:numId w:val="33"/>
        </w:numPr>
        <w:spacing w:after="0" w:line="240" w:lineRule="auto"/>
        <w:ind w:left="709" w:hanging="283"/>
        <w:jc w:val="both"/>
        <w:rPr>
          <w:rFonts w:ascii="Times New Roman" w:hAnsi="Times New Roman" w:cs="Times New Roman"/>
        </w:rPr>
      </w:pPr>
      <w:r w:rsidRPr="00830F0B">
        <w:rPr>
          <w:rFonts w:ascii="Times New Roman" w:hAnsi="Times New Roman" w:cs="Times New Roman"/>
        </w:rPr>
        <w:t>Contribuer à des tâches générales, telles qu´organiser des groupes de travail, forums, réunions et audiences publiques, compiler l'information et la documentation, préparer des rapports et répondre à des demandes (à l'exclusion de la responsabilité de la gestion financière, de négociations officielles et de la représentation).</w:t>
      </w:r>
    </w:p>
    <w:p w:rsidR="008219BC" w:rsidRPr="008219BC" w:rsidRDefault="008219BC" w:rsidP="008219BC">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830F0B" w:rsidRPr="00830F0B">
        <w:rPr>
          <w:rFonts w:ascii="Times New Roman" w:hAnsi="Times New Roman" w:cs="Times New Roman"/>
        </w:rPr>
        <w:t>économie, droit, administration des affaires, sciences politiques, sciences de l'environnement</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Compréhension des processus d'élaboration des politiques de l'UE (par exemple, rôles des différents acteurs, calendrier, méthodes de travail),</w:t>
      </w: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Familiarité avec les concepts liés à une meilleure réglementation, en particulier l'analyse d'impact et le test PME</w:t>
      </w: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Familiarité avec les politiques en faveur des PME</w:t>
      </w: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r w:rsidRPr="00830F0B">
        <w:rPr>
          <w:rFonts w:ascii="Times New Roman" w:eastAsia="Times New Roman" w:hAnsi="Times New Roman" w:cs="Times New Roman"/>
          <w:lang w:eastAsia="en-GB"/>
        </w:rPr>
        <w:t>Capacité à coordonner la réception de contributions provenant de plusieurs sources</w:t>
      </w: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Capacité à travailler individuellement et en équipe</w:t>
      </w:r>
    </w:p>
    <w:p w:rsidR="00830F0B" w:rsidRPr="00830F0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Capacité à écrire clairement et succinctement</w:t>
      </w:r>
    </w:p>
    <w:p w:rsidR="00E109FB" w:rsidRDefault="00830F0B" w:rsidP="00830F0B">
      <w:pPr>
        <w:tabs>
          <w:tab w:val="left" w:pos="709"/>
        </w:tabs>
        <w:spacing w:after="0" w:line="240" w:lineRule="auto"/>
        <w:ind w:left="709" w:right="60"/>
        <w:jc w:val="both"/>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Lettre de motivation – motivation, impact, présentation, contenu, structure, langue</w:t>
      </w:r>
      <w:r w:rsidR="008219BC" w:rsidRPr="008219BC">
        <w:rPr>
          <w:rFonts w:ascii="Times New Roman" w:eastAsia="Times New Roman" w:hAnsi="Times New Roman" w:cs="Times New Roman"/>
          <w:lang w:eastAsia="en-GB"/>
        </w:rPr>
        <w: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30F0B" w:rsidP="00BC661A">
      <w:pPr>
        <w:spacing w:after="0" w:line="240" w:lineRule="auto"/>
        <w:ind w:left="709"/>
        <w:rPr>
          <w:rFonts w:ascii="Times New Roman" w:eastAsia="Times New Roman" w:hAnsi="Times New Roman" w:cs="Times New Roman"/>
          <w:lang w:eastAsia="en-GB"/>
        </w:rPr>
      </w:pPr>
      <w:r w:rsidRPr="00830F0B">
        <w:rPr>
          <w:rFonts w:ascii="Times New Roman" w:eastAsia="Times New Roman" w:hAnsi="Times New Roman" w:cs="Times New Roman"/>
          <w:lang w:eastAsia="en-GB"/>
        </w:rPr>
        <w:t>Anglais, connaissance de l'allemand ou du français serait un atout</w:t>
      </w:r>
      <w:r w:rsidR="008219BC" w:rsidRPr="008219BC">
        <w:rPr>
          <w:rFonts w:ascii="Times New Roman" w:eastAsia="Times New Roman" w:hAnsi="Times New Roman" w:cs="Times New Roman"/>
          <w:lang w:eastAsia="en-GB"/>
        </w:rPr>
        <w: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F961E6"/>
    <w:multiLevelType w:val="hybridMultilevel"/>
    <w:tmpl w:val="F0E08B0A"/>
    <w:lvl w:ilvl="0" w:tplc="A3CC5D10">
      <w:start w:val="1"/>
      <w:numFmt w:val="bullet"/>
      <w:lvlText w:val="-"/>
      <w:lvlJc w:val="left"/>
      <w:pPr>
        <w:ind w:left="1146" w:hanging="360"/>
      </w:pPr>
      <w:rPr>
        <w:rFonts w:ascii="Times New Roman" w:hAnsi="Times New Roman" w:hint="default"/>
        <w:sz w:val="22"/>
      </w:rPr>
    </w:lvl>
    <w:lvl w:ilvl="1" w:tplc="A3CC5D10">
      <w:start w:val="1"/>
      <w:numFmt w:val="bullet"/>
      <w:lvlText w:val="-"/>
      <w:lvlJc w:val="left"/>
      <w:pPr>
        <w:ind w:left="1866" w:hanging="360"/>
      </w:pPr>
      <w:rPr>
        <w:rFonts w:ascii="Times New Roman" w:hAnsi="Times New Roman" w:hint="default"/>
        <w:sz w:val="22"/>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57E9F"/>
    <w:multiLevelType w:val="hybridMultilevel"/>
    <w:tmpl w:val="B5E80E32"/>
    <w:lvl w:ilvl="0" w:tplc="A3CC5D10">
      <w:start w:val="1"/>
      <w:numFmt w:val="bullet"/>
      <w:lvlText w:val="-"/>
      <w:lvlJc w:val="left"/>
      <w:pPr>
        <w:ind w:left="1146" w:hanging="360"/>
      </w:pPr>
      <w:rPr>
        <w:rFonts w:ascii="Times New Roman" w:hAnsi="Times New Roman" w:hint="default"/>
        <w:sz w:val="22"/>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2A34174"/>
    <w:multiLevelType w:val="hybridMultilevel"/>
    <w:tmpl w:val="043E3066"/>
    <w:lvl w:ilvl="0" w:tplc="E8B4FE8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E0A4A4B"/>
    <w:multiLevelType w:val="hybridMultilevel"/>
    <w:tmpl w:val="BCEAE454"/>
    <w:lvl w:ilvl="0" w:tplc="660AE6EE">
      <w:start w:val="7"/>
      <w:numFmt w:val="bullet"/>
      <w:lvlText w:val="-"/>
      <w:lvlJc w:val="left"/>
      <w:pPr>
        <w:ind w:left="1146" w:hanging="360"/>
      </w:pPr>
      <w:rPr>
        <w:rFonts w:ascii="Verdana" w:eastAsia="Cambria" w:hAnsi="Verdana" w:cs="Times New Roman" w:hint="default"/>
      </w:rPr>
    </w:lvl>
    <w:lvl w:ilvl="1" w:tplc="A3CC5D10">
      <w:start w:val="1"/>
      <w:numFmt w:val="bullet"/>
      <w:lvlText w:val="-"/>
      <w:lvlJc w:val="left"/>
      <w:pPr>
        <w:ind w:left="1866" w:hanging="360"/>
      </w:pPr>
      <w:rPr>
        <w:rFonts w:ascii="Times New Roman" w:hAnsi="Times New Roman" w:hint="default"/>
        <w:sz w:val="22"/>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FC5367A"/>
    <w:multiLevelType w:val="hybridMultilevel"/>
    <w:tmpl w:val="FA0C6786"/>
    <w:lvl w:ilvl="0" w:tplc="0809000F">
      <w:start w:val="1"/>
      <w:numFmt w:val="decimal"/>
      <w:lvlText w:val="%1."/>
      <w:lvlJc w:val="left"/>
      <w:pPr>
        <w:ind w:left="1146" w:hanging="360"/>
      </w:pPr>
    </w:lvl>
    <w:lvl w:ilvl="1" w:tplc="23920E6E">
      <w:start w:val="1"/>
      <w:numFmt w:val="bullet"/>
      <w:lvlText w:val="•"/>
      <w:lvlJc w:val="left"/>
      <w:pPr>
        <w:ind w:left="1866" w:hanging="360"/>
      </w:pPr>
      <w:rPr>
        <w:rFonts w:ascii="Times New Roman" w:eastAsiaTheme="minorHAnsi" w:hAnsi="Times New Roman" w:cs="Times New Roman" w:hint="default"/>
      </w:r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92E7178"/>
    <w:multiLevelType w:val="hybridMultilevel"/>
    <w:tmpl w:val="BDBC6074"/>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3"/>
  </w:num>
  <w:num w:numId="3">
    <w:abstractNumId w:val="32"/>
  </w:num>
  <w:num w:numId="4">
    <w:abstractNumId w:val="21"/>
  </w:num>
  <w:num w:numId="5">
    <w:abstractNumId w:val="14"/>
  </w:num>
  <w:num w:numId="6">
    <w:abstractNumId w:val="3"/>
  </w:num>
  <w:num w:numId="7">
    <w:abstractNumId w:val="25"/>
  </w:num>
  <w:num w:numId="8">
    <w:abstractNumId w:val="15"/>
  </w:num>
  <w:num w:numId="9">
    <w:abstractNumId w:val="26"/>
  </w:num>
  <w:num w:numId="10">
    <w:abstractNumId w:val="10"/>
  </w:num>
  <w:num w:numId="11">
    <w:abstractNumId w:val="1"/>
  </w:num>
  <w:num w:numId="12">
    <w:abstractNumId w:val="7"/>
  </w:num>
  <w:num w:numId="13">
    <w:abstractNumId w:val="27"/>
  </w:num>
  <w:num w:numId="14">
    <w:abstractNumId w:val="30"/>
  </w:num>
  <w:num w:numId="15">
    <w:abstractNumId w:val="8"/>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9"/>
  </w:num>
  <w:num w:numId="24">
    <w:abstractNumId w:val="22"/>
  </w:num>
  <w:num w:numId="25">
    <w:abstractNumId w:val="37"/>
  </w:num>
  <w:num w:numId="26">
    <w:abstractNumId w:val="19"/>
  </w:num>
  <w:num w:numId="27">
    <w:abstractNumId w:val="12"/>
  </w:num>
  <w:num w:numId="28">
    <w:abstractNumId w:val="23"/>
  </w:num>
  <w:num w:numId="29">
    <w:abstractNumId w:val="31"/>
  </w:num>
  <w:num w:numId="30">
    <w:abstractNumId w:val="6"/>
  </w:num>
  <w:num w:numId="31">
    <w:abstractNumId w:val="34"/>
  </w:num>
  <w:num w:numId="32">
    <w:abstractNumId w:val="5"/>
  </w:num>
  <w:num w:numId="33">
    <w:abstractNumId w:val="18"/>
  </w:num>
  <w:num w:numId="34">
    <w:abstractNumId w:val="11"/>
  </w:num>
  <w:num w:numId="35">
    <w:abstractNumId w:val="28"/>
  </w:num>
  <w:num w:numId="36">
    <w:abstractNumId w:val="17"/>
  </w:num>
  <w:num w:numId="37">
    <w:abstractNumId w:val="4"/>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211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6F7921"/>
    <w:rsid w:val="00745B97"/>
    <w:rsid w:val="00762B34"/>
    <w:rsid w:val="00776C8D"/>
    <w:rsid w:val="00793AF8"/>
    <w:rsid w:val="007F2F83"/>
    <w:rsid w:val="007F46B6"/>
    <w:rsid w:val="007F771A"/>
    <w:rsid w:val="00803AF5"/>
    <w:rsid w:val="00804B2F"/>
    <w:rsid w:val="008219BC"/>
    <w:rsid w:val="00830F0B"/>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0F88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ifacio.garcia-porr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1840</Words>
  <Characters>10397</Characters>
  <Application>Microsoft Office Word</Application>
  <DocSecurity>0</DocSecurity>
  <Lines>226</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2022-12-13T14:52:00Z</dcterms:created>
  <dcterms:modified xsi:type="dcterms:W3CDTF">2022-12-13T14:56:00Z</dcterms:modified>
</cp:coreProperties>
</file>