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B64721" w:rsidP="00FD717F">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ENER-B-1</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B64721" w:rsidRPr="00B64721" w:rsidRDefault="00B64721" w:rsidP="00B64721">
            <w:pPr>
              <w:rPr>
                <w:rFonts w:ascii="Times New Roman" w:hAnsi="Times New Roman" w:cs="Times New Roman"/>
                <w:b/>
                <w:lang w:val="en-GB"/>
              </w:rPr>
            </w:pPr>
            <w:r w:rsidRPr="00B64721">
              <w:rPr>
                <w:rFonts w:ascii="Times New Roman" w:hAnsi="Times New Roman" w:cs="Times New Roman"/>
                <w:b/>
                <w:lang w:val="en-GB"/>
              </w:rPr>
              <w:t xml:space="preserve">Adela TESAROVA </w:t>
            </w:r>
          </w:p>
          <w:p w:rsidR="00B64721" w:rsidRPr="00B64721" w:rsidRDefault="00B64721" w:rsidP="00B64721">
            <w:pPr>
              <w:rPr>
                <w:rFonts w:ascii="Times New Roman" w:hAnsi="Times New Roman" w:cs="Times New Roman"/>
                <w:b/>
                <w:lang w:val="en-GB"/>
              </w:rPr>
            </w:pPr>
            <w:hyperlink r:id="rId8" w:history="1">
              <w:r w:rsidRPr="00B64721">
                <w:rPr>
                  <w:rFonts w:ascii="Times New Roman" w:hAnsi="Times New Roman" w:cs="Times New Roman"/>
                  <w:b/>
                  <w:color w:val="0000FF"/>
                  <w:u w:val="single"/>
                  <w:lang w:val="en-GB"/>
                </w:rPr>
                <w:t>Adela.Tesarova@ec.europa.eu</w:t>
              </w:r>
            </w:hyperlink>
            <w:r w:rsidRPr="00B64721">
              <w:rPr>
                <w:rFonts w:ascii="Times New Roman" w:hAnsi="Times New Roman" w:cs="Times New Roman"/>
                <w:b/>
                <w:lang w:val="en-GB"/>
              </w:rPr>
              <w:t xml:space="preserve"> </w:t>
            </w:r>
          </w:p>
          <w:p w:rsidR="00FE31F9" w:rsidRPr="00FE31F9" w:rsidRDefault="00B64721" w:rsidP="00B64721">
            <w:pPr>
              <w:rPr>
                <w:rFonts w:ascii="Times New Roman" w:hAnsi="Times New Roman" w:cs="Times New Roman"/>
                <w:b/>
              </w:rPr>
            </w:pPr>
            <w:r w:rsidRPr="00B64721">
              <w:rPr>
                <w:rFonts w:ascii="Times New Roman" w:hAnsi="Times New Roman" w:cs="Times New Roman"/>
                <w:b/>
                <w:lang w:val="en-GB"/>
              </w:rPr>
              <w:t>+32 229-80031</w:t>
            </w:r>
          </w:p>
          <w:p w:rsidR="00804B2F" w:rsidRPr="00381739" w:rsidRDefault="00FD717F" w:rsidP="00804B2F">
            <w:pPr>
              <w:rPr>
                <w:rFonts w:ascii="Times New Roman" w:hAnsi="Times New Roman" w:cs="Times New Roman"/>
                <w:b/>
              </w:rPr>
            </w:pPr>
            <w:r>
              <w:rPr>
                <w:rFonts w:ascii="Times New Roman" w:hAnsi="Times New Roman" w:cs="Times New Roman"/>
                <w:b/>
              </w:rPr>
              <w:t>1</w:t>
            </w:r>
          </w:p>
          <w:p w:rsidR="00381739" w:rsidRPr="00381739" w:rsidRDefault="00B64721" w:rsidP="00381739">
            <w:pPr>
              <w:rPr>
                <w:rFonts w:ascii="Times New Roman" w:eastAsia="Times New Roman" w:hAnsi="Times New Roman" w:cs="Times New Roman"/>
                <w:b/>
                <w:sz w:val="24"/>
                <w:szCs w:val="20"/>
                <w:lang w:eastAsia="en-GB"/>
              </w:rPr>
            </w:pPr>
            <w:r>
              <w:rPr>
                <w:rFonts w:ascii="Times New Roman" w:hAnsi="Times New Roman" w:cs="Times New Roman"/>
                <w:b/>
              </w:rPr>
              <w:t>1</w:t>
            </w:r>
            <w:r w:rsidRPr="00B64721">
              <w:rPr>
                <w:rFonts w:ascii="Times New Roman" w:hAnsi="Times New Roman" w:cs="Times New Roman"/>
                <w:b/>
                <w:vertAlign w:val="superscript"/>
              </w:rPr>
              <w:t>er</w:t>
            </w:r>
            <w:r>
              <w:rPr>
                <w:rFonts w:ascii="Times New Roman" w:hAnsi="Times New Roman" w:cs="Times New Roman"/>
                <w:b/>
              </w:rPr>
              <w:t xml:space="preserve"> </w:t>
            </w:r>
            <w:r w:rsidR="00381739" w:rsidRPr="00381739">
              <w:rPr>
                <w:rFonts w:ascii="Times New Roman" w:hAnsi="Times New Roman" w:cs="Times New Roman"/>
                <w:b/>
              </w:rPr>
              <w:t>trimestre 202</w:t>
            </w:r>
            <w:r w:rsidR="0088103D">
              <w:rPr>
                <w:rFonts w:ascii="Times New Roman" w:hAnsi="Times New Roman" w:cs="Times New Roman"/>
                <w:b/>
              </w:rPr>
              <w:t>3</w:t>
            </w:r>
            <w:r w:rsidR="00381739" w:rsidRPr="00381739">
              <w:rPr>
                <w:rFonts w:ascii="Times New Roman" w:hAnsi="Times New Roman" w:cs="Times New Roman"/>
                <w:b/>
                <w:vertAlign w:val="superscript"/>
              </w:rPr>
              <w:footnoteReference w:id="1"/>
            </w:r>
          </w:p>
          <w:p w:rsidR="00381739" w:rsidRPr="00381739" w:rsidRDefault="00B64721"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381739" w:rsidRPr="00381739">
              <w:rPr>
                <w:rFonts w:ascii="Times New Roman" w:eastAsia="Times New Roman" w:hAnsi="Times New Roman" w:cs="Times New Roman"/>
                <w:b/>
                <w:lang w:val="fr-FR" w:eastAsia="en-GB"/>
              </w:rPr>
              <w:t xml:space="preserve"> an</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8219BC"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B64721" w:rsidRPr="00B64721" w:rsidRDefault="00B64721" w:rsidP="00B64721">
      <w:pPr>
        <w:spacing w:after="3" w:line="248" w:lineRule="auto"/>
        <w:ind w:left="422" w:hanging="10"/>
        <w:jc w:val="both"/>
        <w:rPr>
          <w:rFonts w:ascii="Times New Roman" w:eastAsia="Times New Roman" w:hAnsi="Times New Roman" w:cs="Times New Roman"/>
          <w:color w:val="000000"/>
          <w:lang w:eastAsia="en-IE"/>
        </w:rPr>
      </w:pPr>
      <w:r w:rsidRPr="00B64721">
        <w:rPr>
          <w:rFonts w:ascii="Times New Roman" w:eastAsia="Times New Roman" w:hAnsi="Times New Roman" w:cs="Times New Roman"/>
          <w:color w:val="000000"/>
          <w:lang w:eastAsia="en-IE"/>
        </w:rPr>
        <w:t xml:space="preserve">La mission générale de notre unité est d'aider les citoyens à accéder à une énergie verte plus abordable et à jouer un rôle actif dans la transition vers une énergie verte. Plus précisément, notre mission est de placer les consommateurs, les citoyens et les communautés d’énergie au centre de la transition vers une énergie propre dans toutes les régions de l'Union européenne et de veiller à ce que cette transition soit équitable et juste. En particulier dans le contexte actuel de crise énergétique, nous avons pour objectif de responsabiliser les citoyens et d’assurer une forte protection des consommateurs, en leur permettant de jouer un rôle actif sur le marché de l'énergie via des outils numériques et la gestion des données. Pour que personne ne soit laissé pour compte, nous nous concentrons en particulier sur les individus, les communautés et les régions les plus vulnérables, les personnes en situation de précarité énergétique et les régions charbonnières en transition. Nous sommes également le point focal de plusieurs initiatives locales telles que la Convention des maires de l'UE, le Marché des villes intelligentes (« Smart </w:t>
      </w:r>
      <w:proofErr w:type="spellStart"/>
      <w:r w:rsidRPr="00B64721">
        <w:rPr>
          <w:rFonts w:ascii="Times New Roman" w:eastAsia="Times New Roman" w:hAnsi="Times New Roman" w:cs="Times New Roman"/>
          <w:color w:val="000000"/>
          <w:lang w:eastAsia="en-IE"/>
        </w:rPr>
        <w:t>cities</w:t>
      </w:r>
      <w:proofErr w:type="spellEnd"/>
      <w:r w:rsidRPr="00B64721">
        <w:rPr>
          <w:rFonts w:ascii="Times New Roman" w:eastAsia="Times New Roman" w:hAnsi="Times New Roman" w:cs="Times New Roman"/>
          <w:color w:val="000000"/>
          <w:lang w:eastAsia="en-IE"/>
        </w:rPr>
        <w:t xml:space="preserve"> Marketplace »), la mission Horizon Europe sur les villes, l'initiative des îles de l'UE et le centre de ressources sur la pauvreté énergétique. Grâce à ces initiatives, nous soutenons l'assistance technique, l'échange de connaissances et l’adhésion au marché pour accélérer une transition énergétique propre et juste. Nous promouvons également une transition juste à l'échelle internationale, en nous appuyant sur nos instruments et nos expériences au sein de l'UE.</w:t>
      </w:r>
    </w:p>
    <w:p w:rsidR="00B64721" w:rsidRPr="00B64721" w:rsidRDefault="00B64721" w:rsidP="00B64721">
      <w:pPr>
        <w:spacing w:after="3" w:line="248" w:lineRule="auto"/>
        <w:ind w:left="422" w:hanging="10"/>
        <w:jc w:val="both"/>
        <w:rPr>
          <w:rFonts w:ascii="Times New Roman" w:eastAsia="Times New Roman" w:hAnsi="Times New Roman" w:cs="Times New Roman"/>
          <w:color w:val="000000"/>
          <w:lang w:eastAsia="en-IE"/>
        </w:rPr>
      </w:pPr>
    </w:p>
    <w:p w:rsidR="00B64721" w:rsidRPr="00B64721" w:rsidRDefault="00B64721" w:rsidP="00B64721">
      <w:pPr>
        <w:spacing w:after="3" w:line="248" w:lineRule="auto"/>
        <w:ind w:left="422" w:hanging="10"/>
        <w:jc w:val="both"/>
        <w:rPr>
          <w:rFonts w:ascii="Times New Roman" w:eastAsia="Times New Roman" w:hAnsi="Times New Roman" w:cs="Times New Roman"/>
          <w:color w:val="000000"/>
          <w:lang w:eastAsia="en-IE"/>
        </w:rPr>
      </w:pPr>
      <w:r w:rsidRPr="00B64721">
        <w:rPr>
          <w:rFonts w:ascii="Times New Roman" w:eastAsia="Times New Roman" w:hAnsi="Times New Roman" w:cs="Times New Roman"/>
          <w:color w:val="000000"/>
          <w:lang w:eastAsia="en-IE"/>
        </w:rPr>
        <w:t xml:space="preserve">Les tâches de l’expert/e national/e détaché/e peuvent comprendre les responsabilités suivantes: </w:t>
      </w:r>
    </w:p>
    <w:p w:rsidR="00B64721" w:rsidRPr="00B64721" w:rsidRDefault="00B64721" w:rsidP="00B64721">
      <w:pPr>
        <w:spacing w:after="0" w:line="259" w:lineRule="auto"/>
        <w:ind w:left="425"/>
        <w:rPr>
          <w:rFonts w:ascii="Times New Roman" w:eastAsia="Times New Roman" w:hAnsi="Times New Roman" w:cs="Times New Roman"/>
          <w:color w:val="000000"/>
          <w:lang w:eastAsia="en-IE"/>
        </w:rPr>
      </w:pPr>
      <w:r w:rsidRPr="00B64721">
        <w:rPr>
          <w:rFonts w:ascii="Times New Roman" w:eastAsia="Times New Roman" w:hAnsi="Times New Roman" w:cs="Times New Roman"/>
          <w:color w:val="000000"/>
          <w:lang w:eastAsia="en-IE"/>
        </w:rPr>
        <w:t xml:space="preserve"> </w:t>
      </w:r>
    </w:p>
    <w:p w:rsidR="00B64721" w:rsidRPr="00B64721" w:rsidRDefault="00B64721" w:rsidP="00B64721">
      <w:pPr>
        <w:spacing w:after="3" w:line="265" w:lineRule="auto"/>
        <w:ind w:left="420" w:hanging="10"/>
        <w:rPr>
          <w:rFonts w:ascii="Times New Roman" w:eastAsia="Times New Roman" w:hAnsi="Times New Roman" w:cs="Times New Roman"/>
          <w:color w:val="000000"/>
          <w:lang w:eastAsia="en-IE"/>
        </w:rPr>
      </w:pPr>
      <w:r w:rsidRPr="00B64721">
        <w:rPr>
          <w:rFonts w:ascii="Times New Roman" w:eastAsia="Times New Roman" w:hAnsi="Times New Roman" w:cs="Times New Roman"/>
          <w:color w:val="000000"/>
          <w:u w:val="single" w:color="000000"/>
          <w:lang w:eastAsia="en-IE"/>
        </w:rPr>
        <w:t xml:space="preserve">Définition et mise en </w:t>
      </w:r>
      <w:proofErr w:type="spellStart"/>
      <w:r w:rsidRPr="00B64721">
        <w:rPr>
          <w:rFonts w:ascii="Times New Roman" w:eastAsia="Times New Roman" w:hAnsi="Times New Roman" w:cs="Times New Roman"/>
          <w:color w:val="000000"/>
          <w:u w:val="single" w:color="000000"/>
          <w:lang w:eastAsia="en-IE"/>
        </w:rPr>
        <w:t>oeuvre</w:t>
      </w:r>
      <w:proofErr w:type="spellEnd"/>
      <w:r w:rsidRPr="00B64721">
        <w:rPr>
          <w:rFonts w:ascii="Times New Roman" w:eastAsia="Times New Roman" w:hAnsi="Times New Roman" w:cs="Times New Roman"/>
          <w:color w:val="000000"/>
          <w:u w:val="single" w:color="000000"/>
          <w:lang w:eastAsia="en-IE"/>
        </w:rPr>
        <w:t xml:space="preserve"> de la politique</w:t>
      </w:r>
      <w:r w:rsidRPr="00B64721">
        <w:rPr>
          <w:rFonts w:ascii="Times New Roman" w:eastAsia="Times New Roman" w:hAnsi="Times New Roman" w:cs="Times New Roman"/>
          <w:color w:val="000000"/>
          <w:lang w:eastAsia="en-IE"/>
        </w:rPr>
        <w:t xml:space="preserve">:  </w:t>
      </w:r>
    </w:p>
    <w:p w:rsidR="00B64721" w:rsidRPr="00B64721" w:rsidRDefault="00B64721" w:rsidP="00B64721">
      <w:pPr>
        <w:numPr>
          <w:ilvl w:val="0"/>
          <w:numId w:val="33"/>
        </w:numPr>
        <w:spacing w:after="3" w:line="248" w:lineRule="auto"/>
        <w:ind w:left="709" w:right="1" w:hanging="293"/>
        <w:jc w:val="both"/>
        <w:rPr>
          <w:rFonts w:ascii="Times New Roman" w:eastAsia="Times New Roman" w:hAnsi="Times New Roman" w:cs="Times New Roman"/>
          <w:color w:val="000000"/>
          <w:lang w:eastAsia="en-IE"/>
        </w:rPr>
      </w:pPr>
      <w:r w:rsidRPr="00B64721">
        <w:rPr>
          <w:rFonts w:ascii="Times New Roman" w:eastAsia="Times New Roman" w:hAnsi="Times New Roman" w:cs="Times New Roman"/>
          <w:color w:val="000000"/>
          <w:lang w:eastAsia="en-IE"/>
        </w:rPr>
        <w:t xml:space="preserve">Contribuer aux réflexions conceptuelles et à la définition de la transition juste et de la transition vers une énergie propre pour tous, incluant l’ensemble des aspects concernant les individus, des secteurs et des régions. Contribuer à la mise en œuvre et à l'opérationnalisation du pilier "transition juste" du Green Deal </w:t>
      </w:r>
      <w:r w:rsidRPr="00B64721">
        <w:rPr>
          <w:rFonts w:ascii="Times New Roman" w:eastAsia="Times New Roman" w:hAnsi="Times New Roman" w:cs="Times New Roman"/>
          <w:color w:val="000000"/>
          <w:lang w:eastAsia="en-IE"/>
        </w:rPr>
        <w:lastRenderedPageBreak/>
        <w:t xml:space="preserve">européen, tel qu'il est mis en place par le « Mécanisme de Transition Juste » pour les régions et les secteurs à forte intensité carbone, </w:t>
      </w:r>
    </w:p>
    <w:p w:rsidR="00B64721" w:rsidRPr="00B64721" w:rsidRDefault="00B64721" w:rsidP="00B64721">
      <w:pPr>
        <w:numPr>
          <w:ilvl w:val="0"/>
          <w:numId w:val="33"/>
        </w:numPr>
        <w:spacing w:after="3" w:line="248" w:lineRule="auto"/>
        <w:ind w:left="709" w:right="1" w:hanging="293"/>
        <w:jc w:val="both"/>
        <w:rPr>
          <w:rFonts w:ascii="Times New Roman" w:eastAsia="Times New Roman" w:hAnsi="Times New Roman" w:cs="Times New Roman"/>
          <w:color w:val="000000"/>
          <w:lang w:eastAsia="en-IE"/>
        </w:rPr>
      </w:pPr>
      <w:r w:rsidRPr="00B64721">
        <w:rPr>
          <w:rFonts w:ascii="Times New Roman" w:eastAsia="Times New Roman" w:hAnsi="Times New Roman" w:cs="Times New Roman"/>
          <w:color w:val="000000"/>
          <w:lang w:eastAsia="en-IE"/>
        </w:rPr>
        <w:t xml:space="preserve">Contribuer à la mise en œuvre et à l'opérationnalisation du cadre législatif pour la pauvreté énergétique, tel qu'il est mis en place par le paquet législatif "Fit for 55". </w:t>
      </w:r>
    </w:p>
    <w:p w:rsidR="00B64721" w:rsidRPr="00B64721" w:rsidRDefault="00B64721" w:rsidP="00B64721">
      <w:pPr>
        <w:numPr>
          <w:ilvl w:val="0"/>
          <w:numId w:val="33"/>
        </w:numPr>
        <w:spacing w:after="3" w:line="248" w:lineRule="auto"/>
        <w:ind w:left="709" w:right="1" w:hanging="293"/>
        <w:jc w:val="both"/>
        <w:rPr>
          <w:rFonts w:ascii="Times New Roman" w:eastAsia="Times New Roman" w:hAnsi="Times New Roman" w:cs="Times New Roman"/>
          <w:color w:val="000000"/>
          <w:lang w:eastAsia="en-IE"/>
        </w:rPr>
      </w:pPr>
      <w:r w:rsidRPr="00B64721">
        <w:rPr>
          <w:rFonts w:ascii="Times New Roman" w:eastAsia="Times New Roman" w:hAnsi="Times New Roman" w:cs="Times New Roman"/>
          <w:color w:val="000000"/>
          <w:lang w:eastAsia="en-IE"/>
        </w:rPr>
        <w:t xml:space="preserve">Fournir des conseils et une expertise techniques ou tout autre soutien concernant l'évaluation de la contribution des actions menées dans les différents États membres dans le domaine de ces politiques.  </w:t>
      </w:r>
    </w:p>
    <w:p w:rsidR="00B64721" w:rsidRPr="00B64721" w:rsidRDefault="00B64721" w:rsidP="00B64721">
      <w:pPr>
        <w:numPr>
          <w:ilvl w:val="0"/>
          <w:numId w:val="33"/>
        </w:numPr>
        <w:spacing w:after="3" w:line="248" w:lineRule="auto"/>
        <w:ind w:left="709" w:right="1" w:hanging="293"/>
        <w:jc w:val="both"/>
        <w:rPr>
          <w:rFonts w:ascii="Times New Roman" w:eastAsia="Times New Roman" w:hAnsi="Times New Roman" w:cs="Times New Roman"/>
          <w:color w:val="000000"/>
          <w:lang w:eastAsia="en-IE"/>
        </w:rPr>
      </w:pPr>
      <w:r w:rsidRPr="00B64721">
        <w:rPr>
          <w:rFonts w:ascii="Times New Roman" w:eastAsia="Times New Roman" w:hAnsi="Times New Roman" w:cs="Times New Roman"/>
          <w:color w:val="000000"/>
          <w:lang w:eastAsia="en-IE"/>
        </w:rPr>
        <w:t xml:space="preserve">Analyser les données et les pratiques concernant la transition vers une énergie verte, ainsi que les cadres techniques et réglementaires permettant leur mise en œuvre sur le terrain.  </w:t>
      </w:r>
    </w:p>
    <w:p w:rsidR="00B64721" w:rsidRPr="00B64721" w:rsidRDefault="00B64721" w:rsidP="00B64721">
      <w:pPr>
        <w:spacing w:after="0" w:line="259" w:lineRule="auto"/>
        <w:ind w:left="425"/>
        <w:rPr>
          <w:rFonts w:ascii="Times New Roman" w:eastAsia="Times New Roman" w:hAnsi="Times New Roman" w:cs="Times New Roman"/>
          <w:color w:val="000000"/>
          <w:lang w:eastAsia="en-IE"/>
        </w:rPr>
      </w:pPr>
      <w:r w:rsidRPr="00B64721">
        <w:rPr>
          <w:rFonts w:ascii="Times New Roman" w:eastAsia="Times New Roman" w:hAnsi="Times New Roman" w:cs="Times New Roman"/>
          <w:color w:val="000000"/>
          <w:lang w:eastAsia="en-IE"/>
        </w:rPr>
        <w:t xml:space="preserve"> </w:t>
      </w:r>
    </w:p>
    <w:p w:rsidR="00B64721" w:rsidRPr="00B64721" w:rsidRDefault="00B64721" w:rsidP="00B64721">
      <w:pPr>
        <w:keepNext/>
        <w:keepLines/>
        <w:spacing w:after="3" w:line="265" w:lineRule="auto"/>
        <w:ind w:left="420" w:hanging="10"/>
        <w:outlineLvl w:val="1"/>
        <w:rPr>
          <w:rFonts w:ascii="Times New Roman" w:eastAsia="Times New Roman" w:hAnsi="Times New Roman" w:cs="Times New Roman"/>
          <w:color w:val="000000"/>
          <w:u w:val="single" w:color="000000"/>
          <w:lang w:val="en-IE" w:eastAsia="en-IE"/>
        </w:rPr>
      </w:pPr>
      <w:r w:rsidRPr="00B64721">
        <w:rPr>
          <w:rFonts w:ascii="Times New Roman" w:eastAsia="Times New Roman" w:hAnsi="Times New Roman" w:cs="Times New Roman"/>
          <w:color w:val="000000"/>
          <w:u w:val="single" w:color="000000"/>
          <w:lang w:val="en-IE" w:eastAsia="en-IE"/>
        </w:rPr>
        <w:t xml:space="preserve">Communication </w:t>
      </w:r>
      <w:proofErr w:type="gramStart"/>
      <w:r w:rsidRPr="00B64721">
        <w:rPr>
          <w:rFonts w:ascii="Times New Roman" w:eastAsia="Times New Roman" w:hAnsi="Times New Roman" w:cs="Times New Roman"/>
          <w:color w:val="000000"/>
          <w:u w:val="single" w:color="000000"/>
          <w:lang w:val="en-IE" w:eastAsia="en-IE"/>
        </w:rPr>
        <w:t>et</w:t>
      </w:r>
      <w:proofErr w:type="gramEnd"/>
      <w:r w:rsidRPr="00B64721">
        <w:rPr>
          <w:rFonts w:ascii="Times New Roman" w:eastAsia="Times New Roman" w:hAnsi="Times New Roman" w:cs="Times New Roman"/>
          <w:color w:val="000000"/>
          <w:u w:val="single" w:color="000000"/>
          <w:lang w:val="en-IE" w:eastAsia="en-IE"/>
        </w:rPr>
        <w:t xml:space="preserve"> analyse</w:t>
      </w:r>
      <w:r w:rsidRPr="00B64721">
        <w:rPr>
          <w:rFonts w:ascii="Times New Roman" w:eastAsia="Times New Roman" w:hAnsi="Times New Roman" w:cs="Times New Roman"/>
          <w:color w:val="000000"/>
          <w:u w:color="000000"/>
          <w:lang w:val="en-IE" w:eastAsia="en-IE"/>
        </w:rPr>
        <w:t xml:space="preserve"> </w:t>
      </w:r>
    </w:p>
    <w:p w:rsidR="00B64721" w:rsidRPr="00B64721" w:rsidRDefault="00B64721" w:rsidP="00B64721">
      <w:pPr>
        <w:numPr>
          <w:ilvl w:val="0"/>
          <w:numId w:val="34"/>
        </w:numPr>
        <w:spacing w:after="38" w:line="248" w:lineRule="auto"/>
        <w:ind w:right="1" w:hanging="281"/>
        <w:jc w:val="both"/>
        <w:rPr>
          <w:rFonts w:ascii="Times New Roman" w:eastAsia="Times New Roman" w:hAnsi="Times New Roman" w:cs="Times New Roman"/>
          <w:color w:val="000000"/>
          <w:lang w:eastAsia="en-IE"/>
        </w:rPr>
      </w:pPr>
      <w:r w:rsidRPr="00B64721">
        <w:rPr>
          <w:rFonts w:ascii="Times New Roman" w:eastAsia="Times New Roman" w:hAnsi="Times New Roman" w:cs="Times New Roman"/>
          <w:color w:val="000000"/>
          <w:lang w:eastAsia="en-IE"/>
        </w:rPr>
        <w:t xml:space="preserve">Aide à la présentation, à la promotion et à l’explication des politiques et initiatives ENER auprès de différents publics ; </w:t>
      </w:r>
    </w:p>
    <w:p w:rsidR="00B64721" w:rsidRPr="00B64721" w:rsidRDefault="00B64721" w:rsidP="00B64721">
      <w:pPr>
        <w:numPr>
          <w:ilvl w:val="0"/>
          <w:numId w:val="34"/>
        </w:numPr>
        <w:spacing w:after="3" w:line="248" w:lineRule="auto"/>
        <w:ind w:right="1" w:hanging="281"/>
        <w:jc w:val="both"/>
        <w:rPr>
          <w:rFonts w:ascii="Times New Roman" w:eastAsia="Times New Roman" w:hAnsi="Times New Roman" w:cs="Times New Roman"/>
          <w:color w:val="000000"/>
          <w:lang w:eastAsia="en-IE"/>
        </w:rPr>
      </w:pPr>
      <w:r w:rsidRPr="00B64721">
        <w:rPr>
          <w:rFonts w:ascii="Times New Roman" w:eastAsia="Times New Roman" w:hAnsi="Times New Roman" w:cs="Times New Roman"/>
          <w:color w:val="000000"/>
          <w:lang w:eastAsia="en-IE"/>
        </w:rPr>
        <w:t xml:space="preserve">Contribuer à l’organisation de groupes de travail, de réunions, d’événements et de consultations des parties prenantes et tenir compte de leurs résultats dans l’élaboration des politiques ;  </w:t>
      </w:r>
    </w:p>
    <w:p w:rsidR="00B64721" w:rsidRPr="00B64721" w:rsidRDefault="00B64721" w:rsidP="00B64721">
      <w:pPr>
        <w:numPr>
          <w:ilvl w:val="0"/>
          <w:numId w:val="34"/>
        </w:numPr>
        <w:spacing w:after="31" w:line="248" w:lineRule="auto"/>
        <w:ind w:right="1" w:hanging="281"/>
        <w:jc w:val="both"/>
        <w:rPr>
          <w:rFonts w:ascii="Times New Roman" w:eastAsia="Times New Roman" w:hAnsi="Times New Roman" w:cs="Times New Roman"/>
          <w:color w:val="000000"/>
          <w:lang w:eastAsia="en-IE"/>
        </w:rPr>
      </w:pPr>
      <w:r w:rsidRPr="00B64721">
        <w:rPr>
          <w:rFonts w:ascii="Times New Roman" w:eastAsia="Times New Roman" w:hAnsi="Times New Roman" w:cs="Times New Roman"/>
          <w:color w:val="000000"/>
          <w:lang w:eastAsia="en-IE"/>
        </w:rPr>
        <w:t xml:space="preserve">Suivre les rapports et prévisions socio-économiques et identifier les tendances émergentes en matière de transition juste, ainsi qu’en matière d'autonomisation des consommateurs et consommatrices d’énergie verte, à l’appui de la discussion et de l’analyse des politiques ;  </w:t>
      </w:r>
    </w:p>
    <w:p w:rsidR="00B64721" w:rsidRPr="00B64721" w:rsidRDefault="00B64721" w:rsidP="00B64721">
      <w:pPr>
        <w:numPr>
          <w:ilvl w:val="0"/>
          <w:numId w:val="34"/>
        </w:numPr>
        <w:spacing w:after="3" w:line="248" w:lineRule="auto"/>
        <w:ind w:right="1" w:hanging="281"/>
        <w:jc w:val="both"/>
        <w:rPr>
          <w:rFonts w:ascii="Times New Roman" w:eastAsia="Times New Roman" w:hAnsi="Times New Roman" w:cs="Times New Roman"/>
          <w:color w:val="000000"/>
          <w:lang w:eastAsia="en-IE"/>
        </w:rPr>
      </w:pPr>
      <w:r w:rsidRPr="00B64721">
        <w:rPr>
          <w:rFonts w:ascii="Times New Roman" w:eastAsia="Times New Roman" w:hAnsi="Times New Roman" w:cs="Times New Roman"/>
          <w:color w:val="000000"/>
          <w:lang w:eastAsia="en-IE"/>
        </w:rPr>
        <w:t xml:space="preserve">Préparer des rapports, des notes d’information, des discours et des notes d’intervention. </w:t>
      </w:r>
    </w:p>
    <w:p w:rsidR="00B64721" w:rsidRPr="00B64721" w:rsidRDefault="00B64721" w:rsidP="00B64721">
      <w:pPr>
        <w:spacing w:after="0" w:line="259" w:lineRule="auto"/>
        <w:ind w:left="425"/>
        <w:rPr>
          <w:rFonts w:ascii="Times New Roman" w:eastAsia="Times New Roman" w:hAnsi="Times New Roman" w:cs="Times New Roman"/>
          <w:color w:val="000000"/>
          <w:lang w:eastAsia="en-IE"/>
        </w:rPr>
      </w:pPr>
      <w:r w:rsidRPr="00B64721">
        <w:rPr>
          <w:rFonts w:ascii="Times New Roman" w:eastAsia="Times New Roman" w:hAnsi="Times New Roman" w:cs="Times New Roman"/>
          <w:color w:val="000000"/>
          <w:lang w:eastAsia="en-IE"/>
        </w:rPr>
        <w:t xml:space="preserve"> </w:t>
      </w:r>
    </w:p>
    <w:p w:rsidR="00B64721" w:rsidRPr="00B64721" w:rsidRDefault="00B64721" w:rsidP="00B64721">
      <w:pPr>
        <w:keepNext/>
        <w:keepLines/>
        <w:spacing w:after="3" w:line="265" w:lineRule="auto"/>
        <w:ind w:left="420" w:hanging="10"/>
        <w:outlineLvl w:val="1"/>
        <w:rPr>
          <w:rFonts w:ascii="Times New Roman" w:eastAsia="Times New Roman" w:hAnsi="Times New Roman" w:cs="Times New Roman"/>
          <w:color w:val="000000"/>
          <w:u w:val="single" w:color="000000"/>
          <w:lang w:eastAsia="en-IE"/>
        </w:rPr>
      </w:pPr>
      <w:r w:rsidRPr="00B64721">
        <w:rPr>
          <w:rFonts w:ascii="Times New Roman" w:eastAsia="Times New Roman" w:hAnsi="Times New Roman" w:cs="Times New Roman"/>
          <w:color w:val="000000"/>
          <w:u w:val="single" w:color="000000"/>
          <w:lang w:eastAsia="en-IE"/>
        </w:rPr>
        <w:t>Coopération avec les États membres et la société civile</w:t>
      </w:r>
      <w:r w:rsidRPr="00B64721">
        <w:rPr>
          <w:rFonts w:ascii="Times New Roman" w:eastAsia="Times New Roman" w:hAnsi="Times New Roman" w:cs="Times New Roman"/>
          <w:color w:val="000000"/>
          <w:u w:color="000000"/>
          <w:lang w:eastAsia="en-IE"/>
        </w:rPr>
        <w:t xml:space="preserve"> </w:t>
      </w:r>
    </w:p>
    <w:p w:rsidR="00B64721" w:rsidRPr="00B64721" w:rsidRDefault="00B64721" w:rsidP="00B64721">
      <w:pPr>
        <w:numPr>
          <w:ilvl w:val="0"/>
          <w:numId w:val="35"/>
        </w:numPr>
        <w:spacing w:after="3" w:line="248" w:lineRule="auto"/>
        <w:ind w:right="1" w:hanging="281"/>
        <w:jc w:val="both"/>
        <w:rPr>
          <w:rFonts w:ascii="Times New Roman" w:eastAsia="Times New Roman" w:hAnsi="Times New Roman" w:cs="Times New Roman"/>
          <w:color w:val="000000"/>
          <w:lang w:eastAsia="en-IE"/>
        </w:rPr>
      </w:pPr>
      <w:r w:rsidRPr="00B64721">
        <w:rPr>
          <w:rFonts w:ascii="Times New Roman" w:eastAsia="Times New Roman" w:hAnsi="Times New Roman" w:cs="Times New Roman"/>
          <w:color w:val="000000"/>
          <w:lang w:eastAsia="en-IE"/>
        </w:rPr>
        <w:t xml:space="preserve">Analyser la situation des marchés de détail de l'énergie et leur libéralisation dans les États membres. </w:t>
      </w:r>
    </w:p>
    <w:p w:rsidR="00B64721" w:rsidRDefault="00B64721" w:rsidP="00B64721">
      <w:pPr>
        <w:numPr>
          <w:ilvl w:val="0"/>
          <w:numId w:val="35"/>
        </w:numPr>
        <w:spacing w:after="3" w:line="248" w:lineRule="auto"/>
        <w:ind w:right="1" w:hanging="281"/>
        <w:jc w:val="both"/>
        <w:rPr>
          <w:rFonts w:ascii="Times New Roman" w:eastAsia="Times New Roman" w:hAnsi="Times New Roman" w:cs="Times New Roman"/>
          <w:color w:val="000000"/>
          <w:lang w:eastAsia="en-IE"/>
        </w:rPr>
      </w:pPr>
      <w:r w:rsidRPr="00B64721">
        <w:rPr>
          <w:rFonts w:ascii="Times New Roman" w:eastAsia="Times New Roman" w:hAnsi="Times New Roman" w:cs="Times New Roman"/>
          <w:color w:val="000000"/>
          <w:lang w:eastAsia="en-IE"/>
        </w:rPr>
        <w:t xml:space="preserve">Aider à l'évaluation de la transposition de la législation européenne relative aux marchés de détail de l'énergie (électricité et gaz) et des actes réglementaires dérivés des États membres. </w:t>
      </w:r>
    </w:p>
    <w:p w:rsidR="00005E8B" w:rsidRPr="00B64721" w:rsidRDefault="00B64721" w:rsidP="00B64721">
      <w:pPr>
        <w:numPr>
          <w:ilvl w:val="0"/>
          <w:numId w:val="35"/>
        </w:numPr>
        <w:spacing w:after="3" w:line="248" w:lineRule="auto"/>
        <w:ind w:right="1" w:hanging="281"/>
        <w:jc w:val="both"/>
        <w:rPr>
          <w:rFonts w:ascii="Times New Roman" w:eastAsia="Times New Roman" w:hAnsi="Times New Roman" w:cs="Times New Roman"/>
          <w:color w:val="000000"/>
          <w:lang w:eastAsia="en-IE"/>
        </w:rPr>
      </w:pPr>
      <w:r w:rsidRPr="00B64721">
        <w:rPr>
          <w:rFonts w:ascii="Times New Roman" w:eastAsia="Times New Roman" w:hAnsi="Times New Roman" w:cs="Times New Roman"/>
          <w:color w:val="000000"/>
          <w:lang w:eastAsia="en-IE"/>
        </w:rPr>
        <w:t>Contribuer à la préparation de documents et d'autres apports à usage interne et/ou à diffusion publique pour la promotion d'une transposition correcte de la législation européenne dans les États membres.</w:t>
      </w:r>
    </w:p>
    <w:p w:rsidR="00B9574D" w:rsidRPr="007F2F83" w:rsidRDefault="00B9574D" w:rsidP="00B9574D">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B64721" w:rsidRPr="00B64721" w:rsidRDefault="00745B97" w:rsidP="00B64721">
      <w:pPr>
        <w:tabs>
          <w:tab w:val="left" w:pos="993"/>
        </w:tabs>
        <w:spacing w:after="0" w:line="240" w:lineRule="auto"/>
        <w:ind w:left="851" w:right="60" w:hanging="142"/>
        <w:jc w:val="both"/>
        <w:rPr>
          <w:rFonts w:ascii="Times New Roman" w:hAnsi="Times New Roman" w:cs="Times New Roman"/>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B64721" w:rsidRPr="00B64721">
        <w:rPr>
          <w:rFonts w:ascii="Times New Roman" w:hAnsi="Times New Roman" w:cs="Times New Roman"/>
        </w:rPr>
        <w:t xml:space="preserve">politiques et technologies énergétiques, économie, technologies de l'information </w:t>
      </w:r>
    </w:p>
    <w:p w:rsidR="00745B97" w:rsidRPr="004D1C94" w:rsidRDefault="00B64721" w:rsidP="00B64721">
      <w:pPr>
        <w:tabs>
          <w:tab w:val="left" w:pos="993"/>
        </w:tabs>
        <w:spacing w:after="0" w:line="240" w:lineRule="auto"/>
        <w:ind w:left="851" w:right="60" w:hanging="142"/>
        <w:jc w:val="both"/>
        <w:rPr>
          <w:rFonts w:ascii="Times New Roman" w:eastAsia="Times New Roman" w:hAnsi="Times New Roman" w:cs="Times New Roman"/>
          <w:lang w:eastAsia="en-GB"/>
        </w:rPr>
      </w:pPr>
      <w:proofErr w:type="gramStart"/>
      <w:r w:rsidRPr="00B64721">
        <w:rPr>
          <w:rFonts w:ascii="Times New Roman" w:hAnsi="Times New Roman" w:cs="Times New Roman"/>
        </w:rPr>
        <w:lastRenderedPageBreak/>
        <w:t>et</w:t>
      </w:r>
      <w:proofErr w:type="gramEnd"/>
      <w:r w:rsidRPr="00B64721">
        <w:rPr>
          <w:rFonts w:ascii="Times New Roman" w:hAnsi="Times New Roman" w:cs="Times New Roman"/>
        </w:rPr>
        <w:t xml:space="preserve"> de la communication, ingénierie, droit, ou autre discipline pertinente.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B64721" w:rsidRPr="00B64721" w:rsidRDefault="00B64721" w:rsidP="00B64721">
      <w:pPr>
        <w:spacing w:after="32" w:line="248" w:lineRule="auto"/>
        <w:ind w:left="718" w:hanging="10"/>
        <w:jc w:val="both"/>
        <w:rPr>
          <w:rFonts w:ascii="Times New Roman" w:eastAsia="Times New Roman" w:hAnsi="Times New Roman" w:cs="Times New Roman"/>
          <w:color w:val="000000"/>
          <w:lang w:eastAsia="en-IE"/>
        </w:rPr>
      </w:pPr>
      <w:r w:rsidRPr="00B64721">
        <w:rPr>
          <w:rFonts w:ascii="Times New Roman" w:eastAsia="Times New Roman" w:hAnsi="Times New Roman" w:cs="Times New Roman"/>
          <w:color w:val="000000"/>
          <w:lang w:eastAsia="en-IE"/>
        </w:rPr>
        <w:t xml:space="preserve">L’expert/e national/e détaché/e devrait avoir  </w:t>
      </w:r>
    </w:p>
    <w:p w:rsidR="00B64721" w:rsidRPr="00B64721" w:rsidRDefault="00B64721" w:rsidP="00B64721">
      <w:pPr>
        <w:numPr>
          <w:ilvl w:val="0"/>
          <w:numId w:val="36"/>
        </w:numPr>
        <w:spacing w:after="29" w:line="248" w:lineRule="auto"/>
        <w:ind w:right="1" w:hanging="286"/>
        <w:jc w:val="both"/>
        <w:rPr>
          <w:rFonts w:ascii="Times New Roman" w:eastAsia="Times New Roman" w:hAnsi="Times New Roman" w:cs="Times New Roman"/>
          <w:color w:val="000000"/>
          <w:lang w:eastAsia="en-IE"/>
        </w:rPr>
      </w:pPr>
      <w:proofErr w:type="gramStart"/>
      <w:r w:rsidRPr="00B64721">
        <w:rPr>
          <w:rFonts w:ascii="Times New Roman" w:eastAsia="Times New Roman" w:hAnsi="Times New Roman" w:cs="Times New Roman"/>
          <w:color w:val="000000"/>
          <w:lang w:eastAsia="en-IE"/>
        </w:rPr>
        <w:t>une</w:t>
      </w:r>
      <w:proofErr w:type="gramEnd"/>
      <w:r w:rsidRPr="00B64721">
        <w:rPr>
          <w:rFonts w:ascii="Times New Roman" w:eastAsia="Times New Roman" w:hAnsi="Times New Roman" w:cs="Times New Roman"/>
          <w:color w:val="000000"/>
          <w:lang w:eastAsia="en-IE"/>
        </w:rPr>
        <w:t xml:space="preserve"> expérience dans l’élaboration de plans ou de stratégies liés à  la transition vers une énergie verte ou à la transition juste ou le déploiement de solutions techniques visant à soutenir la transition vers une énergie verte.  </w:t>
      </w:r>
    </w:p>
    <w:p w:rsidR="00B64721" w:rsidRPr="00B64721" w:rsidRDefault="00B64721" w:rsidP="00B64721">
      <w:pPr>
        <w:spacing w:after="32" w:line="248" w:lineRule="auto"/>
        <w:ind w:left="718" w:hanging="10"/>
        <w:jc w:val="both"/>
        <w:rPr>
          <w:rFonts w:ascii="Times New Roman" w:eastAsia="Times New Roman" w:hAnsi="Times New Roman" w:cs="Times New Roman"/>
          <w:color w:val="000000"/>
          <w:lang w:val="en-IE" w:eastAsia="en-IE"/>
        </w:rPr>
      </w:pPr>
      <w:r w:rsidRPr="00B64721">
        <w:rPr>
          <w:rFonts w:ascii="Times New Roman" w:eastAsia="Times New Roman" w:hAnsi="Times New Roman" w:cs="Times New Roman"/>
          <w:color w:val="000000"/>
          <w:lang w:val="en-IE" w:eastAsia="en-IE"/>
        </w:rPr>
        <w:t xml:space="preserve">OU </w:t>
      </w:r>
    </w:p>
    <w:p w:rsidR="00B64721" w:rsidRPr="00B64721" w:rsidRDefault="00B64721" w:rsidP="00B64721">
      <w:pPr>
        <w:numPr>
          <w:ilvl w:val="0"/>
          <w:numId w:val="36"/>
        </w:numPr>
        <w:spacing w:after="3" w:line="248" w:lineRule="auto"/>
        <w:ind w:right="1" w:hanging="286"/>
        <w:jc w:val="both"/>
        <w:rPr>
          <w:rFonts w:ascii="Times New Roman" w:eastAsia="Times New Roman" w:hAnsi="Times New Roman" w:cs="Times New Roman"/>
          <w:color w:val="000000"/>
          <w:lang w:eastAsia="en-IE"/>
        </w:rPr>
      </w:pPr>
      <w:proofErr w:type="gramStart"/>
      <w:r w:rsidRPr="00B64721">
        <w:rPr>
          <w:rFonts w:ascii="Times New Roman" w:eastAsia="Times New Roman" w:hAnsi="Times New Roman" w:cs="Times New Roman"/>
          <w:color w:val="000000"/>
          <w:lang w:eastAsia="en-IE"/>
        </w:rPr>
        <w:t>l’expérience</w:t>
      </w:r>
      <w:proofErr w:type="gramEnd"/>
      <w:r w:rsidRPr="00B64721">
        <w:rPr>
          <w:rFonts w:ascii="Times New Roman" w:eastAsia="Times New Roman" w:hAnsi="Times New Roman" w:cs="Times New Roman"/>
          <w:color w:val="000000"/>
          <w:lang w:eastAsia="en-IE"/>
        </w:rPr>
        <w:t xml:space="preserve"> de travailler avec les parties prenantes du domaine de l’énergie, du changement climatique ou de questions connexes liées à la politique des consommateurs et consommatrices.  </w:t>
      </w:r>
    </w:p>
    <w:p w:rsidR="00B64721" w:rsidRPr="00B64721" w:rsidRDefault="00B64721" w:rsidP="00B64721">
      <w:pPr>
        <w:spacing w:after="0" w:line="259" w:lineRule="auto"/>
        <w:ind w:left="708"/>
        <w:rPr>
          <w:rFonts w:ascii="Times New Roman" w:eastAsia="Times New Roman" w:hAnsi="Times New Roman" w:cs="Times New Roman"/>
          <w:color w:val="000000"/>
          <w:lang w:eastAsia="en-IE"/>
        </w:rPr>
      </w:pPr>
      <w:r w:rsidRPr="00B64721">
        <w:rPr>
          <w:rFonts w:ascii="Times New Roman" w:eastAsia="Times New Roman" w:hAnsi="Times New Roman" w:cs="Times New Roman"/>
          <w:color w:val="000000"/>
          <w:lang w:eastAsia="en-IE"/>
        </w:rPr>
        <w:t xml:space="preserve"> </w:t>
      </w:r>
    </w:p>
    <w:p w:rsidR="00B64721" w:rsidRPr="00B64721" w:rsidRDefault="00B64721" w:rsidP="00B64721">
      <w:pPr>
        <w:spacing w:after="3" w:line="248" w:lineRule="auto"/>
        <w:ind w:left="718" w:hanging="10"/>
        <w:jc w:val="both"/>
        <w:rPr>
          <w:rFonts w:ascii="Times New Roman" w:eastAsia="Times New Roman" w:hAnsi="Times New Roman" w:cs="Times New Roman"/>
          <w:color w:val="000000"/>
          <w:lang w:val="en-IE" w:eastAsia="en-IE"/>
        </w:rPr>
      </w:pPr>
      <w:proofErr w:type="spellStart"/>
      <w:r w:rsidRPr="00B64721">
        <w:rPr>
          <w:rFonts w:ascii="Times New Roman" w:eastAsia="Times New Roman" w:hAnsi="Times New Roman" w:cs="Times New Roman"/>
          <w:color w:val="000000"/>
          <w:lang w:val="en-IE" w:eastAsia="en-IE"/>
        </w:rPr>
        <w:t>Ainsi</w:t>
      </w:r>
      <w:proofErr w:type="spellEnd"/>
      <w:r w:rsidRPr="00B64721">
        <w:rPr>
          <w:rFonts w:ascii="Times New Roman" w:eastAsia="Times New Roman" w:hAnsi="Times New Roman" w:cs="Times New Roman"/>
          <w:color w:val="000000"/>
          <w:lang w:val="en-IE" w:eastAsia="en-IE"/>
        </w:rPr>
        <w:t xml:space="preserve"> </w:t>
      </w:r>
      <w:proofErr w:type="gramStart"/>
      <w:r w:rsidRPr="00B64721">
        <w:rPr>
          <w:rFonts w:ascii="Times New Roman" w:eastAsia="Times New Roman" w:hAnsi="Times New Roman" w:cs="Times New Roman"/>
          <w:color w:val="000000"/>
          <w:lang w:val="en-IE" w:eastAsia="en-IE"/>
        </w:rPr>
        <w:t>que :</w:t>
      </w:r>
      <w:proofErr w:type="gramEnd"/>
      <w:r w:rsidRPr="00B64721">
        <w:rPr>
          <w:rFonts w:ascii="Times New Roman" w:eastAsia="Times New Roman" w:hAnsi="Times New Roman" w:cs="Times New Roman"/>
          <w:color w:val="000000"/>
          <w:lang w:val="en-IE" w:eastAsia="en-IE"/>
        </w:rPr>
        <w:t xml:space="preserve"> </w:t>
      </w:r>
    </w:p>
    <w:p w:rsidR="00B64721" w:rsidRPr="00B64721" w:rsidRDefault="00B64721" w:rsidP="00B64721">
      <w:pPr>
        <w:numPr>
          <w:ilvl w:val="0"/>
          <w:numId w:val="36"/>
        </w:numPr>
        <w:spacing w:after="31" w:line="248" w:lineRule="auto"/>
        <w:ind w:right="1" w:hanging="286"/>
        <w:jc w:val="both"/>
        <w:rPr>
          <w:rFonts w:ascii="Times New Roman" w:eastAsia="Times New Roman" w:hAnsi="Times New Roman" w:cs="Times New Roman"/>
          <w:color w:val="000000"/>
          <w:lang w:eastAsia="en-IE"/>
        </w:rPr>
      </w:pPr>
      <w:r w:rsidRPr="00B64721">
        <w:rPr>
          <w:rFonts w:ascii="Times New Roman" w:eastAsia="Times New Roman" w:hAnsi="Times New Roman" w:cs="Times New Roman"/>
          <w:color w:val="000000"/>
          <w:lang w:eastAsia="en-IE"/>
        </w:rPr>
        <w:t xml:space="preserve">Capacité de conceptualiser les problèmes, d’identifier et de mettre en œuvre des solutions, </w:t>
      </w:r>
    </w:p>
    <w:p w:rsidR="00B64721" w:rsidRPr="00B64721" w:rsidRDefault="00B64721" w:rsidP="00B64721">
      <w:pPr>
        <w:numPr>
          <w:ilvl w:val="0"/>
          <w:numId w:val="36"/>
        </w:numPr>
        <w:spacing w:after="3" w:line="248" w:lineRule="auto"/>
        <w:ind w:right="1" w:hanging="286"/>
        <w:jc w:val="both"/>
        <w:rPr>
          <w:rFonts w:ascii="Times New Roman" w:eastAsia="Times New Roman" w:hAnsi="Times New Roman" w:cs="Times New Roman"/>
          <w:color w:val="000000"/>
          <w:lang w:eastAsia="en-IE"/>
        </w:rPr>
      </w:pPr>
      <w:r w:rsidRPr="00B64721">
        <w:rPr>
          <w:rFonts w:ascii="Times New Roman" w:eastAsia="Times New Roman" w:hAnsi="Times New Roman" w:cs="Times New Roman"/>
          <w:color w:val="000000"/>
          <w:lang w:eastAsia="en-IE"/>
        </w:rPr>
        <w:t xml:space="preserve">Capacité d’analyser et de structurer l’information, </w:t>
      </w:r>
    </w:p>
    <w:p w:rsidR="00B64721" w:rsidRPr="00B64721" w:rsidRDefault="00B64721" w:rsidP="00B64721">
      <w:pPr>
        <w:numPr>
          <w:ilvl w:val="0"/>
          <w:numId w:val="36"/>
        </w:numPr>
        <w:spacing w:after="26" w:line="248" w:lineRule="auto"/>
        <w:ind w:right="1" w:hanging="286"/>
        <w:jc w:val="both"/>
        <w:rPr>
          <w:rFonts w:ascii="Times New Roman" w:eastAsia="Times New Roman" w:hAnsi="Times New Roman" w:cs="Times New Roman"/>
          <w:color w:val="000000"/>
          <w:lang w:eastAsia="en-IE"/>
        </w:rPr>
      </w:pPr>
      <w:proofErr w:type="gramStart"/>
      <w:r w:rsidRPr="00B64721">
        <w:rPr>
          <w:rFonts w:ascii="Times New Roman" w:eastAsia="Times New Roman" w:hAnsi="Times New Roman" w:cs="Times New Roman"/>
          <w:color w:val="000000"/>
          <w:lang w:eastAsia="en-IE"/>
        </w:rPr>
        <w:t>une</w:t>
      </w:r>
      <w:proofErr w:type="gramEnd"/>
      <w:r w:rsidRPr="00B64721">
        <w:rPr>
          <w:rFonts w:ascii="Times New Roman" w:eastAsia="Times New Roman" w:hAnsi="Times New Roman" w:cs="Times New Roman"/>
          <w:color w:val="000000"/>
          <w:lang w:eastAsia="en-IE"/>
        </w:rPr>
        <w:t xml:space="preserve"> expérience de la supervision du travail des entrepreneurs ou des prestataires de services. </w:t>
      </w:r>
    </w:p>
    <w:p w:rsidR="00B64721" w:rsidRPr="00B64721" w:rsidRDefault="00B64721" w:rsidP="00B64721">
      <w:pPr>
        <w:numPr>
          <w:ilvl w:val="0"/>
          <w:numId w:val="36"/>
        </w:numPr>
        <w:spacing w:after="3" w:line="248" w:lineRule="auto"/>
        <w:ind w:right="1" w:hanging="286"/>
        <w:jc w:val="both"/>
        <w:rPr>
          <w:rFonts w:ascii="Times New Roman" w:eastAsia="Times New Roman" w:hAnsi="Times New Roman" w:cs="Times New Roman"/>
          <w:color w:val="000000"/>
          <w:lang w:eastAsia="en-IE"/>
        </w:rPr>
      </w:pPr>
      <w:r w:rsidRPr="00B64721">
        <w:rPr>
          <w:rFonts w:ascii="Times New Roman" w:eastAsia="Times New Roman" w:hAnsi="Times New Roman" w:cs="Times New Roman"/>
          <w:color w:val="000000"/>
          <w:lang w:eastAsia="en-IE"/>
        </w:rPr>
        <w:t xml:space="preserve">Aptitude à comprendre et de se faire comprendre, </w:t>
      </w:r>
    </w:p>
    <w:p w:rsidR="00B64721" w:rsidRPr="00B64721" w:rsidRDefault="00B64721" w:rsidP="00B64721">
      <w:pPr>
        <w:numPr>
          <w:ilvl w:val="0"/>
          <w:numId w:val="36"/>
        </w:numPr>
        <w:spacing w:after="3" w:line="248" w:lineRule="auto"/>
        <w:ind w:right="1" w:hanging="286"/>
        <w:jc w:val="both"/>
        <w:rPr>
          <w:rFonts w:ascii="Times New Roman" w:eastAsia="Times New Roman" w:hAnsi="Times New Roman" w:cs="Times New Roman"/>
          <w:color w:val="000000"/>
          <w:lang w:eastAsia="en-IE"/>
        </w:rPr>
      </w:pPr>
      <w:r w:rsidRPr="00B64721">
        <w:rPr>
          <w:rFonts w:ascii="Times New Roman" w:eastAsia="Times New Roman" w:hAnsi="Times New Roman" w:cs="Times New Roman"/>
          <w:color w:val="000000"/>
          <w:lang w:eastAsia="en-IE"/>
        </w:rPr>
        <w:t xml:space="preserve">Capacité à communiquer des informations techniques ou spécialisées, </w:t>
      </w:r>
    </w:p>
    <w:p w:rsidR="00B64721" w:rsidRPr="00B64721" w:rsidRDefault="00B64721" w:rsidP="00B64721">
      <w:pPr>
        <w:numPr>
          <w:ilvl w:val="0"/>
          <w:numId w:val="36"/>
        </w:numPr>
        <w:spacing w:after="3" w:line="248" w:lineRule="auto"/>
        <w:ind w:right="1" w:hanging="286"/>
        <w:jc w:val="both"/>
        <w:rPr>
          <w:rFonts w:ascii="Times New Roman" w:eastAsia="Times New Roman" w:hAnsi="Times New Roman" w:cs="Times New Roman"/>
          <w:color w:val="000000"/>
          <w:lang w:val="en-IE" w:eastAsia="en-IE"/>
        </w:rPr>
      </w:pPr>
      <w:proofErr w:type="spellStart"/>
      <w:r w:rsidRPr="00B64721">
        <w:rPr>
          <w:rFonts w:ascii="Times New Roman" w:eastAsia="Times New Roman" w:hAnsi="Times New Roman" w:cs="Times New Roman"/>
          <w:color w:val="000000"/>
          <w:lang w:val="en-IE" w:eastAsia="en-IE"/>
        </w:rPr>
        <w:t>Compétences</w:t>
      </w:r>
      <w:proofErr w:type="spellEnd"/>
      <w:r w:rsidRPr="00B64721">
        <w:rPr>
          <w:rFonts w:ascii="Times New Roman" w:eastAsia="Times New Roman" w:hAnsi="Times New Roman" w:cs="Times New Roman"/>
          <w:color w:val="000000"/>
          <w:lang w:val="en-IE" w:eastAsia="en-IE"/>
        </w:rPr>
        <w:t xml:space="preserve"> </w:t>
      </w:r>
      <w:proofErr w:type="spellStart"/>
      <w:r w:rsidRPr="00B64721">
        <w:rPr>
          <w:rFonts w:ascii="Times New Roman" w:eastAsia="Times New Roman" w:hAnsi="Times New Roman" w:cs="Times New Roman"/>
          <w:color w:val="000000"/>
          <w:lang w:val="en-IE" w:eastAsia="en-IE"/>
        </w:rPr>
        <w:t>rédactionnelles</w:t>
      </w:r>
      <w:proofErr w:type="spellEnd"/>
      <w:r w:rsidRPr="00B64721">
        <w:rPr>
          <w:rFonts w:ascii="Times New Roman" w:eastAsia="Times New Roman" w:hAnsi="Times New Roman" w:cs="Times New Roman"/>
          <w:color w:val="000000"/>
          <w:lang w:val="en-IE" w:eastAsia="en-IE"/>
        </w:rPr>
        <w:t xml:space="preserve">, </w:t>
      </w:r>
    </w:p>
    <w:p w:rsidR="00B64721" w:rsidRPr="00B64721" w:rsidRDefault="00B64721" w:rsidP="00B64721">
      <w:pPr>
        <w:numPr>
          <w:ilvl w:val="0"/>
          <w:numId w:val="36"/>
        </w:numPr>
        <w:spacing w:after="3" w:line="248" w:lineRule="auto"/>
        <w:ind w:right="1" w:hanging="286"/>
        <w:jc w:val="both"/>
        <w:rPr>
          <w:rFonts w:ascii="Times New Roman" w:eastAsia="Times New Roman" w:hAnsi="Times New Roman" w:cs="Times New Roman"/>
          <w:color w:val="000000"/>
          <w:lang w:val="en-IE" w:eastAsia="en-IE"/>
        </w:rPr>
      </w:pPr>
      <w:r w:rsidRPr="00B64721">
        <w:rPr>
          <w:rFonts w:ascii="Times New Roman" w:eastAsia="Times New Roman" w:hAnsi="Times New Roman" w:cs="Times New Roman"/>
          <w:color w:val="000000"/>
          <w:lang w:val="en-IE" w:eastAsia="en-IE"/>
        </w:rPr>
        <w:t xml:space="preserve">Aptitude à la </w:t>
      </w:r>
      <w:proofErr w:type="spellStart"/>
      <w:r w:rsidRPr="00B64721">
        <w:rPr>
          <w:rFonts w:ascii="Times New Roman" w:eastAsia="Times New Roman" w:hAnsi="Times New Roman" w:cs="Times New Roman"/>
          <w:color w:val="000000"/>
          <w:lang w:val="en-IE" w:eastAsia="en-IE"/>
        </w:rPr>
        <w:t>négociation</w:t>
      </w:r>
      <w:proofErr w:type="spellEnd"/>
      <w:r w:rsidRPr="00B64721">
        <w:rPr>
          <w:rFonts w:ascii="Times New Roman" w:eastAsia="Times New Roman" w:hAnsi="Times New Roman" w:cs="Times New Roman"/>
          <w:color w:val="000000"/>
          <w:lang w:val="en-IE" w:eastAsia="en-IE"/>
        </w:rPr>
        <w:t xml:space="preserve">, </w:t>
      </w:r>
    </w:p>
    <w:p w:rsidR="00B64721" w:rsidRPr="00B64721" w:rsidRDefault="00B64721" w:rsidP="00B64721">
      <w:pPr>
        <w:numPr>
          <w:ilvl w:val="0"/>
          <w:numId w:val="36"/>
        </w:numPr>
        <w:spacing w:after="3" w:line="248" w:lineRule="auto"/>
        <w:ind w:right="1" w:hanging="286"/>
        <w:jc w:val="both"/>
        <w:rPr>
          <w:rFonts w:ascii="Times New Roman" w:eastAsia="Times New Roman" w:hAnsi="Times New Roman" w:cs="Times New Roman"/>
          <w:color w:val="000000"/>
          <w:lang w:eastAsia="en-IE"/>
        </w:rPr>
      </w:pPr>
      <w:r w:rsidRPr="00B64721">
        <w:rPr>
          <w:rFonts w:ascii="Times New Roman" w:eastAsia="Times New Roman" w:hAnsi="Times New Roman" w:cs="Times New Roman"/>
          <w:color w:val="000000"/>
          <w:lang w:eastAsia="en-IE"/>
        </w:rPr>
        <w:t xml:space="preserve">Capacité à travailler de manière proactive et autonome, </w:t>
      </w:r>
    </w:p>
    <w:p w:rsidR="00B64721" w:rsidRPr="00B64721" w:rsidRDefault="00B64721" w:rsidP="00B64721">
      <w:pPr>
        <w:numPr>
          <w:ilvl w:val="0"/>
          <w:numId w:val="36"/>
        </w:numPr>
        <w:spacing w:after="3" w:line="248" w:lineRule="auto"/>
        <w:ind w:right="1" w:hanging="286"/>
        <w:jc w:val="both"/>
        <w:rPr>
          <w:rFonts w:ascii="Times New Roman" w:eastAsia="Times New Roman" w:hAnsi="Times New Roman" w:cs="Times New Roman"/>
          <w:color w:val="000000"/>
          <w:lang w:eastAsia="en-IE"/>
        </w:rPr>
      </w:pPr>
      <w:r w:rsidRPr="00B64721">
        <w:rPr>
          <w:rFonts w:ascii="Times New Roman" w:eastAsia="Times New Roman" w:hAnsi="Times New Roman" w:cs="Times New Roman"/>
          <w:color w:val="000000"/>
          <w:lang w:eastAsia="en-IE"/>
        </w:rPr>
        <w:t xml:space="preserve">Flexibilité (ouverture à de nouvelles demandes, etc.), </w:t>
      </w:r>
    </w:p>
    <w:p w:rsidR="00B64721" w:rsidRPr="00B64721" w:rsidRDefault="00B64721" w:rsidP="00B64721">
      <w:pPr>
        <w:numPr>
          <w:ilvl w:val="0"/>
          <w:numId w:val="36"/>
        </w:numPr>
        <w:spacing w:after="3" w:line="248" w:lineRule="auto"/>
        <w:ind w:right="1" w:hanging="286"/>
        <w:jc w:val="both"/>
        <w:rPr>
          <w:rFonts w:ascii="Times New Roman" w:eastAsia="Times New Roman" w:hAnsi="Times New Roman" w:cs="Times New Roman"/>
          <w:color w:val="000000"/>
          <w:lang w:eastAsia="en-IE"/>
        </w:rPr>
      </w:pPr>
      <w:r w:rsidRPr="00B64721">
        <w:rPr>
          <w:rFonts w:ascii="Times New Roman" w:eastAsia="Times New Roman" w:hAnsi="Times New Roman" w:cs="Times New Roman"/>
          <w:color w:val="000000"/>
          <w:lang w:eastAsia="en-IE"/>
        </w:rPr>
        <w:t xml:space="preserve">Capacité de fournir des résultats de manière structurée, </w:t>
      </w:r>
    </w:p>
    <w:p w:rsidR="00B64721" w:rsidRPr="00B64721" w:rsidRDefault="00B64721" w:rsidP="00B64721">
      <w:pPr>
        <w:numPr>
          <w:ilvl w:val="0"/>
          <w:numId w:val="36"/>
        </w:numPr>
        <w:spacing w:after="3" w:line="248" w:lineRule="auto"/>
        <w:ind w:right="1" w:hanging="286"/>
        <w:jc w:val="both"/>
        <w:rPr>
          <w:rFonts w:ascii="Times New Roman" w:eastAsia="Times New Roman" w:hAnsi="Times New Roman" w:cs="Times New Roman"/>
          <w:color w:val="000000"/>
          <w:lang w:val="en-IE" w:eastAsia="en-IE"/>
        </w:rPr>
      </w:pPr>
      <w:r w:rsidRPr="00B64721">
        <w:rPr>
          <w:rFonts w:ascii="Times New Roman" w:eastAsia="Times New Roman" w:hAnsi="Times New Roman" w:cs="Times New Roman"/>
          <w:color w:val="000000"/>
          <w:lang w:val="en-IE" w:eastAsia="en-IE"/>
        </w:rPr>
        <w:t xml:space="preserve">Résistance au stress, </w:t>
      </w:r>
    </w:p>
    <w:p w:rsidR="00F714E3" w:rsidRDefault="00B64721" w:rsidP="00F714E3">
      <w:pPr>
        <w:numPr>
          <w:ilvl w:val="0"/>
          <w:numId w:val="36"/>
        </w:numPr>
        <w:spacing w:after="31" w:line="248" w:lineRule="auto"/>
        <w:ind w:right="1" w:hanging="286"/>
        <w:jc w:val="both"/>
        <w:rPr>
          <w:rFonts w:ascii="Times New Roman" w:eastAsia="Times New Roman" w:hAnsi="Times New Roman" w:cs="Times New Roman"/>
          <w:color w:val="000000"/>
          <w:lang w:val="en-IE" w:eastAsia="en-IE"/>
        </w:rPr>
      </w:pPr>
      <w:r w:rsidRPr="00B64721">
        <w:rPr>
          <w:rFonts w:ascii="Times New Roman" w:eastAsia="Times New Roman" w:hAnsi="Times New Roman" w:cs="Times New Roman"/>
          <w:color w:val="000000"/>
          <w:lang w:val="en-IE" w:eastAsia="en-IE"/>
        </w:rPr>
        <w:t xml:space="preserve">Esprit </w:t>
      </w:r>
      <w:proofErr w:type="spellStart"/>
      <w:r w:rsidRPr="00B64721">
        <w:rPr>
          <w:rFonts w:ascii="Times New Roman" w:eastAsia="Times New Roman" w:hAnsi="Times New Roman" w:cs="Times New Roman"/>
          <w:color w:val="000000"/>
          <w:lang w:val="en-IE" w:eastAsia="en-IE"/>
        </w:rPr>
        <w:t>d’initiative</w:t>
      </w:r>
      <w:proofErr w:type="spellEnd"/>
      <w:r w:rsidRPr="00B64721">
        <w:rPr>
          <w:rFonts w:ascii="Times New Roman" w:eastAsia="Times New Roman" w:hAnsi="Times New Roman" w:cs="Times New Roman"/>
          <w:color w:val="000000"/>
          <w:lang w:val="en-IE" w:eastAsia="en-IE"/>
        </w:rPr>
        <w:t xml:space="preserve">,  </w:t>
      </w:r>
    </w:p>
    <w:p w:rsidR="00E109FB" w:rsidRPr="00F714E3" w:rsidRDefault="00B64721" w:rsidP="00F714E3">
      <w:pPr>
        <w:numPr>
          <w:ilvl w:val="0"/>
          <w:numId w:val="36"/>
        </w:numPr>
        <w:spacing w:after="31" w:line="248" w:lineRule="auto"/>
        <w:ind w:right="1" w:hanging="286"/>
        <w:jc w:val="both"/>
        <w:rPr>
          <w:rFonts w:ascii="Times New Roman" w:eastAsia="Times New Roman" w:hAnsi="Times New Roman" w:cs="Times New Roman"/>
          <w:color w:val="000000"/>
          <w:lang w:val="en-IE" w:eastAsia="en-IE"/>
        </w:rPr>
      </w:pPr>
      <w:bookmarkStart w:id="0" w:name="_GoBack"/>
      <w:bookmarkEnd w:id="0"/>
      <w:r w:rsidRPr="00F714E3">
        <w:rPr>
          <w:rFonts w:ascii="Times New Roman" w:eastAsia="Times New Roman" w:hAnsi="Times New Roman" w:cs="Times New Roman"/>
          <w:color w:val="000000"/>
          <w:lang w:val="en-IE" w:eastAsia="en-IE"/>
        </w:rPr>
        <w:t xml:space="preserve">Bon esprit </w:t>
      </w:r>
      <w:proofErr w:type="spellStart"/>
      <w:r w:rsidRPr="00F714E3">
        <w:rPr>
          <w:rFonts w:ascii="Times New Roman" w:eastAsia="Times New Roman" w:hAnsi="Times New Roman" w:cs="Times New Roman"/>
          <w:color w:val="000000"/>
          <w:lang w:val="en-IE" w:eastAsia="en-IE"/>
        </w:rPr>
        <w:t>d’équipe</w:t>
      </w:r>
      <w:proofErr w:type="spellEnd"/>
      <w:r w:rsidRPr="00F714E3">
        <w:rPr>
          <w:rFonts w:ascii="Times New Roman" w:eastAsia="Times New Roman" w:hAnsi="Times New Roman" w:cs="Times New Roman"/>
          <w:color w:val="000000"/>
          <w:lang w:val="en-IE" w:eastAsia="en-IE"/>
        </w:rPr>
        <w:t>.</w:t>
      </w:r>
    </w:p>
    <w:p w:rsidR="0047293A" w:rsidRDefault="0047293A"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F18BF" w:rsidRDefault="00B64721" w:rsidP="001F18BF">
      <w:pPr>
        <w:spacing w:after="0" w:line="240" w:lineRule="auto"/>
        <w:ind w:left="709"/>
        <w:rPr>
          <w:rFonts w:ascii="Times New Roman" w:eastAsia="Times New Roman" w:hAnsi="Times New Roman" w:cs="Times New Roman"/>
          <w:lang w:eastAsia="en-GB"/>
        </w:rPr>
      </w:pPr>
      <w:r w:rsidRPr="00B64721">
        <w:rPr>
          <w:rFonts w:ascii="Times New Roman" w:eastAsia="Times New Roman" w:hAnsi="Times New Roman" w:cs="Times New Roman"/>
          <w:lang w:eastAsia="en-GB"/>
        </w:rPr>
        <w:t>Une bonne connaissance de l’anglais est une condition préalable.</w:t>
      </w:r>
    </w:p>
    <w:p w:rsidR="00B64721" w:rsidRPr="00100B37" w:rsidRDefault="00B64721"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FD717F" w:rsidRDefault="00FD717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 xml:space="preserve">Les données des END seront conservées pendant 7 ans à compter de la fin du détachement (2 ans pour les END dont la candidature n'a pas été retenue). </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b/>
          <w:u w:val="single"/>
          <w:lang w:eastAsia="en-GB"/>
        </w:rPr>
      </w:pPr>
      <w:r w:rsidRPr="0088103D">
        <w:rPr>
          <w:rFonts w:ascii="Times New Roman" w:eastAsia="Times New Roman" w:hAnsi="Times New Roman" w:cs="Times New Roman"/>
          <w:b/>
          <w:u w:val="single"/>
          <w:lang w:eastAsia="en-GB"/>
        </w:rPr>
        <w:t>Informations de contact</w:t>
      </w:r>
    </w:p>
    <w:p w:rsidR="0088103D" w:rsidRPr="0088103D" w:rsidRDefault="0088103D" w:rsidP="0088103D">
      <w:pPr>
        <w:spacing w:after="0" w:line="240" w:lineRule="auto"/>
        <w:ind w:left="426" w:right="175"/>
        <w:jc w:val="both"/>
        <w:rPr>
          <w:rFonts w:ascii="Times New Roman" w:eastAsia="Times New Roman" w:hAnsi="Times New Roman" w:cs="Times New Roman"/>
          <w:b/>
          <w:u w:val="single"/>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w:t>
      </w:r>
      <w:r w:rsidRPr="0088103D">
        <w:rPr>
          <w:rFonts w:ascii="Times New Roman" w:eastAsia="Times New Roman" w:hAnsi="Times New Roman" w:cs="Times New Roman"/>
          <w:lang w:eastAsia="en-GB"/>
        </w:rPr>
        <w:tab/>
      </w:r>
      <w:r w:rsidRPr="0088103D">
        <w:rPr>
          <w:rFonts w:ascii="Times New Roman" w:eastAsia="Times New Roman" w:hAnsi="Times New Roman" w:cs="Times New Roman"/>
          <w:b/>
          <w:lang w:eastAsia="en-GB"/>
        </w:rPr>
        <w:t>Le contrôleur de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0" w:history="1">
        <w:r w:rsidRPr="0088103D">
          <w:rPr>
            <w:rFonts w:ascii="Times New Roman" w:eastAsia="Times New Roman" w:hAnsi="Times New Roman" w:cs="Times New Roman"/>
            <w:color w:val="0000FF"/>
            <w:u w:val="single"/>
            <w:lang w:eastAsia="en-GB"/>
          </w:rPr>
          <w:t>HR-B1-DPR@ec.europa.eu</w:t>
        </w:r>
      </w:hyperlink>
      <w:r w:rsidRPr="0088103D">
        <w:rPr>
          <w:rFonts w:ascii="Times New Roman" w:eastAsia="Times New Roman" w:hAnsi="Times New Roman" w:cs="Times New Roman"/>
          <w:color w:val="0000FF"/>
          <w:lang w:eastAsia="en-GB"/>
        </w:rPr>
        <w:t>.</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w:t>
      </w:r>
      <w:r w:rsidRPr="0088103D">
        <w:rPr>
          <w:rFonts w:ascii="Times New Roman" w:eastAsia="Times New Roman" w:hAnsi="Times New Roman" w:cs="Times New Roman"/>
          <w:lang w:eastAsia="en-GB"/>
        </w:rPr>
        <w:tab/>
      </w:r>
      <w:r w:rsidRPr="0088103D">
        <w:rPr>
          <w:rFonts w:ascii="Times New Roman" w:eastAsia="Times New Roman" w:hAnsi="Times New Roman" w:cs="Times New Roman"/>
          <w:b/>
          <w:u w:val="single"/>
          <w:lang w:eastAsia="en-GB"/>
        </w:rPr>
        <w:t>Le délégué à la protection des données (DPD) de la Commission</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pouvez contacter le délégué à la protection des données (</w:t>
      </w:r>
      <w:hyperlink r:id="rId11" w:history="1">
        <w:r w:rsidRPr="0088103D">
          <w:rPr>
            <w:rFonts w:ascii="Times New Roman" w:eastAsia="Times New Roman" w:hAnsi="Times New Roman" w:cs="Times New Roman"/>
            <w:color w:val="0000FF"/>
            <w:u w:val="single"/>
            <w:lang w:eastAsia="en-GB"/>
          </w:rPr>
          <w:t>DATA-PROTECTION-OFFICER@ec.europa.eu</w:t>
        </w:r>
      </w:hyperlink>
      <w:r w:rsidRPr="0088103D">
        <w:rPr>
          <w:rFonts w:ascii="Times New Roman" w:eastAsia="Times New Roman" w:hAnsi="Times New Roman" w:cs="Times New Roman"/>
          <w:lang w:eastAsia="en-GB"/>
        </w:rPr>
        <w:t>) pour toute question relative au traitement de vos données à caractère personnel en vertu du règlement (UE) 2018/1725.</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b/>
          <w:u w:val="single"/>
          <w:lang w:eastAsia="en-GB"/>
        </w:rPr>
      </w:pPr>
      <w:r w:rsidRPr="0088103D">
        <w:rPr>
          <w:rFonts w:ascii="Times New Roman" w:eastAsia="Times New Roman" w:hAnsi="Times New Roman" w:cs="Times New Roman"/>
          <w:b/>
          <w:lang w:eastAsia="en-GB"/>
        </w:rPr>
        <w:t>-</w:t>
      </w:r>
      <w:r w:rsidRPr="0088103D">
        <w:rPr>
          <w:rFonts w:ascii="Times New Roman" w:eastAsia="Times New Roman" w:hAnsi="Times New Roman" w:cs="Times New Roman"/>
          <w:b/>
          <w:lang w:eastAsia="en-GB"/>
        </w:rPr>
        <w:tab/>
      </w:r>
      <w:r w:rsidRPr="0088103D">
        <w:rPr>
          <w:rFonts w:ascii="Times New Roman" w:eastAsia="Times New Roman" w:hAnsi="Times New Roman" w:cs="Times New Roman"/>
          <w:b/>
          <w:u w:val="single"/>
          <w:lang w:eastAsia="en-GB"/>
        </w:rPr>
        <w:t>Le contrôleur européen de la protection des données (CEPD)</w:t>
      </w: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b/>
          <w:u w:val="single"/>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avez le droit de saisir le contrôleur européen de la protection des données (</w:t>
      </w:r>
      <w:hyperlink r:id="rId12" w:history="1">
        <w:r w:rsidRPr="0088103D">
          <w:rPr>
            <w:rFonts w:ascii="Times New Roman" w:eastAsia="Times New Roman" w:hAnsi="Times New Roman" w:cs="Times New Roman"/>
            <w:color w:val="0000FF"/>
            <w:u w:val="single"/>
            <w:lang w:eastAsia="en-GB"/>
          </w:rPr>
          <w:t>edps@edps.europa.eu</w:t>
        </w:r>
      </w:hyperlink>
      <w:r w:rsidRPr="0088103D">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AC55BD" w:rsidRDefault="0088103D" w:rsidP="0088103D">
      <w:pPr>
        <w:spacing w:after="0" w:line="240" w:lineRule="auto"/>
        <w:ind w:left="426"/>
        <w:jc w:val="both"/>
      </w:pPr>
      <w:r w:rsidRPr="0088103D">
        <w:rPr>
          <w:rFonts w:ascii="Times New Roman" w:eastAsia="Times New Roman" w:hAnsi="Times New Roman" w:cs="Times New Roman"/>
          <w:lang w:eastAsia="en-GB"/>
        </w:rPr>
        <w:t>À l'attention des candidats ressortissant de pays tiers: vos données personnelles peuvent être utilisées aux fins des vérifications de sécurité.</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0D104842"/>
    <w:multiLevelType w:val="hybridMultilevel"/>
    <w:tmpl w:val="B27CB35A"/>
    <w:lvl w:ilvl="0" w:tplc="00480BF6">
      <w:start w:val="1"/>
      <w:numFmt w:val="bullet"/>
      <w:lvlText w:val="-"/>
      <w:lvlJc w:val="left"/>
      <w:pPr>
        <w:ind w:left="9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C445014">
      <w:start w:val="1"/>
      <w:numFmt w:val="bullet"/>
      <w:lvlText w:val="o"/>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38AE462">
      <w:start w:val="1"/>
      <w:numFmt w:val="bullet"/>
      <w:lvlText w:val="▪"/>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D4432F0">
      <w:start w:val="1"/>
      <w:numFmt w:val="bullet"/>
      <w:lvlText w:val="•"/>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8C4DC02">
      <w:start w:val="1"/>
      <w:numFmt w:val="bullet"/>
      <w:lvlText w:val="o"/>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BEC74F0">
      <w:start w:val="1"/>
      <w:numFmt w:val="bullet"/>
      <w:lvlText w:val="▪"/>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84256BA">
      <w:start w:val="1"/>
      <w:numFmt w:val="bullet"/>
      <w:lvlText w:val="•"/>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BB4F9A4">
      <w:start w:val="1"/>
      <w:numFmt w:val="bullet"/>
      <w:lvlText w:val="o"/>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B5C2F9E">
      <w:start w:val="1"/>
      <w:numFmt w:val="bullet"/>
      <w:lvlText w:val="▪"/>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5EF236E"/>
    <w:multiLevelType w:val="hybridMultilevel"/>
    <w:tmpl w:val="193679C4"/>
    <w:lvl w:ilvl="0" w:tplc="767A84E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1"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4"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6"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19"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9654072"/>
    <w:multiLevelType w:val="hybridMultilevel"/>
    <w:tmpl w:val="44A6EECC"/>
    <w:lvl w:ilvl="0" w:tplc="8FE840EA">
      <w:start w:val="1"/>
      <w:numFmt w:val="bullet"/>
      <w:lvlText w:val="-"/>
      <w:lvlJc w:val="left"/>
      <w:pPr>
        <w:ind w:left="6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726E490">
      <w:start w:val="1"/>
      <w:numFmt w:val="bullet"/>
      <w:lvlText w:val="o"/>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EFCFAAC">
      <w:start w:val="1"/>
      <w:numFmt w:val="bullet"/>
      <w:lvlText w:val="▪"/>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8BAB9D8">
      <w:start w:val="1"/>
      <w:numFmt w:val="bullet"/>
      <w:lvlText w:val="•"/>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BB66438">
      <w:start w:val="1"/>
      <w:numFmt w:val="bullet"/>
      <w:lvlText w:val="o"/>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FD085AC">
      <w:start w:val="1"/>
      <w:numFmt w:val="bullet"/>
      <w:lvlText w:val="▪"/>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9BED436">
      <w:start w:val="1"/>
      <w:numFmt w:val="bullet"/>
      <w:lvlText w:val="•"/>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7B6926E">
      <w:start w:val="1"/>
      <w:numFmt w:val="bullet"/>
      <w:lvlText w:val="o"/>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C5C1018">
      <w:start w:val="1"/>
      <w:numFmt w:val="bullet"/>
      <w:lvlText w:val="▪"/>
      <w:lvlJc w:val="left"/>
      <w:pPr>
        <w:ind w:left="6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693679D3"/>
    <w:multiLevelType w:val="hybridMultilevel"/>
    <w:tmpl w:val="E4E2585E"/>
    <w:lvl w:ilvl="0" w:tplc="A2A4E6CC">
      <w:start w:val="1"/>
      <w:numFmt w:val="bullet"/>
      <w:lvlText w:val="-"/>
      <w:lvlJc w:val="left"/>
      <w:pPr>
        <w:ind w:left="6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310AE94">
      <w:start w:val="1"/>
      <w:numFmt w:val="bullet"/>
      <w:lvlText w:val="o"/>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80022FC">
      <w:start w:val="1"/>
      <w:numFmt w:val="bullet"/>
      <w:lvlText w:val="▪"/>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1B8A524">
      <w:start w:val="1"/>
      <w:numFmt w:val="bullet"/>
      <w:lvlText w:val="•"/>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092F0D6">
      <w:start w:val="1"/>
      <w:numFmt w:val="bullet"/>
      <w:lvlText w:val="o"/>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B6ECB0C">
      <w:start w:val="1"/>
      <w:numFmt w:val="bullet"/>
      <w:lvlText w:val="▪"/>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170124C">
      <w:start w:val="1"/>
      <w:numFmt w:val="bullet"/>
      <w:lvlText w:val="•"/>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0CAEAC0">
      <w:start w:val="1"/>
      <w:numFmt w:val="bullet"/>
      <w:lvlText w:val="o"/>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F468EB8">
      <w:start w:val="1"/>
      <w:numFmt w:val="bullet"/>
      <w:lvlText w:val="▪"/>
      <w:lvlJc w:val="left"/>
      <w:pPr>
        <w:ind w:left="6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0"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5004522"/>
    <w:multiLevelType w:val="hybridMultilevel"/>
    <w:tmpl w:val="E34A434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7DE51745"/>
    <w:multiLevelType w:val="hybridMultilevel"/>
    <w:tmpl w:val="E870D518"/>
    <w:lvl w:ilvl="0" w:tplc="8BC220FE">
      <w:start w:val="1"/>
      <w:numFmt w:val="bullet"/>
      <w:lvlText w:val="-"/>
      <w:lvlJc w:val="left"/>
      <w:pPr>
        <w:ind w:left="7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38667EC">
      <w:start w:val="1"/>
      <w:numFmt w:val="bullet"/>
      <w:lvlText w:val="o"/>
      <w:lvlJc w:val="left"/>
      <w:pPr>
        <w:ind w:left="16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49AED90">
      <w:start w:val="1"/>
      <w:numFmt w:val="bullet"/>
      <w:lvlText w:val="▪"/>
      <w:lvlJc w:val="left"/>
      <w:pPr>
        <w:ind w:left="23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742B4BA">
      <w:start w:val="1"/>
      <w:numFmt w:val="bullet"/>
      <w:lvlText w:val="•"/>
      <w:lvlJc w:val="left"/>
      <w:pPr>
        <w:ind w:left="30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AE845A2">
      <w:start w:val="1"/>
      <w:numFmt w:val="bullet"/>
      <w:lvlText w:val="o"/>
      <w:lvlJc w:val="left"/>
      <w:pPr>
        <w:ind w:left="37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EE8E374">
      <w:start w:val="1"/>
      <w:numFmt w:val="bullet"/>
      <w:lvlText w:val="▪"/>
      <w:lvlJc w:val="left"/>
      <w:pPr>
        <w:ind w:left="4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600BDDE">
      <w:start w:val="1"/>
      <w:numFmt w:val="bullet"/>
      <w:lvlText w:val="•"/>
      <w:lvlJc w:val="left"/>
      <w:pPr>
        <w:ind w:left="5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F924BA6">
      <w:start w:val="1"/>
      <w:numFmt w:val="bullet"/>
      <w:lvlText w:val="o"/>
      <w:lvlJc w:val="left"/>
      <w:pPr>
        <w:ind w:left="5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9446364">
      <w:start w:val="1"/>
      <w:numFmt w:val="bullet"/>
      <w:lvlText w:val="▪"/>
      <w:lvlJc w:val="left"/>
      <w:pPr>
        <w:ind w:left="6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4"/>
  </w:num>
  <w:num w:numId="2">
    <w:abstractNumId w:val="11"/>
  </w:num>
  <w:num w:numId="3">
    <w:abstractNumId w:val="29"/>
  </w:num>
  <w:num w:numId="4">
    <w:abstractNumId w:val="17"/>
  </w:num>
  <w:num w:numId="5">
    <w:abstractNumId w:val="12"/>
  </w:num>
  <w:num w:numId="6">
    <w:abstractNumId w:val="2"/>
  </w:num>
  <w:num w:numId="7">
    <w:abstractNumId w:val="21"/>
  </w:num>
  <w:num w:numId="8">
    <w:abstractNumId w:val="13"/>
  </w:num>
  <w:num w:numId="9">
    <w:abstractNumId w:val="22"/>
  </w:num>
  <w:num w:numId="10">
    <w:abstractNumId w:val="9"/>
  </w:num>
  <w:num w:numId="11">
    <w:abstractNumId w:val="1"/>
  </w:num>
  <w:num w:numId="12">
    <w:abstractNumId w:val="6"/>
  </w:num>
  <w:num w:numId="13">
    <w:abstractNumId w:val="23"/>
  </w:num>
  <w:num w:numId="14">
    <w:abstractNumId w:val="27"/>
  </w:num>
  <w:num w:numId="15">
    <w:abstractNumId w:val="7"/>
  </w:num>
  <w:num w:numId="16">
    <w:abstractNumId w:val="0"/>
  </w:num>
  <w:num w:numId="17">
    <w:abstractNumId w:val="32"/>
  </w:num>
  <w:num w:numId="18">
    <w:abstractNumId w:val="30"/>
  </w:num>
  <w:num w:numId="19">
    <w:abstractNumId w:val="20"/>
  </w:num>
  <w:num w:numId="20">
    <w:abstractNumId w:val="16"/>
  </w:num>
  <w:num w:numId="21">
    <w:abstractNumId w:val="33"/>
  </w:num>
  <w:num w:numId="22">
    <w:abstractNumId w:val="26"/>
  </w:num>
  <w:num w:numId="23">
    <w:abstractNumId w:val="8"/>
  </w:num>
  <w:num w:numId="24">
    <w:abstractNumId w:val="18"/>
  </w:num>
  <w:num w:numId="25">
    <w:abstractNumId w:val="35"/>
  </w:num>
  <w:num w:numId="26">
    <w:abstractNumId w:val="15"/>
  </w:num>
  <w:num w:numId="27">
    <w:abstractNumId w:val="10"/>
  </w:num>
  <w:num w:numId="28">
    <w:abstractNumId w:val="19"/>
  </w:num>
  <w:num w:numId="29">
    <w:abstractNumId w:val="28"/>
  </w:num>
  <w:num w:numId="30">
    <w:abstractNumId w:val="5"/>
  </w:num>
  <w:num w:numId="31">
    <w:abstractNumId w:val="31"/>
  </w:num>
  <w:num w:numId="32">
    <w:abstractNumId w:val="4"/>
  </w:num>
  <w:num w:numId="33">
    <w:abstractNumId w:val="34"/>
  </w:num>
  <w:num w:numId="34">
    <w:abstractNumId w:val="25"/>
  </w:num>
  <w:num w:numId="35">
    <w:abstractNumId w:val="24"/>
  </w:num>
  <w:num w:numId="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05E8B"/>
    <w:rsid w:val="000D7956"/>
    <w:rsid w:val="000E6DA3"/>
    <w:rsid w:val="00100B37"/>
    <w:rsid w:val="0019598C"/>
    <w:rsid w:val="001D1CEB"/>
    <w:rsid w:val="001F18BF"/>
    <w:rsid w:val="001F6A8B"/>
    <w:rsid w:val="00294A59"/>
    <w:rsid w:val="002A3536"/>
    <w:rsid w:val="002D3AB2"/>
    <w:rsid w:val="002D5733"/>
    <w:rsid w:val="003445AE"/>
    <w:rsid w:val="00381739"/>
    <w:rsid w:val="003A6CAF"/>
    <w:rsid w:val="003B3223"/>
    <w:rsid w:val="003F6A25"/>
    <w:rsid w:val="0041391F"/>
    <w:rsid w:val="0042578F"/>
    <w:rsid w:val="00443EC9"/>
    <w:rsid w:val="00456E92"/>
    <w:rsid w:val="0047293A"/>
    <w:rsid w:val="004947DA"/>
    <w:rsid w:val="004D1C94"/>
    <w:rsid w:val="00504F19"/>
    <w:rsid w:val="00534042"/>
    <w:rsid w:val="00563A0A"/>
    <w:rsid w:val="00581C3B"/>
    <w:rsid w:val="006321C7"/>
    <w:rsid w:val="00674A19"/>
    <w:rsid w:val="006851C8"/>
    <w:rsid w:val="006E09D3"/>
    <w:rsid w:val="006F273B"/>
    <w:rsid w:val="00745B97"/>
    <w:rsid w:val="00762B34"/>
    <w:rsid w:val="00793AF8"/>
    <w:rsid w:val="007F2F83"/>
    <w:rsid w:val="007F46B6"/>
    <w:rsid w:val="007F771A"/>
    <w:rsid w:val="00803AF5"/>
    <w:rsid w:val="00804B2F"/>
    <w:rsid w:val="008219BC"/>
    <w:rsid w:val="0088103D"/>
    <w:rsid w:val="00902804"/>
    <w:rsid w:val="009A421C"/>
    <w:rsid w:val="009C39A3"/>
    <w:rsid w:val="00A140DB"/>
    <w:rsid w:val="00A23D3E"/>
    <w:rsid w:val="00A516E1"/>
    <w:rsid w:val="00B05153"/>
    <w:rsid w:val="00B36D07"/>
    <w:rsid w:val="00B64721"/>
    <w:rsid w:val="00B9574D"/>
    <w:rsid w:val="00BA34CF"/>
    <w:rsid w:val="00BC14A5"/>
    <w:rsid w:val="00BC661A"/>
    <w:rsid w:val="00C20621"/>
    <w:rsid w:val="00CF677F"/>
    <w:rsid w:val="00D805C9"/>
    <w:rsid w:val="00D869ED"/>
    <w:rsid w:val="00D9400C"/>
    <w:rsid w:val="00DF5355"/>
    <w:rsid w:val="00E109FB"/>
    <w:rsid w:val="00E441A0"/>
    <w:rsid w:val="00F714E3"/>
    <w:rsid w:val="00F821EA"/>
    <w:rsid w:val="00FD717F"/>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C464F"/>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ela.Tesarov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1950</Words>
  <Characters>10808</Characters>
  <Application>Microsoft Office Word</Application>
  <DocSecurity>0</DocSecurity>
  <Lines>240</Lines>
  <Paragraphs>138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2022-12-08T13:10:00Z</dcterms:created>
  <dcterms:modified xsi:type="dcterms:W3CDTF">2022-12-08T13:13:00Z</dcterms:modified>
</cp:coreProperties>
</file>