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54DC3" w:rsidP="00D54DC3">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ENER-B-1</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54DC3" w:rsidRPr="00D54DC3" w:rsidRDefault="00D54DC3" w:rsidP="00D54DC3">
            <w:pPr>
              <w:rPr>
                <w:rFonts w:ascii="Times New Roman" w:hAnsi="Times New Roman" w:cs="Times New Roman"/>
                <w:b/>
                <w:lang w:val="en-GB"/>
              </w:rPr>
            </w:pPr>
            <w:r w:rsidRPr="00D54DC3">
              <w:rPr>
                <w:rFonts w:ascii="Times New Roman" w:hAnsi="Times New Roman" w:cs="Times New Roman"/>
                <w:b/>
                <w:lang w:val="en-GB"/>
              </w:rPr>
              <w:t xml:space="preserve">Adela TESAROVA </w:t>
            </w:r>
          </w:p>
          <w:p w:rsidR="00D54DC3" w:rsidRPr="00D54DC3" w:rsidRDefault="00D54DC3" w:rsidP="00D54DC3">
            <w:pPr>
              <w:rPr>
                <w:rFonts w:ascii="Times New Roman" w:hAnsi="Times New Roman" w:cs="Times New Roman"/>
                <w:b/>
                <w:lang w:val="en-GB"/>
              </w:rPr>
            </w:pPr>
            <w:hyperlink r:id="rId9" w:history="1">
              <w:r w:rsidRPr="009B1E1F">
                <w:rPr>
                  <w:rStyle w:val="Hyperlink"/>
                  <w:rFonts w:ascii="Times New Roman" w:hAnsi="Times New Roman" w:cs="Times New Roman"/>
                  <w:b/>
                  <w:lang w:val="en-GB"/>
                </w:rPr>
                <w:t>Adela.Tesarova@ec.europa.eu</w:t>
              </w:r>
            </w:hyperlink>
            <w:r>
              <w:rPr>
                <w:rFonts w:ascii="Times New Roman" w:hAnsi="Times New Roman" w:cs="Times New Roman"/>
                <w:b/>
                <w:lang w:val="en-GB"/>
              </w:rPr>
              <w:t xml:space="preserve"> </w:t>
            </w:r>
          </w:p>
          <w:p w:rsidR="00D53AD5" w:rsidRDefault="00D54DC3" w:rsidP="00D54DC3">
            <w:pPr>
              <w:ind w:left="34" w:right="1317"/>
              <w:jc w:val="both"/>
              <w:rPr>
                <w:rFonts w:ascii="Times New Roman" w:hAnsi="Times New Roman" w:cs="Times New Roman"/>
                <w:b/>
              </w:rPr>
            </w:pPr>
            <w:r w:rsidRPr="00D54DC3">
              <w:rPr>
                <w:rFonts w:ascii="Times New Roman" w:hAnsi="Times New Roman" w:cs="Times New Roman"/>
                <w:b/>
                <w:lang w:val="en-GB"/>
              </w:rPr>
              <w:t>+32 229-80031</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D54DC3"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D54DC3"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950BA5">
              <w:rPr>
                <w:rFonts w:ascii="Times New Roman" w:eastAsia="Times New Roman" w:hAnsi="Times New Roman" w:cs="Times New Roman"/>
                <w:b/>
                <w:lang w:val="de-DE" w:eastAsia="en-GB"/>
              </w:rPr>
              <w:t xml:space="preserve"> Jahr</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54DC3" w:rsidRPr="00D54DC3" w:rsidRDefault="00D54DC3" w:rsidP="00D54DC3">
      <w:pPr>
        <w:spacing w:after="11" w:line="247" w:lineRule="auto"/>
        <w:ind w:left="422" w:hanging="10"/>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Die allgemeine Aufgabe unseres Referats besteht darin, den Bürgerinnen und Bürgern den Zugang zu bezahlbarer grüner Energie zu erleichtern und sich aktiv an der Energiewende zu beteiligen. Im Einzelnen besteht unsere Aufgabe darin, Verbraucher, Bürger und Gemeinschaften in den Mittelpunkt der Energiewende in allen Teilen der Union zu stellen und dafür zu sorgen, dass die Energiewende fair und gerecht ist. Insbesondere vor dem Hintergrund der derzeitigen Energiekrise wollen wir die Handlungskompetenz der Bürger stärken und einen starken Verbraucherschutz gewährleisten. Durch digitale Instrumente und Datenverwaltung sollen Verbraucher eine aktive Rolle auf dem Energiemarkt spielen. Um sicherzustellen, dass niemand zurückgelassen wird, konzentrieren wir uns insbesondere auf von Energiearmut betroffene Regionen und Kohleregionen im Wandel. Unser Referat ist auch die zentrale Anlaufstelle für mehrere lokale Initiativen wie den EU-Bürgermeisterkonvent, den Marktplatz für intelligente Städte, die Mission „Städte“ im Rahmen von Horizont Europa, die EU-Inseln-Initiative und die Beratungsplattform Energiearmut. Damit unterstützen wir technische Hilfe, Wissensaustausch und Marktakzeptanz, um eine saubere und gerechte Energiewende zu beschleunigen. Wir fördern einen gerechten Übergang auch international, auf der Grundlage unserer Instrumente und Erfahrungen innerhalb der EU.</w:t>
      </w:r>
    </w:p>
    <w:p w:rsidR="00D54DC3" w:rsidRPr="00D54DC3" w:rsidRDefault="00D54DC3" w:rsidP="00D54DC3">
      <w:pPr>
        <w:spacing w:after="0" w:line="259" w:lineRule="auto"/>
        <w:ind w:left="427"/>
        <w:rPr>
          <w:rFonts w:ascii="Times New Roman" w:eastAsia="Times New Roman" w:hAnsi="Times New Roman" w:cs="Times New Roman"/>
          <w:color w:val="000000"/>
          <w:lang w:val="de-DE" w:eastAsia="en-IE"/>
        </w:rPr>
      </w:pPr>
    </w:p>
    <w:p w:rsidR="00D54DC3" w:rsidRPr="00D54DC3" w:rsidRDefault="00D54DC3" w:rsidP="00D54DC3">
      <w:pPr>
        <w:spacing w:after="11" w:line="247" w:lineRule="auto"/>
        <w:ind w:left="422" w:hanging="10"/>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Die Aufgaben des Abgeordneten nationalen Sachverständigen können insbesondere folgende Aufgaben umfassen:  </w:t>
      </w:r>
    </w:p>
    <w:p w:rsidR="00D54DC3" w:rsidRPr="00D54DC3" w:rsidRDefault="00D54DC3" w:rsidP="00D54DC3">
      <w:pPr>
        <w:spacing w:after="0" w:line="259" w:lineRule="auto"/>
        <w:ind w:left="427"/>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  </w:t>
      </w:r>
    </w:p>
    <w:p w:rsidR="00D54DC3" w:rsidRPr="00D54DC3" w:rsidRDefault="00D54DC3" w:rsidP="00D54DC3">
      <w:pPr>
        <w:spacing w:after="0" w:line="259" w:lineRule="auto"/>
        <w:ind w:left="427"/>
        <w:rPr>
          <w:rFonts w:ascii="Times New Roman" w:eastAsia="Times New Roman" w:hAnsi="Times New Roman" w:cs="Times New Roman"/>
          <w:color w:val="000000"/>
          <w:u w:val="single"/>
          <w:lang w:val="de-DE" w:eastAsia="en-IE"/>
        </w:rPr>
      </w:pPr>
      <w:r w:rsidRPr="00D54DC3">
        <w:rPr>
          <w:rFonts w:ascii="Times New Roman" w:eastAsia="Times New Roman" w:hAnsi="Times New Roman" w:cs="Times New Roman"/>
          <w:color w:val="000000"/>
          <w:u w:val="single"/>
          <w:lang w:val="de-DE" w:eastAsia="en-IE"/>
        </w:rPr>
        <w:t xml:space="preserve">Festlegung und Umsetzung der Politik: </w:t>
      </w:r>
    </w:p>
    <w:p w:rsidR="00D54DC3" w:rsidRPr="00D54DC3" w:rsidRDefault="00D54DC3" w:rsidP="00D54DC3">
      <w:pPr>
        <w:numPr>
          <w:ilvl w:val="0"/>
          <w:numId w:val="27"/>
        </w:numPr>
        <w:spacing w:after="0" w:line="259" w:lineRule="auto"/>
        <w:ind w:right="3"/>
        <w:contextualSpacing/>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Beitrag zu den konzeptionellen Überlegungen und der Definition eines gerechten Übergangs und einer </w:t>
      </w:r>
    </w:p>
    <w:p w:rsidR="00D54DC3" w:rsidRPr="00D54DC3" w:rsidRDefault="00D54DC3" w:rsidP="00D54DC3">
      <w:pPr>
        <w:spacing w:after="0" w:line="259" w:lineRule="auto"/>
        <w:ind w:left="787"/>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Energiewende für alle, unter Einbeziehung aller Aspekte von Einzelpersonen, Sektoren und Regionen; </w:t>
      </w:r>
    </w:p>
    <w:p w:rsidR="00D54DC3" w:rsidRPr="00D54DC3" w:rsidRDefault="00D54DC3" w:rsidP="00D54DC3">
      <w:pPr>
        <w:numPr>
          <w:ilvl w:val="0"/>
          <w:numId w:val="27"/>
        </w:numPr>
        <w:spacing w:after="0" w:line="259" w:lineRule="auto"/>
        <w:ind w:right="3"/>
        <w:contextualSpacing/>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lastRenderedPageBreak/>
        <w:t xml:space="preserve">Beitrag zur Umsetzung und Operationalisierung des gerechten Übergangs als tragende Säule des europäischen Grünen Deals, die über den Mechanismus für einen gerechten Übergang für CO2-intensive Regionen und Sektoren eingeführt wurde. Beitrag zur Umsetzung und Operationalisierung des rechtlichen Rahmens zur Bekämpfung der Energiearmut, der durch das Legislativpaket „Fit für 55“ geschaffen wurde </w:t>
      </w:r>
    </w:p>
    <w:p w:rsidR="00D54DC3" w:rsidRPr="00D54DC3" w:rsidRDefault="00D54DC3" w:rsidP="00D54DC3">
      <w:pPr>
        <w:numPr>
          <w:ilvl w:val="0"/>
          <w:numId w:val="27"/>
        </w:numPr>
        <w:spacing w:after="0" w:line="259" w:lineRule="auto"/>
        <w:ind w:right="3"/>
        <w:contextualSpacing/>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Fachliche Beratung oder sonstige Beiträge zur Bewertung der Maßnahmen der einzelnen Mitgliedstaaten in Bezug auf diese Politikbereiche  </w:t>
      </w:r>
    </w:p>
    <w:p w:rsidR="00D54DC3" w:rsidRPr="00D54DC3" w:rsidRDefault="00D54DC3" w:rsidP="00D54DC3">
      <w:pPr>
        <w:numPr>
          <w:ilvl w:val="0"/>
          <w:numId w:val="27"/>
        </w:numPr>
        <w:spacing w:after="0" w:line="259" w:lineRule="auto"/>
        <w:ind w:right="3"/>
        <w:contextualSpacing/>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Analyse von Daten und Fakten zur Energiewende sowie technische und regulatorische Rahmenbedingungen für ihre Implementierung vor Ort</w:t>
      </w:r>
    </w:p>
    <w:p w:rsidR="00D54DC3" w:rsidRPr="00D54DC3" w:rsidRDefault="00D54DC3" w:rsidP="00D54DC3">
      <w:pPr>
        <w:spacing w:after="0" w:line="259" w:lineRule="auto"/>
        <w:rPr>
          <w:rFonts w:ascii="Times New Roman" w:eastAsia="Times New Roman" w:hAnsi="Times New Roman" w:cs="Times New Roman"/>
          <w:color w:val="000000"/>
          <w:lang w:val="de-DE" w:eastAsia="en-IE"/>
        </w:rPr>
      </w:pPr>
    </w:p>
    <w:p w:rsidR="00D54DC3" w:rsidRPr="00D54DC3" w:rsidRDefault="00D54DC3" w:rsidP="00D54DC3">
      <w:pPr>
        <w:spacing w:after="3" w:line="265" w:lineRule="auto"/>
        <w:ind w:left="422" w:hanging="10"/>
        <w:rPr>
          <w:rFonts w:ascii="Times New Roman" w:eastAsia="Times New Roman" w:hAnsi="Times New Roman" w:cs="Times New Roman"/>
          <w:color w:val="000000"/>
          <w:lang w:val="en-IE" w:eastAsia="en-IE"/>
        </w:rPr>
      </w:pPr>
      <w:proofErr w:type="spellStart"/>
      <w:r w:rsidRPr="00D54DC3">
        <w:rPr>
          <w:rFonts w:ascii="Times New Roman" w:eastAsia="Times New Roman" w:hAnsi="Times New Roman" w:cs="Times New Roman"/>
          <w:color w:val="000000"/>
          <w:u w:val="single" w:color="000000"/>
          <w:lang w:val="en-IE" w:eastAsia="en-IE"/>
        </w:rPr>
        <w:t>Kommunikation</w:t>
      </w:r>
      <w:proofErr w:type="spellEnd"/>
      <w:r w:rsidRPr="00D54DC3">
        <w:rPr>
          <w:rFonts w:ascii="Times New Roman" w:eastAsia="Times New Roman" w:hAnsi="Times New Roman" w:cs="Times New Roman"/>
          <w:color w:val="000000"/>
          <w:u w:val="single" w:color="000000"/>
          <w:lang w:val="en-IE" w:eastAsia="en-IE"/>
        </w:rPr>
        <w:t xml:space="preserve"> und Analyse</w:t>
      </w:r>
      <w:r w:rsidRPr="00D54DC3">
        <w:rPr>
          <w:rFonts w:ascii="Calibri" w:eastAsia="Calibri" w:hAnsi="Calibri" w:cs="Calibri"/>
          <w:color w:val="000000"/>
          <w:lang w:val="en-IE" w:eastAsia="en-IE"/>
        </w:rPr>
        <w:t xml:space="preserve"> </w:t>
      </w:r>
    </w:p>
    <w:p w:rsidR="00D54DC3" w:rsidRP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Unterstützung bei der Präsentation, Vertretung und Erläuterung von Maßnahmen und Initiativen der Generaldirektion Energie bei verschiedenen Zielgruppen. </w:t>
      </w:r>
    </w:p>
    <w:p w:rsidR="00D54DC3" w:rsidRP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Unterstützung bei der Organisation von Arbeitsgruppen, Sitzungen, Veranstaltungen und Konsultationen der Interessenträger und Berücksichtigung ihrer Ergebnisse bei der Politikgestaltung. </w:t>
      </w:r>
    </w:p>
    <w:p w:rsidR="00D54DC3" w:rsidRP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Beobachtung sozioökonomischer Berichte und Prognosen und Ermittlung von Trends in Bezug auf den gerechten Übergang, sowie die Stärkung der Position der Verbraucher im Bereich erneuerbare Energie, zur Unterstützung der Erörterung und Analyse von politischen Instrumenten. </w:t>
      </w:r>
    </w:p>
    <w:p w:rsidR="00D54DC3" w:rsidRP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Erstellung von Berichten, Briefings, Präsentationen, Reden und Sprechzetteln.  </w:t>
      </w:r>
    </w:p>
    <w:p w:rsidR="00D54DC3" w:rsidRPr="00D54DC3" w:rsidRDefault="00D54DC3" w:rsidP="00D54DC3">
      <w:pPr>
        <w:spacing w:after="0" w:line="259" w:lineRule="auto"/>
        <w:ind w:left="427"/>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 </w:t>
      </w:r>
    </w:p>
    <w:p w:rsidR="00D54DC3" w:rsidRPr="00D54DC3" w:rsidRDefault="00D54DC3" w:rsidP="00D54DC3">
      <w:pPr>
        <w:spacing w:after="3" w:line="265" w:lineRule="auto"/>
        <w:ind w:left="422" w:hanging="10"/>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u w:val="single" w:color="000000"/>
          <w:lang w:val="de-DE" w:eastAsia="en-IE"/>
        </w:rPr>
        <w:t>Zusammenarbeit mit den Mitgliedstaaten und der Zivilgesellschaft</w:t>
      </w:r>
      <w:r w:rsidRPr="00D54DC3">
        <w:rPr>
          <w:rFonts w:ascii="Calibri" w:eastAsia="Calibri" w:hAnsi="Calibri" w:cs="Calibri"/>
          <w:color w:val="000000"/>
          <w:lang w:val="de-DE" w:eastAsia="en-IE"/>
        </w:rPr>
        <w:t xml:space="preserve"> </w:t>
      </w:r>
    </w:p>
    <w:p w:rsidR="00D54DC3" w:rsidRP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Analyse der Lage der Energieendkundenmärkte und deren Liberalisierung in den Mitgliedstaaten. </w:t>
      </w:r>
    </w:p>
    <w:p w:rsid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Unterstützung bei der Bewertung der Umsetzung der EU-Rechtsvorschriften zu Endkundenmärkten für Energie (Strom und Gas) und abgeleiteter Rechtsakte durch die Mitgliedstaaten. </w:t>
      </w:r>
    </w:p>
    <w:p w:rsidR="0014634C" w:rsidRPr="00D54DC3" w:rsidRDefault="00D54DC3" w:rsidP="00D54DC3">
      <w:pPr>
        <w:numPr>
          <w:ilvl w:val="0"/>
          <w:numId w:val="26"/>
        </w:numPr>
        <w:spacing w:after="11" w:line="247" w:lineRule="auto"/>
        <w:ind w:right="3" w:hanging="281"/>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Mitwirkung an der Erstellung von Dokumenten und sonstigen Beiträgen für den internen Gebrauch und/oder die öffentliche Verbreitung der ordnungsgemäßen Umsetzung der EU Rechtsvorschriften in den Mitgliedstaaten.</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D54DC3" w:rsidRPr="00D54DC3">
        <w:rPr>
          <w:rFonts w:ascii="Times New Roman" w:eastAsia="Times New Roman" w:hAnsi="Times New Roman" w:cs="Times New Roman"/>
          <w:lang w:val="de-DE" w:eastAsia="en-GB"/>
        </w:rPr>
        <w:t>VWL/BWL, Ingenieurwesen, Energiepolitik und Energie-Technologie, Informations- und Kommunikationstechnologie, Recht, oder andere relevante Disziplinen.</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54DC3" w:rsidRPr="00D54DC3" w:rsidRDefault="00D54DC3" w:rsidP="00D54DC3">
      <w:pPr>
        <w:spacing w:after="11" w:line="247" w:lineRule="auto"/>
        <w:ind w:left="718" w:hanging="10"/>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Der abgeordnete nationale Sachverständige sollte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Erfahrung in der Arbeit an Plänen oder Strategien mit Bezug zur Energiewende und des gerechten Übergangs oder der Einführung von Technologie-Lösungen zur Unterstützung der Energiewende haben. ODER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Erfahrung in der Zusammenarbeit mit Interessengruppen haben, die sich mit Energie, Klimawandel oder damit zusammenhängenden verbraucherpolitischen Fragen befassen.  </w:t>
      </w:r>
    </w:p>
    <w:p w:rsidR="00D54DC3" w:rsidRPr="00D54DC3" w:rsidRDefault="00D54DC3" w:rsidP="00D54DC3">
      <w:pPr>
        <w:spacing w:after="0" w:line="259" w:lineRule="auto"/>
        <w:ind w:left="708"/>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  </w:t>
      </w:r>
    </w:p>
    <w:p w:rsidR="00D54DC3" w:rsidRPr="00D54DC3" w:rsidRDefault="00D54DC3" w:rsidP="00D54DC3">
      <w:pPr>
        <w:spacing w:after="11" w:line="247" w:lineRule="auto"/>
        <w:ind w:left="718" w:hanging="10"/>
        <w:jc w:val="both"/>
        <w:rPr>
          <w:rFonts w:ascii="Times New Roman" w:eastAsia="Times New Roman" w:hAnsi="Times New Roman" w:cs="Times New Roman"/>
          <w:color w:val="000000"/>
          <w:lang w:val="en-IE" w:eastAsia="en-IE"/>
        </w:rPr>
      </w:pPr>
      <w:proofErr w:type="gramStart"/>
      <w:r w:rsidRPr="00D54DC3">
        <w:rPr>
          <w:rFonts w:ascii="Times New Roman" w:eastAsia="Times New Roman" w:hAnsi="Times New Roman" w:cs="Times New Roman"/>
          <w:color w:val="000000"/>
          <w:lang w:val="en-IE" w:eastAsia="en-IE"/>
        </w:rPr>
        <w:t>und</w:t>
      </w:r>
      <w:proofErr w:type="gramEnd"/>
      <w:r w:rsidRPr="00D54DC3">
        <w:rPr>
          <w:rFonts w:ascii="Times New Roman" w:eastAsia="Times New Roman" w:hAnsi="Times New Roman" w:cs="Times New Roman"/>
          <w:color w:val="000000"/>
          <w:lang w:val="en-IE" w:eastAsia="en-IE"/>
        </w:rPr>
        <w:t xml:space="preserve"> </w:t>
      </w:r>
    </w:p>
    <w:p w:rsidR="00D54DC3" w:rsidRPr="00D54DC3" w:rsidRDefault="00D54DC3" w:rsidP="00D54DC3">
      <w:pPr>
        <w:spacing w:after="0" w:line="259" w:lineRule="auto"/>
        <w:ind w:left="708"/>
        <w:rPr>
          <w:rFonts w:ascii="Times New Roman" w:eastAsia="Times New Roman" w:hAnsi="Times New Roman" w:cs="Times New Roman"/>
          <w:color w:val="000000"/>
          <w:lang w:val="en-IE" w:eastAsia="en-IE"/>
        </w:rPr>
      </w:pPr>
      <w:r w:rsidRPr="00D54DC3">
        <w:rPr>
          <w:rFonts w:ascii="Times New Roman" w:eastAsia="Times New Roman" w:hAnsi="Times New Roman" w:cs="Times New Roman"/>
          <w:color w:val="000000"/>
          <w:lang w:val="en-IE" w:eastAsia="en-IE"/>
        </w:rPr>
        <w:t xml:space="preserve">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Fähigkeit zur Konzeption von Problemen, zur Ermittlung und Umsetzung von Lösungen,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Fähigkeit Informationen zu analysieren und zu strukturieren,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Erfahrung mit der Überwachung der Arbeit von Auftragnehmern oder Dienstleistern.</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Fähigkeit zu verstehen und verstanden zu werden,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Fähigkeit zur Übermittlung technischer oder spezialisierter Informationen,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en-IE" w:eastAsia="en-IE"/>
        </w:rPr>
      </w:pPr>
      <w:proofErr w:type="spellStart"/>
      <w:r w:rsidRPr="00D54DC3">
        <w:rPr>
          <w:rFonts w:ascii="Times New Roman" w:eastAsia="Times New Roman" w:hAnsi="Times New Roman" w:cs="Times New Roman"/>
          <w:color w:val="000000"/>
          <w:lang w:val="en-IE" w:eastAsia="en-IE"/>
        </w:rPr>
        <w:t>Schriftliche</w:t>
      </w:r>
      <w:proofErr w:type="spellEnd"/>
      <w:r w:rsidRPr="00D54DC3">
        <w:rPr>
          <w:rFonts w:ascii="Times New Roman" w:eastAsia="Times New Roman" w:hAnsi="Times New Roman" w:cs="Times New Roman"/>
          <w:color w:val="000000"/>
          <w:lang w:val="en-IE" w:eastAsia="en-IE"/>
        </w:rPr>
        <w:t xml:space="preserve"> und </w:t>
      </w:r>
      <w:proofErr w:type="spellStart"/>
      <w:r w:rsidRPr="00D54DC3">
        <w:rPr>
          <w:rFonts w:ascii="Times New Roman" w:eastAsia="Times New Roman" w:hAnsi="Times New Roman" w:cs="Times New Roman"/>
          <w:color w:val="000000"/>
          <w:lang w:val="en-IE" w:eastAsia="en-IE"/>
        </w:rPr>
        <w:t>redaktionelle</w:t>
      </w:r>
      <w:proofErr w:type="spellEnd"/>
      <w:r w:rsidRPr="00D54DC3">
        <w:rPr>
          <w:rFonts w:ascii="Times New Roman" w:eastAsia="Times New Roman" w:hAnsi="Times New Roman" w:cs="Times New Roman"/>
          <w:color w:val="000000"/>
          <w:lang w:val="en-IE" w:eastAsia="en-IE"/>
        </w:rPr>
        <w:t xml:space="preserve"> </w:t>
      </w:r>
      <w:proofErr w:type="spellStart"/>
      <w:r w:rsidRPr="00D54DC3">
        <w:rPr>
          <w:rFonts w:ascii="Times New Roman" w:eastAsia="Times New Roman" w:hAnsi="Times New Roman" w:cs="Times New Roman"/>
          <w:color w:val="000000"/>
          <w:lang w:val="en-IE" w:eastAsia="en-IE"/>
        </w:rPr>
        <w:t>Ausdrucksfähigkeit</w:t>
      </w:r>
      <w:proofErr w:type="spellEnd"/>
      <w:r w:rsidRPr="00D54DC3">
        <w:rPr>
          <w:rFonts w:ascii="Times New Roman" w:eastAsia="Times New Roman" w:hAnsi="Times New Roman" w:cs="Times New Roman"/>
          <w:color w:val="000000"/>
          <w:lang w:val="en-IE" w:eastAsia="en-IE"/>
        </w:rPr>
        <w:t xml:space="preserve">,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en-IE" w:eastAsia="en-IE"/>
        </w:rPr>
      </w:pPr>
      <w:proofErr w:type="spellStart"/>
      <w:r w:rsidRPr="00D54DC3">
        <w:rPr>
          <w:rFonts w:ascii="Times New Roman" w:eastAsia="Times New Roman" w:hAnsi="Times New Roman" w:cs="Times New Roman"/>
          <w:color w:val="000000"/>
          <w:lang w:val="en-IE" w:eastAsia="en-IE"/>
        </w:rPr>
        <w:t>Verhandlungsgeschick</w:t>
      </w:r>
      <w:proofErr w:type="spellEnd"/>
      <w:r w:rsidRPr="00D54DC3">
        <w:rPr>
          <w:rFonts w:ascii="Times New Roman" w:eastAsia="Times New Roman" w:hAnsi="Times New Roman" w:cs="Times New Roman"/>
          <w:color w:val="000000"/>
          <w:lang w:val="en-IE" w:eastAsia="en-IE"/>
        </w:rPr>
        <w:t xml:space="preserve">,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Fähigkeit proaktiv und selbstständig zu arbeiten,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Flexibilität (Offenheit gegenüber neuen Anforderungen usw.),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de-DE" w:eastAsia="en-IE"/>
        </w:rPr>
      </w:pPr>
      <w:r w:rsidRPr="00D54DC3">
        <w:rPr>
          <w:rFonts w:ascii="Times New Roman" w:eastAsia="Times New Roman" w:hAnsi="Times New Roman" w:cs="Times New Roman"/>
          <w:color w:val="000000"/>
          <w:lang w:val="de-DE" w:eastAsia="en-IE"/>
        </w:rPr>
        <w:t xml:space="preserve">Fähigkeit, in strukturierter Weise Ergebnisse zu erbringen,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en-IE" w:eastAsia="en-IE"/>
        </w:rPr>
      </w:pPr>
      <w:proofErr w:type="spellStart"/>
      <w:r w:rsidRPr="00D54DC3">
        <w:rPr>
          <w:rFonts w:ascii="Times New Roman" w:eastAsia="Times New Roman" w:hAnsi="Times New Roman" w:cs="Times New Roman"/>
          <w:color w:val="000000"/>
          <w:lang w:val="en-IE" w:eastAsia="en-IE"/>
        </w:rPr>
        <w:t>Stressresistenz</w:t>
      </w:r>
      <w:proofErr w:type="spellEnd"/>
      <w:r w:rsidRPr="00D54DC3">
        <w:rPr>
          <w:rFonts w:ascii="Times New Roman" w:eastAsia="Times New Roman" w:hAnsi="Times New Roman" w:cs="Times New Roman"/>
          <w:color w:val="000000"/>
          <w:lang w:val="en-IE" w:eastAsia="en-IE"/>
        </w:rPr>
        <w:t xml:space="preserve">,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en-IE" w:eastAsia="en-IE"/>
        </w:rPr>
      </w:pPr>
      <w:proofErr w:type="spellStart"/>
      <w:r w:rsidRPr="00D54DC3">
        <w:rPr>
          <w:rFonts w:ascii="Times New Roman" w:eastAsia="Times New Roman" w:hAnsi="Times New Roman" w:cs="Times New Roman"/>
          <w:color w:val="000000"/>
          <w:lang w:val="en-IE" w:eastAsia="en-IE"/>
        </w:rPr>
        <w:t>Eigeninitiative</w:t>
      </w:r>
      <w:proofErr w:type="spellEnd"/>
      <w:r w:rsidRPr="00D54DC3">
        <w:rPr>
          <w:rFonts w:ascii="Times New Roman" w:eastAsia="Times New Roman" w:hAnsi="Times New Roman" w:cs="Times New Roman"/>
          <w:color w:val="000000"/>
          <w:lang w:val="en-IE" w:eastAsia="en-IE"/>
        </w:rPr>
        <w:t xml:space="preserve">, </w:t>
      </w:r>
    </w:p>
    <w:p w:rsidR="00D54DC3" w:rsidRPr="00D54DC3" w:rsidRDefault="00D54DC3" w:rsidP="00D54DC3">
      <w:pPr>
        <w:numPr>
          <w:ilvl w:val="0"/>
          <w:numId w:val="28"/>
        </w:numPr>
        <w:spacing w:after="11" w:line="247" w:lineRule="auto"/>
        <w:ind w:right="3" w:hanging="286"/>
        <w:jc w:val="both"/>
        <w:rPr>
          <w:rFonts w:ascii="Times New Roman" w:eastAsia="Times New Roman" w:hAnsi="Times New Roman" w:cs="Times New Roman"/>
          <w:color w:val="000000"/>
          <w:lang w:val="en-IE" w:eastAsia="en-IE"/>
        </w:rPr>
      </w:pPr>
      <w:proofErr w:type="spellStart"/>
      <w:r w:rsidRPr="00D54DC3">
        <w:rPr>
          <w:rFonts w:ascii="Times New Roman" w:eastAsia="Times New Roman" w:hAnsi="Times New Roman" w:cs="Times New Roman"/>
          <w:color w:val="000000"/>
          <w:lang w:val="en-IE" w:eastAsia="en-IE"/>
        </w:rPr>
        <w:t>Guter</w:t>
      </w:r>
      <w:proofErr w:type="spellEnd"/>
      <w:r w:rsidRPr="00D54DC3">
        <w:rPr>
          <w:rFonts w:ascii="Times New Roman" w:eastAsia="Times New Roman" w:hAnsi="Times New Roman" w:cs="Times New Roman"/>
          <w:color w:val="000000"/>
          <w:lang w:val="en-IE" w:eastAsia="en-IE"/>
        </w:rPr>
        <w:t xml:space="preserve"> </w:t>
      </w:r>
      <w:proofErr w:type="spellStart"/>
      <w:r w:rsidRPr="00D54DC3">
        <w:rPr>
          <w:rFonts w:ascii="Times New Roman" w:eastAsia="Times New Roman" w:hAnsi="Times New Roman" w:cs="Times New Roman"/>
          <w:color w:val="000000"/>
          <w:lang w:val="en-IE" w:eastAsia="en-IE"/>
        </w:rPr>
        <w:t>Teamgeist</w:t>
      </w:r>
      <w:proofErr w:type="spellEnd"/>
      <w:r w:rsidRPr="00D54DC3">
        <w:rPr>
          <w:rFonts w:ascii="Times New Roman" w:eastAsia="Times New Roman" w:hAnsi="Times New Roman" w:cs="Times New Roman"/>
          <w:color w:val="000000"/>
          <w:lang w:val="en-IE" w:eastAsia="en-IE"/>
        </w:rPr>
        <w:t xml:space="preserve">. </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4E5F43" w:rsidRDefault="00D54DC3"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D54DC3">
        <w:rPr>
          <w:rFonts w:ascii="Times New Roman" w:eastAsia="Times New Roman" w:hAnsi="Times New Roman" w:cs="Times New Roman"/>
          <w:lang w:val="de-DE" w:eastAsia="en-GB"/>
        </w:rPr>
        <w:t>Gute Englischkenntnisse sind Voraussetzung.</w:t>
      </w:r>
      <w:bookmarkStart w:id="0" w:name="_GoBack"/>
      <w:bookmarkEnd w:id="0"/>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D341296"/>
    <w:multiLevelType w:val="hybridMultilevel"/>
    <w:tmpl w:val="58504EB0"/>
    <w:lvl w:ilvl="0" w:tplc="2B501C1A">
      <w:start w:val="1"/>
      <w:numFmt w:val="bullet"/>
      <w:lvlText w:val="-"/>
      <w:lvlJc w:val="left"/>
      <w:pPr>
        <w:ind w:left="693"/>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1" w:tplc="50403B20">
      <w:start w:val="1"/>
      <w:numFmt w:val="bullet"/>
      <w:lvlText w:val="o"/>
      <w:lvlJc w:val="left"/>
      <w:pPr>
        <w:ind w:left="15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2" w:tplc="96AA7B8A">
      <w:start w:val="1"/>
      <w:numFmt w:val="bullet"/>
      <w:lvlText w:val="▪"/>
      <w:lvlJc w:val="left"/>
      <w:pPr>
        <w:ind w:left="22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3" w:tplc="DABC0BEA">
      <w:start w:val="1"/>
      <w:numFmt w:val="bullet"/>
      <w:lvlText w:val="•"/>
      <w:lvlJc w:val="left"/>
      <w:pPr>
        <w:ind w:left="29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4" w:tplc="887A1D8A">
      <w:start w:val="1"/>
      <w:numFmt w:val="bullet"/>
      <w:lvlText w:val="o"/>
      <w:lvlJc w:val="left"/>
      <w:pPr>
        <w:ind w:left="366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5" w:tplc="BD38B9B4">
      <w:start w:val="1"/>
      <w:numFmt w:val="bullet"/>
      <w:lvlText w:val="▪"/>
      <w:lvlJc w:val="left"/>
      <w:pPr>
        <w:ind w:left="438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6" w:tplc="AE544A66">
      <w:start w:val="1"/>
      <w:numFmt w:val="bullet"/>
      <w:lvlText w:val="•"/>
      <w:lvlJc w:val="left"/>
      <w:pPr>
        <w:ind w:left="510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7" w:tplc="B6CA0250">
      <w:start w:val="1"/>
      <w:numFmt w:val="bullet"/>
      <w:lvlText w:val="o"/>
      <w:lvlJc w:val="left"/>
      <w:pPr>
        <w:ind w:left="582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lvl w:ilvl="8" w:tplc="2FE839FA">
      <w:start w:val="1"/>
      <w:numFmt w:val="bullet"/>
      <w:lvlText w:val="▪"/>
      <w:lvlJc w:val="left"/>
      <w:pPr>
        <w:ind w:left="6547"/>
      </w:pPr>
      <w:rPr>
        <w:rFonts w:ascii="Verdana" w:eastAsia="Verdana" w:hAnsi="Verdana" w:cs="Verdana"/>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0"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5"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1D52DBA"/>
    <w:multiLevelType w:val="hybridMultilevel"/>
    <w:tmpl w:val="BCE4EFCC"/>
    <w:lvl w:ilvl="0" w:tplc="2D06C1C8">
      <w:numFmt w:val="bullet"/>
      <w:lvlText w:val="-"/>
      <w:lvlJc w:val="left"/>
      <w:pPr>
        <w:ind w:left="787" w:hanging="360"/>
      </w:pPr>
      <w:rPr>
        <w:rFonts w:ascii="Times New Roman" w:eastAsia="Times New Roman" w:hAnsi="Times New Roman" w:cs="Times New Roman" w:hint="default"/>
      </w:rPr>
    </w:lvl>
    <w:lvl w:ilvl="1" w:tplc="04090003">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9" w15:restartNumberingAfterBreak="0">
    <w:nsid w:val="53911ECB"/>
    <w:multiLevelType w:val="hybridMultilevel"/>
    <w:tmpl w:val="2A985CE6"/>
    <w:lvl w:ilvl="0" w:tplc="3C68E1BE">
      <w:start w:val="1"/>
      <w:numFmt w:val="bullet"/>
      <w:lvlText w:val="-"/>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703DDC">
      <w:start w:val="1"/>
      <w:numFmt w:val="bullet"/>
      <w:lvlText w:val="o"/>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F04C6AE">
      <w:start w:val="1"/>
      <w:numFmt w:val="bullet"/>
      <w:lvlText w:val="▪"/>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5708A72">
      <w:start w:val="1"/>
      <w:numFmt w:val="bullet"/>
      <w:lvlText w:val="•"/>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46081D0">
      <w:start w:val="1"/>
      <w:numFmt w:val="bullet"/>
      <w:lvlText w:val="o"/>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2F6867E">
      <w:start w:val="1"/>
      <w:numFmt w:val="bullet"/>
      <w:lvlText w:val="▪"/>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05EF84C">
      <w:start w:val="1"/>
      <w:numFmt w:val="bullet"/>
      <w:lvlText w:val="•"/>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8A21FB4">
      <w:start w:val="1"/>
      <w:numFmt w:val="bullet"/>
      <w:lvlText w:val="o"/>
      <w:lvlJc w:val="left"/>
      <w:pPr>
        <w:ind w:left="61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5184F7A">
      <w:start w:val="1"/>
      <w:numFmt w:val="bullet"/>
      <w:lvlText w:val="▪"/>
      <w:lvlJc w:val="left"/>
      <w:pPr>
        <w:ind w:left="68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3"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9"/>
  </w:num>
  <w:num w:numId="2">
    <w:abstractNumId w:val="26"/>
  </w:num>
  <w:num w:numId="3">
    <w:abstractNumId w:val="15"/>
  </w:num>
  <w:num w:numId="4">
    <w:abstractNumId w:val="1"/>
  </w:num>
  <w:num w:numId="5">
    <w:abstractNumId w:val="13"/>
  </w:num>
  <w:num w:numId="6">
    <w:abstractNumId w:val="6"/>
  </w:num>
  <w:num w:numId="7">
    <w:abstractNumId w:val="23"/>
  </w:num>
  <w:num w:numId="8">
    <w:abstractNumId w:val="12"/>
  </w:num>
  <w:num w:numId="9">
    <w:abstractNumId w:val="3"/>
  </w:num>
  <w:num w:numId="10">
    <w:abstractNumId w:val="8"/>
  </w:num>
  <w:num w:numId="11">
    <w:abstractNumId w:val="4"/>
  </w:num>
  <w:num w:numId="12">
    <w:abstractNumId w:val="27"/>
  </w:num>
  <w:num w:numId="13">
    <w:abstractNumId w:val="16"/>
  </w:num>
  <w:num w:numId="14">
    <w:abstractNumId w:val="17"/>
  </w:num>
  <w:num w:numId="15">
    <w:abstractNumId w:val="14"/>
  </w:num>
  <w:num w:numId="16">
    <w:abstractNumId w:val="24"/>
  </w:num>
  <w:num w:numId="17">
    <w:abstractNumId w:val="0"/>
  </w:num>
  <w:num w:numId="18">
    <w:abstractNumId w:val="10"/>
  </w:num>
  <w:num w:numId="19">
    <w:abstractNumId w:val="22"/>
  </w:num>
  <w:num w:numId="20">
    <w:abstractNumId w:val="5"/>
  </w:num>
  <w:num w:numId="21">
    <w:abstractNumId w:val="2"/>
  </w:num>
  <w:num w:numId="22">
    <w:abstractNumId w:val="20"/>
  </w:num>
  <w:num w:numId="23">
    <w:abstractNumId w:val="25"/>
  </w:num>
  <w:num w:numId="24">
    <w:abstractNumId w:val="11"/>
  </w:num>
  <w:num w:numId="25">
    <w:abstractNumId w:val="21"/>
  </w:num>
  <w:num w:numId="26">
    <w:abstractNumId w:val="7"/>
  </w:num>
  <w:num w:numId="27">
    <w:abstractNumId w:val="18"/>
  </w:num>
  <w:num w:numId="28">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54DC3"/>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Adela.Tesarova@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80CC5D-2451-4C84-BBC0-B33D0A6C3E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1546</Words>
  <Characters>10966</Characters>
  <Application>Microsoft Office Word</Application>
  <DocSecurity>0</DocSecurity>
  <Lines>228</Lines>
  <Paragraphs>113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2022-12-08T13:16:00Z</dcterms:created>
  <dcterms:modified xsi:type="dcterms:W3CDTF">2022-12-08T13:16:00Z</dcterms:modified>
</cp:coreProperties>
</file>