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487A9D"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AGRI-G-1</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87A9D" w:rsidRPr="00487A9D" w:rsidRDefault="00487A9D" w:rsidP="00487A9D">
            <w:pPr>
              <w:spacing w:after="0" w:line="240" w:lineRule="auto"/>
              <w:jc w:val="both"/>
              <w:outlineLvl w:val="1"/>
              <w:rPr>
                <w:rFonts w:ascii="Times New Roman" w:eastAsia="Times New Roman" w:hAnsi="Times New Roman" w:cs="Times New Roman"/>
                <w:b/>
                <w:bCs/>
                <w:lang w:val="en-GB" w:eastAsia="fr-BE"/>
              </w:rPr>
            </w:pPr>
            <w:r w:rsidRPr="00487A9D">
              <w:rPr>
                <w:rFonts w:ascii="Times New Roman" w:eastAsia="Times New Roman" w:hAnsi="Times New Roman" w:cs="Times New Roman"/>
                <w:b/>
                <w:bCs/>
                <w:lang w:val="en-GB" w:eastAsia="fr-BE"/>
              </w:rPr>
              <w:t>Willi SCHULZ-GREVE</w:t>
            </w:r>
          </w:p>
          <w:p w:rsidR="00487A9D" w:rsidRPr="00487A9D" w:rsidRDefault="00487A9D" w:rsidP="00487A9D">
            <w:pPr>
              <w:spacing w:after="0" w:line="240" w:lineRule="auto"/>
              <w:jc w:val="both"/>
              <w:outlineLvl w:val="1"/>
              <w:rPr>
                <w:rFonts w:ascii="Times New Roman" w:eastAsia="Times New Roman" w:hAnsi="Times New Roman" w:cs="Times New Roman"/>
                <w:b/>
                <w:bCs/>
                <w:color w:val="0000FF"/>
                <w:lang w:val="en-GB" w:eastAsia="fr-BE"/>
              </w:rPr>
            </w:pPr>
            <w:hyperlink r:id="rId9" w:history="1">
              <w:r w:rsidRPr="00487A9D">
                <w:rPr>
                  <w:rStyle w:val="Hyperlink"/>
                  <w:rFonts w:ascii="Times New Roman" w:eastAsia="Times New Roman" w:hAnsi="Times New Roman" w:cs="Times New Roman"/>
                  <w:b/>
                  <w:bCs/>
                  <w:color w:val="0000FF"/>
                  <w:lang w:val="en-GB" w:eastAsia="fr-BE"/>
                </w:rPr>
                <w:t>willi.schulz-greve@ec.europa.eu</w:t>
              </w:r>
            </w:hyperlink>
            <w:r w:rsidRPr="00487A9D">
              <w:rPr>
                <w:rFonts w:ascii="Times New Roman" w:eastAsia="Times New Roman" w:hAnsi="Times New Roman" w:cs="Times New Roman"/>
                <w:b/>
                <w:bCs/>
                <w:color w:val="0000FF"/>
                <w:lang w:val="en-GB" w:eastAsia="fr-BE"/>
              </w:rPr>
              <w:t xml:space="preserve"> </w:t>
            </w:r>
          </w:p>
          <w:p w:rsidR="00E9679F" w:rsidRDefault="00487A9D" w:rsidP="00487A9D">
            <w:pPr>
              <w:spacing w:after="0" w:line="240" w:lineRule="auto"/>
              <w:rPr>
                <w:rFonts w:ascii="Times New Roman" w:eastAsia="Calibri" w:hAnsi="Times New Roman" w:cs="Times New Roman"/>
                <w:b/>
                <w:lang w:val="es-ES" w:eastAsia="en-GB"/>
              </w:rPr>
            </w:pPr>
            <w:r w:rsidRPr="00487A9D">
              <w:rPr>
                <w:rFonts w:ascii="Times New Roman" w:eastAsia="Times New Roman" w:hAnsi="Times New Roman" w:cs="Times New Roman"/>
                <w:b/>
                <w:bCs/>
                <w:lang w:val="en-GB" w:eastAsia="fr-BE"/>
              </w:rPr>
              <w:t>+32 229 60 945</w:t>
            </w:r>
          </w:p>
          <w:p w:rsidR="00811ED4" w:rsidRPr="00DD2AB6" w:rsidRDefault="005175E6" w:rsidP="00E9679F">
            <w:pPr>
              <w:spacing w:after="0" w:line="240" w:lineRule="auto"/>
              <w:rPr>
                <w:rFonts w:ascii="Times New Roman" w:eastAsia="Times New Roman" w:hAnsi="Times New Roman" w:cs="Times New Roman"/>
                <w:b/>
                <w:lang w:val="es-ES" w:eastAsia="en-GB"/>
              </w:rPr>
            </w:pPr>
            <w:r w:rsidRPr="00DD2AB6">
              <w:rPr>
                <w:rFonts w:ascii="Times New Roman" w:eastAsia="Times New Roman" w:hAnsi="Times New Roman" w:cs="Times New Roman"/>
                <w:b/>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487A9D"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 ans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487A9D" w:rsidRDefault="00487A9D" w:rsidP="00487A9D">
      <w:pPr>
        <w:tabs>
          <w:tab w:val="left" w:pos="1276"/>
          <w:tab w:val="left" w:pos="1560"/>
        </w:tabs>
        <w:spacing w:after="0" w:line="240" w:lineRule="auto"/>
        <w:ind w:left="426"/>
        <w:jc w:val="both"/>
        <w:rPr>
          <w:rFonts w:ascii="Times New Roman" w:eastAsia="Calibri" w:hAnsi="Times New Roman" w:cs="Times New Roman"/>
          <w:lang w:eastAsia="en-GB"/>
        </w:rPr>
      </w:pPr>
      <w:r w:rsidRPr="00487A9D">
        <w:rPr>
          <w:rFonts w:ascii="Times New Roman" w:eastAsia="Calibri" w:hAnsi="Times New Roman" w:cs="Times New Roman"/>
          <w:lang w:eastAsia="en-GB"/>
        </w:rPr>
        <w:t xml:space="preserve">Au sein de la DG AGRI, l’unité G.1 est responsable pour les « Affaires globales, l’OMC et les relations avec les ACP » et couvre un large éventail d’aspects internationaux de la politique agricole. Nous apportons notre contribution sur les aspects agricoles de la politique commerciale et de développement dans des forums internationaux tels que l’OCDE, la FAO, le G7 et le G20, dans les relations avec les groupes régionaux des pays ACP et l’Union africaine ainsi que dans l’analyse du commerce agroalimentaire et l’analyse spécifique pour les négociations commerciales. L’unité représente également l’UE dans les travaux réguliers de l’OMC où nous gérons les obligations de l’UE au titre de l’accord sur l’agriculture et veillons au respect des engagements pris dans le cadre de l’OMC. </w:t>
      </w:r>
    </w:p>
    <w:p w:rsidR="00487A9D" w:rsidRPr="00487A9D" w:rsidRDefault="00487A9D" w:rsidP="00487A9D">
      <w:pPr>
        <w:tabs>
          <w:tab w:val="left" w:pos="1276"/>
          <w:tab w:val="left" w:pos="1560"/>
        </w:tabs>
        <w:spacing w:after="0" w:line="240" w:lineRule="auto"/>
        <w:ind w:left="426"/>
        <w:jc w:val="both"/>
        <w:rPr>
          <w:rFonts w:ascii="Times New Roman" w:eastAsia="Calibri" w:hAnsi="Times New Roman" w:cs="Times New Roman"/>
          <w:lang w:eastAsia="en-GB"/>
        </w:rPr>
      </w:pPr>
    </w:p>
    <w:p w:rsidR="00487A9D" w:rsidRDefault="00487A9D" w:rsidP="00487A9D">
      <w:pPr>
        <w:tabs>
          <w:tab w:val="left" w:pos="1276"/>
          <w:tab w:val="left" w:pos="1560"/>
        </w:tabs>
        <w:spacing w:after="0" w:line="240" w:lineRule="auto"/>
        <w:ind w:left="426"/>
        <w:jc w:val="both"/>
        <w:rPr>
          <w:rFonts w:ascii="Times New Roman" w:eastAsia="Calibri" w:hAnsi="Times New Roman" w:cs="Times New Roman"/>
          <w:lang w:eastAsia="en-GB"/>
        </w:rPr>
      </w:pPr>
      <w:r w:rsidRPr="00487A9D">
        <w:rPr>
          <w:rFonts w:ascii="Times New Roman" w:eastAsia="Calibri" w:hAnsi="Times New Roman" w:cs="Times New Roman"/>
          <w:lang w:eastAsia="en-GB"/>
        </w:rPr>
        <w:t xml:space="preserve">Le candidat retenu sera impliqué dans divers aspects du travail de l’unité en mettant l’accent sur l’analyse du commerce. Ces tâches comprendront notamment des travaux sur les marchés agricoles internationaux, la surveillance du commerce, la sécurité alimentaire mondiale et les relations avec l’OMC, l’OCDE et la FAO. </w:t>
      </w:r>
    </w:p>
    <w:p w:rsidR="00487A9D" w:rsidRDefault="00487A9D" w:rsidP="00487A9D">
      <w:pPr>
        <w:tabs>
          <w:tab w:val="left" w:pos="1276"/>
          <w:tab w:val="left" w:pos="1560"/>
        </w:tabs>
        <w:spacing w:after="0" w:line="240" w:lineRule="auto"/>
        <w:ind w:left="426"/>
        <w:jc w:val="both"/>
        <w:rPr>
          <w:rFonts w:ascii="Times New Roman" w:eastAsia="Calibri" w:hAnsi="Times New Roman" w:cs="Times New Roman"/>
          <w:lang w:eastAsia="en-GB"/>
        </w:rPr>
      </w:pPr>
    </w:p>
    <w:p w:rsidR="00487A9D" w:rsidRPr="00487A9D" w:rsidRDefault="00487A9D" w:rsidP="00487A9D">
      <w:pPr>
        <w:tabs>
          <w:tab w:val="left" w:pos="1276"/>
          <w:tab w:val="left" w:pos="1560"/>
        </w:tabs>
        <w:spacing w:after="0" w:line="240" w:lineRule="auto"/>
        <w:ind w:left="426"/>
        <w:jc w:val="both"/>
        <w:rPr>
          <w:rFonts w:ascii="Times New Roman" w:eastAsia="Calibri" w:hAnsi="Times New Roman" w:cs="Times New Roman"/>
          <w:lang w:eastAsia="en-GB"/>
        </w:rPr>
      </w:pPr>
      <w:r w:rsidRPr="00487A9D">
        <w:rPr>
          <w:rFonts w:ascii="Times New Roman" w:eastAsia="Calibri" w:hAnsi="Times New Roman" w:cs="Times New Roman"/>
          <w:lang w:eastAsia="en-GB"/>
        </w:rPr>
        <w:t>Les tâches consisteront à :</w:t>
      </w:r>
    </w:p>
    <w:p w:rsidR="00487A9D" w:rsidRPr="00487A9D" w:rsidRDefault="00487A9D" w:rsidP="00487A9D">
      <w:pPr>
        <w:pStyle w:val="ListParagraph"/>
        <w:numPr>
          <w:ilvl w:val="0"/>
          <w:numId w:val="44"/>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87A9D">
        <w:rPr>
          <w:rFonts w:ascii="Times New Roman" w:eastAsia="Calibri" w:hAnsi="Times New Roman" w:cs="Times New Roman"/>
          <w:lang w:eastAsia="en-GB"/>
        </w:rPr>
        <w:t xml:space="preserve">Fournir des analyses stratégiques, économiques et statistiques des marchés internationaux et du commerce des produits agroalimentaires; </w:t>
      </w:r>
    </w:p>
    <w:p w:rsidR="00487A9D" w:rsidRPr="00487A9D" w:rsidRDefault="00487A9D" w:rsidP="00487A9D">
      <w:pPr>
        <w:pStyle w:val="ListParagraph"/>
        <w:numPr>
          <w:ilvl w:val="0"/>
          <w:numId w:val="44"/>
        </w:numPr>
        <w:tabs>
          <w:tab w:val="left" w:pos="1276"/>
          <w:tab w:val="left" w:pos="1560"/>
        </w:tabs>
        <w:spacing w:after="0" w:line="240" w:lineRule="auto"/>
        <w:ind w:left="709" w:hanging="283"/>
        <w:jc w:val="both"/>
        <w:rPr>
          <w:rFonts w:ascii="Times New Roman" w:eastAsia="Calibri" w:hAnsi="Times New Roman" w:cs="Times New Roman"/>
          <w:lang w:eastAsia="en-GB"/>
        </w:rPr>
      </w:pPr>
      <w:proofErr w:type="gramStart"/>
      <w:r w:rsidRPr="00487A9D">
        <w:rPr>
          <w:rFonts w:ascii="Times New Roman" w:eastAsia="Calibri" w:hAnsi="Times New Roman" w:cs="Times New Roman"/>
          <w:lang w:eastAsia="en-GB"/>
        </w:rPr>
        <w:t>fournir</w:t>
      </w:r>
      <w:proofErr w:type="gramEnd"/>
      <w:r w:rsidRPr="00487A9D">
        <w:rPr>
          <w:rFonts w:ascii="Times New Roman" w:eastAsia="Calibri" w:hAnsi="Times New Roman" w:cs="Times New Roman"/>
          <w:lang w:eastAsia="en-GB"/>
        </w:rPr>
        <w:t xml:space="preserve"> des analyses, notes, briefings et présentations sur l’évolution du commerce de l’UE ainsi que sur des problématiques globales, telles que la sécurité alimentaire et les systèmes alimentaires durables; </w:t>
      </w:r>
    </w:p>
    <w:p w:rsidR="00487A9D" w:rsidRPr="00487A9D" w:rsidRDefault="00487A9D" w:rsidP="00487A9D">
      <w:pPr>
        <w:pStyle w:val="ListParagraph"/>
        <w:numPr>
          <w:ilvl w:val="0"/>
          <w:numId w:val="44"/>
        </w:numPr>
        <w:tabs>
          <w:tab w:val="left" w:pos="1276"/>
          <w:tab w:val="left" w:pos="1560"/>
        </w:tabs>
        <w:spacing w:after="0" w:line="240" w:lineRule="auto"/>
        <w:ind w:left="709" w:hanging="283"/>
        <w:jc w:val="both"/>
        <w:rPr>
          <w:rFonts w:ascii="Times New Roman" w:eastAsia="Calibri" w:hAnsi="Times New Roman" w:cs="Times New Roman"/>
          <w:lang w:eastAsia="en-GB"/>
        </w:rPr>
      </w:pPr>
      <w:proofErr w:type="gramStart"/>
      <w:r w:rsidRPr="00487A9D">
        <w:rPr>
          <w:rFonts w:ascii="Times New Roman" w:eastAsia="Calibri" w:hAnsi="Times New Roman" w:cs="Times New Roman"/>
          <w:lang w:eastAsia="en-GB"/>
        </w:rPr>
        <w:t>contribuer</w:t>
      </w:r>
      <w:proofErr w:type="gramEnd"/>
      <w:r w:rsidRPr="00487A9D">
        <w:rPr>
          <w:rFonts w:ascii="Times New Roman" w:eastAsia="Calibri" w:hAnsi="Times New Roman" w:cs="Times New Roman"/>
          <w:lang w:eastAsia="en-GB"/>
        </w:rPr>
        <w:t xml:space="preserve"> aux travaux d’analyse au sein de la DG AGRI et avec les autres DG concernées de la Commission, le Service Européen d’Action Extérieure et les délégations dans les pays tiers;</w:t>
      </w:r>
    </w:p>
    <w:p w:rsidR="00487A9D" w:rsidRPr="00487A9D" w:rsidRDefault="00487A9D" w:rsidP="00487A9D">
      <w:pPr>
        <w:pStyle w:val="ListParagraph"/>
        <w:numPr>
          <w:ilvl w:val="0"/>
          <w:numId w:val="44"/>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87A9D">
        <w:rPr>
          <w:rFonts w:ascii="Times New Roman" w:eastAsia="Calibri" w:hAnsi="Times New Roman" w:cs="Times New Roman"/>
          <w:lang w:eastAsia="en-GB"/>
        </w:rPr>
        <w:t xml:space="preserve">Suivre les travaux statistiques et analytiques et les rapports publiés par l’OMC, l’OCDE, la FAO et le CSA; </w:t>
      </w:r>
    </w:p>
    <w:p w:rsidR="00DD2AB6" w:rsidRPr="00487A9D" w:rsidRDefault="00487A9D" w:rsidP="00487A9D">
      <w:pPr>
        <w:pStyle w:val="ListParagraph"/>
        <w:numPr>
          <w:ilvl w:val="0"/>
          <w:numId w:val="44"/>
        </w:numPr>
        <w:tabs>
          <w:tab w:val="left" w:pos="1276"/>
          <w:tab w:val="left" w:pos="1560"/>
        </w:tabs>
        <w:spacing w:after="0" w:line="240" w:lineRule="auto"/>
        <w:ind w:left="709" w:hanging="283"/>
        <w:jc w:val="both"/>
        <w:rPr>
          <w:rFonts w:ascii="Times New Roman" w:eastAsia="Calibri" w:hAnsi="Times New Roman" w:cs="Times New Roman"/>
          <w:lang w:eastAsia="en-GB"/>
        </w:rPr>
      </w:pPr>
      <w:r w:rsidRPr="00487A9D">
        <w:rPr>
          <w:rFonts w:ascii="Times New Roman" w:eastAsia="Calibri" w:hAnsi="Times New Roman" w:cs="Times New Roman"/>
          <w:lang w:eastAsia="en-GB"/>
        </w:rPr>
        <w:t>Soutenir la préparation des positions de l’AGRI et de la Commission et le suivi des réunions du groupe de travail du Conseil sur les aspects internationaux de l’agriculture</w:t>
      </w:r>
      <w:r>
        <w:rPr>
          <w:rFonts w:ascii="Times New Roman" w:eastAsia="Calibri" w:hAnsi="Times New Roman" w:cs="Times New Roman"/>
          <w:lang w:eastAsia="en-GB"/>
        </w:rPr>
        <w:t>.</w:t>
      </w:r>
    </w:p>
    <w:p w:rsidR="00DD2AB6" w:rsidRPr="00DD2AB6" w:rsidRDefault="00DD2AB6" w:rsidP="00DD2AB6">
      <w:pPr>
        <w:tabs>
          <w:tab w:val="left" w:pos="1276"/>
          <w:tab w:val="left" w:pos="1560"/>
        </w:tabs>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87A9D">
        <w:rPr>
          <w:rFonts w:ascii="Times New Roman" w:eastAsia="Times New Roman" w:hAnsi="Times New Roman" w:cs="Times New Roman"/>
          <w:lang w:eastAsia="en-GB"/>
        </w:rPr>
        <w:t>é</w:t>
      </w:r>
      <w:r w:rsidR="00487A9D" w:rsidRPr="00487A9D">
        <w:rPr>
          <w:rFonts w:ascii="Times New Roman" w:eastAsia="Times New Roman" w:hAnsi="Times New Roman" w:cs="Times New Roman"/>
          <w:lang w:eastAsia="en-GB"/>
        </w:rPr>
        <w:t xml:space="preserve">conomie générale ou spécialisée, </w:t>
      </w:r>
      <w:r w:rsidR="00487A9D">
        <w:rPr>
          <w:rFonts w:ascii="Times New Roman" w:eastAsia="Times New Roman" w:hAnsi="Times New Roman" w:cs="Times New Roman"/>
          <w:lang w:eastAsia="en-GB"/>
        </w:rPr>
        <w:t>é</w:t>
      </w:r>
      <w:r w:rsidR="00487A9D" w:rsidRPr="00487A9D">
        <w:rPr>
          <w:rFonts w:ascii="Times New Roman" w:eastAsia="Times New Roman" w:hAnsi="Times New Roman" w:cs="Times New Roman"/>
          <w:lang w:eastAsia="en-GB"/>
        </w:rPr>
        <w:t>conomie agricole</w:t>
      </w:r>
      <w:r w:rsidR="00DB6370">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D2AB6" w:rsidRPr="00DD2AB6" w:rsidRDefault="00487A9D" w:rsidP="00DD2AB6">
      <w:pPr>
        <w:tabs>
          <w:tab w:val="left" w:pos="1418"/>
        </w:tabs>
        <w:spacing w:after="0" w:line="240" w:lineRule="auto"/>
        <w:ind w:left="709" w:right="60"/>
        <w:jc w:val="both"/>
        <w:rPr>
          <w:rFonts w:ascii="Times New Roman" w:hAnsi="Times New Roman" w:cs="Times New Roman"/>
        </w:rPr>
      </w:pPr>
      <w:r w:rsidRPr="00487A9D">
        <w:rPr>
          <w:rFonts w:ascii="Times New Roman" w:hAnsi="Times New Roman" w:cs="Times New Roman"/>
        </w:rPr>
        <w:t>Aspects internationaux de la politique agricole, politique du commerce, analyses socio-économiques</w:t>
      </w:r>
      <w:r w:rsidR="00DB6370" w:rsidRPr="00DB6370">
        <w:rPr>
          <w:rFonts w:ascii="Times New Roman" w:hAnsi="Times New Roman" w:cs="Times New Roman"/>
        </w:rPr>
        <w:t>.</w:t>
      </w:r>
    </w:p>
    <w:p w:rsidR="00DD2AB6" w:rsidRPr="00DD2AB6" w:rsidRDefault="00DD2AB6" w:rsidP="00DD2AB6">
      <w:pPr>
        <w:tabs>
          <w:tab w:val="left" w:pos="1418"/>
        </w:tabs>
        <w:spacing w:after="0" w:line="240" w:lineRule="auto"/>
        <w:ind w:left="709" w:right="60"/>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487A9D"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487A9D">
        <w:rPr>
          <w:rFonts w:ascii="Times New Roman" w:hAnsi="Times New Roman" w:cs="Times New Roman"/>
        </w:rPr>
        <w:t>Anglais, autres langues de l’UE présentant un avantage</w:t>
      </w:r>
      <w:r w:rsidR="00DB6370" w:rsidRPr="00DB6370">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Default="00F40CDA" w:rsidP="00130F26">
      <w:pPr>
        <w:spacing w:after="0" w:line="240" w:lineRule="auto"/>
        <w:ind w:left="426"/>
        <w:rPr>
          <w:rFonts w:ascii="Times New Roman" w:eastAsia="Times New Roman" w:hAnsi="Times New Roman" w:cs="Times New Roman"/>
          <w:sz w:val="24"/>
          <w:szCs w:val="20"/>
          <w:lang w:eastAsia="en-GB"/>
        </w:rPr>
      </w:pPr>
    </w:p>
    <w:p w:rsidR="00487A9D" w:rsidRDefault="00487A9D" w:rsidP="00130F26">
      <w:pPr>
        <w:spacing w:after="0" w:line="240" w:lineRule="auto"/>
        <w:ind w:left="426"/>
        <w:rPr>
          <w:rFonts w:ascii="Times New Roman" w:eastAsia="Times New Roman" w:hAnsi="Times New Roman" w:cs="Times New Roman"/>
          <w:sz w:val="24"/>
          <w:szCs w:val="20"/>
          <w:lang w:eastAsia="en-GB"/>
        </w:rPr>
      </w:pPr>
    </w:p>
    <w:p w:rsidR="00487A9D" w:rsidRDefault="00487A9D" w:rsidP="00130F26">
      <w:pPr>
        <w:spacing w:after="0" w:line="240" w:lineRule="auto"/>
        <w:ind w:left="426"/>
        <w:rPr>
          <w:rFonts w:ascii="Times New Roman" w:eastAsia="Times New Roman" w:hAnsi="Times New Roman" w:cs="Times New Roman"/>
          <w:sz w:val="24"/>
          <w:szCs w:val="20"/>
          <w:lang w:eastAsia="en-GB"/>
        </w:rPr>
      </w:pPr>
    </w:p>
    <w:p w:rsidR="00487A9D" w:rsidRDefault="00487A9D" w:rsidP="00130F26">
      <w:pPr>
        <w:spacing w:after="0" w:line="240" w:lineRule="auto"/>
        <w:ind w:left="426"/>
        <w:rPr>
          <w:rFonts w:ascii="Times New Roman" w:eastAsia="Times New Roman" w:hAnsi="Times New Roman" w:cs="Times New Roman"/>
          <w:sz w:val="24"/>
          <w:szCs w:val="20"/>
          <w:lang w:eastAsia="en-GB"/>
        </w:rPr>
      </w:pPr>
    </w:p>
    <w:p w:rsidR="00487A9D" w:rsidRPr="00782068" w:rsidRDefault="00487A9D" w:rsidP="00130F26">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199"/>
    <w:multiLevelType w:val="hybridMultilevel"/>
    <w:tmpl w:val="7982FC6C"/>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ABC6145"/>
    <w:multiLevelType w:val="hybridMultilevel"/>
    <w:tmpl w:val="C622B774"/>
    <w:lvl w:ilvl="0" w:tplc="660AE6EE">
      <w:start w:val="7"/>
      <w:numFmt w:val="bullet"/>
      <w:lvlText w:val="-"/>
      <w:lvlJc w:val="left"/>
      <w:pPr>
        <w:ind w:left="1429" w:hanging="360"/>
      </w:pPr>
      <w:rPr>
        <w:rFonts w:ascii="Verdana" w:eastAsia="Cambria" w:hAnsi="Verdana"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81D226C"/>
    <w:multiLevelType w:val="hybridMultilevel"/>
    <w:tmpl w:val="6794042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FC13CD3"/>
    <w:multiLevelType w:val="hybridMultilevel"/>
    <w:tmpl w:val="651686A2"/>
    <w:lvl w:ilvl="0" w:tplc="660AE6EE">
      <w:start w:val="7"/>
      <w:numFmt w:val="bullet"/>
      <w:lvlText w:val="-"/>
      <w:lvlJc w:val="left"/>
      <w:pPr>
        <w:ind w:left="1429" w:hanging="360"/>
      </w:pPr>
      <w:rPr>
        <w:rFonts w:ascii="Verdana" w:eastAsia="Cambria" w:hAnsi="Verdana" w:cs="Times New Roman" w:hint="default"/>
      </w:rPr>
    </w:lvl>
    <w:lvl w:ilvl="1" w:tplc="3B300B6C">
      <w:start w:val="5"/>
      <w:numFmt w:val="bullet"/>
      <w:lvlText w:val="-"/>
      <w:lvlJc w:val="left"/>
      <w:pPr>
        <w:ind w:left="2149" w:hanging="360"/>
      </w:pPr>
      <w:rPr>
        <w:rFonts w:ascii="Times New Roman" w:eastAsia="Calibr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712C46"/>
    <w:multiLevelType w:val="hybridMultilevel"/>
    <w:tmpl w:val="0CF686D0"/>
    <w:lvl w:ilvl="0" w:tplc="4782C242">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CE5044A"/>
    <w:multiLevelType w:val="hybridMultilevel"/>
    <w:tmpl w:val="5D62D6A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13C044A"/>
    <w:multiLevelType w:val="hybridMultilevel"/>
    <w:tmpl w:val="B85043F6"/>
    <w:lvl w:ilvl="0" w:tplc="660AE6EE">
      <w:start w:val="7"/>
      <w:numFmt w:val="bullet"/>
      <w:lvlText w:val="-"/>
      <w:lvlJc w:val="left"/>
      <w:pPr>
        <w:ind w:left="1146" w:hanging="360"/>
      </w:pPr>
      <w:rPr>
        <w:rFonts w:ascii="Verdana" w:eastAsia="Cambria" w:hAnsi="Verdana" w:cs="Times New Roman" w:hint="default"/>
      </w:rPr>
    </w:lvl>
    <w:lvl w:ilvl="1" w:tplc="9F08A468">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1DE506F"/>
    <w:multiLevelType w:val="hybridMultilevel"/>
    <w:tmpl w:val="B22CB016"/>
    <w:lvl w:ilvl="0" w:tplc="4E08FFB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555C9F"/>
    <w:multiLevelType w:val="hybridMultilevel"/>
    <w:tmpl w:val="EEFE0E58"/>
    <w:lvl w:ilvl="0" w:tplc="660AE6EE">
      <w:start w:val="7"/>
      <w:numFmt w:val="bullet"/>
      <w:lvlText w:val="-"/>
      <w:lvlJc w:val="left"/>
      <w:pPr>
        <w:ind w:left="1429" w:hanging="360"/>
      </w:pPr>
      <w:rPr>
        <w:rFonts w:ascii="Verdana" w:eastAsia="Cambria" w:hAnsi="Verdana"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5476D4B"/>
    <w:multiLevelType w:val="hybridMultilevel"/>
    <w:tmpl w:val="214E32E4"/>
    <w:lvl w:ilvl="0" w:tplc="E3EA162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21"/>
  </w:num>
  <w:num w:numId="4">
    <w:abstractNumId w:val="13"/>
  </w:num>
  <w:num w:numId="5">
    <w:abstractNumId w:val="35"/>
  </w:num>
  <w:num w:numId="6">
    <w:abstractNumId w:val="8"/>
  </w:num>
  <w:num w:numId="7">
    <w:abstractNumId w:val="20"/>
  </w:num>
  <w:num w:numId="8">
    <w:abstractNumId w:val="11"/>
  </w:num>
  <w:num w:numId="9">
    <w:abstractNumId w:val="3"/>
  </w:num>
  <w:num w:numId="10">
    <w:abstractNumId w:val="36"/>
  </w:num>
  <w:num w:numId="11">
    <w:abstractNumId w:val="39"/>
  </w:num>
  <w:num w:numId="12">
    <w:abstractNumId w:val="32"/>
  </w:num>
  <w:num w:numId="13">
    <w:abstractNumId w:val="26"/>
  </w:num>
  <w:num w:numId="14">
    <w:abstractNumId w:val="28"/>
  </w:num>
  <w:num w:numId="15">
    <w:abstractNumId w:val="30"/>
  </w:num>
  <w:num w:numId="16">
    <w:abstractNumId w:val="23"/>
  </w:num>
  <w:num w:numId="17">
    <w:abstractNumId w:val="38"/>
  </w:num>
  <w:num w:numId="18">
    <w:abstractNumId w:val="16"/>
  </w:num>
  <w:num w:numId="19">
    <w:abstractNumId w:val="27"/>
  </w:num>
  <w:num w:numId="20">
    <w:abstractNumId w:val="10"/>
  </w:num>
  <w:num w:numId="21">
    <w:abstractNumId w:val="1"/>
  </w:num>
  <w:num w:numId="22">
    <w:abstractNumId w:val="22"/>
  </w:num>
  <w:num w:numId="23">
    <w:abstractNumId w:val="43"/>
  </w:num>
  <w:num w:numId="24">
    <w:abstractNumId w:val="19"/>
  </w:num>
  <w:num w:numId="25">
    <w:abstractNumId w:val="2"/>
  </w:num>
  <w:num w:numId="26">
    <w:abstractNumId w:val="6"/>
  </w:num>
  <w:num w:numId="27">
    <w:abstractNumId w:val="34"/>
  </w:num>
  <w:num w:numId="28">
    <w:abstractNumId w:val="42"/>
  </w:num>
  <w:num w:numId="29">
    <w:abstractNumId w:val="12"/>
  </w:num>
  <w:num w:numId="30">
    <w:abstractNumId w:val="44"/>
  </w:num>
  <w:num w:numId="31">
    <w:abstractNumId w:val="25"/>
  </w:num>
  <w:num w:numId="32">
    <w:abstractNumId w:val="24"/>
  </w:num>
  <w:num w:numId="33">
    <w:abstractNumId w:val="14"/>
  </w:num>
  <w:num w:numId="34">
    <w:abstractNumId w:val="41"/>
  </w:num>
  <w:num w:numId="35">
    <w:abstractNumId w:val="17"/>
  </w:num>
  <w:num w:numId="36">
    <w:abstractNumId w:val="31"/>
  </w:num>
  <w:num w:numId="37">
    <w:abstractNumId w:val="40"/>
  </w:num>
  <w:num w:numId="38">
    <w:abstractNumId w:val="9"/>
  </w:num>
  <w:num w:numId="39">
    <w:abstractNumId w:val="18"/>
  </w:num>
  <w:num w:numId="40">
    <w:abstractNumId w:val="37"/>
  </w:num>
  <w:num w:numId="41">
    <w:abstractNumId w:val="15"/>
  </w:num>
  <w:num w:numId="42">
    <w:abstractNumId w:val="0"/>
  </w:num>
  <w:num w:numId="43">
    <w:abstractNumId w:val="4"/>
  </w:num>
  <w:num w:numId="44">
    <w:abstractNumId w:val="29"/>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87A9D"/>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BE14B3"/>
    <w:rsid w:val="00C226B5"/>
    <w:rsid w:val="00C4363D"/>
    <w:rsid w:val="00C4452E"/>
    <w:rsid w:val="00C54D41"/>
    <w:rsid w:val="00C60F8A"/>
    <w:rsid w:val="00C77C1F"/>
    <w:rsid w:val="00CE30FC"/>
    <w:rsid w:val="00CE55D0"/>
    <w:rsid w:val="00CF1A8E"/>
    <w:rsid w:val="00D32B7F"/>
    <w:rsid w:val="00D343AE"/>
    <w:rsid w:val="00D86EEB"/>
    <w:rsid w:val="00DB6370"/>
    <w:rsid w:val="00DB7D1A"/>
    <w:rsid w:val="00DD2AB6"/>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willi.schulz-greve@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72EDA-ACF1-4294-A849-2BA3BBED3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8338</Characters>
  <Application>Microsoft Office Word</Application>
  <DocSecurity>0</DocSecurity>
  <Lines>173</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2022-11-14T11:57:00Z</dcterms:created>
  <dcterms:modified xsi:type="dcterms:W3CDTF">2022-11-14T11:57:00Z</dcterms:modified>
</cp:coreProperties>
</file>