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DD6075" w:rsidP="00FB58F0">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RTD-A-4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D6075" w:rsidRPr="00DD6075" w:rsidRDefault="00DD6075" w:rsidP="00DD6075">
            <w:pPr>
              <w:jc w:val="both"/>
              <w:outlineLvl w:val="1"/>
              <w:rPr>
                <w:rFonts w:ascii="Times New Roman" w:eastAsia="Times New Roman" w:hAnsi="Times New Roman" w:cs="Times New Roman"/>
                <w:b/>
                <w:bCs/>
                <w:lang w:eastAsia="fr-BE"/>
              </w:rPr>
            </w:pPr>
            <w:r w:rsidRPr="00DD6075">
              <w:rPr>
                <w:rFonts w:ascii="Times New Roman" w:eastAsia="Times New Roman" w:hAnsi="Times New Roman" w:cs="Times New Roman"/>
                <w:b/>
                <w:bCs/>
                <w:lang w:eastAsia="fr-BE"/>
              </w:rPr>
              <w:t xml:space="preserve">Michael </w:t>
            </w:r>
            <w:proofErr w:type="spellStart"/>
            <w:r w:rsidRPr="00DD6075">
              <w:rPr>
                <w:rFonts w:ascii="Times New Roman" w:eastAsia="Times New Roman" w:hAnsi="Times New Roman" w:cs="Times New Roman"/>
                <w:b/>
                <w:bCs/>
                <w:lang w:eastAsia="fr-BE"/>
              </w:rPr>
              <w:t>Arentoft</w:t>
            </w:r>
            <w:proofErr w:type="spellEnd"/>
          </w:p>
          <w:p w:rsidR="00DD6075" w:rsidRPr="00DD6075" w:rsidRDefault="00DD6075" w:rsidP="00DD6075">
            <w:pPr>
              <w:jc w:val="both"/>
              <w:outlineLvl w:val="1"/>
              <w:rPr>
                <w:rFonts w:ascii="Times New Roman" w:eastAsia="Times New Roman" w:hAnsi="Times New Roman" w:cs="Times New Roman"/>
                <w:b/>
                <w:bCs/>
                <w:lang w:eastAsia="fr-BE"/>
              </w:rPr>
            </w:pPr>
            <w:hyperlink r:id="rId8" w:history="1">
              <w:r w:rsidRPr="00B87EE0">
                <w:rPr>
                  <w:rStyle w:val="Hyperlink"/>
                  <w:rFonts w:ascii="Times New Roman" w:eastAsia="Times New Roman" w:hAnsi="Times New Roman" w:cs="Times New Roman"/>
                  <w:b/>
                  <w:bCs/>
                  <w:lang w:eastAsia="fr-BE"/>
                </w:rPr>
                <w:t>Michael.Arentoft@ec.europa.eu</w:t>
              </w:r>
            </w:hyperlink>
            <w:r>
              <w:rPr>
                <w:rFonts w:ascii="Times New Roman" w:eastAsia="Times New Roman" w:hAnsi="Times New Roman" w:cs="Times New Roman"/>
                <w:b/>
                <w:bCs/>
                <w:lang w:eastAsia="fr-BE"/>
              </w:rPr>
              <w:t xml:space="preserve"> </w:t>
            </w:r>
          </w:p>
          <w:p w:rsidR="00E21280" w:rsidRPr="00806A75" w:rsidRDefault="00DD6075" w:rsidP="00DD6075">
            <w:pPr>
              <w:ind w:right="1317"/>
              <w:jc w:val="both"/>
              <w:rPr>
                <w:rFonts w:ascii="Times New Roman" w:hAnsi="Times New Roman" w:cs="Times New Roman"/>
                <w:b/>
                <w:lang w:val="de-DE"/>
              </w:rPr>
            </w:pPr>
            <w:r w:rsidRPr="00DD6075">
              <w:rPr>
                <w:rFonts w:ascii="Times New Roman" w:eastAsia="Times New Roman" w:hAnsi="Times New Roman" w:cs="Times New Roman"/>
                <w:b/>
                <w:bCs/>
                <w:lang w:val="en-GB" w:eastAsia="fr-BE"/>
              </w:rPr>
              <w:t>+32 2 2963886</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Default="00DD6075" w:rsidP="00DD6075">
            <w:pPr>
              <w:rPr>
                <w:rFonts w:ascii="Times New Roman" w:eastAsia="Times New Roman" w:hAnsi="Times New Roman" w:cs="Times New Roman"/>
                <w:b/>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
          <w:p w:rsidR="00DD6075" w:rsidRPr="00950BA5" w:rsidRDefault="00DD6075" w:rsidP="00DD6075">
            <w:pPr>
              <w:rPr>
                <w:rFonts w:ascii="Times New Roman" w:eastAsia="Times New Roman" w:hAnsi="Times New Roman" w:cs="Times New Roman"/>
                <w:sz w:val="24"/>
                <w:szCs w:val="20"/>
                <w:lang w:val="de-DE" w:eastAsia="en-GB"/>
              </w:rPr>
            </w:pP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D6075" w:rsidP="00950BA5">
            <w:pPr>
              <w:tabs>
                <w:tab w:val="left" w:pos="459"/>
              </w:tabs>
              <w:rPr>
                <w:rFonts w:ascii="Times New Roman" w:eastAsia="Times New Roman" w:hAnsi="Times New Roman" w:cs="Times New Roman"/>
                <w:b/>
                <w:bCs/>
                <w:lang w:val="de-DE" w:eastAsia="en-GB"/>
              </w:rPr>
            </w:pP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420988">
        <w:rPr>
          <w:rFonts w:ascii="Times New Roman" w:eastAsia="Times New Roman" w:hAnsi="Times New Roman" w:cs="Times New Roman"/>
          <w:lang w:val="de-DE" w:eastAsia="en-GB"/>
        </w:rPr>
        <w:t xml:space="preserve">Das Referat RTD.A4 entwickelt, implementiert und überwacht die Strategien, Initiativen und Strukturen, die erforderlich sind, um die europäische Wissenschaft und Forschung zu öffnen und sie effizienter, robuster und reaktionsfähiger für die Bedürfnisse und Erwartungen von Politik und Gesellschaft zu machen. Insbesondere leitet die Abteilung die Definition und Umsetzung der EU-Politik in den folgenden Dimensionen von Open Science: die Zukunft der wissenschaftlichen Kommunikation und des offenen Zugangs (open </w:t>
      </w:r>
      <w:proofErr w:type="spellStart"/>
      <w:r w:rsidRPr="00420988">
        <w:rPr>
          <w:rFonts w:ascii="Times New Roman" w:eastAsia="Times New Roman" w:hAnsi="Times New Roman" w:cs="Times New Roman"/>
          <w:lang w:val="de-DE" w:eastAsia="en-GB"/>
        </w:rPr>
        <w:t>access</w:t>
      </w:r>
      <w:proofErr w:type="spellEnd"/>
      <w:r w:rsidRPr="00420988">
        <w:rPr>
          <w:rFonts w:ascii="Times New Roman" w:eastAsia="Times New Roman" w:hAnsi="Times New Roman" w:cs="Times New Roman"/>
          <w:lang w:val="de-DE" w:eastAsia="en-GB"/>
        </w:rPr>
        <w:t xml:space="preserve">), die European Open Science Cloud (EOSC), FAIR Management von Forschungsdaten und -diensten, Forschungsintegrität, </w:t>
      </w:r>
      <w:proofErr w:type="spellStart"/>
      <w:r w:rsidRPr="00420988">
        <w:rPr>
          <w:rFonts w:ascii="Times New Roman" w:eastAsia="Times New Roman" w:hAnsi="Times New Roman" w:cs="Times New Roman"/>
          <w:lang w:val="de-DE" w:eastAsia="en-GB"/>
        </w:rPr>
        <w:t>Citizen</w:t>
      </w:r>
      <w:proofErr w:type="spellEnd"/>
      <w:r w:rsidRPr="00420988">
        <w:rPr>
          <w:rFonts w:ascii="Times New Roman" w:eastAsia="Times New Roman" w:hAnsi="Times New Roman" w:cs="Times New Roman"/>
          <w:lang w:val="de-DE" w:eastAsia="en-GB"/>
        </w:rPr>
        <w:t xml:space="preserve"> Science, Forschungsindikatoren und -</w:t>
      </w:r>
      <w:proofErr w:type="spellStart"/>
      <w:r w:rsidRPr="00420988">
        <w:rPr>
          <w:rFonts w:ascii="Times New Roman" w:eastAsia="Times New Roman" w:hAnsi="Times New Roman" w:cs="Times New Roman"/>
          <w:lang w:val="de-DE" w:eastAsia="en-GB"/>
        </w:rPr>
        <w:t>metriken</w:t>
      </w:r>
      <w:proofErr w:type="spellEnd"/>
      <w:r w:rsidRPr="00420988">
        <w:rPr>
          <w:rFonts w:ascii="Times New Roman" w:eastAsia="Times New Roman" w:hAnsi="Times New Roman" w:cs="Times New Roman"/>
          <w:lang w:val="de-DE" w:eastAsia="en-GB"/>
        </w:rPr>
        <w:t>, Belohnungen und Anreize, Fähigkeiten und Bildung.</w:t>
      </w:r>
    </w:p>
    <w:p w:rsidR="00420988" w:rsidRP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420988">
        <w:rPr>
          <w:rFonts w:ascii="Times New Roman" w:eastAsia="Times New Roman" w:hAnsi="Times New Roman" w:cs="Times New Roman"/>
          <w:lang w:val="de-DE" w:eastAsia="en-GB"/>
        </w:rPr>
        <w:t xml:space="preserve">Das Referat leitet die Umsetzung von EOSC in Zusammenarbeit mit der GD CNECT. EOSC zielt darauf ab, eine vertrauenswürdige, offene Umgebung für die wissenschaftliche Gemeinschaft zu entwickeln, um FAIR-wissenschaftliche Daten, Werkzeuge und Dienste über Grenzen und Gemeinschaften hinweg zu speichern, zu teilen, zu finden und wiederzuverwenden. EOSC baut auf bestehenden Infrastrukturen und Diensten auf, die von der Europäischen Kommission, den Mitgliedstaaten und Forschungsgemeinschaften unterstützt werden. Es bringt diese in einem föderierten „System of Systems“-Ansatz zusammen. Europa ist der weltweit größte Produzent wissenschaftlicher Daten, bleibt jedoch von der Fragmentierung der Forschungsinfrastrukturlandschaft und der begrenzten gemeinsamen Nutzung und Verwaltung von FAIR-Daten betroffen. Die EOSC wird als vorrangige Aktion der politischen Agenda des Europäischen Forschungsraums (ERA) mit dem spezifischen Ziel anerkannt, Open-Science-Praktiken in Europa zu vertiefen. Es wird auch als „Datenraum für Wissenschaft, Forschung und Innovation“ anerkannt, der </w:t>
      </w:r>
      <w:r w:rsidRPr="00420988">
        <w:rPr>
          <w:rFonts w:ascii="Times New Roman" w:eastAsia="Times New Roman" w:hAnsi="Times New Roman" w:cs="Times New Roman"/>
          <w:lang w:val="de-DE" w:eastAsia="en-GB"/>
        </w:rPr>
        <w:lastRenderedPageBreak/>
        <w:t>vollständig mit den anderen in der Europäischen Datenstrategie definierten sektoralen Datenräumen artikuliert wird.</w:t>
      </w:r>
    </w:p>
    <w:p w:rsidR="00420988" w:rsidRP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420988">
        <w:rPr>
          <w:rFonts w:ascii="Times New Roman" w:eastAsia="Times New Roman" w:hAnsi="Times New Roman" w:cs="Times New Roman"/>
          <w:lang w:val="de-DE" w:eastAsia="en-GB"/>
        </w:rPr>
        <w:t>Das Referat baut die Kapazitäten und Expertise im Hinblick auf die Implementierung des EOSC und die Entwicklung eines Netzes von FAIR-Daten und -Diensten für die Wissenschaft aus. In diesem Zusammenhang schreibt das Referat eine neue Stelle als Abgeordneter Nationaler Experte: „</w:t>
      </w:r>
      <w:proofErr w:type="spellStart"/>
      <w:r w:rsidRPr="00420988">
        <w:rPr>
          <w:rFonts w:ascii="Times New Roman" w:eastAsia="Times New Roman" w:hAnsi="Times New Roman" w:cs="Times New Roman"/>
          <w:lang w:val="de-DE" w:eastAsia="en-GB"/>
        </w:rPr>
        <w:t>Policy</w:t>
      </w:r>
      <w:proofErr w:type="spellEnd"/>
      <w:r w:rsidRPr="00420988">
        <w:rPr>
          <w:rFonts w:ascii="Times New Roman" w:eastAsia="Times New Roman" w:hAnsi="Times New Roman" w:cs="Times New Roman"/>
          <w:lang w:val="de-DE" w:eastAsia="en-GB"/>
        </w:rPr>
        <w:t xml:space="preserve"> Officer – European Open Science Cloud </w:t>
      </w:r>
      <w:proofErr w:type="spellStart"/>
      <w:r w:rsidRPr="00420988">
        <w:rPr>
          <w:rFonts w:ascii="Times New Roman" w:eastAsia="Times New Roman" w:hAnsi="Times New Roman" w:cs="Times New Roman"/>
          <w:lang w:val="de-DE" w:eastAsia="en-GB"/>
        </w:rPr>
        <w:t>and</w:t>
      </w:r>
      <w:proofErr w:type="spellEnd"/>
      <w:r w:rsidRPr="00420988">
        <w:rPr>
          <w:rFonts w:ascii="Times New Roman" w:eastAsia="Times New Roman" w:hAnsi="Times New Roman" w:cs="Times New Roman"/>
          <w:lang w:val="de-DE" w:eastAsia="en-GB"/>
        </w:rPr>
        <w:t xml:space="preserve"> FAIR </w:t>
      </w:r>
      <w:proofErr w:type="spellStart"/>
      <w:r w:rsidRPr="00420988">
        <w:rPr>
          <w:rFonts w:ascii="Times New Roman" w:eastAsia="Times New Roman" w:hAnsi="Times New Roman" w:cs="Times New Roman"/>
          <w:lang w:val="de-DE" w:eastAsia="en-GB"/>
        </w:rPr>
        <w:t>data</w:t>
      </w:r>
      <w:proofErr w:type="spellEnd"/>
      <w:r w:rsidRPr="00420988">
        <w:rPr>
          <w:rFonts w:ascii="Times New Roman" w:eastAsia="Times New Roman" w:hAnsi="Times New Roman" w:cs="Times New Roman"/>
          <w:lang w:val="de-DE" w:eastAsia="en-GB"/>
        </w:rPr>
        <w:t xml:space="preserve"> </w:t>
      </w:r>
      <w:proofErr w:type="spellStart"/>
      <w:r w:rsidRPr="00420988">
        <w:rPr>
          <w:rFonts w:ascii="Times New Roman" w:eastAsia="Times New Roman" w:hAnsi="Times New Roman" w:cs="Times New Roman"/>
          <w:lang w:val="de-DE" w:eastAsia="en-GB"/>
        </w:rPr>
        <w:t>services</w:t>
      </w:r>
      <w:proofErr w:type="spellEnd"/>
      <w:r w:rsidRPr="00420988">
        <w:rPr>
          <w:rFonts w:ascii="Times New Roman" w:eastAsia="Times New Roman" w:hAnsi="Times New Roman" w:cs="Times New Roman"/>
          <w:lang w:val="de-DE" w:eastAsia="en-GB"/>
        </w:rPr>
        <w:t>“ aus.</w:t>
      </w:r>
    </w:p>
    <w:p w:rsidR="00420988" w:rsidRP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420988" w:rsidRP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420988">
        <w:rPr>
          <w:rFonts w:ascii="Times New Roman" w:eastAsia="Times New Roman" w:hAnsi="Times New Roman" w:cs="Times New Roman"/>
          <w:lang w:val="de-DE" w:eastAsia="en-GB"/>
        </w:rPr>
        <w:t>Unter der Aufsicht eines AD-Mitarbeiters wird der Experte/die Expertin Aspekte der Umsetzung der EOSC unterstützen und / oder leiten, die (a) die EOSC-</w:t>
      </w:r>
      <w:proofErr w:type="spellStart"/>
      <w:r w:rsidRPr="00420988">
        <w:rPr>
          <w:rFonts w:ascii="Times New Roman" w:eastAsia="Times New Roman" w:hAnsi="Times New Roman" w:cs="Times New Roman"/>
          <w:lang w:val="de-DE" w:eastAsia="en-GB"/>
        </w:rPr>
        <w:t>Governance</w:t>
      </w:r>
      <w:proofErr w:type="spellEnd"/>
      <w:r w:rsidRPr="00420988">
        <w:rPr>
          <w:rFonts w:ascii="Times New Roman" w:eastAsia="Times New Roman" w:hAnsi="Times New Roman" w:cs="Times New Roman"/>
          <w:lang w:val="de-DE" w:eastAsia="en-GB"/>
        </w:rPr>
        <w:t>-Struktur, (b) die Überwachung der Einführung von EOSC und allgemeiner von Open Wissenschaft in Europa, (c) die Entwicklung eines Netzes von FAIR-Daten und -Diensten für die Wissenschaft, (d) Nachhaltigkeitsmodelle für die EOSC-Föderation und die Open-Science-Überwachungskapazität, (e) die Einhaltung der EU-Gesetzgebung (einschließlich im Kontext des Digital Binnenmarkt). beinhalten.</w:t>
      </w:r>
    </w:p>
    <w:p w:rsid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420988" w:rsidRPr="00420988" w:rsidRDefault="00420988" w:rsidP="0042098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420988">
        <w:rPr>
          <w:rFonts w:ascii="Times New Roman" w:eastAsia="Times New Roman" w:hAnsi="Times New Roman" w:cs="Times New Roman"/>
          <w:lang w:val="de-DE" w:eastAsia="en-GB"/>
        </w:rPr>
        <w:t>Dieses beinhaltet weiterhin:</w:t>
      </w:r>
    </w:p>
    <w:p w:rsidR="00420988" w:rsidRPr="00420988" w:rsidRDefault="00420988" w:rsidP="00420988">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i.</w:t>
      </w:r>
      <w:r>
        <w:rPr>
          <w:rFonts w:ascii="Times New Roman" w:eastAsia="Times New Roman" w:hAnsi="Times New Roman" w:cs="Times New Roman"/>
          <w:lang w:val="de-DE" w:eastAsia="en-GB"/>
        </w:rPr>
        <w:tab/>
      </w:r>
      <w:r w:rsidRPr="00420988">
        <w:rPr>
          <w:rFonts w:ascii="Times New Roman" w:eastAsia="Times New Roman" w:hAnsi="Times New Roman" w:cs="Times New Roman"/>
          <w:lang w:val="de-DE" w:eastAsia="en-GB"/>
        </w:rPr>
        <w:t>Beitrag zur Arbeit engagierter Expertengruppen zu bestimmten EOSC-Themen; insbesondere Unterstützung bei der Leitung des Sekretariats der Expertengruppe des EOSC-Lenkungsausschusses der Europäischen Kommission</w:t>
      </w:r>
    </w:p>
    <w:p w:rsidR="00420988" w:rsidRPr="00420988" w:rsidRDefault="00420988" w:rsidP="00420988">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ii.</w:t>
      </w:r>
      <w:r>
        <w:rPr>
          <w:rFonts w:ascii="Times New Roman" w:eastAsia="Times New Roman" w:hAnsi="Times New Roman" w:cs="Times New Roman"/>
          <w:lang w:val="de-DE" w:eastAsia="en-GB"/>
        </w:rPr>
        <w:tab/>
      </w:r>
      <w:r w:rsidRPr="00420988">
        <w:rPr>
          <w:rFonts w:ascii="Times New Roman" w:eastAsia="Times New Roman" w:hAnsi="Times New Roman" w:cs="Times New Roman"/>
          <w:lang w:val="de-DE" w:eastAsia="en-GB"/>
        </w:rPr>
        <w:t xml:space="preserve">Beobachtung von Trends und Analyse politischer Entwicklungen in Bezug auf offene Wissenschaft, die Verbindung öffentlicher Dateninfrastrukturen mit dem EOSC-Verband und die Umsetzung der FAIR-Prinzipien in den Mitgliedstaaten und im globalen Kontext; Schnittstelle zum ERA Monitoring </w:t>
      </w:r>
      <w:proofErr w:type="spellStart"/>
      <w:r w:rsidRPr="00420988">
        <w:rPr>
          <w:rFonts w:ascii="Times New Roman" w:eastAsia="Times New Roman" w:hAnsi="Times New Roman" w:cs="Times New Roman"/>
          <w:lang w:val="de-DE" w:eastAsia="en-GB"/>
        </w:rPr>
        <w:t>Mechanism</w:t>
      </w:r>
      <w:proofErr w:type="spellEnd"/>
      <w:r w:rsidRPr="00420988">
        <w:rPr>
          <w:rFonts w:ascii="Times New Roman" w:eastAsia="Times New Roman" w:hAnsi="Times New Roman" w:cs="Times New Roman"/>
          <w:lang w:val="de-DE" w:eastAsia="en-GB"/>
        </w:rPr>
        <w:t>;</w:t>
      </w:r>
    </w:p>
    <w:p w:rsidR="00420988" w:rsidRPr="00420988" w:rsidRDefault="00420988" w:rsidP="00420988">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iii.</w:t>
      </w:r>
      <w:r>
        <w:rPr>
          <w:rFonts w:ascii="Times New Roman" w:eastAsia="Times New Roman" w:hAnsi="Times New Roman" w:cs="Times New Roman"/>
          <w:lang w:val="de-DE" w:eastAsia="en-GB"/>
        </w:rPr>
        <w:tab/>
      </w:r>
      <w:r w:rsidRPr="00420988">
        <w:rPr>
          <w:rFonts w:ascii="Times New Roman" w:eastAsia="Times New Roman" w:hAnsi="Times New Roman" w:cs="Times New Roman"/>
          <w:lang w:val="de-DE" w:eastAsia="en-GB"/>
        </w:rPr>
        <w:t>Sammlung von Informationen, Best Practices und Analyse relevanter Daten und Informationen zur Entwicklung, Unterstützung und Umsetzung der EOSC als „Förderer“ von Open-Science- und Open-Innovation-Strategien;</w:t>
      </w:r>
    </w:p>
    <w:p w:rsidR="00420988" w:rsidRPr="00420988" w:rsidRDefault="00420988" w:rsidP="00420988">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iv.</w:t>
      </w:r>
      <w:r>
        <w:rPr>
          <w:rFonts w:ascii="Times New Roman" w:eastAsia="Times New Roman" w:hAnsi="Times New Roman" w:cs="Times New Roman"/>
          <w:lang w:val="de-DE" w:eastAsia="en-GB"/>
        </w:rPr>
        <w:tab/>
      </w:r>
      <w:r w:rsidRPr="00420988">
        <w:rPr>
          <w:rFonts w:ascii="Times New Roman" w:eastAsia="Times New Roman" w:hAnsi="Times New Roman" w:cs="Times New Roman"/>
          <w:lang w:val="de-DE" w:eastAsia="en-GB"/>
        </w:rPr>
        <w:t>Durchführung von Studien und Konsultationen, Analyse und Verbreitung ihrer Ergebnisse im Kontext der EU-</w:t>
      </w:r>
      <w:proofErr w:type="gramStart"/>
      <w:r w:rsidRPr="00420988">
        <w:rPr>
          <w:rFonts w:ascii="Times New Roman" w:eastAsia="Times New Roman" w:hAnsi="Times New Roman" w:cs="Times New Roman"/>
          <w:lang w:val="de-DE" w:eastAsia="en-GB"/>
        </w:rPr>
        <w:t>Politik ;</w:t>
      </w:r>
      <w:proofErr w:type="gramEnd"/>
    </w:p>
    <w:p w:rsidR="00AA47F1" w:rsidRPr="00AA47F1" w:rsidRDefault="00420988" w:rsidP="00420988">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v.</w:t>
      </w:r>
      <w:r>
        <w:rPr>
          <w:rFonts w:ascii="Times New Roman" w:eastAsia="Times New Roman" w:hAnsi="Times New Roman" w:cs="Times New Roman"/>
          <w:lang w:val="de-DE" w:eastAsia="en-GB"/>
        </w:rPr>
        <w:tab/>
      </w:r>
      <w:r w:rsidRPr="00420988">
        <w:rPr>
          <w:rFonts w:ascii="Times New Roman" w:eastAsia="Times New Roman" w:hAnsi="Times New Roman" w:cs="Times New Roman"/>
          <w:lang w:val="de-DE" w:eastAsia="en-GB"/>
        </w:rPr>
        <w:t xml:space="preserve">Teilnahme an internen und externen Kommunikationsaktivitäten, wie z. B., aber nicht </w:t>
      </w:r>
      <w:proofErr w:type="spellStart"/>
      <w:r w:rsidRPr="00420988">
        <w:rPr>
          <w:rFonts w:ascii="Times New Roman" w:eastAsia="Times New Roman" w:hAnsi="Times New Roman" w:cs="Times New Roman"/>
          <w:lang w:val="de-DE" w:eastAsia="en-GB"/>
        </w:rPr>
        <w:t>nicht</w:t>
      </w:r>
      <w:proofErr w:type="spellEnd"/>
      <w:r w:rsidRPr="00420988">
        <w:rPr>
          <w:rFonts w:ascii="Times New Roman" w:eastAsia="Times New Roman" w:hAnsi="Times New Roman" w:cs="Times New Roman"/>
          <w:lang w:val="de-DE" w:eastAsia="en-GB"/>
        </w:rPr>
        <w:t xml:space="preserve"> nur, Newsletter, Blogs, Konferenzen und EOSC </w:t>
      </w:r>
      <w:proofErr w:type="spellStart"/>
      <w:r w:rsidRPr="00420988">
        <w:rPr>
          <w:rFonts w:ascii="Times New Roman" w:eastAsia="Times New Roman" w:hAnsi="Times New Roman" w:cs="Times New Roman"/>
          <w:lang w:val="de-DE" w:eastAsia="en-GB"/>
        </w:rPr>
        <w:t>Tripartite</w:t>
      </w:r>
      <w:proofErr w:type="spellEnd"/>
      <w:r w:rsidRPr="00420988">
        <w:rPr>
          <w:rFonts w:ascii="Times New Roman" w:eastAsia="Times New Roman" w:hAnsi="Times New Roman" w:cs="Times New Roman"/>
          <w:lang w:val="de-DE" w:eastAsia="en-GB"/>
        </w:rPr>
        <w:t xml:space="preserve"> Veranstaltungen</w:t>
      </w:r>
      <w:r>
        <w:rPr>
          <w:rFonts w:ascii="Times New Roman" w:eastAsia="Times New Roman" w:hAnsi="Times New Roman" w:cs="Times New Roman"/>
          <w:lang w:val="de-DE" w:eastAsia="en-GB"/>
        </w:rPr>
        <w:t>.</w:t>
      </w: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420988">
        <w:rPr>
          <w:rFonts w:ascii="Times New Roman" w:eastAsia="Times New Roman" w:hAnsi="Times New Roman" w:cs="Times New Roman"/>
          <w:lang w:val="de-DE" w:eastAsia="en-GB"/>
        </w:rPr>
        <w:t>d</w:t>
      </w:r>
      <w:r w:rsidR="00420988" w:rsidRPr="00420988">
        <w:rPr>
          <w:rFonts w:ascii="Times New Roman" w:eastAsia="Times New Roman" w:hAnsi="Times New Roman" w:cs="Times New Roman"/>
          <w:lang w:val="de-DE" w:eastAsia="en-GB"/>
        </w:rPr>
        <w:t>er Experte verfügt über einen multidisziplinären Hintergrund, der ein gründliches Verständnis von Politik und Wirtschaft mit ausgezeichneten Kenntnissen in Wissenschaft, F &amp; E und Innovation verbindet</w:t>
      </w:r>
      <w:r w:rsidR="00C72E64" w:rsidRPr="00C72E6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Default="00420988" w:rsidP="00763378">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420988">
        <w:rPr>
          <w:rFonts w:ascii="Times New Roman" w:eastAsia="Times New Roman" w:hAnsi="Times New Roman" w:cs="Times New Roman"/>
          <w:szCs w:val="20"/>
          <w:lang w:val="de-DE" w:eastAsia="en-GB"/>
        </w:rPr>
        <w:t>mindestens zwei Jahre Berufserfahrung im Bereich der Politikanalyse und/oder im Bereich der Wirtschaftsanalyse. Zusätzlich sind nachgewiesene Kenntnisse im Politikbereich von Open Science / Open Access sind von großen Vorteil.</w:t>
      </w:r>
    </w:p>
    <w:p w:rsidR="00420988" w:rsidRPr="00763378" w:rsidRDefault="0042098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420988"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420988">
        <w:rPr>
          <w:rFonts w:ascii="Times New Roman" w:eastAsia="Times New Roman" w:hAnsi="Times New Roman" w:cs="Times New Roman"/>
          <w:lang w:val="de-DE" w:eastAsia="en-GB"/>
        </w:rPr>
        <w:t>ründliche Kenntnisse in einer Sprache der Europäischen Union und ausreichende Kenntnisse in einer weiteren</w:t>
      </w:r>
      <w:r>
        <w:rPr>
          <w:rFonts w:ascii="Times New Roman" w:eastAsia="Times New Roman" w:hAnsi="Times New Roman" w:cs="Times New Roman"/>
          <w:lang w:val="de-DE" w:eastAsia="en-GB"/>
        </w:rPr>
        <w:t xml:space="preserve"> Sprache der Europäischen Union</w:t>
      </w:r>
      <w:r w:rsidRPr="00420988">
        <w:rPr>
          <w:rFonts w:ascii="Times New Roman" w:eastAsia="Times New Roman" w:hAnsi="Times New Roman" w:cs="Times New Roman"/>
          <w:lang w:val="de-DE" w:eastAsia="en-GB"/>
        </w:rPr>
        <w:t>. Es werden exzellente Englischkenntnisse in Wort und Schrift erwartet.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420988" w:rsidRDefault="00420988"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20988">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0"/>
  </w:num>
  <w:num w:numId="6">
    <w:abstractNumId w:val="4"/>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20988"/>
    <w:rsid w:val="0044591D"/>
    <w:rsid w:val="00446CC2"/>
    <w:rsid w:val="004741D9"/>
    <w:rsid w:val="0048573E"/>
    <w:rsid w:val="00495918"/>
    <w:rsid w:val="004B1E82"/>
    <w:rsid w:val="004C5AC3"/>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DD6075"/>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Arentof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1473</Words>
  <Characters>10595</Characters>
  <Application>Microsoft Office Word</Application>
  <DocSecurity>0</DocSecurity>
  <Lines>264</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2022-11-14T15:31:00Z</dcterms:created>
  <dcterms:modified xsi:type="dcterms:W3CDTF">2022-11-14T15:31:00Z</dcterms:modified>
</cp:coreProperties>
</file>