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63378"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CNECT-F-2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63378" w:rsidRPr="00B6704F" w:rsidRDefault="00763378" w:rsidP="00763378">
            <w:pPr>
              <w:jc w:val="both"/>
              <w:outlineLvl w:val="1"/>
              <w:rPr>
                <w:rFonts w:ascii="Times New Roman" w:eastAsia="Times New Roman" w:hAnsi="Times New Roman" w:cs="Times New Roman"/>
                <w:b/>
                <w:bCs/>
                <w:lang w:val="en-GB" w:eastAsia="fr-BE"/>
              </w:rPr>
            </w:pPr>
            <w:r w:rsidRPr="00B6704F">
              <w:rPr>
                <w:rFonts w:ascii="Times New Roman" w:eastAsia="Times New Roman" w:hAnsi="Times New Roman" w:cs="Times New Roman"/>
                <w:b/>
                <w:bCs/>
                <w:lang w:val="en-GB" w:eastAsia="fr-BE"/>
              </w:rPr>
              <w:t>Prabhat Agarwal</w:t>
            </w:r>
          </w:p>
          <w:p w:rsidR="00763378" w:rsidRPr="00B6704F" w:rsidRDefault="0055291E" w:rsidP="00763378">
            <w:pPr>
              <w:jc w:val="both"/>
              <w:outlineLvl w:val="1"/>
              <w:rPr>
                <w:rFonts w:ascii="Times New Roman" w:eastAsia="Times New Roman" w:hAnsi="Times New Roman" w:cs="Times New Roman"/>
                <w:b/>
                <w:bCs/>
                <w:lang w:val="en-GB" w:eastAsia="fr-BE"/>
              </w:rPr>
            </w:pPr>
            <w:hyperlink r:id="rId8" w:history="1">
              <w:r w:rsidR="00763378" w:rsidRPr="00B6704F">
                <w:rPr>
                  <w:rFonts w:ascii="Times New Roman" w:eastAsia="Times New Roman" w:hAnsi="Times New Roman" w:cs="Times New Roman"/>
                  <w:b/>
                  <w:bCs/>
                  <w:color w:val="0000FF"/>
                  <w:u w:val="single"/>
                  <w:lang w:val="en-GB" w:eastAsia="fr-BE"/>
                </w:rPr>
                <w:t>Prabhat.agarwal@ec.europa.eu</w:t>
              </w:r>
            </w:hyperlink>
            <w:r w:rsidR="00763378" w:rsidRPr="00B6704F">
              <w:rPr>
                <w:rFonts w:ascii="Times New Roman" w:eastAsia="Times New Roman" w:hAnsi="Times New Roman" w:cs="Times New Roman"/>
                <w:b/>
                <w:bCs/>
                <w:lang w:val="en-GB" w:eastAsia="fr-BE"/>
              </w:rPr>
              <w:t xml:space="preserve"> </w:t>
            </w:r>
          </w:p>
          <w:p w:rsidR="00E21280" w:rsidRPr="00806A75" w:rsidRDefault="00763378" w:rsidP="00763378">
            <w:pPr>
              <w:ind w:right="1317"/>
              <w:jc w:val="both"/>
              <w:rPr>
                <w:rFonts w:ascii="Times New Roman" w:hAnsi="Times New Roman" w:cs="Times New Roman"/>
                <w:b/>
                <w:lang w:val="de-DE"/>
              </w:rPr>
            </w:pPr>
            <w:r w:rsidRPr="0055291E">
              <w:rPr>
                <w:rFonts w:ascii="Times New Roman" w:eastAsia="Times New Roman" w:hAnsi="Times New Roman" w:cs="Times New Roman"/>
                <w:b/>
                <w:bCs/>
                <w:lang w:eastAsia="fr-BE"/>
              </w:rPr>
              <w:t>+32.2.2987153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r w:rsidR="00763378">
              <w:rPr>
                <w:rFonts w:ascii="Times New Roman" w:hAnsi="Times New Roman" w:cs="Times New Roman"/>
                <w:b/>
                <w:lang w:val="de-DE"/>
              </w:rPr>
              <w:t>0</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76337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Wir sind die Direktion Plattformen der GD CONNECT.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Wir verwalten derzeit das Spektrum der für Online-Vermittlungsdienste geltenden Strategien und Vorschriften, darunter das Gesetz über digitale Dienste, das Gesetz über digitale Märkte, zwei wichtige neue Rechtsrahmen für Online-Plattformen und andere Online-Vermittler sowie die Verordnung zur Förderung von Fairness und Transparenz für gewerbliche Nutzer von </w:t>
      </w:r>
      <w:proofErr w:type="spellStart"/>
      <w:r w:rsidRPr="00763378">
        <w:rPr>
          <w:rFonts w:ascii="Times New Roman" w:eastAsia="Times New Roman" w:hAnsi="Times New Roman" w:cs="Times New Roman"/>
          <w:lang w:val="de-DE" w:eastAsia="en-GB"/>
        </w:rPr>
        <w:t>OnlineVermittlungsdiensten</w:t>
      </w:r>
      <w:proofErr w:type="spellEnd"/>
      <w:r w:rsidRPr="00763378">
        <w:rPr>
          <w:rFonts w:ascii="Times New Roman" w:eastAsia="Times New Roman" w:hAnsi="Times New Roman" w:cs="Times New Roman"/>
          <w:lang w:val="de-DE" w:eastAsia="en-GB"/>
        </w:rPr>
        <w:t xml:space="preserve">.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Wir bereiten derzeit die Überwachung der Umsetzung und Durchsetzung des Gesetzes über digitale Dienste und des Gesetzes über digitale Märkte (gemeinsam mit der GD COMP) vor, die der Kommission die neuen, weltweit bedeutenden Regulierungsbefugnisse zur Beaufsichtigung der größten Online-Plattformen in der EU übertragen.</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Für diese wegweisende neue Aufgabe versuchen wir, hochmotivierte Abgeordnete Nationale Sachverständige mit einer Reihe von Kompetenzen für die Arbeit im multidisziplinären, mit der Durchsetzung der oben genannten Verordnungen betrauten Teameinzustellen.</w:t>
      </w:r>
    </w:p>
    <w:p w:rsid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Das Gesetz über digitale Dienste und das Gesetz über digitale Märkte stellen bahnbrechende neue digitale Vorschriften dar und gehören zu den </w:t>
      </w:r>
      <w:proofErr w:type="spellStart"/>
      <w:r w:rsidRPr="00763378">
        <w:rPr>
          <w:rFonts w:ascii="Times New Roman" w:eastAsia="Times New Roman" w:hAnsi="Times New Roman" w:cs="Times New Roman"/>
          <w:lang w:val="de-DE" w:eastAsia="en-GB"/>
        </w:rPr>
        <w:t>Prioritätender</w:t>
      </w:r>
      <w:proofErr w:type="spellEnd"/>
      <w:r w:rsidRPr="00763378">
        <w:rPr>
          <w:rFonts w:ascii="Times New Roman" w:eastAsia="Times New Roman" w:hAnsi="Times New Roman" w:cs="Times New Roman"/>
          <w:lang w:val="de-DE" w:eastAsia="en-GB"/>
        </w:rPr>
        <w:t xml:space="preserve"> Kommission im Bereich der digitalen Regeln und Vorschriften als Teil der politischen Maßnahmen, mit denen Europa für das digitale Zeitalter gerüstet werden soll.</w:t>
      </w:r>
    </w:p>
    <w:p w:rsid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lastRenderedPageBreak/>
        <w:t xml:space="preserve">Die Kommission richtet nun innerhalb der GD CONNECT eine neue Regulierungsstelle in der eigens dafür </w:t>
      </w:r>
      <w:proofErr w:type="gramStart"/>
      <w:r w:rsidRPr="00763378">
        <w:rPr>
          <w:rFonts w:ascii="Times New Roman" w:eastAsia="Times New Roman" w:hAnsi="Times New Roman" w:cs="Times New Roman"/>
          <w:lang w:val="de-DE" w:eastAsia="en-GB"/>
        </w:rPr>
        <w:t>eingerichteten  „</w:t>
      </w:r>
      <w:proofErr w:type="gramEnd"/>
      <w:r w:rsidRPr="00763378">
        <w:rPr>
          <w:rFonts w:ascii="Times New Roman" w:eastAsia="Times New Roman" w:hAnsi="Times New Roman" w:cs="Times New Roman"/>
          <w:lang w:val="de-DE" w:eastAsia="en-GB"/>
        </w:rPr>
        <w:t>Direktion Plattformen“ ein. Innerhalb dieser Direktion wird das Team für die Durchsetzung des Gesetzes über digitale Dienste im Rahmen weltweit einzigartiger neuer Befugnisse der Kommission mit der Aufsicht über „sehr große Online-Plattformen“ und „sehr große Online-Suchmaschinen“, d. h. solche mit mehr als 45 Millionen Nutzern in der EU, beauftragt werden. Dazu gehören Suchmaschinen und Plattformen wie Websites sozialer Medien, Videoplattformen und Online-Marktplätze.</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Mit bahnbrechenden neuen Regulierungsbefugnissen wird die Kommission die Systeme überwachen, die solche Online-Plattformen zur Bekämpfung illegaler Inhalte, zur Bekämpfung von Desinformation, zur Wahrung der Nutzerrechte und zum Schutz der Gesundheit und des Wohlergehens der Nutzer einrichten. Das Team wird eng und nahtlos mit dem neu eingerichteten Europäischen Zentrum für </w:t>
      </w:r>
      <w:proofErr w:type="spellStart"/>
      <w:r w:rsidRPr="00763378">
        <w:rPr>
          <w:rFonts w:ascii="Times New Roman" w:eastAsia="Times New Roman" w:hAnsi="Times New Roman" w:cs="Times New Roman"/>
          <w:lang w:val="de-DE" w:eastAsia="en-GB"/>
        </w:rPr>
        <w:t>Algorithmtransparenz</w:t>
      </w:r>
      <w:proofErr w:type="spellEnd"/>
      <w:r w:rsidRPr="00763378">
        <w:rPr>
          <w:rFonts w:ascii="Times New Roman" w:eastAsia="Times New Roman" w:hAnsi="Times New Roman" w:cs="Times New Roman"/>
          <w:lang w:val="de-DE" w:eastAsia="en-GB"/>
        </w:rPr>
        <w:t xml:space="preserve"> zusammenarbeiten, das bei der Gemeinsamen Forschungsstelle der Kommission eingerichtet wurde. Ein Teil der Arbeit wird die Überprüfung der Empfehlungssysteme der Plattformen und der Algorithmen für die Moderation von Inhalten im Rahmen ihrer allgemeinen Einhaltung des Gesetzes über digitale Dienste umfassen.</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Das Team wird mit externen Interessenträgern, einschließlich regulierter Unternehmen, zivilgesellschaftlicher Akteure und Wissenschaftlern, interagieren und eng mit den Mitgliedstaaten und einschlägigen Drittländern und internationalen Organisationen zusammenarbeiten.</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AUFGABENBESCHREIBUNG</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Allgemeines Ziel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Auf der Grundlage der der Kommission im Rahmen des Gesetzes über digitale Dienste übertragenen Befugnisse nimmt das Team seine neuen Aufsichts- und Durchsetzungsaufgaben wahr.</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Stellenprofil 1: Rechtsreferent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Unter der Aufsicht des Referatsleiters und des stellvertretenden Referatsleiters wäre der Stelleninhaber für die Rechtsberatung und -analyse zu allen Aspekten des Gesetzes über digitale Dienste zuständig.</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Stellenprofil 2: Datenwissenschaftler/-in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Unter der Aufsicht des Referatsleiters und des stellvertretenden Referatsleiters wäre der Stelleninhaber für die Wahrnehmung von Aufgaben im Zusammenhang mit der technischen Funktionsweise aller relevanten Aspekte des Gesetzes über digitale Dienste zuständig, einschließlich der Anwendung relevanter datenwissenschaftlicher Ansätze.</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Profil 3: Ökonom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Unter der Aufsicht des Referatsleiters und des stellvertretenden Referatsleiters wäre der Stelleninhaber für die Durchführung wirtschaftlicher Analysen und die wirtschaftliche Beratung zu den relevanten Aspekten des Gesetzes über digitale Dienste zuständig.</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Profil 4: </w:t>
      </w:r>
      <w:proofErr w:type="spellStart"/>
      <w:r w:rsidRPr="00763378">
        <w:rPr>
          <w:rFonts w:ascii="Times New Roman" w:eastAsia="Times New Roman" w:hAnsi="Times New Roman" w:cs="Times New Roman"/>
          <w:lang w:val="de-DE" w:eastAsia="en-GB"/>
        </w:rPr>
        <w:t>Policy</w:t>
      </w:r>
      <w:proofErr w:type="spellEnd"/>
      <w:r w:rsidRPr="00763378">
        <w:rPr>
          <w:rFonts w:ascii="Times New Roman" w:eastAsia="Times New Roman" w:hAnsi="Times New Roman" w:cs="Times New Roman"/>
          <w:lang w:val="de-DE" w:eastAsia="en-GB"/>
        </w:rPr>
        <w:t xml:space="preserve"> Officer </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Unter der Aufsicht des Referatsleiters und des stellvertretenden Referatsleiters wäre der Stelleninhaber für die Durchführung allgemeiner Analysen, Beratung und die Durchführung von Projekten allgemeiner Art im Zusammenhang mit den Bestimmungen des Gesetzes über digitale Dienste zuständig.</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Zu den wichtigsten Aufgaben gehören: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Beitrag zur Vorbereitungsphase für die Durchsetzung des Gesetzes über digitale Dienste, indem evidenzbasierte Ansätze, Leitlinien und analytische Rahmen festgelegt werden;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Beitrag zur Einrichtung solider interner und externer Verfahren und Prozesse, einschließlich der einschlägigen internen digitalen Arbeitsabläufe;</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Zusammenarbeit mit einschlägigen Interessenträgern, um Wissen und Fakten zur Unterstützung der Anwendung des Gesetzes über digitale Dienste zu sammeln;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Mit den in den Anwendungsbereich fallenden Einrichtungen, den Mitgliedstaaten, Dritten und anderen Interessenträgern zusammenarbeiten, um die wirksame Umsetzung der Vorschriften vorzubereiten, unter anderem durch Beiträge zum Sekundärrecht, zu Leitlinien, Verhaltenskodizes oder einschlägigen Normen;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Im Rahmen multidisziplinärer </w:t>
      </w:r>
      <w:proofErr w:type="spellStart"/>
      <w:r w:rsidRPr="00763378">
        <w:rPr>
          <w:rFonts w:ascii="Times New Roman" w:eastAsia="Times New Roman" w:hAnsi="Times New Roman" w:cs="Times New Roman"/>
          <w:lang w:val="de-DE" w:eastAsia="en-GB"/>
        </w:rPr>
        <w:t>TeamsErmittlung</w:t>
      </w:r>
      <w:proofErr w:type="spellEnd"/>
      <w:r w:rsidRPr="00763378">
        <w:rPr>
          <w:rFonts w:ascii="Times New Roman" w:eastAsia="Times New Roman" w:hAnsi="Times New Roman" w:cs="Times New Roman"/>
          <w:lang w:val="de-DE" w:eastAsia="en-GB"/>
        </w:rPr>
        <w:t xml:space="preserve">, Untersuchung und Analyse potenzieller Verstöße gegen das Gesetz über digitale Dienste;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lastRenderedPageBreak/>
        <w:t>•</w:t>
      </w:r>
      <w:r w:rsidRPr="00763378">
        <w:rPr>
          <w:rFonts w:ascii="Times New Roman" w:eastAsia="Times New Roman" w:hAnsi="Times New Roman" w:cs="Times New Roman"/>
          <w:lang w:val="de-DE" w:eastAsia="en-GB"/>
        </w:rPr>
        <w:tab/>
        <w:t xml:space="preserve">Beitrag zu internem und externem Wissensmanagement-, Schulungs- und Kommunikationsmaßnahmen;  </w:t>
      </w:r>
    </w:p>
    <w:p w:rsidR="00763378" w:rsidRPr="00763378" w:rsidRDefault="00763378" w:rsidP="00763378">
      <w:pPr>
        <w:pStyle w:val="ListParagraph"/>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Beitrag zu Projekten der technologischen Vorausschau.</w:t>
      </w: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763378" w:rsidRPr="00763378" w:rsidRDefault="00763378" w:rsidP="00763378">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Die Aufgaben können auch Folgendes umfassen: </w:t>
      </w:r>
    </w:p>
    <w:p w:rsidR="00763378" w:rsidRPr="00763378" w:rsidRDefault="00763378" w:rsidP="00763378">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Durchführung von Untersuchungen, insbesondere Inspektionen, bei benannten Stellen und damit zusammenhängenden Tätigkeiten; </w:t>
      </w:r>
    </w:p>
    <w:p w:rsidR="00763378" w:rsidRPr="00763378" w:rsidRDefault="00763378" w:rsidP="00763378">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Mitwirkung an gemeinsamen Ermittlungen, die mit den Mitgliedstaaten durchgeführt werden;  </w:t>
      </w:r>
    </w:p>
    <w:p w:rsidR="00F9369C" w:rsidRDefault="00763378" w:rsidP="00763378">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Durchführung von Überwachungs- und Kontrolltätigkeiten.</w:t>
      </w:r>
    </w:p>
    <w:p w:rsidR="00F9369C" w:rsidRP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63378" w:rsidRPr="00763378">
        <w:rPr>
          <w:rFonts w:ascii="Times New Roman" w:eastAsia="Times New Roman" w:hAnsi="Times New Roman" w:cs="Times New Roman"/>
          <w:lang w:val="de-DE" w:eastAsia="en-GB"/>
        </w:rPr>
        <w:t>siehe die unten beschriebenen Profile</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Die Bewerber müssen außerdem über eine mindestens zweijährige Berufserfahrung in folgenden Bereichen verfügen:</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Stellenprofil 1</w:t>
      </w:r>
      <w:r>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 xml:space="preserve"> </w:t>
      </w:r>
      <w:proofErr w:type="gramStart"/>
      <w:r w:rsidRPr="00763378">
        <w:rPr>
          <w:rFonts w:ascii="Times New Roman" w:eastAsia="Times New Roman" w:hAnsi="Times New Roman" w:cs="Times New Roman"/>
          <w:lang w:val="de-DE" w:eastAsia="en-GB"/>
        </w:rPr>
        <w:t xml:space="preserve">Rechtsreferent </w:t>
      </w:r>
      <w:r>
        <w:rPr>
          <w:rFonts w:ascii="Times New Roman" w:eastAsia="Times New Roman" w:hAnsi="Times New Roman" w:cs="Times New Roman"/>
          <w:lang w:val="de-DE" w:eastAsia="en-GB"/>
        </w:rPr>
        <w:t>:</w:t>
      </w:r>
      <w:proofErr w:type="gramEnd"/>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Rechtliche Analyse im Bereich des EU-Rechts und/oder digitaler Vorschriften</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Stellenprofil 2</w:t>
      </w:r>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 xml:space="preserve"> Datenwissenschaftler/-</w:t>
      </w:r>
      <w:proofErr w:type="gramStart"/>
      <w:r w:rsidRPr="00763378">
        <w:rPr>
          <w:rFonts w:ascii="Times New Roman" w:eastAsia="Times New Roman" w:hAnsi="Times New Roman" w:cs="Times New Roman"/>
          <w:lang w:val="de-DE" w:eastAsia="en-GB"/>
        </w:rPr>
        <w:t xml:space="preserve">in </w:t>
      </w:r>
      <w:r>
        <w:rPr>
          <w:rFonts w:ascii="Times New Roman" w:eastAsia="Times New Roman" w:hAnsi="Times New Roman" w:cs="Times New Roman"/>
          <w:lang w:val="de-DE" w:eastAsia="en-GB"/>
        </w:rPr>
        <w:t>:</w:t>
      </w:r>
      <w:proofErr w:type="gramEnd"/>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Datenwissenschaft und/oder allgemeiner einschlägiger Technologiebereich</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Profil 3</w:t>
      </w:r>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 xml:space="preserve">: </w:t>
      </w:r>
      <w:proofErr w:type="gramStart"/>
      <w:r w:rsidRPr="00763378">
        <w:rPr>
          <w:rFonts w:ascii="Times New Roman" w:eastAsia="Times New Roman" w:hAnsi="Times New Roman" w:cs="Times New Roman"/>
          <w:lang w:val="de-DE" w:eastAsia="en-GB"/>
        </w:rPr>
        <w:t xml:space="preserve">Ökonom </w:t>
      </w:r>
      <w:r>
        <w:rPr>
          <w:rFonts w:ascii="Times New Roman" w:eastAsia="Times New Roman" w:hAnsi="Times New Roman" w:cs="Times New Roman"/>
          <w:lang w:val="de-DE" w:eastAsia="en-GB"/>
        </w:rPr>
        <w:t>:</w:t>
      </w:r>
      <w:proofErr w:type="gramEnd"/>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 xml:space="preserve">Wirtschaftsanalyse im Bereich der digitalen Wirtschaft oder der Netzwerkindustrien </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Profil 4</w:t>
      </w:r>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 xml:space="preserve"> </w:t>
      </w:r>
      <w:proofErr w:type="spellStart"/>
      <w:r w:rsidRPr="00763378">
        <w:rPr>
          <w:rFonts w:ascii="Times New Roman" w:eastAsia="Times New Roman" w:hAnsi="Times New Roman" w:cs="Times New Roman"/>
          <w:lang w:val="de-DE" w:eastAsia="en-GB"/>
        </w:rPr>
        <w:t>Policy</w:t>
      </w:r>
      <w:proofErr w:type="spellEnd"/>
      <w:r w:rsidRPr="00763378">
        <w:rPr>
          <w:rFonts w:ascii="Times New Roman" w:eastAsia="Times New Roman" w:hAnsi="Times New Roman" w:cs="Times New Roman"/>
          <w:lang w:val="de-DE" w:eastAsia="en-GB"/>
        </w:rPr>
        <w:t xml:space="preserve"> </w:t>
      </w:r>
      <w:proofErr w:type="gramStart"/>
      <w:r w:rsidRPr="00763378">
        <w:rPr>
          <w:rFonts w:ascii="Times New Roman" w:eastAsia="Times New Roman" w:hAnsi="Times New Roman" w:cs="Times New Roman"/>
          <w:lang w:val="de-DE" w:eastAsia="en-GB"/>
        </w:rPr>
        <w:t>Officer</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w:t>
      </w:r>
      <w:r w:rsidRPr="00763378">
        <w:rPr>
          <w:rFonts w:ascii="Times New Roman" w:eastAsia="Times New Roman" w:hAnsi="Times New Roman" w:cs="Times New Roman"/>
          <w:lang w:val="de-DE" w:eastAsia="en-GB"/>
        </w:rPr>
        <w:t>Berufserfahrung in einem Bereich, der mit der Digitalpolitik, der digitalen Regulierung oder anderen verwandten und einschlägigen  Bereichen, einschließlich Projektmanagement, in Zusammenhang steht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 xml:space="preserve"> </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Die folgenden Fachkenntnisse oder Berufserfahrungen in einem der folgenden Bereiche wären auch für alle vier Profile von Vorteil:</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lastRenderedPageBreak/>
        <w:t>•</w:t>
      </w:r>
      <w:r w:rsidRPr="00763378">
        <w:rPr>
          <w:rFonts w:ascii="Times New Roman" w:eastAsia="Times New Roman" w:hAnsi="Times New Roman" w:cs="Times New Roman"/>
          <w:lang w:val="de-DE" w:eastAsia="en-GB"/>
        </w:rPr>
        <w:tab/>
        <w:t xml:space="preserve">Berufserfahrung in einem internationalen und multikulturellen Umfeld; </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Kenntnisse/Verständnis der EU-Politik in den für das Profil relevanten Bereichen. </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Kenntnisse/Erfahrung in der Regulierungsaufsicht und Durchsetzung in allen damit zusammenhängenden Bereichen</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Erfahrung und Verständnis von Prüf- und Kontrollsystemen;  </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Vergabeverfahren im Zusammenhang mit dem EU-Haushalt.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Zusätzliche erforderliche Kompetenzen für alle vier Profile:</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Nachgewiesene Fähigkeit, hochwertige schriftliche Ergebnisse zu komplexen Fragen auf der Grundlage von multidisziplinärer-Teamarbeit innerhalb knapper Fristen zu erstellen</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Nachgewiesene Fähigkeit, erfolgreich und autonom in multidisziplinären und multikulturellen Teams zu arbeiten</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Ausgezeichnete soziale Kompetenzen, Kommunikations- und Problemlösungskompetenzen; </w:t>
      </w:r>
    </w:p>
    <w:p w:rsidR="00763378" w:rsidRPr="00763378"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Gute organisatorische Kompetenzen, Fähigkeit, als Teammitglied zu arbeiten und mit externen Interessenträgern zu interagieren;  </w:t>
      </w:r>
    </w:p>
    <w:p w:rsidR="00FA7B69" w:rsidRDefault="00763378" w:rsidP="00763378">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w:t>
      </w:r>
      <w:r w:rsidRPr="00763378">
        <w:rPr>
          <w:rFonts w:ascii="Times New Roman" w:eastAsia="Times New Roman" w:hAnsi="Times New Roman" w:cs="Times New Roman"/>
          <w:lang w:val="de-DE" w:eastAsia="en-GB"/>
        </w:rPr>
        <w:tab/>
        <w:t xml:space="preserve">Eine konstruktive und pro-aktive </w:t>
      </w:r>
      <w:r w:rsidR="0055291E" w:rsidRPr="0055291E">
        <w:rPr>
          <w:rFonts w:ascii="Times New Roman" w:eastAsia="Times New Roman" w:hAnsi="Times New Roman" w:cs="Times New Roman"/>
          <w:lang w:val="de-DE" w:eastAsia="en-GB"/>
        </w:rPr>
        <w:t xml:space="preserve">Arbeitshaltung </w:t>
      </w:r>
      <w:bookmarkStart w:id="0" w:name="_GoBack"/>
      <w:bookmarkEnd w:id="0"/>
      <w:r w:rsidRPr="00763378">
        <w:rPr>
          <w:rFonts w:ascii="Times New Roman" w:eastAsia="Times New Roman" w:hAnsi="Times New Roman" w:cs="Times New Roman"/>
          <w:lang w:val="de-DE" w:eastAsia="en-GB"/>
        </w:rPr>
        <w:t>sowie die Bereitschaft und Fähigkeit, einen kreativen Beitrag zu den sich entwickelnden organisatorischen Zielen zu leisten.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76337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63378">
        <w:rPr>
          <w:rFonts w:ascii="Times New Roman" w:eastAsia="Times New Roman" w:hAnsi="Times New Roman" w:cs="Times New Roman"/>
          <w:lang w:val="de-DE" w:eastAsia="en-GB"/>
        </w:rPr>
        <w:t>Ausgezeichnete mündliche und schriftliche Beherrschung der englischen Sprache: mündliche und schriftliche Kenntnisse, die dem Niveau C1 oder einem höheren Niveau für Arbeitszwecke entsprechen</w:t>
      </w:r>
      <w:r>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5291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5291E"/>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C6BF4"/>
    <w:rsid w:val="00EF3EBB"/>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2305</Words>
  <Characters>13185</Characters>
  <Application>Microsoft Office Word</Application>
  <DocSecurity>0</DocSecurity>
  <Lines>274</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2022-11-14T11:28:00Z</dcterms:created>
  <dcterms:modified xsi:type="dcterms:W3CDTF">2022-11-15T14:40:00Z</dcterms:modified>
</cp:coreProperties>
</file>