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E6843"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COMP-F-1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9E6843" w:rsidRPr="00287856" w:rsidRDefault="009E6843" w:rsidP="009E6843">
            <w:pPr>
              <w:rPr>
                <w:rFonts w:ascii="Times New Roman" w:eastAsia="Calibri" w:hAnsi="Times New Roman" w:cs="Times New Roman"/>
                <w:b/>
                <w:lang w:val="es-ES" w:eastAsia="en-GB"/>
              </w:rPr>
            </w:pPr>
            <w:r w:rsidRPr="00287856">
              <w:rPr>
                <w:rFonts w:ascii="Times New Roman" w:eastAsia="Calibri" w:hAnsi="Times New Roman" w:cs="Times New Roman"/>
                <w:b/>
                <w:lang w:val="es-ES" w:eastAsia="en-GB"/>
              </w:rPr>
              <w:t xml:space="preserve">Daniel </w:t>
            </w:r>
            <w:proofErr w:type="spellStart"/>
            <w:r w:rsidRPr="00287856">
              <w:rPr>
                <w:rFonts w:ascii="Times New Roman" w:eastAsia="Calibri" w:hAnsi="Times New Roman" w:cs="Times New Roman"/>
                <w:b/>
                <w:lang w:val="es-ES" w:eastAsia="en-GB"/>
              </w:rPr>
              <w:t>Boeshertz</w:t>
            </w:r>
            <w:proofErr w:type="spellEnd"/>
          </w:p>
          <w:p w:rsidR="009E6843" w:rsidRPr="00287856" w:rsidRDefault="009E6843" w:rsidP="009E6843">
            <w:pPr>
              <w:rPr>
                <w:rFonts w:ascii="Times New Roman" w:eastAsia="Calibri" w:hAnsi="Times New Roman" w:cs="Times New Roman"/>
                <w:b/>
                <w:color w:val="0000FF"/>
                <w:lang w:val="es-ES" w:eastAsia="en-GB"/>
              </w:rPr>
            </w:pPr>
            <w:hyperlink r:id="rId8" w:history="1">
              <w:r w:rsidRPr="00287856">
                <w:rPr>
                  <w:rFonts w:ascii="Times New Roman" w:eastAsia="Calibri" w:hAnsi="Times New Roman" w:cs="Times New Roman"/>
                  <w:b/>
                  <w:color w:val="0000FF"/>
                  <w:u w:val="single"/>
                  <w:lang w:val="es-ES" w:eastAsia="en-GB"/>
                </w:rPr>
                <w:t>Daniel.boeshertz@ec.europa.eu</w:t>
              </w:r>
            </w:hyperlink>
            <w:r w:rsidRPr="00287856">
              <w:rPr>
                <w:rFonts w:ascii="Times New Roman" w:eastAsia="Calibri" w:hAnsi="Times New Roman" w:cs="Times New Roman"/>
                <w:b/>
                <w:color w:val="0000FF"/>
                <w:lang w:val="es-ES" w:eastAsia="en-GB"/>
              </w:rPr>
              <w:t xml:space="preserve"> </w:t>
            </w:r>
          </w:p>
          <w:p w:rsidR="00E21280" w:rsidRPr="00806A75" w:rsidRDefault="009E6843" w:rsidP="009E6843">
            <w:pPr>
              <w:ind w:right="1317"/>
              <w:jc w:val="both"/>
              <w:rPr>
                <w:rFonts w:ascii="Times New Roman" w:hAnsi="Times New Roman" w:cs="Times New Roman"/>
                <w:b/>
                <w:lang w:val="de-DE"/>
              </w:rPr>
            </w:pPr>
            <w:r w:rsidRPr="00287856">
              <w:rPr>
                <w:rFonts w:ascii="Times New Roman" w:eastAsia="Calibri" w:hAnsi="Times New Roman" w:cs="Times New Roman"/>
                <w:b/>
                <w:lang w:val="es-ES" w:eastAsia="en-GB"/>
              </w:rPr>
              <w:t>+32 2 29 66437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9E684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Wir suchen einen Fallbearbeiter für Wettbewerbspolitik im Referat F1 der Generaldirektion Wettbewerb (DG COMP) der Kommission, der sich mit Fällen im Rahmen der Kartellvorschriften (Artikel 101, 102 und 106 des Vertrags über die Arbeitsweise der Europäischen Union) in den Bereichen Verkehrsdienste und Infrastruktur, Postdienste und sonstige Dienstleistungen befasst.</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 xml:space="preserve">Das Aufgabenspektrum kann die Verantwortung für Folgendes umfassen: </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9E6843" w:rsidP="009E6843">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 xml:space="preserve">Allgemeiner Beitrag zur Entwicklung der Wettbewerbspolitik in den Sektoren innerhalb der Zuständigkeit des Referats, wie z. B. Überprüfung </w:t>
      </w:r>
      <w:proofErr w:type="spellStart"/>
      <w:r w:rsidRPr="009E6843">
        <w:rPr>
          <w:rFonts w:ascii="Times New Roman" w:eastAsia="Times New Roman" w:hAnsi="Times New Roman" w:cs="Times New Roman"/>
          <w:lang w:val="de-DE" w:eastAsia="en-GB"/>
        </w:rPr>
        <w:t>sektorspezifischer</w:t>
      </w:r>
      <w:proofErr w:type="spellEnd"/>
      <w:r w:rsidRPr="009E6843">
        <w:rPr>
          <w:rFonts w:ascii="Times New Roman" w:eastAsia="Times New Roman" w:hAnsi="Times New Roman" w:cs="Times New Roman"/>
          <w:lang w:val="de-DE" w:eastAsia="en-GB"/>
        </w:rPr>
        <w:t xml:space="preserve"> Vorschriften, Koordinierung mit anderen Dienststellen der Europäischen Kommission oder Behörden aus Drittländern.</w:t>
      </w:r>
    </w:p>
    <w:p w:rsidR="009E6843" w:rsidRPr="009E6843" w:rsidRDefault="009E6843" w:rsidP="009E6843">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p>
    <w:p w:rsidR="009E6843" w:rsidRPr="009E6843" w:rsidRDefault="009E6843" w:rsidP="009E6843">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 xml:space="preserve">Prüfung von Beschwerden Dritter oder Einleitung von Ermittlungen von Amts wegen, um festzustellen, ob Vereinbarungen/Praktiken mit den EU-Wettbewerbsregeln vereinbar sind, einschließlich: </w:t>
      </w:r>
    </w:p>
    <w:p w:rsidR="009E6843" w:rsidRPr="009E6843" w:rsidRDefault="009E6843" w:rsidP="009E6843">
      <w:pPr>
        <w:pStyle w:val="ListParagraph"/>
        <w:numPr>
          <w:ilvl w:val="0"/>
          <w:numId w:val="42"/>
        </w:numPr>
        <w:tabs>
          <w:tab w:val="left" w:pos="1843"/>
        </w:tabs>
        <w:spacing w:after="0" w:line="240" w:lineRule="auto"/>
        <w:ind w:left="993" w:hanging="284"/>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Verfassen von Korrespondenzen, Zwischen-/Abschlussberichten und allen anderen fallbezogenen Dokumenten, einschließlich Kommissionsentscheidungen;</w:t>
      </w:r>
    </w:p>
    <w:p w:rsidR="009E6843" w:rsidRPr="009E6843" w:rsidRDefault="009E6843" w:rsidP="009E6843">
      <w:pPr>
        <w:pStyle w:val="ListParagraph"/>
        <w:numPr>
          <w:ilvl w:val="0"/>
          <w:numId w:val="42"/>
        </w:numPr>
        <w:tabs>
          <w:tab w:val="left" w:pos="1843"/>
        </w:tabs>
        <w:spacing w:after="0" w:line="240" w:lineRule="auto"/>
        <w:ind w:left="993" w:hanging="284"/>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Vertretung der DG COMP bei Treffen mit externen Rechtsanwälten und anderen interessierten Parteien zu fallbezogenen Themen;</w:t>
      </w:r>
    </w:p>
    <w:p w:rsidR="009E6843" w:rsidRPr="009E6843" w:rsidRDefault="009E6843" w:rsidP="009E6843">
      <w:pPr>
        <w:pStyle w:val="ListParagraph"/>
        <w:numPr>
          <w:ilvl w:val="0"/>
          <w:numId w:val="42"/>
        </w:numPr>
        <w:tabs>
          <w:tab w:val="left" w:pos="1843"/>
        </w:tabs>
        <w:spacing w:after="0" w:line="240" w:lineRule="auto"/>
        <w:ind w:left="993" w:hanging="284"/>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Vertretung der Kommission bei mündlichen Anhörungen (vor beklagten Parteien), Sitzungen des Beratenden Ausschusses (vor Delegationen von Mitgliedstaaten);</w:t>
      </w:r>
    </w:p>
    <w:p w:rsidR="009E6843" w:rsidRPr="009E6843" w:rsidRDefault="009E6843" w:rsidP="009E6843">
      <w:pPr>
        <w:pStyle w:val="ListParagraph"/>
        <w:numPr>
          <w:ilvl w:val="0"/>
          <w:numId w:val="42"/>
        </w:numPr>
        <w:tabs>
          <w:tab w:val="left" w:pos="1843"/>
        </w:tabs>
        <w:spacing w:after="0" w:line="240" w:lineRule="auto"/>
        <w:ind w:left="993" w:hanging="284"/>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Unterrichtung der Manager der DG COMP und der Kommissarin (schriftlich und mündlich) über alle projektbezogenen Angelegenheiten.</w:t>
      </w: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9E6843" w:rsidP="009E6843">
      <w:pPr>
        <w:pStyle w:val="ListParagraph"/>
        <w:numPr>
          <w:ilvl w:val="0"/>
          <w:numId w:val="44"/>
        </w:numPr>
        <w:tabs>
          <w:tab w:val="left" w:pos="851"/>
        </w:tabs>
        <w:spacing w:after="0" w:line="240" w:lineRule="auto"/>
        <w:ind w:left="709" w:hanging="283"/>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lastRenderedPageBreak/>
        <w:t xml:space="preserve">Zusammenarbeit mit den nationalen Wettbewerbsbehörden im European </w:t>
      </w:r>
      <w:proofErr w:type="spellStart"/>
      <w:r w:rsidRPr="009E6843">
        <w:rPr>
          <w:rFonts w:ascii="Times New Roman" w:eastAsia="Times New Roman" w:hAnsi="Times New Roman" w:cs="Times New Roman"/>
          <w:lang w:val="de-DE" w:eastAsia="en-GB"/>
        </w:rPr>
        <w:t>Competition</w:t>
      </w:r>
      <w:proofErr w:type="spellEnd"/>
      <w:r w:rsidRPr="009E6843">
        <w:rPr>
          <w:rFonts w:ascii="Times New Roman" w:eastAsia="Times New Roman" w:hAnsi="Times New Roman" w:cs="Times New Roman"/>
          <w:lang w:val="de-DE" w:eastAsia="en-GB"/>
        </w:rPr>
        <w:t xml:space="preserve"> Network (ECN).</w:t>
      </w:r>
    </w:p>
    <w:p w:rsidR="009E6843" w:rsidRPr="009E6843" w:rsidRDefault="009E6843" w:rsidP="009E6843">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p>
    <w:p w:rsidR="009E6843" w:rsidRPr="009E6843" w:rsidRDefault="009E6843" w:rsidP="009E6843">
      <w:pPr>
        <w:pStyle w:val="ListParagraph"/>
        <w:numPr>
          <w:ilvl w:val="0"/>
          <w:numId w:val="44"/>
        </w:numPr>
        <w:tabs>
          <w:tab w:val="left" w:pos="851"/>
        </w:tabs>
        <w:spacing w:after="0" w:line="240" w:lineRule="auto"/>
        <w:ind w:left="709" w:hanging="283"/>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Unterstützung des Juristischen Dienstes in Gerichtsverfahren, die in den Zuständigkeitsbereich des Referats fallen (z. B. Nichtigkeitsklagen gegen kartellrechtliche Entscheidungen und Vorabentscheidungsverfahren nach Artikel 267 AEUV).</w:t>
      </w:r>
    </w:p>
    <w:p w:rsidR="009E6843" w:rsidRPr="009E6843" w:rsidRDefault="009E6843" w:rsidP="009E6843">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p>
    <w:p w:rsidR="003A0BA4" w:rsidRPr="003A0BA4" w:rsidRDefault="009E6843" w:rsidP="009E6843">
      <w:pPr>
        <w:pStyle w:val="ListParagraph"/>
        <w:numPr>
          <w:ilvl w:val="0"/>
          <w:numId w:val="44"/>
        </w:numPr>
        <w:tabs>
          <w:tab w:val="left" w:pos="851"/>
        </w:tabs>
        <w:spacing w:after="0" w:line="240" w:lineRule="auto"/>
        <w:ind w:left="709" w:hanging="283"/>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Kontakt mit anderen Dienststellen der Kommission.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9E6843" w:rsidRPr="009E6843">
        <w:rPr>
          <w:rFonts w:ascii="Times New Roman" w:eastAsia="Times New Roman" w:hAnsi="Times New Roman" w:cs="Times New Roman"/>
          <w:lang w:val="de-DE" w:eastAsia="en-GB"/>
        </w:rPr>
        <w:t>Wettbewerbsrecht oder Wettbewerbsökonomie</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9E6843" w:rsidP="003A0BA4">
      <w:pPr>
        <w:tabs>
          <w:tab w:val="left" w:pos="1276"/>
        </w:tabs>
        <w:spacing w:after="0" w:line="240" w:lineRule="auto"/>
        <w:ind w:left="709" w:right="60"/>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Angesichts der bereits vorhandenen unterschiedlichen Profile im Referat und des unterschiedlichen Bedarfs richtet sich die vorliegende Stellenausschreibung an alle Bewerberinnen und Bewerber mit den erforderlichen Qualifikationen/Berufserfahrungen im Bereich des Wettbewerbsrechts bzw. der Wettbewerbsökonomie. Berufserfahrung in einem oder mehreren Bereichen des Referats, ausgeprägte Eigeninitiative und Teamfähigkeit sind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E6843"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9E6843">
        <w:rPr>
          <w:rFonts w:ascii="Times New Roman" w:eastAsia="Times New Roman" w:hAnsi="Times New Roman" w:cs="Times New Roman"/>
          <w:lang w:val="de-DE" w:eastAsia="en-GB"/>
        </w:rPr>
        <w:t>Die Fähigkeit, in englischer Sprache zu arbeiten, ist unabdingbar. Die Fähigkeit, in anderen EU-Sprachen zu arbeiten, insbesondere in Französisch und/oder Deutsch, wäre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9736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93532"/>
    <w:rsid w:val="009C7D79"/>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boeshertz@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1505</Words>
  <Characters>8552</Characters>
  <Application>Microsoft Office Word</Application>
  <DocSecurity>0</DocSecurity>
  <Lines>190</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2022-10-13T11:42:00Z</dcterms:created>
  <dcterms:modified xsi:type="dcterms:W3CDTF">2022-10-13T11:47:00Z</dcterms:modified>
</cp:coreProperties>
</file>