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80350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MOVE-C</w:t>
            </w:r>
            <w:r w:rsidR="00E62962">
              <w:rPr>
                <w:rFonts w:ascii="Times New Roman" w:eastAsia="Times New Roman" w:hAnsi="Times New Roman" w:cs="Times New Roman"/>
                <w:b/>
                <w:sz w:val="24"/>
                <w:szCs w:val="20"/>
                <w:lang w:val="en-GB" w:eastAsia="en-GB"/>
              </w:rPr>
              <w:t>-4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80350B" w:rsidRPr="00681704" w:rsidRDefault="0080350B" w:rsidP="0080350B">
            <w:pPr>
              <w:rPr>
                <w:rFonts w:ascii="Times New Roman" w:eastAsia="Calibri" w:hAnsi="Times New Roman" w:cs="Times New Roman"/>
                <w:b/>
                <w:lang w:val="es-ES" w:eastAsia="en-GB"/>
              </w:rPr>
            </w:pPr>
            <w:r w:rsidRPr="00681704">
              <w:rPr>
                <w:rFonts w:ascii="Times New Roman" w:eastAsia="Calibri" w:hAnsi="Times New Roman" w:cs="Times New Roman"/>
                <w:b/>
                <w:lang w:val="es-ES" w:eastAsia="en-GB"/>
              </w:rPr>
              <w:t>Keir FITCH</w:t>
            </w:r>
          </w:p>
          <w:p w:rsidR="0080350B" w:rsidRPr="00681704" w:rsidRDefault="0080350B" w:rsidP="0080350B">
            <w:pPr>
              <w:rPr>
                <w:rFonts w:ascii="Times New Roman" w:eastAsia="Calibri" w:hAnsi="Times New Roman" w:cs="Times New Roman"/>
                <w:b/>
                <w:color w:val="0000FF"/>
                <w:lang w:val="es-ES" w:eastAsia="en-GB"/>
              </w:rPr>
            </w:pPr>
            <w:hyperlink r:id="rId8" w:history="1">
              <w:r w:rsidRPr="00681704">
                <w:rPr>
                  <w:rFonts w:ascii="Times New Roman" w:eastAsia="Calibri" w:hAnsi="Times New Roman" w:cs="Times New Roman"/>
                  <w:b/>
                  <w:color w:val="0000FF"/>
                  <w:u w:val="single"/>
                  <w:lang w:val="es-ES" w:eastAsia="en-GB"/>
                </w:rPr>
                <w:t>keir.fitch@ec.europa.eu</w:t>
              </w:r>
            </w:hyperlink>
            <w:r w:rsidRPr="00681704">
              <w:rPr>
                <w:rFonts w:ascii="Times New Roman" w:eastAsia="Calibri" w:hAnsi="Times New Roman" w:cs="Times New Roman"/>
                <w:b/>
                <w:color w:val="0000FF"/>
                <w:lang w:val="es-ES" w:eastAsia="en-GB"/>
              </w:rPr>
              <w:t xml:space="preserve"> </w:t>
            </w:r>
          </w:p>
          <w:p w:rsidR="00E21280" w:rsidRPr="00806A75" w:rsidRDefault="0080350B" w:rsidP="0080350B">
            <w:pPr>
              <w:ind w:right="1317"/>
              <w:jc w:val="both"/>
              <w:rPr>
                <w:rFonts w:ascii="Times New Roman" w:hAnsi="Times New Roman" w:cs="Times New Roman"/>
                <w:b/>
                <w:lang w:val="de-DE"/>
              </w:rPr>
            </w:pPr>
            <w:r w:rsidRPr="00681704">
              <w:rPr>
                <w:rFonts w:ascii="Times New Roman" w:eastAsia="Calibri" w:hAnsi="Times New Roman" w:cs="Times New Roman"/>
                <w:b/>
                <w:lang w:val="es-ES" w:eastAsia="en-GB"/>
              </w:rPr>
              <w:t>+32 29 59316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E62962"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Die Generaldirektion Mobilität und Verkehr (GD MOVE) ist für die Entwicklung und Umsetzung der europäischen Politik im Bereich Verkehr, einschließlich der Vollendung eines Binnenmarktes für den Schienenverkehr, zuständig</w:t>
      </w: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Innerhalb der Generaldirektion MOVE ist die Direktion C für den Landverkehr zuständig. Referat C4 ist für Sicherheit und Interoperabilität im Schienenverkehr zuständig, mit dem Ziel der Schaffung eines einheitlichen europäischen Eisenbahnraums. Die wichtigsten Aufgaben des Referats sind:</w:t>
      </w: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0350B" w:rsidRPr="0080350B" w:rsidRDefault="0080350B" w:rsidP="0080350B">
      <w:pPr>
        <w:pStyle w:val="ListParagraph"/>
        <w:numPr>
          <w:ilvl w:val="0"/>
          <w:numId w:val="41"/>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Verstärkung der Sicherheit und Interoperabilität im Eisenbahnverkehr, einschließlich der Aufsicht über die Tätigkeiten der Europäischen Eisenbahnagentur (ERA);</w:t>
      </w:r>
    </w:p>
    <w:p w:rsidR="0080350B" w:rsidRPr="0080350B" w:rsidRDefault="0080350B" w:rsidP="0080350B">
      <w:pPr>
        <w:pStyle w:val="ListParagraph"/>
        <w:numPr>
          <w:ilvl w:val="0"/>
          <w:numId w:val="41"/>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Umsetzung der technischen Säule des 4. Eisenbahnpakets in Bezug auf Sicherheit und Interoperabilität sowie eine Stärkung der Rolle von ERA.</w:t>
      </w:r>
    </w:p>
    <w:p w:rsidR="0080350B" w:rsidRPr="0080350B" w:rsidRDefault="0080350B" w:rsidP="0080350B">
      <w:pPr>
        <w:pStyle w:val="ListParagraph"/>
        <w:numPr>
          <w:ilvl w:val="0"/>
          <w:numId w:val="41"/>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Förderung der Weiterentwicklung des Gemeinsamen Unternehmens „Shift2Rail“, um den Beitrag der Kommission auf dem Eisenbahnsektor und breiter angelegte politische Ziele zu verfolgen;</w:t>
      </w:r>
    </w:p>
    <w:p w:rsidR="0080350B" w:rsidRPr="0080350B" w:rsidRDefault="0080350B" w:rsidP="0080350B">
      <w:pPr>
        <w:pStyle w:val="ListParagraph"/>
        <w:numPr>
          <w:ilvl w:val="0"/>
          <w:numId w:val="41"/>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 xml:space="preserve">Überwachung der Anwendung bestehender EU-Rechtsvorschriften in Bezug auf die technischen Rechtsvorschriften. </w:t>
      </w: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MOVE C4 ist auf der Suche nach einem dynamischen, hochmotivierten und erfahrenen Sachverständigen (abgeordnete(r) nationale(r) sachverständige(r)-ANS)</w:t>
      </w: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Die wichtigsten Aufgaben im Zusammenhang mit dieser Rolle sind:</w:t>
      </w:r>
    </w:p>
    <w:p w:rsidR="0080350B" w:rsidRPr="0080350B" w:rsidRDefault="0080350B" w:rsidP="0080350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0350B" w:rsidRPr="0080350B" w:rsidRDefault="0080350B" w:rsidP="0080350B">
      <w:pPr>
        <w:pStyle w:val="ListParagraph"/>
        <w:numPr>
          <w:ilvl w:val="0"/>
          <w:numId w:val="43"/>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lastRenderedPageBreak/>
        <w:t>Erarbeitung einer Politik im Zusammenhang mit der Umsetzung und Überwachung des Europäischen Eisenbahnverkehrsleitsystems (ERTMS).</w:t>
      </w:r>
    </w:p>
    <w:p w:rsidR="0080350B" w:rsidRPr="0080350B" w:rsidRDefault="0080350B" w:rsidP="0080350B">
      <w:pPr>
        <w:pStyle w:val="ListParagraph"/>
        <w:numPr>
          <w:ilvl w:val="0"/>
          <w:numId w:val="43"/>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Koordinierung der Entwicklung, Überarbeitung und Annahme der Verordnung (EU) 2016/919 (CCS TSI) einschließlich der Beziehungen zu ERA im Bereich des ERTMS.</w:t>
      </w:r>
    </w:p>
    <w:p w:rsidR="0080350B" w:rsidRPr="0080350B" w:rsidRDefault="0080350B" w:rsidP="0080350B">
      <w:pPr>
        <w:pStyle w:val="ListParagraph"/>
        <w:numPr>
          <w:ilvl w:val="0"/>
          <w:numId w:val="43"/>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Unterstützung der Umsetzung/Einführung des ERTMS in den Mitgliedstaaten.</w:t>
      </w:r>
    </w:p>
    <w:p w:rsidR="0080350B" w:rsidRPr="0080350B" w:rsidRDefault="0080350B" w:rsidP="0080350B">
      <w:pPr>
        <w:pStyle w:val="ListParagraph"/>
        <w:numPr>
          <w:ilvl w:val="0"/>
          <w:numId w:val="43"/>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 xml:space="preserve">Beitrag zum ERTMS und den damit verbundenen Tätigkeiten im Rahmen der TEN-T/CEF Aktivitäten, einschließlich der Beziehungen </w:t>
      </w:r>
      <w:proofErr w:type="gramStart"/>
      <w:r w:rsidRPr="0080350B">
        <w:rPr>
          <w:rFonts w:ascii="Times New Roman" w:eastAsia="Times New Roman" w:hAnsi="Times New Roman" w:cs="Times New Roman"/>
          <w:lang w:val="de-DE" w:eastAsia="en-GB"/>
        </w:rPr>
        <w:t>zur  INEA</w:t>
      </w:r>
      <w:proofErr w:type="gramEnd"/>
      <w:r w:rsidRPr="0080350B">
        <w:rPr>
          <w:rFonts w:ascii="Times New Roman" w:eastAsia="Times New Roman" w:hAnsi="Times New Roman" w:cs="Times New Roman"/>
          <w:lang w:val="de-DE" w:eastAsia="en-GB"/>
        </w:rPr>
        <w:t>-Agentur..</w:t>
      </w:r>
    </w:p>
    <w:p w:rsidR="007C2444" w:rsidRPr="007C2444" w:rsidRDefault="0080350B" w:rsidP="0080350B">
      <w:pPr>
        <w:pStyle w:val="ListParagraph"/>
        <w:numPr>
          <w:ilvl w:val="0"/>
          <w:numId w:val="43"/>
        </w:numPr>
        <w:tabs>
          <w:tab w:val="left" w:pos="851"/>
        </w:tabs>
        <w:spacing w:after="0" w:line="240" w:lineRule="auto"/>
        <w:ind w:left="709" w:hanging="283"/>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Follow-</w:t>
      </w:r>
      <w:proofErr w:type="spellStart"/>
      <w:r w:rsidRPr="0080350B">
        <w:rPr>
          <w:rFonts w:ascii="Times New Roman" w:eastAsia="Times New Roman" w:hAnsi="Times New Roman" w:cs="Times New Roman"/>
          <w:lang w:val="de-DE" w:eastAsia="en-GB"/>
        </w:rPr>
        <w:t>up</w:t>
      </w:r>
      <w:proofErr w:type="spellEnd"/>
      <w:r w:rsidRPr="0080350B">
        <w:rPr>
          <w:rFonts w:ascii="Times New Roman" w:eastAsia="Times New Roman" w:hAnsi="Times New Roman" w:cs="Times New Roman"/>
          <w:lang w:val="de-DE" w:eastAsia="en-GB"/>
        </w:rPr>
        <w:t xml:space="preserve"> der mit ERTMS verbundenen Tätigkeiten von Shift2Rail und der Generaldirektion CNECT</w:t>
      </w:r>
      <w:r>
        <w:rPr>
          <w:rFonts w:ascii="Times New Roman" w:eastAsia="Times New Roman" w:hAnsi="Times New Roman" w:cs="Times New Roman"/>
          <w:lang w:val="de-DE" w:eastAsia="en-GB"/>
        </w:rPr>
        <w:t>.</w:t>
      </w:r>
    </w:p>
    <w:p w:rsidR="00951F7C" w:rsidRPr="00D42B31" w:rsidRDefault="00951F7C"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80350B" w:rsidRPr="0080350B">
        <w:rPr>
          <w:rFonts w:ascii="Times New Roman" w:eastAsia="Times New Roman" w:hAnsi="Times New Roman" w:cs="Times New Roman"/>
          <w:lang w:val="de-DE" w:eastAsia="en-GB"/>
        </w:rPr>
        <w:t>Wirtschaft, öffentliche Verwaltung, Recht oder Ingenieurwesen</w:t>
      </w:r>
      <w:r w:rsidR="00951F7C" w:rsidRPr="00951F7C">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0350B" w:rsidRPr="0080350B" w:rsidRDefault="0080350B" w:rsidP="0080350B">
      <w:pPr>
        <w:pStyle w:val="ListParagraph"/>
        <w:numPr>
          <w:ilvl w:val="0"/>
          <w:numId w:val="4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Mindestens 3 Jahre Berufserfahrung in einem Verwaltungsumfeld, das einen verkehrspolitischen Bereich abdeckt;</w:t>
      </w:r>
    </w:p>
    <w:p w:rsidR="0080350B" w:rsidRPr="0080350B" w:rsidRDefault="0080350B" w:rsidP="0080350B">
      <w:pPr>
        <w:pStyle w:val="ListParagraph"/>
        <w:numPr>
          <w:ilvl w:val="0"/>
          <w:numId w:val="4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Erforderlich sind Erfahrungen im Bereich der Verkehrspolitik, insbesondere Kenntnisse der eisenbahntechnischen Politik, die durch ein angemessenes fachliches Fachwissen unterstützt werden, wären von Vorteil.</w:t>
      </w:r>
    </w:p>
    <w:p w:rsidR="0080350B" w:rsidRPr="0080350B" w:rsidRDefault="0080350B" w:rsidP="0080350B">
      <w:pPr>
        <w:pStyle w:val="ListParagraph"/>
        <w:numPr>
          <w:ilvl w:val="0"/>
          <w:numId w:val="4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Kenntnis der EU-Gesetzgebungsverfahren;</w:t>
      </w:r>
    </w:p>
    <w:p w:rsidR="007C2444" w:rsidRPr="0080350B" w:rsidRDefault="0080350B" w:rsidP="0080350B">
      <w:pPr>
        <w:pStyle w:val="ListParagraph"/>
        <w:numPr>
          <w:ilvl w:val="0"/>
          <w:numId w:val="45"/>
        </w:numPr>
        <w:tabs>
          <w:tab w:val="left" w:pos="709"/>
        </w:tabs>
        <w:spacing w:after="0" w:line="240" w:lineRule="auto"/>
        <w:ind w:left="993" w:right="60" w:hanging="284"/>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Erfahrung im Vertrags- und Projektmanagement.</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80350B"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80350B">
        <w:rPr>
          <w:rFonts w:ascii="Times New Roman" w:eastAsia="Times New Roman" w:hAnsi="Times New Roman" w:cs="Times New Roman"/>
          <w:lang w:val="de-DE" w:eastAsia="en-GB"/>
        </w:rPr>
        <w:t>Eine sehr gute Beherrschung des Englischen in Schrift und Wort ist Voraussetzung. Die Kenntnis einer weiteren Institutionssprache auf Arbeitsniveau ist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80350B" w:rsidRDefault="0080350B"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33D4E" w:rsidRDefault="00233D4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80350B">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22972D8"/>
    <w:multiLevelType w:val="hybridMultilevel"/>
    <w:tmpl w:val="473E727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C3F2279"/>
    <w:multiLevelType w:val="hybridMultilevel"/>
    <w:tmpl w:val="62B41192"/>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2"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9A069D2"/>
    <w:multiLevelType w:val="hybridMultilevel"/>
    <w:tmpl w:val="1CDC76DC"/>
    <w:lvl w:ilvl="0" w:tplc="6352ADE8">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A911824"/>
    <w:multiLevelType w:val="hybridMultilevel"/>
    <w:tmpl w:val="C20E44B2"/>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6B044F93"/>
    <w:multiLevelType w:val="hybridMultilevel"/>
    <w:tmpl w:val="2514E09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8"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0"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1"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4" w15:restartNumberingAfterBreak="0">
    <w:nsid w:val="7D882B8F"/>
    <w:multiLevelType w:val="hybridMultilevel"/>
    <w:tmpl w:val="862CDAAC"/>
    <w:lvl w:ilvl="0" w:tplc="626C51F4">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num w:numId="1">
    <w:abstractNumId w:val="14"/>
  </w:num>
  <w:num w:numId="2">
    <w:abstractNumId w:val="40"/>
  </w:num>
  <w:num w:numId="3">
    <w:abstractNumId w:val="22"/>
  </w:num>
  <w:num w:numId="4">
    <w:abstractNumId w:val="2"/>
  </w:num>
  <w:num w:numId="5">
    <w:abstractNumId w:val="17"/>
  </w:num>
  <w:num w:numId="6">
    <w:abstractNumId w:val="10"/>
  </w:num>
  <w:num w:numId="7">
    <w:abstractNumId w:val="33"/>
  </w:num>
  <w:num w:numId="8">
    <w:abstractNumId w:val="16"/>
  </w:num>
  <w:num w:numId="9">
    <w:abstractNumId w:val="6"/>
  </w:num>
  <w:num w:numId="10">
    <w:abstractNumId w:val="12"/>
  </w:num>
  <w:num w:numId="11">
    <w:abstractNumId w:val="8"/>
  </w:num>
  <w:num w:numId="12">
    <w:abstractNumId w:val="43"/>
  </w:num>
  <w:num w:numId="13">
    <w:abstractNumId w:val="24"/>
  </w:num>
  <w:num w:numId="14">
    <w:abstractNumId w:val="26"/>
  </w:num>
  <w:num w:numId="15">
    <w:abstractNumId w:val="18"/>
  </w:num>
  <w:num w:numId="16">
    <w:abstractNumId w:val="34"/>
  </w:num>
  <w:num w:numId="17">
    <w:abstractNumId w:val="1"/>
  </w:num>
  <w:num w:numId="18">
    <w:abstractNumId w:val="38"/>
  </w:num>
  <w:num w:numId="19">
    <w:abstractNumId w:val="15"/>
  </w:num>
  <w:num w:numId="20">
    <w:abstractNumId w:val="20"/>
  </w:num>
  <w:num w:numId="21">
    <w:abstractNumId w:val="30"/>
  </w:num>
  <w:num w:numId="22">
    <w:abstractNumId w:val="9"/>
  </w:num>
  <w:num w:numId="23">
    <w:abstractNumId w:val="3"/>
  </w:num>
  <w:num w:numId="24">
    <w:abstractNumId w:val="29"/>
  </w:num>
  <w:num w:numId="25">
    <w:abstractNumId w:val="32"/>
  </w:num>
  <w:num w:numId="26">
    <w:abstractNumId w:val="21"/>
  </w:num>
  <w:num w:numId="27">
    <w:abstractNumId w:val="5"/>
  </w:num>
  <w:num w:numId="28">
    <w:abstractNumId w:val="4"/>
  </w:num>
  <w:num w:numId="29">
    <w:abstractNumId w:val="39"/>
  </w:num>
  <w:num w:numId="30">
    <w:abstractNumId w:val="11"/>
  </w:num>
  <w:num w:numId="31">
    <w:abstractNumId w:val="41"/>
  </w:num>
  <w:num w:numId="32">
    <w:abstractNumId w:val="27"/>
  </w:num>
  <w:num w:numId="33">
    <w:abstractNumId w:val="23"/>
  </w:num>
  <w:num w:numId="34">
    <w:abstractNumId w:val="0"/>
  </w:num>
  <w:num w:numId="35">
    <w:abstractNumId w:val="13"/>
  </w:num>
  <w:num w:numId="36">
    <w:abstractNumId w:val="28"/>
  </w:num>
  <w:num w:numId="37">
    <w:abstractNumId w:val="19"/>
  </w:num>
  <w:num w:numId="38">
    <w:abstractNumId w:val="7"/>
  </w:num>
  <w:num w:numId="39">
    <w:abstractNumId w:val="42"/>
  </w:num>
  <w:num w:numId="40">
    <w:abstractNumId w:val="37"/>
  </w:num>
  <w:num w:numId="41">
    <w:abstractNumId w:val="25"/>
  </w:num>
  <w:num w:numId="42">
    <w:abstractNumId w:val="44"/>
  </w:num>
  <w:num w:numId="43">
    <w:abstractNumId w:val="36"/>
  </w:num>
  <w:num w:numId="44">
    <w:abstractNumId w:val="35"/>
  </w:num>
  <w:num w:numId="4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C2444"/>
    <w:rsid w:val="007E099F"/>
    <w:rsid w:val="0080350B"/>
    <w:rsid w:val="00806A75"/>
    <w:rsid w:val="00856A93"/>
    <w:rsid w:val="008F4F18"/>
    <w:rsid w:val="00911B7F"/>
    <w:rsid w:val="00950BA5"/>
    <w:rsid w:val="00951F7C"/>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62962"/>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A30A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eir.fitch@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1236</Words>
  <Characters>8855</Characters>
  <Application>Microsoft Office Word</Application>
  <DocSecurity>0</DocSecurity>
  <Lines>201</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2022-09-02T14:48:00Z</dcterms:created>
  <dcterms:modified xsi:type="dcterms:W3CDTF">2022-09-02T14:48:00Z</dcterms:modified>
</cp:coreProperties>
</file>