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D00CBF"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66544" w:rsidP="002704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SANTE-B-4</w:t>
            </w:r>
          </w:p>
        </w:tc>
      </w:tr>
      <w:tr w:rsidR="00950BA5" w:rsidRPr="006740F2" w:rsidTr="00EC6FF0">
        <w:trPr>
          <w:trHeight w:val="1977"/>
          <w:jc w:val="center"/>
        </w:trPr>
        <w:tc>
          <w:tcPr>
            <w:tcW w:w="4359" w:type="dxa"/>
            <w:tcBorders>
              <w:bottom w:val="nil"/>
            </w:tcBorders>
          </w:tcPr>
          <w:p w:rsidR="00950BA5" w:rsidRPr="00950BA5" w:rsidRDefault="00166544" w:rsidP="00950BA5">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Stellvertretender</w:t>
            </w:r>
            <w:proofErr w:type="spellEnd"/>
            <w:r>
              <w:rPr>
                <w:rFonts w:ascii="Times New Roman" w:eastAsia="Times New Roman" w:hAnsi="Times New Roman" w:cs="Times New Roman"/>
                <w:b/>
                <w:lang w:eastAsia="en-GB"/>
              </w:rPr>
              <w:t xml:space="preserve"> </w:t>
            </w:r>
            <w:proofErr w:type="spellStart"/>
            <w:r w:rsidR="00797D80">
              <w:rPr>
                <w:rFonts w:ascii="Times New Roman" w:eastAsia="Times New Roman" w:hAnsi="Times New Roman" w:cs="Times New Roman"/>
                <w:b/>
                <w:lang w:eastAsia="en-GB"/>
              </w:rPr>
              <w:t>Referatsleiter</w:t>
            </w:r>
            <w:proofErr w:type="spellEnd"/>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66544" w:rsidRPr="00166544" w:rsidRDefault="00166544" w:rsidP="00166544">
            <w:pPr>
              <w:rPr>
                <w:rFonts w:ascii="Times New Roman" w:hAnsi="Times New Roman" w:cs="Times New Roman"/>
                <w:b/>
                <w:lang w:val="en-GB"/>
              </w:rPr>
            </w:pPr>
            <w:r w:rsidRPr="00166544">
              <w:rPr>
                <w:rFonts w:ascii="Times New Roman" w:hAnsi="Times New Roman" w:cs="Times New Roman"/>
                <w:b/>
                <w:lang w:val="en-GB"/>
              </w:rPr>
              <w:t xml:space="preserve">Filip </w:t>
            </w:r>
            <w:proofErr w:type="spellStart"/>
            <w:r w:rsidRPr="00166544">
              <w:rPr>
                <w:rFonts w:ascii="Times New Roman" w:hAnsi="Times New Roman" w:cs="Times New Roman"/>
                <w:b/>
                <w:lang w:val="en-GB"/>
              </w:rPr>
              <w:t>Borkowski</w:t>
            </w:r>
            <w:proofErr w:type="spellEnd"/>
            <w:r w:rsidRPr="00166544">
              <w:rPr>
                <w:rFonts w:ascii="Times New Roman" w:hAnsi="Times New Roman" w:cs="Times New Roman"/>
                <w:b/>
                <w:lang w:val="en-GB"/>
              </w:rPr>
              <w:t xml:space="preserve">  </w:t>
            </w:r>
          </w:p>
          <w:p w:rsidR="00166544" w:rsidRPr="00166544" w:rsidRDefault="00BE07CB" w:rsidP="00166544">
            <w:pPr>
              <w:spacing w:after="200" w:line="276" w:lineRule="auto"/>
              <w:rPr>
                <w:rFonts w:ascii="Times New Roman" w:hAnsi="Times New Roman" w:cs="Times New Roman"/>
                <w:b/>
                <w:lang w:val="en-GB"/>
              </w:rPr>
            </w:pPr>
            <w:hyperlink r:id="rId8" w:history="1">
              <w:r w:rsidR="00166544" w:rsidRPr="00166544">
                <w:rPr>
                  <w:rFonts w:ascii="Times New Roman" w:hAnsi="Times New Roman" w:cs="Times New Roman"/>
                  <w:b/>
                  <w:color w:val="0000FF" w:themeColor="hyperlink"/>
                  <w:u w:val="single"/>
                  <w:lang w:val="en-GB"/>
                </w:rPr>
                <w:t>filip.borkowski@ec.europa.eu</w:t>
              </w:r>
            </w:hyperlink>
            <w:r w:rsidR="00166544" w:rsidRPr="00166544">
              <w:rPr>
                <w:rFonts w:ascii="Times New Roman" w:hAnsi="Times New Roman" w:cs="Times New Roman"/>
                <w:b/>
                <w:lang w:val="en-GB"/>
              </w:rPr>
              <w:t xml:space="preserve">  </w:t>
            </w:r>
          </w:p>
          <w:p w:rsidR="00E21280" w:rsidRDefault="00166544" w:rsidP="00176BD6">
            <w:pPr>
              <w:spacing w:line="276" w:lineRule="auto"/>
              <w:rPr>
                <w:rFonts w:ascii="Times New Roman" w:hAnsi="Times New Roman" w:cs="Times New Roman"/>
                <w:b/>
                <w:lang w:val="de-DE"/>
              </w:rPr>
            </w:pPr>
            <w:r>
              <w:rPr>
                <w:rFonts w:ascii="Times New Roman" w:hAnsi="Times New Roman" w:cs="Times New Roman"/>
                <w:b/>
                <w:lang w:val="de-DE"/>
              </w:rPr>
              <w:t>2</w:t>
            </w:r>
          </w:p>
          <w:p w:rsidR="00950BA5" w:rsidRPr="00950BA5" w:rsidRDefault="00EF3B8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166544">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166544"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16654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66544">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BE07CB"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166544" w:rsidP="00950BA5">
            <w:pPr>
              <w:tabs>
                <w:tab w:val="left" w:pos="459"/>
              </w:tabs>
              <w:rPr>
                <w:rFonts w:ascii="Times New Roman" w:eastAsia="Times New Roman" w:hAnsi="Times New Roman" w:cs="Times New Roman"/>
                <w:b/>
                <w:bCs/>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BE07CB" w:rsidP="00BE07CB">
            <w:pPr>
              <w:rPr>
                <w:rFonts w:ascii="Times New Roman" w:eastAsia="Times New Roman" w:hAnsi="Times New Roman" w:cs="Times New Roman"/>
                <w:lang w:val="de-DE" w:eastAsia="en-GB"/>
              </w:rPr>
            </w:pPr>
            <w:r>
              <w:rPr>
                <w:rFonts w:ascii="Times New Roman" w:eastAsia="MS Minngs" w:hAnsi="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166544">
              <w:rPr>
                <w:rFonts w:ascii="Times New Roman" w:eastAsia="Times New Roman" w:hAnsi="Times New Roman" w:cs="Times New Roman"/>
                <w:b/>
                <w:bCs/>
                <w:lang w:val="de-DE" w:eastAsia="en-GB"/>
              </w:rPr>
              <w:t xml:space="preserve"> </w:t>
            </w:r>
            <w:bookmarkStart w:id="0" w:name="_GoBack"/>
            <w:bookmarkEnd w:id="0"/>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Wir suchen zwei nationale Experten, die im Bereich der Entwicklung und Umsetzung der Gesundheitspolitik im Referat B4 der GD SANTE tätig sind. </w:t>
      </w:r>
    </w:p>
    <w:p w:rsidR="00166544" w:rsidRPr="00166544" w:rsidRDefault="00166544" w:rsidP="00166544">
      <w:pPr>
        <w:pStyle w:val="ListParagraph"/>
        <w:spacing w:after="0" w:line="240" w:lineRule="auto"/>
        <w:ind w:left="426" w:right="175"/>
        <w:jc w:val="both"/>
        <w:rPr>
          <w:rFonts w:ascii="Times New Roman" w:hAnsi="Times New Roman"/>
          <w:lang w:val="de-DE"/>
        </w:rPr>
      </w:pP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Innerhalb der Direktion Öffentliche Gesundheit, Krebs und Gesundheitssicherheit ist das Referat B4 für die Politik zur Prävention von Krankheiten und zur Gesundheitsförderung zuständig, einschließlich der Politik zur Eindämmung des Tabakkonsums mit dem Ziel, die europäischen Bürger vor den negativen Auswirkungen von Tabak und verwandten Erzeugnissen zu schützen.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Aufgaben des Referat B4:</w:t>
      </w:r>
    </w:p>
    <w:p w:rsidR="00166544" w:rsidRPr="00166544" w:rsidRDefault="00166544" w:rsidP="00166544">
      <w:pPr>
        <w:pStyle w:val="ListParagraph"/>
        <w:spacing w:after="0" w:line="240" w:lineRule="auto"/>
        <w:ind w:left="426" w:right="175"/>
        <w:jc w:val="both"/>
        <w:rPr>
          <w:rFonts w:ascii="Times New Roman" w:hAnsi="Times New Roman"/>
          <w:lang w:val="de-DE"/>
        </w:rPr>
      </w:pP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xml:space="preserve">— Beitrag zu den politischen Aufgaben in den Bereichen Gesundheitsförderung, Krankheitsprävention und Management nicht übertragbarer Krankheiten und, falls erforderlich, allgemeine Aufgaben im Bereich der öffentlichen Gesundheit. Zu diesem Arbeitsschwerpunkt gehört insbesondere die Verwaltung und Zusammenarbeit mit der strategischen Gruppe der Mitgliedstaaten (Ausschuss für Förderung und Prävention), der EU-Dienstleister (Kommissionsdienststellen und EU-Agenturen) und der Europäischen Investitionsbank, die sich mit Maßnahmen im Bereich der öffentlichen Gesundheit befassen. </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xml:space="preserve">— Umsetzung von Projekten des Referats, die im Rahmen des Programms EU4Health finanziert werden; </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xml:space="preserve">— Weiterentwicklung und Überwachung von EU- Politik und -Recht im Bereich der Eindämmung des Tabakkonsums. Dazu gehört die Regulierung von Tabakerzeugnissen und E-Zigaretten, die Rückverfolgbarkeit von Tabakerzeugnissen, Werbebeschränkungen für Tabakerzeugnisse und verwandte Erzeugnisse, Rechtsvorschriften über rauchfreie Umgebungen und internationale Aspekte der Eindämmung des Tabakkonsums; </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lastRenderedPageBreak/>
        <w:t xml:space="preserve">— Zusammenarbeit mit anderen SANTE-Referaten, Kommissionsdienststellen und EU-Agenturen in Bereichen wie der Tabakbesteuerung, Tabakanbau, Informationskampagnen, internationaler Handel und illegaler Handel mit Tabak sowie allgemeine Aufgaben in den Bereichen Gesundheitsförderung, Krankheitsprävention und Management von nicht übertragbaren Krankheiten, Impfpolitik, sowie HIV/AIDS, Tuberkulose und Hepatitis;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Die Aufgaben umfassen u. a.:</w:t>
      </w:r>
    </w:p>
    <w:p w:rsidR="00166544" w:rsidRPr="00166544" w:rsidRDefault="00166544" w:rsidP="00166544">
      <w:pPr>
        <w:pStyle w:val="ListParagraph"/>
        <w:spacing w:after="0" w:line="240" w:lineRule="auto"/>
        <w:ind w:left="426" w:right="175"/>
        <w:jc w:val="both"/>
        <w:rPr>
          <w:rFonts w:ascii="Times New Roman" w:hAnsi="Times New Roman"/>
          <w:lang w:val="de-DE"/>
        </w:rPr>
      </w:pP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Unterstützung der allgemeinen politischen Arbeit in den Bereichen Gesundheitsförderung, Krankheitsprävention und Management von nicht übertragbaren Krankheiten, HIV/AIDS, Tuberkulose, Hepatitis und Impfung. Falls erforderlichen, auch allgemeine Aufgaben im Bereich der öffentlichen Gesundheit</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Ausarbeitung und Vorbereitung von Dokumenten (Strategiedokumente, Berichte, Briefing-Dokumente für Sitzungen der Vorgesetzten, Sitzungsprotokolle)</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und Unterstützung des Referats sowie des Teams und dessen Leitung bei der Verwaltung der Expertengruppe der Kommission</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Vorbereitung und Begleitung von Projekten des Referats, die im Rahmen des Programms EU4Health finanziert werden</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Zusammenarbeit mit anderen Kommissionsdienststellen, Agenturen, einschlägigen internationalen Organisationen und Interessenträgern unter der Aufsicht des Teamleiters</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zur Arbeit und Aufgaben der Direktion</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zur Umsetzung, Durchsetzung und Bewertung der Richtlinie über Tabakerzeugnisse (2014/40/EU) und der Tabakwerbungsrichtlinie (2003/33/EU) sowie Beteiligung an anderen verwandten Bereichen der Eindämmung des Tabakkonsums unter der Aufsicht des Teamleiters</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zu politischen und legislativen Dokumenten und diese bei EU-Prozeduren begleiten (inter-Service und inter-institutionelle Prozeduren) sowie Beiträge zu Dokumenten und Prozeduren von weiteren Kommissionsdienststellen im Zusammenhang mit Tabakkontrolle, unter der Aufsicht des Teamleiters.</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D00CBF" w:rsidRPr="00D00CBF"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Die nationalen Sachverständigen unterstehen der Aufsicht des Teamleiters und des Leiters/stellvertretenden Referatsleiters und vertreten die Kommission nicht.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lastRenderedPageBreak/>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F5BFB" w:rsidRPr="00EF3B89">
        <w:rPr>
          <w:lang w:val="de-DE"/>
        </w:rPr>
        <w:t xml:space="preserve"> </w:t>
      </w:r>
      <w:r w:rsidR="00166544" w:rsidRPr="00166544">
        <w:rPr>
          <w:rFonts w:ascii="Times New Roman" w:eastAsia="Times New Roman" w:hAnsi="Times New Roman" w:cs="Times New Roman"/>
          <w:lang w:val="de-DE" w:eastAsia="en-GB"/>
        </w:rPr>
        <w:t>Jura/Rechts, Wirtschaft, öffentliche Gesundheit, Medizin, psychische Gesundheit, Gesundheitsforschung, Gesundheitsförderung und Krankheitsprävention, einschließlich gesundheitlicher und sozialer Determinante</w:t>
      </w:r>
      <w:r w:rsidR="00D00CBF" w:rsidRPr="00D00CB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166544" w:rsidRPr="00166544" w:rsidRDefault="00166544" w:rsidP="00166544">
      <w:pPr>
        <w:tabs>
          <w:tab w:val="left" w:pos="993"/>
        </w:tabs>
        <w:spacing w:after="0" w:line="240" w:lineRule="auto"/>
        <w:ind w:left="709" w:right="60"/>
        <w:jc w:val="both"/>
        <w:rPr>
          <w:rFonts w:ascii="Times New Roman" w:eastAsia="Times New Roman" w:hAnsi="Times New Roman" w:cs="Times New Roman"/>
          <w:lang w:val="de-DE" w:eastAsia="en-GB"/>
        </w:rPr>
      </w:pPr>
      <w:r w:rsidRPr="00166544">
        <w:rPr>
          <w:rFonts w:ascii="Times New Roman" w:eastAsia="Times New Roman" w:hAnsi="Times New Roman" w:cs="Times New Roman"/>
          <w:lang w:val="de-DE" w:eastAsia="en-GB"/>
        </w:rPr>
        <w:t xml:space="preserve">Wir würden Antragsteller begrüßen, die über Erfahrung (mindestens drei Jahre) in der Entwicklung und Umsetzung politischer Maßnahmen im Bereich der öffentlichen Gesundheit verfügen, insbesondere in den Bereichen Gesundheitsförderung und Krankheitsprävention, z. B. im Bereich der Eindämmung des Tabakkonsums. Es wäre von Vorteil, wenn die Antragsteller über Erfahrung in der Arbeit auf EU-Ebene und/oder auf internationaler Ebene verfügen würden. Außerdem sollten sie in der Lage sein, sowohl mündlich als auch schriftlich in englischer Sprache gut zu kommunizieren. Erfahrung mit der Verfassung von Dokumenten in englischer Sprache ist von Vorteil. </w:t>
      </w:r>
    </w:p>
    <w:p w:rsidR="00166544" w:rsidRPr="00166544" w:rsidRDefault="00166544" w:rsidP="00166544">
      <w:pPr>
        <w:tabs>
          <w:tab w:val="left" w:pos="993"/>
        </w:tabs>
        <w:spacing w:after="0" w:line="240" w:lineRule="auto"/>
        <w:ind w:left="709" w:right="60"/>
        <w:jc w:val="both"/>
        <w:rPr>
          <w:rFonts w:ascii="Times New Roman" w:eastAsia="Times New Roman" w:hAnsi="Times New Roman" w:cs="Times New Roman"/>
          <w:lang w:val="de-DE" w:eastAsia="en-GB"/>
        </w:rPr>
      </w:pPr>
      <w:r w:rsidRPr="00166544">
        <w:rPr>
          <w:rFonts w:ascii="Times New Roman" w:eastAsia="Times New Roman" w:hAnsi="Times New Roman" w:cs="Times New Roman"/>
          <w:lang w:val="de-DE" w:eastAsia="en-GB"/>
        </w:rPr>
        <w:t xml:space="preserve"> </w:t>
      </w:r>
    </w:p>
    <w:p w:rsidR="009A6CD3" w:rsidRPr="009A6CD3" w:rsidRDefault="00166544" w:rsidP="00166544">
      <w:pPr>
        <w:tabs>
          <w:tab w:val="left" w:pos="993"/>
        </w:tabs>
        <w:spacing w:after="0" w:line="240" w:lineRule="auto"/>
        <w:ind w:left="709" w:right="60"/>
        <w:jc w:val="both"/>
        <w:rPr>
          <w:rFonts w:ascii="Times New Roman" w:eastAsia="Times New Roman" w:hAnsi="Times New Roman" w:cs="Times New Roman"/>
          <w:lang w:val="de-DE" w:eastAsia="en-GB"/>
        </w:rPr>
      </w:pPr>
      <w:r w:rsidRPr="00166544">
        <w:rPr>
          <w:rFonts w:ascii="Times New Roman" w:eastAsia="Times New Roman" w:hAnsi="Times New Roman" w:cs="Times New Roman"/>
          <w:lang w:val="de-DE" w:eastAsia="en-GB"/>
        </w:rPr>
        <w:t>Da wir ein Mitglied für unser Team suchen, sollte die/der Bewerber(in) in der Lage sein, ihre/seine Erfahrung und durch Teamarbeit erbrachte Ergebnisse nachzuweisen.</w:t>
      </w:r>
    </w:p>
    <w:p w:rsidR="00D00CBF" w:rsidRPr="00D7172D" w:rsidRDefault="00D00CBF"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166544" w:rsidP="00321B82">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w:t>
      </w:r>
      <w:r w:rsidRPr="00166544">
        <w:rPr>
          <w:rFonts w:ascii="Times New Roman" w:eastAsia="Times New Roman" w:hAnsi="Times New Roman" w:cs="Times New Roman"/>
          <w:lang w:val="de-DE" w:eastAsia="en-GB"/>
        </w:rPr>
        <w:t>Französisch und/oder Deutsch sind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F3B89" w:rsidRPr="00950BA5" w:rsidRDefault="00EF3B89" w:rsidP="00EF3B8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F3B89" w:rsidRPr="00950BA5" w:rsidRDefault="00EF3B89" w:rsidP="00EF3B89">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p>
    <w:p w:rsidR="00950BA5" w:rsidRPr="00950BA5" w:rsidRDefault="00EF3B89" w:rsidP="00EF3B89">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E07CB">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66544"/>
    <w:rsid w:val="00176BD6"/>
    <w:rsid w:val="0019598C"/>
    <w:rsid w:val="001D08E6"/>
    <w:rsid w:val="001E0FBD"/>
    <w:rsid w:val="001F5BFB"/>
    <w:rsid w:val="002133CC"/>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97D80"/>
    <w:rsid w:val="007C0DB9"/>
    <w:rsid w:val="007E099F"/>
    <w:rsid w:val="008F473A"/>
    <w:rsid w:val="00910F50"/>
    <w:rsid w:val="00950BA5"/>
    <w:rsid w:val="009A6CD3"/>
    <w:rsid w:val="009D2FB1"/>
    <w:rsid w:val="009E23E4"/>
    <w:rsid w:val="00A0673A"/>
    <w:rsid w:val="00AC518C"/>
    <w:rsid w:val="00AF16BD"/>
    <w:rsid w:val="00B3328C"/>
    <w:rsid w:val="00B8217B"/>
    <w:rsid w:val="00B91189"/>
    <w:rsid w:val="00BC14A5"/>
    <w:rsid w:val="00BD26AA"/>
    <w:rsid w:val="00BE07CB"/>
    <w:rsid w:val="00C20A11"/>
    <w:rsid w:val="00C24618"/>
    <w:rsid w:val="00C6293F"/>
    <w:rsid w:val="00C91101"/>
    <w:rsid w:val="00CF677F"/>
    <w:rsid w:val="00D00CBF"/>
    <w:rsid w:val="00D13332"/>
    <w:rsid w:val="00D321F9"/>
    <w:rsid w:val="00D4449A"/>
    <w:rsid w:val="00D64903"/>
    <w:rsid w:val="00D7172D"/>
    <w:rsid w:val="00E21280"/>
    <w:rsid w:val="00E40791"/>
    <w:rsid w:val="00E44EF3"/>
    <w:rsid w:val="00EF3B89"/>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borkow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1489</Words>
  <Characters>10847</Characters>
  <Application>Microsoft Office Word</Application>
  <DocSecurity>0</DocSecurity>
  <Lines>225</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2022-09-12T08:10:00Z</dcterms:created>
  <dcterms:modified xsi:type="dcterms:W3CDTF">2022-09-12T13:10:00Z</dcterms:modified>
</cp:coreProperties>
</file>