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F11D3A"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INTPA-F</w:t>
            </w:r>
            <w:r w:rsidR="00EB1959">
              <w:rPr>
                <w:rFonts w:ascii="Times New Roman" w:eastAsia="Times New Roman" w:hAnsi="Times New Roman" w:cs="Times New Roman"/>
                <w:b/>
                <w:sz w:val="24"/>
                <w:szCs w:val="20"/>
                <w:lang w:val="en-GB" w:eastAsia="en-GB"/>
              </w:rPr>
              <w:t>-2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F11D3A" w:rsidRPr="005B0122" w:rsidRDefault="00F11D3A" w:rsidP="00F11D3A">
            <w:pPr>
              <w:rPr>
                <w:rFonts w:ascii="Times New Roman" w:eastAsia="Calibri" w:hAnsi="Times New Roman" w:cs="Times New Roman"/>
                <w:b/>
                <w:lang w:val="es-ES" w:eastAsia="en-GB"/>
              </w:rPr>
            </w:pPr>
            <w:r w:rsidRPr="005B0122">
              <w:rPr>
                <w:rFonts w:ascii="Times New Roman" w:eastAsia="Calibri" w:hAnsi="Times New Roman" w:cs="Times New Roman"/>
                <w:b/>
                <w:lang w:val="es-ES" w:eastAsia="en-GB"/>
              </w:rPr>
              <w:t xml:space="preserve">Chantal </w:t>
            </w:r>
            <w:proofErr w:type="spellStart"/>
            <w:r w:rsidRPr="005B0122">
              <w:rPr>
                <w:rFonts w:ascii="Times New Roman" w:eastAsia="Calibri" w:hAnsi="Times New Roman" w:cs="Times New Roman"/>
                <w:b/>
                <w:lang w:val="es-ES" w:eastAsia="en-GB"/>
              </w:rPr>
              <w:t>Marijnissen</w:t>
            </w:r>
            <w:proofErr w:type="spellEnd"/>
          </w:p>
          <w:p w:rsidR="00F11D3A" w:rsidRPr="005B0122" w:rsidRDefault="00F11D3A" w:rsidP="00F11D3A">
            <w:pPr>
              <w:rPr>
                <w:rFonts w:ascii="Times New Roman" w:eastAsia="Calibri" w:hAnsi="Times New Roman" w:cs="Times New Roman"/>
                <w:b/>
                <w:color w:val="0000FF"/>
                <w:lang w:val="es-ES" w:eastAsia="en-GB"/>
              </w:rPr>
            </w:pPr>
            <w:hyperlink r:id="rId9" w:history="1">
              <w:r w:rsidRPr="005B0122">
                <w:rPr>
                  <w:rFonts w:ascii="Times New Roman" w:eastAsia="Calibri" w:hAnsi="Times New Roman" w:cs="Times New Roman"/>
                  <w:b/>
                  <w:color w:val="0000FF"/>
                  <w:u w:val="single"/>
                  <w:lang w:val="es-ES" w:eastAsia="en-GB"/>
                </w:rPr>
                <w:t>Chantal.Marijnissen@ec.europa.eu</w:t>
              </w:r>
            </w:hyperlink>
            <w:r w:rsidRPr="005B0122">
              <w:rPr>
                <w:rFonts w:ascii="Times New Roman" w:eastAsia="Calibri" w:hAnsi="Times New Roman" w:cs="Times New Roman"/>
                <w:b/>
                <w:color w:val="0000FF"/>
                <w:lang w:val="es-ES" w:eastAsia="en-GB"/>
              </w:rPr>
              <w:t xml:space="preserve"> </w:t>
            </w:r>
          </w:p>
          <w:p w:rsidR="00E21280" w:rsidRPr="00806A75" w:rsidRDefault="00F11D3A" w:rsidP="00F11D3A">
            <w:pPr>
              <w:ind w:right="1317"/>
              <w:jc w:val="both"/>
              <w:rPr>
                <w:rFonts w:ascii="Times New Roman" w:hAnsi="Times New Roman" w:cs="Times New Roman"/>
                <w:b/>
                <w:lang w:val="de-DE"/>
              </w:rPr>
            </w:pPr>
            <w:r w:rsidRPr="005B0122">
              <w:rPr>
                <w:rFonts w:ascii="Times New Roman" w:eastAsia="Calibri" w:hAnsi="Times New Roman" w:cs="Times New Roman"/>
                <w:b/>
                <w:lang w:val="es-ES" w:eastAsia="en-GB"/>
              </w:rPr>
              <w:t>+32 2 29-86565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F11D3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6000F" w:rsidP="00AB50DA">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B50DA"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B50DA">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000F"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6000F"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C6000F"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Drittländer bewerben:</w:t>
            </w:r>
            <w:r w:rsidR="00EE426D">
              <w:rPr>
                <w:rFonts w:ascii="Times New Roman" w:eastAsia="Times New Roman" w:hAnsi="Times New Roman" w:cs="Times New Roman"/>
                <w:b/>
                <w:bCs/>
                <w:lang w:val="de-DE" w:eastAsia="en-GB"/>
              </w:rPr>
              <w:t xml:space="preserve"> </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Das Referat F2 – Umwelt und natürliche Ressourcen – bietet unter der Aufsicht der Referatsleiterin einen Posten in Form eines ANS (Abgeordnete[r] Nationale[r] Sachverständige[r]) an. </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Im europäischen „Green Deal“ ist das Ziel der Europäischen Union verankert, bei den globalen Anstrengungen zur Verwirklichung der Klimaneutralität, zur Eindämmung des Verlusts an biologischer Vielfalt und zur Entkopplung des Wirtschaftswachstums von der Nutzung natürlicher Ressourcen eine Führungsrolle zu übernehmen. Dieses Ziel wurde durch eine Reihe transformativer Rahmenbedingungen politischer und regulatorischer Natur unterstützt. Darunter befindet sich, zum Beispiel, der Aktionsplan für die Kreislaufwirtschaft, der EU-Aktionsplan für ein nachhaltiges Finanzwesen und seine Taxonomie, die Kunststoffstrategie und der Null-Schadstoff-Aktionsplan, die Biodiversitätsstrategie 2030 und die Strategie „Farm to </w:t>
      </w:r>
      <w:proofErr w:type="spellStart"/>
      <w:r w:rsidRPr="00F11D3A">
        <w:rPr>
          <w:rFonts w:ascii="Times New Roman" w:eastAsia="Times New Roman" w:hAnsi="Times New Roman" w:cs="Times New Roman"/>
          <w:lang w:val="de-DE" w:eastAsia="en-GB"/>
        </w:rPr>
        <w:t>Fork</w:t>
      </w:r>
      <w:proofErr w:type="spellEnd"/>
      <w:r w:rsidRPr="00F11D3A">
        <w:rPr>
          <w:rFonts w:ascii="Times New Roman" w:eastAsia="Times New Roman" w:hAnsi="Times New Roman" w:cs="Times New Roman"/>
          <w:lang w:val="de-DE" w:eastAsia="en-GB"/>
        </w:rPr>
        <w:t>“. Alle beinhalten eine starke externe Dimension, die den Rahmen für EU-Partnerschaften mit Drittländern bildet.</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Die Ziele des „Green Deals“ sind voll und ganz in die Mehrjahresprogramme der Europäischen Kommission eingebettet, die für den Zeitraum 2021-2027 auf nationaler, regionaler und globaler Ebene festgelegt wurden. </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Das Referat F2 der Generaldirektion „Internationale Partnerschaften (INTPA)“ hat das Mandat, Entwicklungsländern bei der Umsetzung der Umweltdimension der Agenda 2030 für nachhaltige Entwicklung im Einklang mit dem Europäischen Konsens der Entwicklungspolitik und der externen Dimension des europäischen „Green Deals“ zu unterstützen. </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lastRenderedPageBreak/>
        <w:t>Zu diesem Zweck ist INTPA F2 für drei Hauptarbeitsbereiche zuständig: die Entwicklung thematischer Strategien; thematische Unterstützung und politische Leitlinien für die EU-Delegationen und unserer Partner; Programmierung und Durchführung des zugeschriebenen Europäischen Budgets. Diese Zuständigkeiten umfassen den politischen Dialog, den Aufbau von Kapazitäten und das Wissensmanagement, Partnerschaften und die gemeinsame Umsetzung von Projekten.</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Referat F2 fördert die Gestaltung und Umsetzung der externen Dimension des europäischen „Green Deals“. Es unterstützt die „</w:t>
      </w:r>
      <w:proofErr w:type="spellStart"/>
      <w:r w:rsidRPr="00F11D3A">
        <w:rPr>
          <w:rFonts w:ascii="Times New Roman" w:eastAsia="Times New Roman" w:hAnsi="Times New Roman" w:cs="Times New Roman"/>
          <w:lang w:val="de-DE" w:eastAsia="en-GB"/>
        </w:rPr>
        <w:t>Ökologisierung</w:t>
      </w:r>
      <w:proofErr w:type="spellEnd"/>
      <w:r w:rsidRPr="00F11D3A">
        <w:rPr>
          <w:rFonts w:ascii="Times New Roman" w:eastAsia="Times New Roman" w:hAnsi="Times New Roman" w:cs="Times New Roman"/>
          <w:lang w:val="de-DE" w:eastAsia="en-GB"/>
        </w:rPr>
        <w:t xml:space="preserve">“ der Zusammenarbeit der EU mit Drittländern (durch die Einbeziehung, oder durchgängige Berücksichtigung der ökologischen Nachhaltigkeit in der Entwicklungspolitik, -plänen und -investitionen in allen Bereichen und Instrumenten), sowie die Konzipierung und Umsetzung spezifischer Maßnahmen zur Förderung einer besseren Verwaltung der Umwelt und der natürlichen Ressourcen, der Erhaltung und nachhaltigen Nutzung der biologischen Vielfalt und der natürlichen Ressourcen, einschließlich Boden, Wasser, Ozeane und Wälder, und des Übergangs zu einer grünen Kreislaufwirtschaft. </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Diese Arbeit erfolgt mit Unterstützung von Einrichtungen für technische Hilfe und in enger Abstimmung mit dem für nachhaltige Energie und Klimawandel zuständigen Referat (F1); es beinhaltet eine aktive Zusammenarbeit mit allen betroffenen Dienststellen, einschließlich EU-Delegationen, Partnerinstitutionen und Regierungen, Mitgliedstaaten und Kolleginnen und Kollegen in der EK-Zentrale. </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u w:val="single"/>
          <w:lang w:val="de-DE" w:eastAsia="en-GB"/>
        </w:rPr>
      </w:pPr>
      <w:r w:rsidRPr="00F11D3A">
        <w:rPr>
          <w:rFonts w:ascii="Times New Roman" w:eastAsia="Times New Roman" w:hAnsi="Times New Roman" w:cs="Times New Roman"/>
          <w:u w:val="single"/>
          <w:lang w:val="de-DE" w:eastAsia="en-GB"/>
        </w:rPr>
        <w:t>Beschreibung der Tätigkeiten</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Unter der generellen Aufsicht der Referatsleiterin und der direkten Aufsicht des Bereichsleiters für Umwelt, Mainstreaming und Kreislaufwirtschaft, wird der erfolgreiche Bewerber die Arbeit von INTPA bei der „</w:t>
      </w:r>
      <w:proofErr w:type="spellStart"/>
      <w:r w:rsidRPr="00F11D3A">
        <w:rPr>
          <w:rFonts w:ascii="Times New Roman" w:eastAsia="Times New Roman" w:hAnsi="Times New Roman" w:cs="Times New Roman"/>
          <w:lang w:val="de-DE" w:eastAsia="en-GB"/>
        </w:rPr>
        <w:t>Ökologisierung</w:t>
      </w:r>
      <w:proofErr w:type="spellEnd"/>
      <w:r w:rsidRPr="00F11D3A">
        <w:rPr>
          <w:rFonts w:ascii="Times New Roman" w:eastAsia="Times New Roman" w:hAnsi="Times New Roman" w:cs="Times New Roman"/>
          <w:lang w:val="de-DE" w:eastAsia="en-GB"/>
        </w:rPr>
        <w:t>“ der internationalen Kooperations- und Entwicklungspolitik, -programme und -investitionen der EU unterstützen und sie mit den Zielen des europäischen „Green Deals“ in Einklang bringen. Insbesondere wird der Referent die Arbeit der EU zur Unterstützung des Übergangs zu einer ressourceneffizienten Kreislaufwirtschaft und die Bemühungen zur Stärkung der Umweltdimension der EU-Zusammenarbeit unterstützen. Dies umfasst i) die Integration bzw. durchgängige Berücksichtigung von Erwägungen und Zielen in den Bereichen Umwelt und Öko-/Kreislaufwirtschaft in allen Finanzierungsinstrumenten, Sektoren und geografischen Bereichen der EU-Zusammenarbeit mit besonderem Schwerpunkt auf der „</w:t>
      </w:r>
      <w:proofErr w:type="spellStart"/>
      <w:r w:rsidRPr="00F11D3A">
        <w:rPr>
          <w:rFonts w:ascii="Times New Roman" w:eastAsia="Times New Roman" w:hAnsi="Times New Roman" w:cs="Times New Roman"/>
          <w:lang w:val="de-DE" w:eastAsia="en-GB"/>
        </w:rPr>
        <w:t>Ökologisierung</w:t>
      </w:r>
      <w:proofErr w:type="spellEnd"/>
      <w:r w:rsidRPr="00F11D3A">
        <w:rPr>
          <w:rFonts w:ascii="Times New Roman" w:eastAsia="Times New Roman" w:hAnsi="Times New Roman" w:cs="Times New Roman"/>
          <w:lang w:val="de-DE" w:eastAsia="en-GB"/>
        </w:rPr>
        <w:t xml:space="preserve">“ der von der EU geförderten Investitionen; und ii) Politik, Qualitätsförderung und Projektmanagement im Zusammenhang mit der EU-Unterstützung für die Kreislaufwirtschaft/grüne Wirtschaft. Besonderes Augenmerk wird auf den neuen Instrumenten (Europäischer Fonds für nachhaltige Entwicklung – EFSD+), einschließlich Garantien und Mischfinanzierungsmaßnahmen, sowie auf Budgethilfemaßnahmen und die Verwaltung der öffentlichen Finanzen liegen. </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 </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In diesem Zusammenhang wird der erfolgreiche Bewerber/die erfolgreiche Bewerberin folgende Aufgaben ausführen:</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Beitrag zur politischen und technischen Arbeit von INTPA </w:t>
      </w:r>
      <w:proofErr w:type="spellStart"/>
      <w:r w:rsidRPr="00F11D3A">
        <w:rPr>
          <w:rFonts w:ascii="Times New Roman" w:eastAsia="Times New Roman" w:hAnsi="Times New Roman" w:cs="Times New Roman"/>
          <w:lang w:val="de-DE" w:eastAsia="en-GB"/>
        </w:rPr>
        <w:t>im</w:t>
      </w:r>
      <w:proofErr w:type="spellEnd"/>
      <w:r w:rsidRPr="00F11D3A">
        <w:rPr>
          <w:rFonts w:ascii="Times New Roman" w:eastAsia="Times New Roman" w:hAnsi="Times New Roman" w:cs="Times New Roman"/>
          <w:lang w:val="de-DE" w:eastAsia="en-GB"/>
        </w:rPr>
        <w:t xml:space="preserve"> Bezug auf grüne Wirtschaft/Kreislaufwirtschaft, grüne Investitionen und Umwelt im weiteren Sinne.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Unterstützung der Entwicklung und Verwaltung des INTPA-Portfolios für grüne/Kreislaufwirtschaft, indem er/sie zur Gestaltung und Verwaltung von Kreislaufwirtschafts- und Umweltmaßnahmen beiträgt, die im Rahmen der thematischen und geografischen Programme finanziert werden.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Beitrag zur Erfüllung der Aufgaben des Referats, indem sichergestellt wird, dass die ihm/ihr übertragenen Aufgaben wirksam ausgeführt werden; dazu gehört insbesondere ein Beitrag zur Ausarbeitung von Arbeitsplänen, Berichten, Briefings, politischen und technischen Dokumenten und anderen institutionellen Prozessen.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Bereitstellung von qualitativ hochwertiger Unterstützung, methodischer Beratung und Beratung zu grünen/Kreislaufwirtschaft, grünen Investitionen und Umweltfragen für Kolleginnen und Kollegen in den EU-Delegationen und in den EU-Zentralen, unter anderem durch Mobilisierung und Management der „INTPA </w:t>
      </w:r>
      <w:proofErr w:type="spellStart"/>
      <w:r w:rsidRPr="00F11D3A">
        <w:rPr>
          <w:rFonts w:ascii="Times New Roman" w:eastAsia="Times New Roman" w:hAnsi="Times New Roman" w:cs="Times New Roman"/>
          <w:lang w:val="de-DE" w:eastAsia="en-GB"/>
        </w:rPr>
        <w:t>Greening</w:t>
      </w:r>
      <w:proofErr w:type="spellEnd"/>
      <w:r w:rsidRPr="00F11D3A">
        <w:rPr>
          <w:rFonts w:ascii="Times New Roman" w:eastAsia="Times New Roman" w:hAnsi="Times New Roman" w:cs="Times New Roman"/>
          <w:lang w:val="de-DE" w:eastAsia="en-GB"/>
        </w:rPr>
        <w:t xml:space="preserve"> Facility“ und der „Switch-to-Green Facility“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Beitrag zum Qualitätssicherungsprozess und Unterstützung der Konzeption neuer Programme durch die Teilnahme an Qualitätssicherungssitzungen, länderspezifischen/regionalen Koordinierungsteams und anderen einschlägigen Prozessen.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lastRenderedPageBreak/>
        <w:t xml:space="preserve">Beitrag zur analytischen Arbeit und zur Entwicklung von Wissen, Instrumenten und Konzepten in Bezug auf grüne Wirtschaft/Kreislaufwirtschaft, umweltfreundliche Investitionen und die durchgängige Berücksichtigung des Umweltschutzes.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Überprüfung von Strategiedokumenten, Programmplanungsdokumenten, Maßnahmendokumenten, Durchführungsberichten und Bereitstellung von Vorschlägen und Kommentaren zur Verbesserung der Umweltdimension.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Überprüfung der Investitionsvorschläge im Rahmen der EU-Investitionsoffensive, des EFSD+ und der EU-Investitions-</w:t>
      </w:r>
      <w:proofErr w:type="spellStart"/>
      <w:r w:rsidRPr="00F11D3A">
        <w:rPr>
          <w:rFonts w:ascii="Times New Roman" w:eastAsia="Times New Roman" w:hAnsi="Times New Roman" w:cs="Times New Roman"/>
          <w:lang w:val="de-DE" w:eastAsia="en-GB"/>
        </w:rPr>
        <w:t>Facilities</w:t>
      </w:r>
      <w:proofErr w:type="spellEnd"/>
      <w:r w:rsidRPr="00F11D3A">
        <w:rPr>
          <w:rFonts w:ascii="Times New Roman" w:eastAsia="Times New Roman" w:hAnsi="Times New Roman" w:cs="Times New Roman"/>
          <w:lang w:val="de-DE" w:eastAsia="en-GB"/>
        </w:rPr>
        <w:t xml:space="preserve">.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Unterstützung des Netzes von Anlaufstellen für Umwelt und Klima in den EU-Delegationen sowie von Schulungs- und Wissensentwicklungs- und -austauschmaßnahmen zur Stärkung der Kapazitäten von EU-Bediensteten und -Partnern.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Durchführung von Unterstützungsmissionen in Partnerländern, um politische und technische Unterstützung in den Bereichen grüne/Kreislaufwirtschaft, Umwelt und „</w:t>
      </w:r>
      <w:proofErr w:type="spellStart"/>
      <w:r w:rsidRPr="00F11D3A">
        <w:rPr>
          <w:rFonts w:ascii="Times New Roman" w:eastAsia="Times New Roman" w:hAnsi="Times New Roman" w:cs="Times New Roman"/>
          <w:lang w:val="de-DE" w:eastAsia="en-GB"/>
        </w:rPr>
        <w:t>Ökologisierung</w:t>
      </w:r>
      <w:proofErr w:type="spellEnd"/>
      <w:r w:rsidRPr="00F11D3A">
        <w:rPr>
          <w:rFonts w:ascii="Times New Roman" w:eastAsia="Times New Roman" w:hAnsi="Times New Roman" w:cs="Times New Roman"/>
          <w:lang w:val="de-DE" w:eastAsia="en-GB"/>
        </w:rPr>
        <w:t xml:space="preserve">“ der Entwicklungspolitik, -programme und -investitionen zu leisten.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Auf Anfrage Kolleginnen und Kollegen in INTPA und EU-Delegationen in politischen Dialogen im Zusammenhang mit dem europäischen „Green Deal“ unterstützen. Unterstützung der Organisation von Arbeitsmissionen zur Kreislaufwirtschaft.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Unterstützung der Arbeit von INTPA im Bereich der internationalen Umweltpolitik.  </w:t>
      </w:r>
    </w:p>
    <w:p w:rsidR="00F11D3A" w:rsidRPr="00F11D3A" w:rsidRDefault="00F11D3A" w:rsidP="00F11D3A">
      <w:pPr>
        <w:pStyle w:val="ListParagraph"/>
        <w:numPr>
          <w:ilvl w:val="0"/>
          <w:numId w:val="40"/>
        </w:numPr>
        <w:tabs>
          <w:tab w:val="left" w:pos="709"/>
        </w:tabs>
        <w:spacing w:after="0" w:line="240" w:lineRule="auto"/>
        <w:ind w:left="709" w:hanging="295"/>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Enge Abstimmung mit anderen betroffenen Referaten (insbesondere INTPA F1, INTPA E2 Privatsektor, E3 Nachhaltiges Finanzwesen und E4 EFSD +), GD (ENV), EU-Delegationen, EU-Mitgliedstaaten und Partnerorganisationen.</w:t>
      </w:r>
    </w:p>
    <w:p w:rsidR="00F11D3A" w:rsidRPr="00F11D3A"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EB1959" w:rsidRPr="00EB1959" w:rsidRDefault="00F11D3A" w:rsidP="00F11D3A">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Der/Die ANS nimmt alle sonstigen relevanten Aufgaben zur Unterstützung der Arbeit des Referats und des „Green Deal“ wahr, die vom Referatsleiter oder vom Teamleiter zugewiesen werden.</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EB195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F11D3A" w:rsidRPr="00F11D3A">
        <w:rPr>
          <w:rFonts w:ascii="Times New Roman" w:eastAsia="Times New Roman" w:hAnsi="Times New Roman" w:cs="Times New Roman"/>
          <w:lang w:val="de-DE" w:eastAsia="en-GB"/>
        </w:rPr>
        <w:t>Umwelt, grüner Wirtschaft und/oder nachhaltiger Entwicklung.</w:t>
      </w:r>
    </w:p>
    <w:p w:rsidR="004741D9" w:rsidRDefault="004741D9" w:rsidP="00806A75">
      <w:pPr>
        <w:tabs>
          <w:tab w:val="left" w:pos="709"/>
        </w:tabs>
        <w:spacing w:after="0" w:line="240" w:lineRule="auto"/>
        <w:ind w:right="60"/>
        <w:jc w:val="both"/>
        <w:rPr>
          <w:rFonts w:ascii="Times New Roman" w:eastAsia="Times New Roman" w:hAnsi="Times New Roman" w:cs="Times New Roman"/>
          <w:lang w:val="de-DE" w:eastAsia="en-GB"/>
        </w:rPr>
      </w:pPr>
    </w:p>
    <w:p w:rsidR="00F11D3A" w:rsidRPr="00950BA5" w:rsidRDefault="00F11D3A"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Mindestens fünf Jahre nachgewiesene Berufserfahrung in Vollzeit in Bereichen, die für Entwicklungszusammenarbeit, Umwelt/natürliche Ressourcen und grüne Wirtschaft relevant sind, vorzugsweise auch auf politischer/strategischer Ebene und auf Projekt-/Programmebene. </w:t>
      </w: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Ausgezeichnete Kenntnisse der internationalen Umwelt/grünen Wirtschaft</w:t>
      </w: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Erfahrung in der Integration bzw. durchgängigen Berücksichtigung von Umweltbelangen in Strategien, Plänen und/oder Projekten. </w:t>
      </w: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Erfahrung mit dem Zyklus der Maßnahmen und Finanzierungsinstrumente der Entwicklungszusammenarbeit, vorzugsweise einschließlich innovativer Finanzierungsinstrumente. </w:t>
      </w: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Erfahrungen in den Bereichen Investitionen, Entwicklung des Privatsektors und grünes Unternehmertum wären von Vorteil. </w:t>
      </w: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Ausgezeichnetes Verständnis der Realität der Entwicklungsländer. Erfahrungen aus der Praxis in Entwicklungsländern sind von Vorteil. </w:t>
      </w: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Fähigkeit, komplexe Dateien zu verarbeiten und unter Druck zu arbeiten. </w:t>
      </w:r>
    </w:p>
    <w:p w:rsidR="00F11D3A" w:rsidRPr="00F11D3A"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 xml:space="preserve">Teammitarbeiter mit starkem Initiativgefühl, Fähigkeit zum Aufbau konstruktiver Arbeitsbeziehungen mit einer Vielzahl von Kollegen und Partnern und Fähigkeit, in einem multidisziplinären Umfeld zu arbeiten.  </w:t>
      </w:r>
    </w:p>
    <w:p w:rsidR="007570E6" w:rsidRDefault="00F11D3A" w:rsidP="00F11D3A">
      <w:pPr>
        <w:tabs>
          <w:tab w:val="left" w:pos="1276"/>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Eine nachgewiesene Fähigkeit zur Analyse, Synthese von Berichten und Empfehlungsentwürfen wäre von Vorteil.</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F11D3A" w:rsidP="005B1C13">
      <w:pPr>
        <w:tabs>
          <w:tab w:val="left" w:pos="709"/>
        </w:tabs>
        <w:spacing w:after="0" w:line="240" w:lineRule="auto"/>
        <w:ind w:left="709" w:right="60"/>
        <w:jc w:val="both"/>
        <w:rPr>
          <w:rFonts w:ascii="Times New Roman" w:eastAsia="Times New Roman" w:hAnsi="Times New Roman" w:cs="Times New Roman"/>
          <w:lang w:val="de-DE" w:eastAsia="en-GB"/>
        </w:rPr>
      </w:pPr>
      <w:r w:rsidRPr="00F11D3A">
        <w:rPr>
          <w:rFonts w:ascii="Times New Roman" w:eastAsia="Times New Roman" w:hAnsi="Times New Roman" w:cs="Times New Roman"/>
          <w:lang w:val="de-DE" w:eastAsia="en-GB"/>
        </w:rPr>
        <w:t>Ausgezeichnete schriftliche und mündliche Kommunikation in englischer und/oder französischer Sprache.</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lastRenderedPageBreak/>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00DB62F0" w:rsidRPr="00640790">
          <w:rPr>
            <w:rStyle w:val="Hyperlink"/>
            <w:rFonts w:ascii="Times New Roman" w:eastAsia="Times New Roman" w:hAnsi="Times New Roman" w:cs="Times New Roman"/>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2"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11D3A">
      <w:pPr>
        <w:rPr>
          <w:lang w:val="de-DE"/>
        </w:rPr>
      </w:pPr>
    </w:p>
    <w:sectPr w:rsidR="00AC55BD" w:rsidRPr="00950BA5"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442040"/>
    <w:multiLevelType w:val="hybridMultilevel"/>
    <w:tmpl w:val="84BA3932"/>
    <w:lvl w:ilvl="0" w:tplc="57F841B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3BD22388"/>
    <w:multiLevelType w:val="hybridMultilevel"/>
    <w:tmpl w:val="BCFEFD54"/>
    <w:lvl w:ilvl="0" w:tplc="9668A1E8">
      <w:start w:val="1"/>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6B1D21"/>
    <w:multiLevelType w:val="hybridMultilevel"/>
    <w:tmpl w:val="5106D7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7"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9"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38"/>
  </w:num>
  <w:num w:numId="3">
    <w:abstractNumId w:val="24"/>
  </w:num>
  <w:num w:numId="4">
    <w:abstractNumId w:val="3"/>
  </w:num>
  <w:num w:numId="5">
    <w:abstractNumId w:val="19"/>
  </w:num>
  <w:num w:numId="6">
    <w:abstractNumId w:val="11"/>
  </w:num>
  <w:num w:numId="7">
    <w:abstractNumId w:val="34"/>
  </w:num>
  <w:num w:numId="8">
    <w:abstractNumId w:val="18"/>
  </w:num>
  <w:num w:numId="9">
    <w:abstractNumId w:val="8"/>
  </w:num>
  <w:num w:numId="10">
    <w:abstractNumId w:val="14"/>
  </w:num>
  <w:num w:numId="11">
    <w:abstractNumId w:val="9"/>
  </w:num>
  <w:num w:numId="12">
    <w:abstractNumId w:val="40"/>
  </w:num>
  <w:num w:numId="13">
    <w:abstractNumId w:val="27"/>
  </w:num>
  <w:num w:numId="14">
    <w:abstractNumId w:val="28"/>
  </w:num>
  <w:num w:numId="15">
    <w:abstractNumId w:val="20"/>
  </w:num>
  <w:num w:numId="16">
    <w:abstractNumId w:val="35"/>
  </w:num>
  <w:num w:numId="17">
    <w:abstractNumId w:val="1"/>
  </w:num>
  <w:num w:numId="18">
    <w:abstractNumId w:val="36"/>
  </w:num>
  <w:num w:numId="19">
    <w:abstractNumId w:val="17"/>
  </w:num>
  <w:num w:numId="20">
    <w:abstractNumId w:val="22"/>
  </w:num>
  <w:num w:numId="21">
    <w:abstractNumId w:val="31"/>
  </w:num>
  <w:num w:numId="22">
    <w:abstractNumId w:val="10"/>
  </w:num>
  <w:num w:numId="23">
    <w:abstractNumId w:val="4"/>
  </w:num>
  <w:num w:numId="24">
    <w:abstractNumId w:val="30"/>
  </w:num>
  <w:num w:numId="25">
    <w:abstractNumId w:val="33"/>
  </w:num>
  <w:num w:numId="26">
    <w:abstractNumId w:val="23"/>
  </w:num>
  <w:num w:numId="27">
    <w:abstractNumId w:val="7"/>
  </w:num>
  <w:num w:numId="28">
    <w:abstractNumId w:val="6"/>
  </w:num>
  <w:num w:numId="29">
    <w:abstractNumId w:val="37"/>
  </w:num>
  <w:num w:numId="30">
    <w:abstractNumId w:val="12"/>
  </w:num>
  <w:num w:numId="31">
    <w:abstractNumId w:val="39"/>
  </w:num>
  <w:num w:numId="32">
    <w:abstractNumId w:val="29"/>
  </w:num>
  <w:num w:numId="33">
    <w:abstractNumId w:val="26"/>
  </w:num>
  <w:num w:numId="34">
    <w:abstractNumId w:val="0"/>
  </w:num>
  <w:num w:numId="35">
    <w:abstractNumId w:val="15"/>
  </w:num>
  <w:num w:numId="36">
    <w:abstractNumId w:val="21"/>
  </w:num>
  <w:num w:numId="37">
    <w:abstractNumId w:val="13"/>
  </w:num>
  <w:num w:numId="38">
    <w:abstractNumId w:val="5"/>
  </w:num>
  <w:num w:numId="39">
    <w:abstractNumId w:val="32"/>
  </w:num>
  <w:num w:numId="40">
    <w:abstractNumId w:val="25"/>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306D"/>
    <w:rsid w:val="001347F7"/>
    <w:rsid w:val="001409DC"/>
    <w:rsid w:val="00145DC2"/>
    <w:rsid w:val="001542A1"/>
    <w:rsid w:val="001561A4"/>
    <w:rsid w:val="0019598C"/>
    <w:rsid w:val="001E0FBD"/>
    <w:rsid w:val="00235E62"/>
    <w:rsid w:val="0025275C"/>
    <w:rsid w:val="0026491C"/>
    <w:rsid w:val="00315919"/>
    <w:rsid w:val="003314B0"/>
    <w:rsid w:val="00365478"/>
    <w:rsid w:val="00370EFD"/>
    <w:rsid w:val="003E1A14"/>
    <w:rsid w:val="003F3F10"/>
    <w:rsid w:val="00446CC2"/>
    <w:rsid w:val="004741D9"/>
    <w:rsid w:val="00481F14"/>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413B7"/>
    <w:rsid w:val="00672421"/>
    <w:rsid w:val="006740F2"/>
    <w:rsid w:val="006F30A1"/>
    <w:rsid w:val="00733178"/>
    <w:rsid w:val="007570E6"/>
    <w:rsid w:val="007628D6"/>
    <w:rsid w:val="00773A37"/>
    <w:rsid w:val="007926F0"/>
    <w:rsid w:val="007E099F"/>
    <w:rsid w:val="00806A75"/>
    <w:rsid w:val="008450F3"/>
    <w:rsid w:val="00856A93"/>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000F"/>
    <w:rsid w:val="00C6293F"/>
    <w:rsid w:val="00C840B6"/>
    <w:rsid w:val="00C848C5"/>
    <w:rsid w:val="00C91101"/>
    <w:rsid w:val="00CF677F"/>
    <w:rsid w:val="00D128E8"/>
    <w:rsid w:val="00D42B31"/>
    <w:rsid w:val="00D51A08"/>
    <w:rsid w:val="00D64903"/>
    <w:rsid w:val="00D81DD5"/>
    <w:rsid w:val="00DB5F95"/>
    <w:rsid w:val="00DB62F0"/>
    <w:rsid w:val="00DB78EA"/>
    <w:rsid w:val="00DC4344"/>
    <w:rsid w:val="00E11F69"/>
    <w:rsid w:val="00E21280"/>
    <w:rsid w:val="00E40791"/>
    <w:rsid w:val="00E565A0"/>
    <w:rsid w:val="00E86A3E"/>
    <w:rsid w:val="00E9088C"/>
    <w:rsid w:val="00E9120D"/>
    <w:rsid w:val="00E936D2"/>
    <w:rsid w:val="00EB1959"/>
    <w:rsid w:val="00EB4260"/>
    <w:rsid w:val="00EE3F45"/>
    <w:rsid w:val="00EE426D"/>
    <w:rsid w:val="00EF3EBB"/>
    <w:rsid w:val="00F05108"/>
    <w:rsid w:val="00F11D3A"/>
    <w:rsid w:val="00F34F3B"/>
    <w:rsid w:val="00F50D7F"/>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2C46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de/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hantal.Marijnissen@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109AA-7BE1-4C80-9624-816A4ACBD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1972</Words>
  <Characters>14735</Characters>
  <Application>Microsoft Office Word</Application>
  <DocSecurity>0</DocSecurity>
  <Lines>272</Lines>
  <Paragraphs>110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2022-09-05T09:25:00Z</dcterms:created>
  <dcterms:modified xsi:type="dcterms:W3CDTF">2022-09-05T09:25:00Z</dcterms:modified>
</cp:coreProperties>
</file>