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E741E0">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C4363D" w:rsidP="00AD4AC5">
            <w:pPr>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sz w:val="24"/>
                <w:szCs w:val="20"/>
                <w:lang w:eastAsia="en-GB"/>
              </w:rPr>
              <w:t>INTPA-G-5</w:t>
            </w:r>
          </w:p>
        </w:tc>
      </w:tr>
      <w:tr w:rsidR="00130F26" w:rsidRPr="00745B97" w:rsidTr="00E741E0">
        <w:trPr>
          <w:trHeight w:val="1977"/>
          <w:jc w:val="center"/>
        </w:trPr>
        <w:tc>
          <w:tcPr>
            <w:tcW w:w="4359" w:type="dxa"/>
            <w:tcBorders>
              <w:bottom w:val="nil"/>
            </w:tcBorders>
          </w:tcPr>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C4363D">
            <w:pPr>
              <w:spacing w:after="0"/>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130F26" w:rsidRPr="00C4363D" w:rsidRDefault="00130F26" w:rsidP="00C4363D">
            <w:pPr>
              <w:spacing w:after="0"/>
              <w:rPr>
                <w:rFonts w:ascii="Times New Roman" w:hAnsi="Times New Roman" w:cs="Times New Roman"/>
                <w:b/>
              </w:rPr>
            </w:pPr>
            <w:r w:rsidRPr="00C4363D">
              <w:rPr>
                <w:rFonts w:ascii="Times New Roman" w:hAnsi="Times New Roman" w:cs="Times New Roman"/>
                <w:b/>
              </w:rPr>
              <w:t xml:space="preserve">Olivier </w:t>
            </w:r>
            <w:proofErr w:type="spellStart"/>
            <w:r w:rsidRPr="00C4363D">
              <w:rPr>
                <w:rFonts w:ascii="Times New Roman" w:hAnsi="Times New Roman" w:cs="Times New Roman"/>
                <w:b/>
              </w:rPr>
              <w:t>Luyckx</w:t>
            </w:r>
            <w:proofErr w:type="spellEnd"/>
          </w:p>
          <w:p w:rsidR="00130F26" w:rsidRPr="0025767A" w:rsidRDefault="0025767A" w:rsidP="00C4363D">
            <w:pPr>
              <w:spacing w:after="0"/>
              <w:rPr>
                <w:rFonts w:ascii="Times New Roman" w:hAnsi="Times New Roman" w:cs="Times New Roman"/>
                <w:b/>
                <w:color w:val="0000FF"/>
              </w:rPr>
            </w:pPr>
            <w:hyperlink r:id="rId8" w:history="1">
              <w:r w:rsidR="00130F26" w:rsidRPr="0025767A">
                <w:rPr>
                  <w:rStyle w:val="Hyperlink"/>
                  <w:rFonts w:ascii="Times New Roman" w:hAnsi="Times New Roman" w:cs="Times New Roman"/>
                  <w:b/>
                  <w:color w:val="0000FF"/>
                </w:rPr>
                <w:t>Olivier.Luyckx@ec.europa.eu</w:t>
              </w:r>
            </w:hyperlink>
          </w:p>
          <w:p w:rsidR="00130F26" w:rsidRPr="00C4363D" w:rsidRDefault="00724B13" w:rsidP="00C4363D">
            <w:pPr>
              <w:spacing w:after="0"/>
              <w:rPr>
                <w:rFonts w:ascii="Times New Roman" w:eastAsia="Times New Roman" w:hAnsi="Times New Roman" w:cs="Times New Roman"/>
                <w:b/>
                <w:lang w:val="de-DE" w:eastAsia="en-GB"/>
              </w:rPr>
            </w:pPr>
            <w:r w:rsidRPr="00C4363D">
              <w:rPr>
                <w:rFonts w:ascii="Times New Roman" w:hAnsi="Times New Roman" w:cs="Times New Roman"/>
                <w:b/>
                <w:lang w:eastAsia="en-GB"/>
              </w:rPr>
              <w:t>+32 229-64110</w:t>
            </w:r>
          </w:p>
          <w:p w:rsidR="00130F26" w:rsidRPr="00C4363D" w:rsidRDefault="00130F26" w:rsidP="00C4363D">
            <w:pPr>
              <w:spacing w:after="0"/>
              <w:rPr>
                <w:rFonts w:ascii="Times New Roman" w:eastAsia="Times New Roman" w:hAnsi="Times New Roman" w:cs="Times New Roman"/>
                <w:b/>
                <w:sz w:val="24"/>
                <w:szCs w:val="20"/>
                <w:lang w:eastAsia="en-GB"/>
              </w:rPr>
            </w:pPr>
            <w:r w:rsidRPr="00C4363D">
              <w:rPr>
                <w:rFonts w:ascii="Times New Roman" w:hAnsi="Times New Roman" w:cs="Times New Roman"/>
                <w:b/>
              </w:rPr>
              <w:t>1</w:t>
            </w:r>
          </w:p>
          <w:p w:rsidR="005E606B" w:rsidRPr="00C4363D" w:rsidRDefault="00456A5D" w:rsidP="00C4363D">
            <w:pPr>
              <w:spacing w:after="0"/>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130F26" w:rsidP="00C4363D">
            <w:pPr>
              <w:spacing w:after="0"/>
              <w:ind w:right="1317"/>
              <w:jc w:val="both"/>
              <w:rPr>
                <w:rFonts w:ascii="Times New Roman" w:eastAsia="Times New Roman" w:hAnsi="Times New Roman" w:cs="Times New Roman"/>
                <w:b/>
                <w:sz w:val="24"/>
                <w:szCs w:val="20"/>
                <w:lang w:eastAsia="en-GB"/>
              </w:rPr>
            </w:pPr>
            <w:r w:rsidRPr="00C4363D">
              <w:rPr>
                <w:rFonts w:ascii="Times New Roman" w:hAnsi="Times New Roman" w:cs="Times New Roman"/>
                <w:b/>
              </w:rPr>
              <w:t>2 ans</w:t>
            </w:r>
          </w:p>
          <w:p w:rsidR="00130F26" w:rsidRPr="00C4363D" w:rsidRDefault="00456A5D" w:rsidP="00C4363D">
            <w:pPr>
              <w:spacing w:after="0"/>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spacing w:after="0" w:line="240" w:lineRule="auto"/>
        <w:ind w:left="426"/>
        <w:jc w:val="both"/>
        <w:rPr>
          <w:rFonts w:ascii="Times New Roman" w:eastAsia="Times New Roman" w:hAnsi="Times New Roman" w:cs="Times New Roman"/>
          <w:lang w:eastAsia="en-GB"/>
        </w:rPr>
      </w:pPr>
      <w:r w:rsidRPr="00C4363D">
        <w:rPr>
          <w:rFonts w:ascii="Times New Roman" w:hAnsi="Times New Roman" w:cs="Times New Roman"/>
        </w:rPr>
        <w:t>Au sein de la Commission Européenne, la Direction Générale des Partenariats Internationaux est en charge de la politique de développement et de coopération dans le contexte plus large de la coopération internationale tout en s'adaptant sans cesse aux évolutions des besoins des pays partenaires. Cela dépasse donc la coopération avec les seuls pays en voie de développement mais inclut les pays en phase transitoire qu'ils soient à faibles revenus ou à revenus intermédiaires. Dans le cadre de la mission générale de la DG INTPA, l'unité G5 contribue à la formulation de politiques sectorielles dans les domaines de la paix, de la résilience, de la stabilité et de la sécurité en lien avec le développement.</w:t>
      </w:r>
    </w:p>
    <w:p w:rsidR="00130F26" w:rsidRPr="00C4363D" w:rsidRDefault="00130F26" w:rsidP="00C4363D">
      <w:pPr>
        <w:spacing w:after="0" w:line="240" w:lineRule="auto"/>
        <w:ind w:left="426"/>
        <w:jc w:val="both"/>
        <w:rPr>
          <w:rFonts w:ascii="Times New Roman" w:eastAsia="Times New Roman" w:hAnsi="Times New Roman" w:cs="Times New Roman"/>
          <w:lang w:eastAsia="en-GB"/>
        </w:rPr>
      </w:pPr>
    </w:p>
    <w:p w:rsidR="00130F26" w:rsidRPr="00C4363D" w:rsidRDefault="00130F26" w:rsidP="00C4363D">
      <w:pPr>
        <w:spacing w:after="0" w:line="240" w:lineRule="auto"/>
        <w:ind w:left="426"/>
        <w:jc w:val="both"/>
        <w:rPr>
          <w:rFonts w:ascii="Times New Roman" w:hAnsi="Times New Roman" w:cs="Times New Roman"/>
        </w:rPr>
      </w:pPr>
      <w:r w:rsidRPr="00C4363D">
        <w:rPr>
          <w:rFonts w:ascii="Times New Roman" w:hAnsi="Times New Roman" w:cs="Times New Roman"/>
        </w:rPr>
        <w:t>Au sein de la Direction G dédiée au développement humain, les migrations, la gouvernance et la paix, l'unité thématique G5 "Résilience, paix et sécurité" a pour mission de contribuer au développement durable, la paix et la stabilité en :</w:t>
      </w:r>
    </w:p>
    <w:p w:rsidR="00130F26" w:rsidRPr="00456A5D" w:rsidRDefault="00130F26" w:rsidP="00456A5D">
      <w:pPr>
        <w:pStyle w:val="ListParagraph"/>
        <w:numPr>
          <w:ilvl w:val="0"/>
          <w:numId w:val="1"/>
        </w:numPr>
        <w:spacing w:after="0" w:line="240" w:lineRule="auto"/>
        <w:ind w:left="709" w:hanging="283"/>
        <w:jc w:val="both"/>
        <w:rPr>
          <w:rFonts w:ascii="Times New Roman" w:hAnsi="Times New Roman" w:cs="Times New Roman"/>
        </w:rPr>
      </w:pPr>
      <w:proofErr w:type="gramStart"/>
      <w:r w:rsidRPr="00456A5D">
        <w:rPr>
          <w:rFonts w:ascii="Times New Roman" w:hAnsi="Times New Roman" w:cs="Times New Roman"/>
        </w:rPr>
        <w:t>fournissant</w:t>
      </w:r>
      <w:proofErr w:type="gramEnd"/>
      <w:r w:rsidRPr="00456A5D">
        <w:rPr>
          <w:rFonts w:ascii="Times New Roman" w:hAnsi="Times New Roman" w:cs="Times New Roman"/>
        </w:rPr>
        <w:t xml:space="preserve"> une expertise et du renforcement capacitaire pour contribuer à l'amélioration de la sécurité au plan régional et national en intégrant tous les maillons de la chaine pénale (services de police/unités de gendarmerie, autorité judiciaire, gestion des frontières, douane) et aux acteurs militaires en appui des programmes de soutien capacitaires de défense et de sécurité en lien avec le développement (CBDSD) ;</w:t>
      </w:r>
    </w:p>
    <w:p w:rsidR="00130F26" w:rsidRPr="00456A5D" w:rsidRDefault="00130F26" w:rsidP="00456A5D">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proofErr w:type="gramStart"/>
      <w:r w:rsidRPr="00456A5D">
        <w:rPr>
          <w:rFonts w:ascii="Times New Roman" w:hAnsi="Times New Roman" w:cs="Times New Roman"/>
        </w:rPr>
        <w:t>fournissant</w:t>
      </w:r>
      <w:proofErr w:type="gramEnd"/>
      <w:r w:rsidRPr="00456A5D">
        <w:rPr>
          <w:rFonts w:ascii="Times New Roman" w:hAnsi="Times New Roman" w:cs="Times New Roman"/>
        </w:rPr>
        <w:t xml:space="preserve"> une expertise et du renforcement capacitaire pour s'assurer de la prise en compte par les pays impactés par des crises et/ou fragiles des approches liées à la sensibilité des conflits, la consolidation de la paix et la résilience et des processus de transition.</w:t>
      </w:r>
    </w:p>
    <w:p w:rsidR="00130F26" w:rsidRPr="00C4363D" w:rsidRDefault="00130F26" w:rsidP="00C4363D">
      <w:pPr>
        <w:spacing w:after="0" w:line="240" w:lineRule="auto"/>
        <w:ind w:left="426"/>
        <w:jc w:val="both"/>
        <w:rPr>
          <w:rFonts w:ascii="Times New Roman" w:eastAsia="Times New Roman" w:hAnsi="Times New Roman" w:cs="Times New Roman"/>
          <w:lang w:eastAsia="en-GB"/>
        </w:rPr>
      </w:pPr>
    </w:p>
    <w:p w:rsidR="00130F26" w:rsidRPr="00C4363D" w:rsidRDefault="00130F26" w:rsidP="00C4363D">
      <w:pPr>
        <w:spacing w:after="0" w:line="240" w:lineRule="auto"/>
        <w:ind w:left="426"/>
        <w:jc w:val="both"/>
        <w:rPr>
          <w:rFonts w:ascii="Times New Roman" w:eastAsia="Times New Roman" w:hAnsi="Times New Roman" w:cs="Times New Roman"/>
          <w:lang w:eastAsia="en-GB"/>
        </w:rPr>
      </w:pPr>
      <w:r w:rsidRPr="00C4363D">
        <w:rPr>
          <w:rFonts w:ascii="Times New Roman" w:hAnsi="Times New Roman" w:cs="Times New Roman"/>
        </w:rPr>
        <w:t>L'unité est un centre d'expertise en matière de coopération liée à la résilience, la paix et la sécurité tout en intégrant les problématiques affectant les questions de genre et les mineurs. Cela implique aussi la fourniture d'expertise pour la coopération en matière de réforme des systèmes de sécurité (RSS) : crime organisé (dont la criminalité environnementale, les trafics et la cybercriminalité); la protection des infrastructures critiques (sécurité des emprises maritimes, portuaires et aériennes); la prévention et la lutte contre l'extrémisme violent, la lutte anti blanchiment et le financement du terrorisme, etc.</w:t>
      </w:r>
    </w:p>
    <w:p w:rsidR="00130F26" w:rsidRPr="00C4363D" w:rsidRDefault="00130F26" w:rsidP="00C4363D">
      <w:pPr>
        <w:spacing w:after="0" w:line="240" w:lineRule="auto"/>
        <w:ind w:left="426"/>
        <w:jc w:val="both"/>
        <w:rPr>
          <w:rFonts w:ascii="Times New Roman" w:eastAsia="Times New Roman" w:hAnsi="Times New Roman" w:cs="Times New Roman"/>
          <w:lang w:eastAsia="en-GB"/>
        </w:rPr>
      </w:pPr>
    </w:p>
    <w:p w:rsidR="00130F26" w:rsidRPr="00C4363D" w:rsidRDefault="00130F26" w:rsidP="00C4363D">
      <w:pPr>
        <w:spacing w:after="0" w:line="240" w:lineRule="auto"/>
        <w:ind w:left="426"/>
        <w:jc w:val="both"/>
        <w:rPr>
          <w:rFonts w:ascii="Times New Roman" w:hAnsi="Times New Roman" w:cs="Times New Roman"/>
        </w:rPr>
      </w:pPr>
      <w:r w:rsidRPr="00C4363D">
        <w:rPr>
          <w:rFonts w:ascii="Times New Roman" w:hAnsi="Times New Roman" w:cs="Times New Roman"/>
        </w:rPr>
        <w:lastRenderedPageBreak/>
        <w:t>Les taches liées au domaine de la réforme des systèmes de sécurité sont traitées par l'unité sécurité et le candidat retenu fera partie d'une équipe composée de 7 collègues sous la responsabilité d'un chef de secteur.</w:t>
      </w:r>
    </w:p>
    <w:p w:rsidR="00130F26" w:rsidRPr="00C4363D" w:rsidRDefault="00130F26" w:rsidP="00C4363D">
      <w:pPr>
        <w:spacing w:after="0" w:line="240" w:lineRule="auto"/>
        <w:ind w:left="426"/>
        <w:jc w:val="both"/>
        <w:rPr>
          <w:rFonts w:ascii="Times New Roman" w:hAnsi="Times New Roman" w:cs="Times New Roman"/>
        </w:rPr>
      </w:pPr>
    </w:p>
    <w:p w:rsidR="00130F26" w:rsidRPr="00C4363D" w:rsidRDefault="00130F26" w:rsidP="000C6B7E">
      <w:pPr>
        <w:spacing w:after="0" w:line="240" w:lineRule="auto"/>
        <w:ind w:left="425"/>
        <w:jc w:val="both"/>
        <w:rPr>
          <w:rFonts w:ascii="Times New Roman" w:hAnsi="Times New Roman" w:cs="Times New Roman"/>
        </w:rPr>
      </w:pPr>
      <w:r w:rsidRPr="00C4363D">
        <w:rPr>
          <w:rFonts w:ascii="Times New Roman" w:hAnsi="Times New Roman" w:cs="Times New Roman"/>
        </w:rPr>
        <w:t>Il/elle aura pour missions de :</w:t>
      </w:r>
    </w:p>
    <w:p w:rsidR="00130F26" w:rsidRPr="000C6B7E" w:rsidRDefault="00130F26" w:rsidP="000C6B7E">
      <w:pPr>
        <w:pStyle w:val="ListParagraph"/>
        <w:numPr>
          <w:ilvl w:val="0"/>
          <w:numId w:val="4"/>
        </w:numPr>
        <w:spacing w:after="0" w:line="240" w:lineRule="auto"/>
        <w:jc w:val="both"/>
        <w:rPr>
          <w:rFonts w:ascii="Times New Roman" w:hAnsi="Times New Roman" w:cs="Times New Roman"/>
        </w:rPr>
      </w:pPr>
      <w:proofErr w:type="gramStart"/>
      <w:r w:rsidRPr="000C6B7E">
        <w:rPr>
          <w:rFonts w:ascii="Times New Roman" w:hAnsi="Times New Roman" w:cs="Times New Roman"/>
        </w:rPr>
        <w:t>conseiller</w:t>
      </w:r>
      <w:proofErr w:type="gramEnd"/>
      <w:r w:rsidRPr="000C6B7E">
        <w:rPr>
          <w:rFonts w:ascii="Times New Roman" w:hAnsi="Times New Roman" w:cs="Times New Roman"/>
        </w:rPr>
        <w:t xml:space="preserve"> et appuyer les responsables de projets </w:t>
      </w:r>
      <w:r w:rsidR="00456A5D" w:rsidRPr="000C6B7E">
        <w:rPr>
          <w:rFonts w:ascii="Times New Roman" w:hAnsi="Times New Roman" w:cs="Times New Roman"/>
        </w:rPr>
        <w:t xml:space="preserve">ou programmes </w:t>
      </w:r>
      <w:r w:rsidRPr="000C6B7E">
        <w:rPr>
          <w:rFonts w:ascii="Times New Roman" w:hAnsi="Times New Roman" w:cs="Times New Roman"/>
        </w:rPr>
        <w:t xml:space="preserve">liés à la réforme </w:t>
      </w:r>
      <w:r w:rsidR="00456A5D" w:rsidRPr="000C6B7E">
        <w:rPr>
          <w:rFonts w:ascii="Times New Roman" w:hAnsi="Times New Roman" w:cs="Times New Roman"/>
        </w:rPr>
        <w:t>du secteur de la</w:t>
      </w:r>
      <w:r w:rsidRPr="000C6B7E">
        <w:rPr>
          <w:rFonts w:ascii="Times New Roman" w:hAnsi="Times New Roman" w:cs="Times New Roman"/>
        </w:rPr>
        <w:t xml:space="preserve"> sécurité </w:t>
      </w:r>
      <w:r w:rsidR="00456A5D" w:rsidRPr="000C6B7E">
        <w:rPr>
          <w:rFonts w:ascii="Times New Roman" w:hAnsi="Times New Roman" w:cs="Times New Roman"/>
        </w:rPr>
        <w:t>et dans le domaine du renforcement des capacités, en particulier dans le domaine de la lutte contre le blanchiment, dans le but d’aider les pays tiers à résoudre les difficultés liées aux réformes du secteur de la police et des unités financières et de la collecte du renseignement dans ce domaine.  Ces actions doivent être mises en œuvre en coopération avec les organisations concernées (services de police et d’investigations criminelles, unités de contreterrorisme, unités de renseignement financier) et autorités nationales (autorités judiciaire, ministère de l’intérieur, de l’économie ou du budget, douane, institutions financières et entités assujetties qu’elles soient financières ou pas, …), en partenariat avec les pays bénéficiaires et en ligne avec les priorités de la Commission européenne</w:t>
      </w:r>
      <w:r w:rsidRPr="000C6B7E">
        <w:rPr>
          <w:rFonts w:ascii="Times New Roman" w:hAnsi="Times New Roman" w:cs="Times New Roman"/>
        </w:rPr>
        <w:t>;</w:t>
      </w:r>
    </w:p>
    <w:p w:rsidR="000C6B7E" w:rsidRPr="000C6B7E" w:rsidRDefault="000C6B7E" w:rsidP="000C6B7E">
      <w:pPr>
        <w:pStyle w:val="ListParagraph"/>
        <w:spacing w:after="0" w:line="240" w:lineRule="auto"/>
        <w:ind w:left="785"/>
        <w:jc w:val="both"/>
        <w:rPr>
          <w:rFonts w:ascii="Times New Roman" w:hAnsi="Times New Roman" w:cs="Times New Roman"/>
        </w:rPr>
      </w:pPr>
    </w:p>
    <w:p w:rsidR="00130F26" w:rsidRPr="000C6B7E" w:rsidRDefault="00130F26" w:rsidP="000C6B7E">
      <w:pPr>
        <w:pStyle w:val="ListParagraph"/>
        <w:numPr>
          <w:ilvl w:val="0"/>
          <w:numId w:val="4"/>
        </w:numPr>
        <w:spacing w:after="0" w:line="240" w:lineRule="auto"/>
        <w:jc w:val="both"/>
        <w:rPr>
          <w:rFonts w:ascii="Times New Roman" w:hAnsi="Times New Roman" w:cs="Times New Roman"/>
        </w:rPr>
      </w:pPr>
      <w:proofErr w:type="gramStart"/>
      <w:r w:rsidRPr="000C6B7E">
        <w:rPr>
          <w:rFonts w:ascii="Times New Roman" w:hAnsi="Times New Roman" w:cs="Times New Roman"/>
        </w:rPr>
        <w:t>contribuer</w:t>
      </w:r>
      <w:proofErr w:type="gramEnd"/>
      <w:r w:rsidRPr="000C6B7E">
        <w:rPr>
          <w:rFonts w:ascii="Times New Roman" w:hAnsi="Times New Roman" w:cs="Times New Roman"/>
        </w:rPr>
        <w:t xml:space="preserve"> à la définition des politiques européennes </w:t>
      </w:r>
      <w:r w:rsidR="00456A5D" w:rsidRPr="000C6B7E">
        <w:rPr>
          <w:rFonts w:ascii="Times New Roman" w:hAnsi="Times New Roman" w:cs="Times New Roman"/>
        </w:rPr>
        <w:t>dans le domaine de la coopération internationale sur les problèmes de sécurité, y compris en matière de</w:t>
      </w:r>
      <w:r w:rsidRPr="000C6B7E">
        <w:rPr>
          <w:rFonts w:ascii="Times New Roman" w:hAnsi="Times New Roman" w:cs="Times New Roman"/>
        </w:rPr>
        <w:t xml:space="preserve"> crim</w:t>
      </w:r>
      <w:r w:rsidR="00456A5D" w:rsidRPr="000C6B7E">
        <w:rPr>
          <w:rFonts w:ascii="Times New Roman" w:hAnsi="Times New Roman" w:cs="Times New Roman"/>
        </w:rPr>
        <w:t>inalité</w:t>
      </w:r>
      <w:r w:rsidRPr="000C6B7E">
        <w:rPr>
          <w:rFonts w:ascii="Times New Roman" w:hAnsi="Times New Roman" w:cs="Times New Roman"/>
        </w:rPr>
        <w:t xml:space="preserve"> organisé</w:t>
      </w:r>
      <w:r w:rsidR="00456A5D" w:rsidRPr="000C6B7E">
        <w:rPr>
          <w:rFonts w:ascii="Times New Roman" w:hAnsi="Times New Roman" w:cs="Times New Roman"/>
        </w:rPr>
        <w:t xml:space="preserve">e et ses composantes (comme le projet </w:t>
      </w:r>
      <w:proofErr w:type="spellStart"/>
      <w:r w:rsidR="00456A5D" w:rsidRPr="000C6B7E">
        <w:rPr>
          <w:rFonts w:ascii="Times New Roman" w:hAnsi="Times New Roman" w:cs="Times New Roman"/>
        </w:rPr>
        <w:t>Empact</w:t>
      </w:r>
      <w:proofErr w:type="spellEnd"/>
      <w:r w:rsidR="00456A5D" w:rsidRPr="000C6B7E">
        <w:rPr>
          <w:rFonts w:ascii="Times New Roman" w:hAnsi="Times New Roman" w:cs="Times New Roman"/>
        </w:rPr>
        <w:t xml:space="preserve">), le trafic de stupéfiants, la criminalité financière et assimilées (blanchiment, recouvrement des avoirs criminels, etc.), le contre-terrorisme, perpétrés par tous vecteurs (numérique, maritime, aérien et itinéraires); </w:t>
      </w:r>
      <w:r w:rsidRPr="000C6B7E">
        <w:rPr>
          <w:rFonts w:ascii="Times New Roman" w:hAnsi="Times New Roman" w:cs="Times New Roman"/>
        </w:rPr>
        <w:t xml:space="preserve"> </w:t>
      </w:r>
    </w:p>
    <w:p w:rsidR="000C6B7E" w:rsidRDefault="000C6B7E" w:rsidP="000C6B7E">
      <w:pPr>
        <w:spacing w:after="0" w:line="240" w:lineRule="auto"/>
        <w:ind w:left="425"/>
        <w:jc w:val="both"/>
        <w:rPr>
          <w:rFonts w:ascii="Times New Roman" w:hAnsi="Times New Roman" w:cs="Times New Roman"/>
        </w:rPr>
      </w:pPr>
    </w:p>
    <w:p w:rsidR="00130F26" w:rsidRPr="000C6B7E" w:rsidRDefault="00456A5D" w:rsidP="000C6B7E">
      <w:pPr>
        <w:pStyle w:val="ListParagraph"/>
        <w:numPr>
          <w:ilvl w:val="0"/>
          <w:numId w:val="4"/>
        </w:numPr>
        <w:spacing w:after="0" w:line="240" w:lineRule="auto"/>
        <w:jc w:val="both"/>
        <w:rPr>
          <w:rFonts w:ascii="Times New Roman" w:hAnsi="Times New Roman" w:cs="Times New Roman"/>
        </w:rPr>
      </w:pPr>
      <w:proofErr w:type="gramStart"/>
      <w:r w:rsidRPr="000C6B7E">
        <w:rPr>
          <w:rFonts w:ascii="Times New Roman" w:hAnsi="Times New Roman" w:cs="Times New Roman"/>
        </w:rPr>
        <w:t>contribuer</w:t>
      </w:r>
      <w:proofErr w:type="gramEnd"/>
      <w:r w:rsidRPr="000C6B7E">
        <w:rPr>
          <w:rFonts w:ascii="Times New Roman" w:hAnsi="Times New Roman" w:cs="Times New Roman"/>
        </w:rPr>
        <w:t xml:space="preserve"> à superviser l’application des normes dans le domaine LBC/FT en suivant et contribuant aux politiques et dialogues avec les pays partenaires et les directions générale</w:t>
      </w:r>
      <w:r w:rsidR="000C6B7E" w:rsidRPr="000C6B7E">
        <w:rPr>
          <w:rFonts w:ascii="Times New Roman" w:hAnsi="Times New Roman" w:cs="Times New Roman"/>
        </w:rPr>
        <w:t xml:space="preserve">s spécialisées de la Commission </w:t>
      </w:r>
      <w:r w:rsidRPr="000C6B7E">
        <w:rPr>
          <w:rFonts w:ascii="Times New Roman" w:hAnsi="Times New Roman" w:cs="Times New Roman"/>
        </w:rPr>
        <w:t>(en particulier la DG FISMA, le SEAE et FPI)</w:t>
      </w:r>
      <w:r w:rsidR="00130F26" w:rsidRPr="000C6B7E">
        <w:rPr>
          <w:rFonts w:ascii="Times New Roman" w:hAnsi="Times New Roman" w:cs="Times New Roman"/>
        </w:rPr>
        <w:t>;</w:t>
      </w:r>
    </w:p>
    <w:p w:rsidR="000C6B7E" w:rsidRPr="00C4363D" w:rsidRDefault="000C6B7E" w:rsidP="000C6B7E">
      <w:pPr>
        <w:spacing w:after="0" w:line="240" w:lineRule="auto"/>
        <w:ind w:left="425"/>
        <w:jc w:val="both"/>
        <w:rPr>
          <w:rFonts w:ascii="Times New Roman" w:hAnsi="Times New Roman" w:cs="Times New Roman"/>
        </w:rPr>
      </w:pPr>
    </w:p>
    <w:p w:rsidR="00130F26" w:rsidRPr="000C6B7E" w:rsidRDefault="000C6B7E" w:rsidP="000C6B7E">
      <w:pPr>
        <w:pStyle w:val="ListParagraph"/>
        <w:numPr>
          <w:ilvl w:val="0"/>
          <w:numId w:val="4"/>
        </w:numPr>
        <w:spacing w:after="0" w:line="240" w:lineRule="auto"/>
        <w:jc w:val="both"/>
        <w:rPr>
          <w:rFonts w:ascii="Times New Roman" w:hAnsi="Times New Roman" w:cs="Times New Roman"/>
        </w:rPr>
      </w:pPr>
      <w:proofErr w:type="gramStart"/>
      <w:r>
        <w:rPr>
          <w:rFonts w:ascii="Times New Roman" w:hAnsi="Times New Roman" w:cs="Times New Roman"/>
        </w:rPr>
        <w:t>s</w:t>
      </w:r>
      <w:r w:rsidRPr="000C6B7E">
        <w:rPr>
          <w:rFonts w:ascii="Times New Roman" w:hAnsi="Times New Roman" w:cs="Times New Roman"/>
        </w:rPr>
        <w:t>uivre</w:t>
      </w:r>
      <w:proofErr w:type="gramEnd"/>
      <w:r w:rsidRPr="000C6B7E">
        <w:rPr>
          <w:rFonts w:ascii="Times New Roman" w:hAnsi="Times New Roman" w:cs="Times New Roman"/>
        </w:rPr>
        <w:t xml:space="preserve"> et contribuer au travail du Groupe d’Action Financière (GAFI) et du groupe interservices dédié sur le processus de listing des pays tiers qui présentent des déficiences stratégiques dans le régime LBC/FT et contribuer à l’information des unités et services au sein de la DG sur le processus de listing/</w:t>
      </w:r>
      <w:proofErr w:type="spellStart"/>
      <w:r w:rsidRPr="000C6B7E">
        <w:rPr>
          <w:rFonts w:ascii="Times New Roman" w:hAnsi="Times New Roman" w:cs="Times New Roman"/>
        </w:rPr>
        <w:t>delisting</w:t>
      </w:r>
      <w:proofErr w:type="spellEnd"/>
      <w:r w:rsidRPr="000C6B7E">
        <w:rPr>
          <w:rFonts w:ascii="Times New Roman" w:hAnsi="Times New Roman" w:cs="Times New Roman"/>
        </w:rPr>
        <w:t xml:space="preserve"> de l’UE en vertu de l’article 9 de la Directive 2015/849 (4e directive);</w:t>
      </w:r>
    </w:p>
    <w:p w:rsidR="000C6B7E" w:rsidRDefault="000C6B7E" w:rsidP="000C6B7E">
      <w:pPr>
        <w:spacing w:after="0" w:line="240" w:lineRule="auto"/>
        <w:ind w:left="425"/>
        <w:jc w:val="both"/>
        <w:rPr>
          <w:rFonts w:ascii="Times New Roman" w:hAnsi="Times New Roman" w:cs="Times New Roman"/>
        </w:rPr>
      </w:pPr>
    </w:p>
    <w:p w:rsidR="00130F26" w:rsidRPr="000C6B7E" w:rsidRDefault="000C6B7E" w:rsidP="000C6B7E">
      <w:pPr>
        <w:pStyle w:val="ListParagraph"/>
        <w:numPr>
          <w:ilvl w:val="0"/>
          <w:numId w:val="4"/>
        </w:numPr>
        <w:spacing w:after="0" w:line="240" w:lineRule="auto"/>
        <w:jc w:val="both"/>
        <w:rPr>
          <w:rFonts w:ascii="Times New Roman" w:hAnsi="Times New Roman" w:cs="Times New Roman"/>
        </w:rPr>
      </w:pPr>
      <w:proofErr w:type="gramStart"/>
      <w:r>
        <w:rPr>
          <w:rFonts w:ascii="Times New Roman" w:hAnsi="Times New Roman" w:cs="Times New Roman"/>
        </w:rPr>
        <w:t>c</w:t>
      </w:r>
      <w:r w:rsidRPr="000C6B7E">
        <w:rPr>
          <w:rFonts w:ascii="Times New Roman" w:hAnsi="Times New Roman" w:cs="Times New Roman"/>
        </w:rPr>
        <w:t>onseiller</w:t>
      </w:r>
      <w:proofErr w:type="gramEnd"/>
      <w:r w:rsidRPr="000C6B7E">
        <w:rPr>
          <w:rFonts w:ascii="Times New Roman" w:hAnsi="Times New Roman" w:cs="Times New Roman"/>
        </w:rPr>
        <w:t xml:space="preserve"> et soutenir les unités de la DG INTPA (notamment les unités géographiques) et les délégations de l’UE dans ces domaines (en incluant les flux financiers illégaux) et sur les tendances émergentes (initiatives équipe Europe). Travailler en étroite collaboration avec les autres services de la Commission européenne et le SEAE ainsi que les partenaires extérieurs</w:t>
      </w:r>
      <w:r w:rsidR="00130F26" w:rsidRPr="000C6B7E">
        <w:rPr>
          <w:rFonts w:ascii="Times New Roman" w:hAnsi="Times New Roman" w:cs="Times New Roman"/>
        </w:rPr>
        <w:t>.</w:t>
      </w:r>
    </w:p>
    <w:p w:rsidR="000C6B7E" w:rsidRPr="00A75FE3" w:rsidRDefault="000C6B7E" w:rsidP="000C6B7E">
      <w:pPr>
        <w:spacing w:after="0" w:line="240" w:lineRule="auto"/>
        <w:ind w:left="425"/>
        <w:jc w:val="both"/>
        <w:rPr>
          <w:rFonts w:ascii="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82068" w:rsidRDefault="00782068" w:rsidP="00130F26">
      <w:pPr>
        <w:spacing w:after="0" w:line="240" w:lineRule="auto"/>
        <w:ind w:left="709" w:hanging="283"/>
        <w:jc w:val="both"/>
        <w:rPr>
          <w:rFonts w:ascii="Times New Roman" w:eastAsia="Times New Roman" w:hAnsi="Times New Roman" w:cs="Times New Roman"/>
          <w:lang w:eastAsia="en-GB"/>
        </w:rPr>
      </w:pPr>
    </w:p>
    <w:p w:rsidR="00782068" w:rsidRDefault="00782068" w:rsidP="00130F26">
      <w:pPr>
        <w:spacing w:after="0" w:line="240" w:lineRule="auto"/>
        <w:ind w:left="709" w:hanging="283"/>
        <w:jc w:val="both"/>
        <w:rPr>
          <w:rFonts w:ascii="Times New Roman" w:eastAsia="Times New Roman" w:hAnsi="Times New Roman" w:cs="Times New Roman"/>
          <w:lang w:eastAsia="en-GB"/>
        </w:rPr>
      </w:pP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130F26" w:rsidRPr="00C4363D">
        <w:rPr>
          <w:rFonts w:ascii="Times New Roman" w:hAnsi="Times New Roman" w:cs="Times New Roman"/>
        </w:rPr>
        <w:t xml:space="preserve">politiques de sécurité, comprenant une expérience minimum de 5 années </w:t>
      </w:r>
      <w:r w:rsidR="000C6B7E">
        <w:rPr>
          <w:rFonts w:ascii="Times New Roman" w:hAnsi="Times New Roman" w:cs="Times New Roman"/>
        </w:rPr>
        <w:t>dans le domaine de la</w:t>
      </w:r>
      <w:r w:rsidR="00130F26" w:rsidRPr="00C4363D">
        <w:rPr>
          <w:rFonts w:ascii="Times New Roman" w:hAnsi="Times New Roman" w:cs="Times New Roman"/>
        </w:rPr>
        <w:t xml:space="preserve"> sécurité.</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0C6B7E" w:rsidRPr="000C6B7E" w:rsidRDefault="000C6B7E" w:rsidP="000C6B7E">
      <w:pPr>
        <w:tabs>
          <w:tab w:val="left" w:pos="709"/>
        </w:tabs>
        <w:spacing w:after="0" w:line="240" w:lineRule="auto"/>
        <w:ind w:left="709" w:right="60"/>
        <w:jc w:val="both"/>
        <w:rPr>
          <w:rFonts w:ascii="Times New Roman" w:hAnsi="Times New Roman" w:cs="Times New Roman"/>
        </w:rPr>
      </w:pPr>
      <w:r w:rsidRPr="000C6B7E">
        <w:rPr>
          <w:rFonts w:ascii="Times New Roman" w:hAnsi="Times New Roman" w:cs="Times New Roman"/>
        </w:rPr>
        <w:t xml:space="preserve">De solides antécédents dans le domaine de la procédure et du droit pénal est essentiel. De l'expérience dans </w:t>
      </w:r>
      <w:r>
        <w:rPr>
          <w:rFonts w:ascii="Times New Roman" w:hAnsi="Times New Roman" w:cs="Times New Roman"/>
        </w:rPr>
        <w:t xml:space="preserve">le </w:t>
      </w:r>
      <w:r w:rsidRPr="000C6B7E">
        <w:rPr>
          <w:rFonts w:ascii="Times New Roman" w:hAnsi="Times New Roman" w:cs="Times New Roman"/>
        </w:rPr>
        <w:t>domaine du ministère public (poursuites pénales) dans les matières liées aux trafics, crime organisé, blanchiment ou contreterrorisme serait appréciée.</w:t>
      </w:r>
    </w:p>
    <w:p w:rsidR="00130F26" w:rsidRPr="00C4363D" w:rsidRDefault="000C6B7E" w:rsidP="000C6B7E">
      <w:pPr>
        <w:tabs>
          <w:tab w:val="left" w:pos="709"/>
        </w:tabs>
        <w:spacing w:after="0" w:line="240" w:lineRule="auto"/>
        <w:ind w:left="709" w:right="60"/>
        <w:jc w:val="both"/>
        <w:rPr>
          <w:rFonts w:ascii="Times New Roman" w:eastAsia="Times New Roman" w:hAnsi="Times New Roman" w:cs="Times New Roman"/>
          <w:u w:val="single"/>
          <w:lang w:eastAsia="en-GB"/>
        </w:rPr>
      </w:pPr>
      <w:r w:rsidRPr="000C6B7E">
        <w:rPr>
          <w:rFonts w:ascii="Times New Roman" w:hAnsi="Times New Roman" w:cs="Times New Roman"/>
        </w:rPr>
        <w:t>De l'expérience dans le domaine de la conception des politiques publiques en matière de sécurité, réforme de la justice pénale, la supervision et la redevabilité du secteur de la sécurité ainsi que les politiques de développement et la coopération judiciaire internationale serait un atout</w:t>
      </w:r>
      <w:r>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hAnsi="Times New Roman" w:cs="Times New Roman"/>
        </w:rPr>
        <w:t>Ang</w:t>
      </w:r>
      <w:r w:rsidR="000C6B7E">
        <w:rPr>
          <w:rFonts w:ascii="Times New Roman" w:hAnsi="Times New Roman" w:cs="Times New Roman"/>
        </w:rPr>
        <w:t>lais courant (écrit et parlé), f</w:t>
      </w:r>
      <w:r w:rsidRPr="00C4363D">
        <w:rPr>
          <w:rFonts w:ascii="Times New Roman" w:hAnsi="Times New Roman" w:cs="Times New Roman"/>
        </w:rPr>
        <w:t>rançais et/ou allemand serait un plus.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0C6B7E" w:rsidRPr="00782068" w:rsidRDefault="000C6B7E"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130F26" w:rsidRDefault="00130F26" w:rsidP="00130F26">
      <w:pPr>
        <w:spacing w:after="0" w:line="240" w:lineRule="auto"/>
        <w:rPr>
          <w:rFonts w:ascii="Times New Roman" w:eastAsia="Times New Roman" w:hAnsi="Times New Roman" w:cs="Times New Roman"/>
          <w:sz w:val="24"/>
          <w:szCs w:val="20"/>
          <w:lang w:eastAsia="en-GB"/>
        </w:rPr>
      </w:pP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25767A" w:rsidRPr="00745B97" w:rsidRDefault="0025767A" w:rsidP="0025767A">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25767A" w:rsidRPr="00745B97" w:rsidRDefault="0025767A" w:rsidP="0025767A">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25767A" w:rsidRPr="00745B97" w:rsidRDefault="0025767A" w:rsidP="0025767A">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25767A" w:rsidRPr="00745B97" w:rsidRDefault="0025767A" w:rsidP="0025767A">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25767A" w:rsidRPr="00745B97" w:rsidRDefault="0025767A" w:rsidP="0025767A">
      <w:pPr>
        <w:spacing w:after="0" w:line="240" w:lineRule="auto"/>
        <w:ind w:left="426" w:right="175"/>
        <w:jc w:val="both"/>
        <w:rPr>
          <w:rFonts w:ascii="Times New Roman" w:eastAsia="Times New Roman" w:hAnsi="Times New Roman" w:cs="Times New Roman"/>
          <w:lang w:eastAsia="en-GB"/>
        </w:rPr>
      </w:pPr>
    </w:p>
    <w:p w:rsidR="0025767A" w:rsidRPr="00745B97" w:rsidRDefault="0025767A" w:rsidP="0025767A">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25767A" w:rsidRPr="00745B97" w:rsidRDefault="0025767A" w:rsidP="0025767A">
      <w:pPr>
        <w:spacing w:after="0" w:line="240" w:lineRule="auto"/>
        <w:ind w:left="426" w:right="175"/>
        <w:jc w:val="both"/>
        <w:rPr>
          <w:rFonts w:ascii="Times New Roman" w:eastAsia="Times New Roman" w:hAnsi="Times New Roman" w:cs="Times New Roman"/>
          <w:b/>
          <w:u w:val="single"/>
          <w:lang w:eastAsia="en-GB"/>
        </w:rPr>
      </w:pPr>
    </w:p>
    <w:p w:rsidR="0025767A" w:rsidRPr="00745B97" w:rsidRDefault="0025767A" w:rsidP="0025767A">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25767A" w:rsidRPr="00745B97" w:rsidRDefault="0025767A" w:rsidP="0025767A">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25767A" w:rsidRPr="00745B97" w:rsidRDefault="0025767A" w:rsidP="0025767A">
      <w:pPr>
        <w:spacing w:after="0" w:line="240" w:lineRule="auto"/>
        <w:ind w:left="426" w:right="175"/>
        <w:jc w:val="both"/>
        <w:rPr>
          <w:rFonts w:ascii="Times New Roman" w:eastAsia="Times New Roman" w:hAnsi="Times New Roman" w:cs="Times New Roman"/>
          <w:lang w:eastAsia="en-GB"/>
        </w:rPr>
      </w:pPr>
    </w:p>
    <w:p w:rsidR="0025767A" w:rsidRPr="00745B97" w:rsidRDefault="0025767A" w:rsidP="0025767A">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25767A" w:rsidRDefault="0025767A" w:rsidP="0025767A">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1"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25767A" w:rsidRPr="00745B97" w:rsidRDefault="0025767A" w:rsidP="0025767A">
      <w:pPr>
        <w:spacing w:after="0" w:line="240" w:lineRule="auto"/>
        <w:ind w:left="426" w:right="175"/>
        <w:jc w:val="both"/>
        <w:rPr>
          <w:rFonts w:ascii="Times New Roman" w:eastAsia="Times New Roman" w:hAnsi="Times New Roman" w:cs="Times New Roman"/>
          <w:lang w:eastAsia="en-GB"/>
        </w:rPr>
      </w:pPr>
    </w:p>
    <w:p w:rsidR="0025767A" w:rsidRPr="00745B97" w:rsidRDefault="0025767A" w:rsidP="0025767A">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25767A" w:rsidRPr="00745B97" w:rsidRDefault="0025767A" w:rsidP="0025767A">
      <w:pPr>
        <w:tabs>
          <w:tab w:val="left" w:pos="193"/>
        </w:tabs>
        <w:spacing w:after="0" w:line="240" w:lineRule="auto"/>
        <w:ind w:left="426" w:right="175"/>
        <w:jc w:val="both"/>
        <w:rPr>
          <w:rFonts w:ascii="Times New Roman" w:eastAsia="Times New Roman" w:hAnsi="Times New Roman" w:cs="Times New Roman"/>
          <w:b/>
          <w:u w:val="single"/>
          <w:lang w:eastAsia="en-GB"/>
        </w:rPr>
      </w:pPr>
    </w:p>
    <w:p w:rsidR="0025767A" w:rsidRPr="00745B97" w:rsidRDefault="0025767A" w:rsidP="0025767A">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25767A" w:rsidRPr="00745B97" w:rsidRDefault="0025767A" w:rsidP="0025767A">
      <w:pPr>
        <w:spacing w:after="0" w:line="240" w:lineRule="auto"/>
        <w:ind w:left="426" w:right="175"/>
        <w:jc w:val="both"/>
        <w:rPr>
          <w:rFonts w:ascii="Times New Roman" w:eastAsia="Times New Roman" w:hAnsi="Times New Roman" w:cs="Times New Roman"/>
          <w:lang w:eastAsia="en-GB"/>
        </w:rPr>
      </w:pPr>
    </w:p>
    <w:p w:rsidR="00130F26" w:rsidRPr="00745B97" w:rsidRDefault="0025767A" w:rsidP="0025767A">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0" w:name="_GoBack"/>
      <w:bookmarkEnd w:id="0"/>
    </w:p>
    <w:p w:rsidR="00130F26" w:rsidRDefault="00130F26" w:rsidP="00130F26"/>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C6B7E"/>
    <w:rsid w:val="00130F26"/>
    <w:rsid w:val="0025767A"/>
    <w:rsid w:val="00456A5D"/>
    <w:rsid w:val="00462A9F"/>
    <w:rsid w:val="005E606B"/>
    <w:rsid w:val="00724B13"/>
    <w:rsid w:val="00782068"/>
    <w:rsid w:val="00974126"/>
    <w:rsid w:val="00A75FE3"/>
    <w:rsid w:val="00AD4AC5"/>
    <w:rsid w:val="00B617C2"/>
    <w:rsid w:val="00C4363D"/>
    <w:rsid w:val="00CE3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livier.Luyckx@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1935</Words>
  <Characters>11033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4</cp:revision>
  <dcterms:created xsi:type="dcterms:W3CDTF">2022-06-09T07:16:00Z</dcterms:created>
  <dcterms:modified xsi:type="dcterms:W3CDTF">2022-06-13T08:55:00Z</dcterms:modified>
</cp:coreProperties>
</file>