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A16CAA"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EMPL-B-5</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A16CAA" w:rsidRPr="00A16CAA" w:rsidRDefault="00A16CAA" w:rsidP="00A16CAA">
            <w:pPr>
              <w:spacing w:after="0" w:line="240" w:lineRule="auto"/>
              <w:rPr>
                <w:rFonts w:ascii="Times New Roman" w:eastAsia="Calibri" w:hAnsi="Times New Roman" w:cs="Times New Roman"/>
                <w:b/>
                <w:lang w:val="es-ES" w:eastAsia="en-GB"/>
              </w:rPr>
            </w:pPr>
            <w:proofErr w:type="spellStart"/>
            <w:r w:rsidRPr="00A16CAA">
              <w:rPr>
                <w:rFonts w:ascii="Times New Roman" w:eastAsia="Calibri" w:hAnsi="Times New Roman" w:cs="Times New Roman"/>
                <w:b/>
                <w:lang w:val="es-ES" w:eastAsia="en-GB"/>
              </w:rPr>
              <w:t>Gelu</w:t>
            </w:r>
            <w:proofErr w:type="spellEnd"/>
            <w:r w:rsidRPr="00A16CAA">
              <w:rPr>
                <w:rFonts w:ascii="Times New Roman" w:eastAsia="Calibri" w:hAnsi="Times New Roman" w:cs="Times New Roman"/>
                <w:b/>
                <w:lang w:val="es-ES" w:eastAsia="en-GB"/>
              </w:rPr>
              <w:t xml:space="preserve"> Calacean</w:t>
            </w:r>
          </w:p>
          <w:p w:rsidR="00A16CAA" w:rsidRPr="00A16CAA" w:rsidRDefault="000B3EC5" w:rsidP="00A16CAA">
            <w:pPr>
              <w:spacing w:after="0" w:line="240" w:lineRule="auto"/>
              <w:rPr>
                <w:rFonts w:ascii="Times New Roman" w:eastAsia="Calibri" w:hAnsi="Times New Roman" w:cs="Times New Roman"/>
                <w:b/>
                <w:color w:val="0000FF"/>
                <w:lang w:val="es-ES" w:eastAsia="en-GB"/>
              </w:rPr>
            </w:pPr>
            <w:hyperlink r:id="rId8" w:history="1">
              <w:r w:rsidR="00A16CAA" w:rsidRPr="00A16CAA">
                <w:rPr>
                  <w:rStyle w:val="Hyperlink"/>
                  <w:rFonts w:ascii="Times New Roman" w:eastAsia="Calibri" w:hAnsi="Times New Roman" w:cs="Times New Roman"/>
                  <w:b/>
                  <w:color w:val="0000FF"/>
                  <w:lang w:val="es-ES" w:eastAsia="en-GB"/>
                </w:rPr>
                <w:t>Gelu.Calacean@ec.europa.eu</w:t>
              </w:r>
            </w:hyperlink>
            <w:r w:rsidR="00A16CAA" w:rsidRPr="00A16CAA">
              <w:rPr>
                <w:rFonts w:ascii="Times New Roman" w:eastAsia="Calibri" w:hAnsi="Times New Roman" w:cs="Times New Roman"/>
                <w:b/>
                <w:color w:val="0000FF"/>
                <w:lang w:val="es-ES" w:eastAsia="en-GB"/>
              </w:rPr>
              <w:t xml:space="preserve"> </w:t>
            </w:r>
          </w:p>
          <w:p w:rsidR="00E9679F" w:rsidRDefault="00A16CAA" w:rsidP="00A16CAA">
            <w:pPr>
              <w:spacing w:after="0" w:line="240" w:lineRule="auto"/>
              <w:rPr>
                <w:rFonts w:ascii="Times New Roman" w:eastAsia="Calibri" w:hAnsi="Times New Roman" w:cs="Times New Roman"/>
                <w:b/>
                <w:lang w:val="es-ES" w:eastAsia="en-GB"/>
              </w:rPr>
            </w:pPr>
            <w:r w:rsidRPr="00A16CAA">
              <w:rPr>
                <w:rFonts w:ascii="Times New Roman" w:eastAsia="Calibri" w:hAnsi="Times New Roman" w:cs="Times New Roman"/>
                <w:b/>
                <w:lang w:val="es-ES" w:eastAsia="en-GB"/>
              </w:rPr>
              <w:t>+32 229 69658</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16CAA"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A16CAA" w:rsidRDefault="00A16CAA" w:rsidP="00A16CAA">
      <w:pPr>
        <w:spacing w:after="0" w:line="240" w:lineRule="auto"/>
        <w:ind w:left="426"/>
        <w:jc w:val="both"/>
        <w:rPr>
          <w:rFonts w:ascii="Times New Roman" w:eastAsia="Calibri" w:hAnsi="Times New Roman" w:cs="Times New Roman"/>
          <w:lang w:eastAsia="en-GB"/>
        </w:rPr>
      </w:pPr>
      <w:r w:rsidRPr="00A16CAA">
        <w:rPr>
          <w:rFonts w:ascii="Times New Roman" w:eastAsia="Calibri" w:hAnsi="Times New Roman" w:cs="Times New Roman"/>
          <w:lang w:eastAsia="en-GB"/>
        </w:rPr>
        <w:t xml:space="preserve">L’unité EMPL.B.5 est l’unité géographique chargée du suivi, de l’évaluation et de la mise en œuvre des politiques sociales et de l’emploi en Pologne, en République tchèque et en Slovaquie. Nos tâches visent à mettre en œuvre le socle européen des droits sociaux. L’unité est chargée de la programmation et de la mise en œuvre efficientes et efficaces des programmes du Fonds social européen (FSE), de l’initiative pour l’emploi des jeunes et du FEAD. En outre, elle participe pleinement aux négociations relatives aux accords de partenariat et aux programmes du FSE+ et de REACT EU. L’unité collabore avec la DG </w:t>
      </w:r>
      <w:proofErr w:type="spellStart"/>
      <w:r w:rsidRPr="00A16CAA">
        <w:rPr>
          <w:rFonts w:ascii="Times New Roman" w:eastAsia="Calibri" w:hAnsi="Times New Roman" w:cs="Times New Roman"/>
          <w:lang w:eastAsia="en-GB"/>
        </w:rPr>
        <w:t>Regio</w:t>
      </w:r>
      <w:proofErr w:type="spellEnd"/>
      <w:r w:rsidRPr="00A16CAA">
        <w:rPr>
          <w:rFonts w:ascii="Times New Roman" w:eastAsia="Calibri" w:hAnsi="Times New Roman" w:cs="Times New Roman"/>
          <w:lang w:eastAsia="en-GB"/>
        </w:rPr>
        <w:t xml:space="preserve"> pour la programmation du FEDER et du FTJ dans ces trois États membres. En outre, l’unité participe au processus et aux négociations du Fonds pour la reprise et la résilience et à son articulation avec le FSE+. Il apporte une contribution importante au Semestre européen, au cycle annuel d’analyse et d’évaluation des programmes et politiques nationaux de réforme, ainsi qu’à la formulation et au suivi des recommandations par pays pour ces trois pays. Nous sommes une équipe de 20 personnes, au sein de laquelle l’équipe polonaise est composée de 7 collègues.</w:t>
      </w:r>
    </w:p>
    <w:p w:rsidR="00A16CAA" w:rsidRPr="00A16CAA" w:rsidRDefault="00A16CAA" w:rsidP="00A16CAA">
      <w:pPr>
        <w:spacing w:after="0" w:line="240" w:lineRule="auto"/>
        <w:ind w:left="426"/>
        <w:jc w:val="both"/>
        <w:rPr>
          <w:rFonts w:ascii="Times New Roman" w:eastAsia="Calibri" w:hAnsi="Times New Roman" w:cs="Times New Roman"/>
          <w:lang w:eastAsia="en-GB"/>
        </w:rPr>
      </w:pPr>
    </w:p>
    <w:p w:rsidR="00A16CAA" w:rsidRPr="00A16CAA" w:rsidRDefault="00A16CAA" w:rsidP="00A16CAA">
      <w:pPr>
        <w:spacing w:after="0" w:line="240" w:lineRule="auto"/>
        <w:ind w:left="426"/>
        <w:jc w:val="both"/>
        <w:rPr>
          <w:rFonts w:ascii="Times New Roman" w:eastAsia="Calibri" w:hAnsi="Times New Roman" w:cs="Times New Roman"/>
          <w:lang w:eastAsia="en-GB"/>
        </w:rPr>
      </w:pPr>
      <w:r w:rsidRPr="00A16CAA">
        <w:rPr>
          <w:rFonts w:ascii="Times New Roman" w:eastAsia="Calibri" w:hAnsi="Times New Roman" w:cs="Times New Roman"/>
          <w:lang w:eastAsia="en-GB"/>
        </w:rPr>
        <w:t xml:space="preserve">Le candidat retenu contribuera à la gestion, à la mise en œuvre et au suivi de la partie FSE de deux ou trois programmes régionaux </w:t>
      </w:r>
      <w:proofErr w:type="spellStart"/>
      <w:r w:rsidRPr="00A16CAA">
        <w:rPr>
          <w:rFonts w:ascii="Times New Roman" w:eastAsia="Calibri" w:hAnsi="Times New Roman" w:cs="Times New Roman"/>
          <w:lang w:eastAsia="en-GB"/>
        </w:rPr>
        <w:t>multifonds</w:t>
      </w:r>
      <w:proofErr w:type="spellEnd"/>
      <w:r w:rsidRPr="00A16CAA">
        <w:rPr>
          <w:rFonts w:ascii="Times New Roman" w:eastAsia="Calibri" w:hAnsi="Times New Roman" w:cs="Times New Roman"/>
          <w:lang w:eastAsia="en-GB"/>
        </w:rPr>
        <w:t xml:space="preserve"> polonais de la période de programmation actuelle et de la période 2021-2027. Il contribuera également à assurer l’analyse et le suivi des politiques sociales et de l’emploi en Pologne et de leur incidence sur la création d’emplois, le développement des compétences et la réduction de la pauvreté dans le cadre du processus du Semestre européen. Il sera chargé de coordonner les contributions des DG partenaires de la DG EMPL. </w:t>
      </w:r>
    </w:p>
    <w:p w:rsidR="00A16CAA" w:rsidRPr="00A16CAA" w:rsidRDefault="00A16CAA" w:rsidP="00A16CAA">
      <w:pPr>
        <w:spacing w:after="0" w:line="240" w:lineRule="auto"/>
        <w:ind w:left="426"/>
        <w:jc w:val="both"/>
        <w:rPr>
          <w:rFonts w:ascii="Times New Roman" w:eastAsia="Calibri" w:hAnsi="Times New Roman" w:cs="Times New Roman"/>
          <w:lang w:eastAsia="en-GB"/>
        </w:rPr>
      </w:pPr>
    </w:p>
    <w:p w:rsidR="00B93C1E" w:rsidRPr="00B93C1E" w:rsidRDefault="00A16CAA" w:rsidP="00A16CAA">
      <w:pPr>
        <w:spacing w:after="0" w:line="240" w:lineRule="auto"/>
        <w:ind w:left="426"/>
        <w:jc w:val="both"/>
        <w:rPr>
          <w:rFonts w:ascii="Times New Roman" w:eastAsia="Calibri" w:hAnsi="Times New Roman" w:cs="Times New Roman"/>
          <w:lang w:eastAsia="en-GB"/>
        </w:rPr>
      </w:pPr>
      <w:r w:rsidRPr="00A16CAA">
        <w:rPr>
          <w:rFonts w:ascii="Times New Roman" w:eastAsia="Calibri" w:hAnsi="Times New Roman" w:cs="Times New Roman"/>
          <w:lang w:eastAsia="en-GB"/>
        </w:rPr>
        <w:t xml:space="preserve">Nous recherchons une personne très motivée, de préférence possédant une expérience pertinente en matière de gestion et de contrôle des programmes; il est indispensable de disposer d’une solide capacité d’analyse pour l’analyse des politiques relatives à la croissance et à l’emploi. L’expérience et la connaissance de l’évolution des politiques au niveau de l’UE dans les domaines de l’emploi et des politiques sociales constituent un atout certain. Le nouveau collègue devrait avoir un bon sens de l’initiative et des responsabilités, un bon esprit d’équipe, identifier rapidement les questions clés, posséder d’excellentes compétences rédactionnelles et </w:t>
      </w:r>
      <w:r w:rsidRPr="00A16CAA">
        <w:rPr>
          <w:rFonts w:ascii="Times New Roman" w:eastAsia="Calibri" w:hAnsi="Times New Roman" w:cs="Times New Roman"/>
          <w:lang w:eastAsia="en-GB"/>
        </w:rPr>
        <w:lastRenderedPageBreak/>
        <w:t>fournir des résultats de qualité dans des délais serrés. De très bonnes capacités de communication sont essentielles, de même qu’une très bonne maîtrise du polonais et de l’anglais. Le candidat doit être disponible pour voyager régulièrement.</w:t>
      </w:r>
    </w:p>
    <w:p w:rsidR="008D684A" w:rsidRPr="008D684A" w:rsidRDefault="008D684A" w:rsidP="008D684A">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A16CAA" w:rsidRPr="00A16CAA">
        <w:rPr>
          <w:rFonts w:ascii="Times New Roman" w:eastAsia="Times New Roman" w:hAnsi="Times New Roman" w:cs="Times New Roman"/>
          <w:lang w:eastAsia="en-GB"/>
        </w:rPr>
        <w:t>de préférence les sciences sociales, le droit, la gestion, l’économie, les sciences politiques, les sciences de l’éducation</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B93C1E" w:rsidRPr="00A67F3B" w:rsidRDefault="00A16CAA" w:rsidP="005175E6">
      <w:pPr>
        <w:tabs>
          <w:tab w:val="left" w:pos="709"/>
        </w:tabs>
        <w:spacing w:after="0" w:line="240" w:lineRule="auto"/>
        <w:ind w:left="709" w:right="60"/>
        <w:jc w:val="both"/>
        <w:rPr>
          <w:rFonts w:ascii="Times New Roman" w:hAnsi="Times New Roman" w:cs="Times New Roman"/>
        </w:rPr>
      </w:pPr>
      <w:r w:rsidRPr="00A16CAA">
        <w:rPr>
          <w:rFonts w:ascii="Times New Roman" w:hAnsi="Times New Roman" w:cs="Times New Roman"/>
        </w:rPr>
        <w:t>Analyse des politiques, gestion des programmes</w:t>
      </w:r>
      <w:r w:rsidR="00B93C1E" w:rsidRPr="00B93C1E">
        <w:rPr>
          <w:rFonts w:ascii="Times New Roman" w:hAnsi="Times New Roman" w:cs="Times New Roman"/>
        </w:rPr>
        <w:t>.</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A16CAA"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A16CAA">
        <w:rPr>
          <w:rFonts w:ascii="Times New Roman" w:hAnsi="Times New Roman" w:cs="Times New Roman"/>
        </w:rPr>
        <w:t>Anglais — niveau C1, polonais — niveau C1</w:t>
      </w:r>
      <w:r w:rsidR="00B93C1E" w:rsidRPr="00B93C1E">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p>
    <w:p w:rsidR="000B3EC5" w:rsidRPr="00745B97" w:rsidRDefault="000B3EC5" w:rsidP="000B3EC5">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0B3EC5" w:rsidRPr="00745B97" w:rsidRDefault="000B3EC5" w:rsidP="000B3EC5">
      <w:pPr>
        <w:spacing w:after="0" w:line="240" w:lineRule="auto"/>
        <w:ind w:left="426" w:right="175"/>
        <w:jc w:val="both"/>
        <w:rPr>
          <w:rFonts w:ascii="Times New Roman" w:eastAsia="Times New Roman" w:hAnsi="Times New Roman" w:cs="Times New Roman"/>
          <w:b/>
          <w:u w:val="single"/>
          <w:lang w:eastAsia="en-GB"/>
        </w:rPr>
      </w:pPr>
    </w:p>
    <w:p w:rsidR="000B3EC5" w:rsidRPr="00745B97" w:rsidRDefault="000B3EC5" w:rsidP="000B3EC5">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p>
    <w:p w:rsidR="000B3EC5" w:rsidRPr="00745B97" w:rsidRDefault="000B3EC5" w:rsidP="000B3EC5">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0B3EC5" w:rsidRDefault="000B3EC5" w:rsidP="000B3EC5">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p>
    <w:p w:rsidR="000B3EC5" w:rsidRPr="00745B97" w:rsidRDefault="000B3EC5" w:rsidP="000B3EC5">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0B3EC5" w:rsidRPr="00745B97" w:rsidRDefault="000B3EC5" w:rsidP="000B3EC5">
      <w:pPr>
        <w:tabs>
          <w:tab w:val="left" w:pos="193"/>
        </w:tabs>
        <w:spacing w:after="0" w:line="240" w:lineRule="auto"/>
        <w:ind w:left="426" w:right="175"/>
        <w:jc w:val="both"/>
        <w:rPr>
          <w:rFonts w:ascii="Times New Roman" w:eastAsia="Times New Roman" w:hAnsi="Times New Roman" w:cs="Times New Roman"/>
          <w:b/>
          <w:u w:val="single"/>
          <w:lang w:eastAsia="en-GB"/>
        </w:rPr>
      </w:pP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0B3EC5" w:rsidRPr="00745B97" w:rsidRDefault="000B3EC5" w:rsidP="000B3EC5">
      <w:pPr>
        <w:spacing w:after="0" w:line="240" w:lineRule="auto"/>
        <w:ind w:left="426" w:right="175"/>
        <w:jc w:val="both"/>
        <w:rPr>
          <w:rFonts w:ascii="Times New Roman" w:eastAsia="Times New Roman" w:hAnsi="Times New Roman" w:cs="Times New Roman"/>
          <w:lang w:eastAsia="en-GB"/>
        </w:rPr>
      </w:pPr>
    </w:p>
    <w:p w:rsidR="00130F26" w:rsidRPr="00745B97" w:rsidRDefault="000B3EC5" w:rsidP="000B3EC5">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8"/>
  </w:num>
  <w:num w:numId="6">
    <w:abstractNumId w:val="3"/>
  </w:num>
  <w:num w:numId="7">
    <w:abstractNumId w:val="6"/>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B3EC5"/>
    <w:rsid w:val="000C6B7E"/>
    <w:rsid w:val="00130F26"/>
    <w:rsid w:val="001B3870"/>
    <w:rsid w:val="001C7BD9"/>
    <w:rsid w:val="003D6E31"/>
    <w:rsid w:val="00456A5D"/>
    <w:rsid w:val="00462A9F"/>
    <w:rsid w:val="004A1EC4"/>
    <w:rsid w:val="004C0BE3"/>
    <w:rsid w:val="005175E6"/>
    <w:rsid w:val="005E606B"/>
    <w:rsid w:val="006F7C8A"/>
    <w:rsid w:val="00724B13"/>
    <w:rsid w:val="00782068"/>
    <w:rsid w:val="00811ED4"/>
    <w:rsid w:val="008D684A"/>
    <w:rsid w:val="00974126"/>
    <w:rsid w:val="00A16CAA"/>
    <w:rsid w:val="00A67F3B"/>
    <w:rsid w:val="00A75FE3"/>
    <w:rsid w:val="00AD4AC5"/>
    <w:rsid w:val="00AF1B8C"/>
    <w:rsid w:val="00B617C2"/>
    <w:rsid w:val="00B93C1E"/>
    <w:rsid w:val="00C226B5"/>
    <w:rsid w:val="00C4363D"/>
    <w:rsid w:val="00CE30FC"/>
    <w:rsid w:val="00D66795"/>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lu.Calacea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1520</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2022-06-10T16:43:00Z</dcterms:created>
  <dcterms:modified xsi:type="dcterms:W3CDTF">2022-06-13T08:44:00Z</dcterms:modified>
</cp:coreProperties>
</file>