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32491" w:rsidP="00FE20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ENV-B-1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32491" w:rsidRPr="00432491" w:rsidRDefault="00432491" w:rsidP="00432491">
            <w:pPr>
              <w:rPr>
                <w:rFonts w:ascii="Times New Roman" w:hAnsi="Times New Roman" w:cs="Times New Roman"/>
                <w:b/>
              </w:rPr>
            </w:pPr>
            <w:r w:rsidRPr="00432491">
              <w:rPr>
                <w:rFonts w:ascii="Times New Roman" w:hAnsi="Times New Roman" w:cs="Times New Roman"/>
                <w:b/>
              </w:rPr>
              <w:t>Emmanuelle MAIRE</w:t>
            </w:r>
          </w:p>
          <w:p w:rsidR="00432491" w:rsidRPr="00432491" w:rsidRDefault="00450720" w:rsidP="00432491">
            <w:pPr>
              <w:rPr>
                <w:rFonts w:ascii="Times New Roman" w:hAnsi="Times New Roman" w:cs="Times New Roman"/>
                <w:b/>
              </w:rPr>
            </w:pPr>
            <w:hyperlink r:id="rId8" w:history="1">
              <w:r w:rsidR="00432491" w:rsidRPr="00E200BD">
                <w:rPr>
                  <w:rStyle w:val="Hyperlink"/>
                  <w:rFonts w:ascii="Times New Roman" w:hAnsi="Times New Roman" w:cs="Times New Roman"/>
                  <w:b/>
                </w:rPr>
                <w:t>Emmanuelle.MAIRE@ec.europa.eu</w:t>
              </w:r>
            </w:hyperlink>
            <w:r w:rsidR="00432491">
              <w:rPr>
                <w:rFonts w:ascii="Times New Roman" w:hAnsi="Times New Roman" w:cs="Times New Roman"/>
                <w:b/>
              </w:rPr>
              <w:t xml:space="preserve"> </w:t>
            </w:r>
          </w:p>
          <w:p w:rsidR="00381739" w:rsidRPr="00F322D1" w:rsidRDefault="00432491" w:rsidP="00432491">
            <w:pPr>
              <w:rPr>
                <w:rFonts w:ascii="Times New Roman" w:hAnsi="Times New Roman" w:cs="Times New Roman"/>
                <w:b/>
              </w:rPr>
            </w:pPr>
            <w:r w:rsidRPr="00450720">
              <w:rPr>
                <w:rFonts w:ascii="Times New Roman" w:hAnsi="Times New Roman" w:cs="Times New Roman"/>
                <w:b/>
              </w:rPr>
              <w:t>+32 229-91586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11E49"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F322D1"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00745B97"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432491"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F322D1"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80D78" w:rsidRDefault="00580D78" w:rsidP="00580D78">
      <w:pPr>
        <w:spacing w:after="0" w:line="240" w:lineRule="auto"/>
        <w:ind w:left="426"/>
        <w:rPr>
          <w:rFonts w:ascii="Times New Roman" w:hAnsi="Times New Roman" w:cs="Times New Roman"/>
        </w:rPr>
      </w:pPr>
      <w:r w:rsidRPr="00580D78">
        <w:rPr>
          <w:rFonts w:ascii="Times New Roman" w:hAnsi="Times New Roman" w:cs="Times New Roman"/>
        </w:rPr>
        <w:t>L’END a pour mission de contribuer à l’élaboration et à la mise en œuvre de politiques et d’outils stratégiques liés à l’économie circulaire, visant à faire de celle-ci un moteur de l’industrie pour réaliser des économies de ressources et des réductions d’émissions, et de participer à la mobilisation des parties prenantes.</w:t>
      </w:r>
    </w:p>
    <w:p w:rsidR="00580D78" w:rsidRPr="00580D78" w:rsidRDefault="00580D78" w:rsidP="00580D78">
      <w:pPr>
        <w:spacing w:after="0" w:line="240" w:lineRule="auto"/>
        <w:ind w:left="426"/>
        <w:rPr>
          <w:rFonts w:ascii="Times New Roman" w:hAnsi="Times New Roman" w:cs="Times New Roman"/>
        </w:rPr>
      </w:pPr>
    </w:p>
    <w:p w:rsidR="00432491" w:rsidRDefault="00580D78" w:rsidP="00580D78">
      <w:pPr>
        <w:spacing w:after="0" w:line="240" w:lineRule="auto"/>
        <w:ind w:left="426"/>
        <w:jc w:val="both"/>
        <w:rPr>
          <w:rFonts w:ascii="Times New Roman" w:eastAsia="Times New Roman" w:hAnsi="Times New Roman" w:cs="Times New Roman"/>
          <w:lang w:eastAsia="en-GB"/>
        </w:rPr>
      </w:pPr>
      <w:r w:rsidRPr="00580D78">
        <w:rPr>
          <w:rFonts w:ascii="Times New Roman" w:hAnsi="Times New Roman" w:cs="Times New Roman"/>
        </w:rPr>
        <w:t>L’END apportera son concours à la mise en œuvre du plan d’action de l’UE en faveur de l’économie circulaire</w:t>
      </w:r>
      <w:r w:rsidRPr="00580D78">
        <w:rPr>
          <w:rStyle w:val="FootnoteReference"/>
          <w:rFonts w:ascii="Times New Roman" w:hAnsi="Times New Roman" w:cs="Times New Roman"/>
        </w:rPr>
        <w:footnoteReference w:id="2"/>
      </w:r>
      <w:r w:rsidRPr="00580D78">
        <w:rPr>
          <w:rFonts w:ascii="Times New Roman" w:hAnsi="Times New Roman" w:cs="Times New Roman"/>
        </w:rPr>
        <w:t xml:space="preserve"> et de la stratégie de la Commission européenne pour des textiles durables et circulaires</w:t>
      </w:r>
      <w:r w:rsidRPr="00580D78">
        <w:rPr>
          <w:rStyle w:val="FootnoteReference"/>
          <w:rFonts w:ascii="Times New Roman" w:hAnsi="Times New Roman" w:cs="Times New Roman"/>
        </w:rPr>
        <w:footnoteReference w:id="3"/>
      </w:r>
      <w:r w:rsidRPr="00580D78">
        <w:rPr>
          <w:rFonts w:ascii="Times New Roman" w:hAnsi="Times New Roman" w:cs="Times New Roman"/>
        </w:rPr>
        <w:t>. Il/elle participera à la coordination de la plateforme des acteurs de l’économie circulaire</w:t>
      </w:r>
      <w:r w:rsidRPr="00580D78">
        <w:rPr>
          <w:rStyle w:val="FootnoteReference"/>
          <w:rFonts w:ascii="Times New Roman" w:hAnsi="Times New Roman" w:cs="Times New Roman"/>
        </w:rPr>
        <w:footnoteReference w:id="4"/>
      </w:r>
      <w:r w:rsidRPr="00580D78">
        <w:rPr>
          <w:rFonts w:ascii="Times New Roman" w:hAnsi="Times New Roman" w:cs="Times New Roman"/>
        </w:rPr>
        <w:t>.</w:t>
      </w:r>
    </w:p>
    <w:p w:rsidR="00432491" w:rsidRPr="00432491" w:rsidRDefault="00432491" w:rsidP="00432491">
      <w:pPr>
        <w:spacing w:after="0" w:line="240" w:lineRule="auto"/>
        <w:ind w:left="426"/>
        <w:jc w:val="both"/>
        <w:rPr>
          <w:rFonts w:ascii="Times New Roman" w:eastAsia="Times New Roman" w:hAnsi="Times New Roman" w:cs="Times New Roman"/>
          <w:lang w:eastAsia="en-GB"/>
        </w:rPr>
      </w:pPr>
    </w:p>
    <w:p w:rsidR="00432491" w:rsidRDefault="00432491" w:rsidP="00432491">
      <w:pPr>
        <w:spacing w:after="0" w:line="240" w:lineRule="auto"/>
        <w:ind w:left="426"/>
        <w:jc w:val="both"/>
        <w:rPr>
          <w:rFonts w:ascii="Times New Roman" w:eastAsia="Times New Roman" w:hAnsi="Times New Roman" w:cs="Times New Roman"/>
          <w:lang w:eastAsia="en-GB"/>
        </w:rPr>
      </w:pPr>
      <w:r w:rsidRPr="00432491">
        <w:rPr>
          <w:rFonts w:ascii="Times New Roman" w:eastAsia="Times New Roman" w:hAnsi="Times New Roman" w:cs="Times New Roman"/>
          <w:lang w:eastAsia="en-GB"/>
        </w:rPr>
        <w:t xml:space="preserve">Ces tâches nécessitent une coopération étroite avec d’autres unités de la direction générale de l’environnement (DG ENV), avec d’autres directions générales, notamment les DG Marché intérieur et industrie (DG GROW), Énergie (DG ENER), Justice et consommateurs (DG JUST), Recherche et innovation (DG RTD), le Centre commun de recherche (DG JRC), ainsi qu’avec l’Agence européenne pour l’environnement basée à Copenhague. La coopération avec les États membres, le Parlement européen et les parties prenantes est essentielle. </w:t>
      </w:r>
    </w:p>
    <w:p w:rsidR="00432491" w:rsidRPr="00432491" w:rsidRDefault="00432491" w:rsidP="00432491">
      <w:pPr>
        <w:spacing w:after="0" w:line="240" w:lineRule="auto"/>
        <w:ind w:left="426"/>
        <w:jc w:val="both"/>
        <w:rPr>
          <w:rFonts w:ascii="Times New Roman" w:eastAsia="Times New Roman" w:hAnsi="Times New Roman" w:cs="Times New Roman"/>
          <w:lang w:eastAsia="en-GB"/>
        </w:rPr>
      </w:pPr>
    </w:p>
    <w:p w:rsidR="00432491" w:rsidRDefault="00432491" w:rsidP="00432491">
      <w:pPr>
        <w:spacing w:after="0" w:line="240" w:lineRule="auto"/>
        <w:ind w:left="426"/>
        <w:jc w:val="both"/>
        <w:rPr>
          <w:rFonts w:ascii="Times New Roman" w:eastAsia="Times New Roman" w:hAnsi="Times New Roman" w:cs="Times New Roman"/>
          <w:lang w:eastAsia="en-GB"/>
        </w:rPr>
      </w:pPr>
      <w:r w:rsidRPr="00432491">
        <w:rPr>
          <w:rFonts w:ascii="Times New Roman" w:eastAsia="Times New Roman" w:hAnsi="Times New Roman" w:cs="Times New Roman"/>
          <w:lang w:eastAsia="en-GB"/>
        </w:rPr>
        <w:t>Sans préjudice du principe de coopération loyale entre les administrations nationales, régionales et européennes, l’END ne travaillera pas sur des cas individuels ayant des incidences sur des dossiers qu’il/elle aurait été amené(e) à traiter dans son administration nationale au cours des deux années qui ont précédé l’entrée à la Commission ou sur des dossiers directement liés. En aucun cas, il/elle ne représentera la Commission afin de prendre des engagements financiers ou autres, ou de négocier au nom de la Commission.</w:t>
      </w:r>
    </w:p>
    <w:p w:rsidR="00432491" w:rsidRPr="00432491" w:rsidRDefault="00432491" w:rsidP="00432491">
      <w:pPr>
        <w:spacing w:after="0" w:line="240" w:lineRule="auto"/>
        <w:ind w:left="426"/>
        <w:jc w:val="both"/>
        <w:rPr>
          <w:rFonts w:ascii="Times New Roman" w:eastAsia="Times New Roman" w:hAnsi="Times New Roman" w:cs="Times New Roman"/>
          <w:lang w:eastAsia="en-GB"/>
        </w:rPr>
      </w:pPr>
    </w:p>
    <w:p w:rsidR="00432491" w:rsidRPr="00432491" w:rsidRDefault="00432491" w:rsidP="00432491">
      <w:pPr>
        <w:spacing w:after="0" w:line="240" w:lineRule="auto"/>
        <w:ind w:left="426"/>
        <w:jc w:val="both"/>
        <w:rPr>
          <w:rFonts w:ascii="Times New Roman" w:eastAsia="Times New Roman" w:hAnsi="Times New Roman" w:cs="Times New Roman"/>
          <w:lang w:eastAsia="en-GB"/>
        </w:rPr>
      </w:pPr>
      <w:r w:rsidRPr="00432491">
        <w:rPr>
          <w:rFonts w:ascii="Times New Roman" w:eastAsia="Times New Roman" w:hAnsi="Times New Roman" w:cs="Times New Roman"/>
          <w:lang w:eastAsia="en-GB"/>
        </w:rPr>
        <w:t>ÉLABORATION DES POLITIQUES</w:t>
      </w:r>
    </w:p>
    <w:p w:rsidR="00432491" w:rsidRDefault="00432491" w:rsidP="00432491">
      <w:pPr>
        <w:spacing w:after="0" w:line="240" w:lineRule="auto"/>
        <w:ind w:left="426"/>
        <w:jc w:val="both"/>
        <w:rPr>
          <w:rFonts w:ascii="Times New Roman" w:eastAsia="Times New Roman" w:hAnsi="Times New Roman" w:cs="Times New Roman"/>
          <w:lang w:eastAsia="en-GB"/>
        </w:rPr>
      </w:pPr>
      <w:r w:rsidRPr="00432491">
        <w:rPr>
          <w:rFonts w:ascii="Times New Roman" w:eastAsia="Times New Roman" w:hAnsi="Times New Roman" w:cs="Times New Roman"/>
          <w:lang w:eastAsia="en-GB"/>
        </w:rPr>
        <w:t>Sous la supervision d’un fonctionnaire de la Commission, l’END contribuera à l’élaboration et à la conceptualisation de politiques et d’outils liés à l’économie circulaire, en accordant une attention particulière au changement climatique et à la biodiversité. Il/elle apportera une contribution efficace à la réalisation des objectifs généraux de la DG, de la direction et de l’unité, tels que définis dans le plan de gestion annuel. Il/elle participera à la rédaction de notes d’information, de présentations et de courriers sur les questions liées à l’économie circulaire.</w:t>
      </w:r>
    </w:p>
    <w:p w:rsidR="00432491" w:rsidRPr="00432491" w:rsidRDefault="00432491" w:rsidP="00432491">
      <w:pPr>
        <w:spacing w:after="0" w:line="240" w:lineRule="auto"/>
        <w:ind w:left="426"/>
        <w:jc w:val="both"/>
        <w:rPr>
          <w:rFonts w:ascii="Times New Roman" w:eastAsia="Times New Roman" w:hAnsi="Times New Roman" w:cs="Times New Roman"/>
          <w:lang w:eastAsia="en-GB"/>
        </w:rPr>
      </w:pPr>
    </w:p>
    <w:p w:rsidR="00432491" w:rsidRPr="00432491" w:rsidRDefault="00432491" w:rsidP="00432491">
      <w:pPr>
        <w:spacing w:after="0" w:line="240" w:lineRule="auto"/>
        <w:ind w:left="426"/>
        <w:jc w:val="both"/>
        <w:rPr>
          <w:rFonts w:ascii="Times New Roman" w:eastAsia="Times New Roman" w:hAnsi="Times New Roman" w:cs="Times New Roman"/>
          <w:lang w:eastAsia="en-GB"/>
        </w:rPr>
      </w:pPr>
      <w:r w:rsidRPr="00432491">
        <w:rPr>
          <w:rFonts w:ascii="Times New Roman" w:eastAsia="Times New Roman" w:hAnsi="Times New Roman" w:cs="Times New Roman"/>
          <w:lang w:eastAsia="en-GB"/>
        </w:rPr>
        <w:t>COORDINATION DE LA POLITIQUE</w:t>
      </w:r>
    </w:p>
    <w:p w:rsidR="00432491" w:rsidRDefault="00432491" w:rsidP="00432491">
      <w:pPr>
        <w:spacing w:after="0" w:line="240" w:lineRule="auto"/>
        <w:ind w:left="426"/>
        <w:jc w:val="both"/>
        <w:rPr>
          <w:rFonts w:ascii="Times New Roman" w:eastAsia="Times New Roman" w:hAnsi="Times New Roman" w:cs="Times New Roman"/>
          <w:lang w:eastAsia="en-GB"/>
        </w:rPr>
      </w:pPr>
      <w:r w:rsidRPr="00432491">
        <w:rPr>
          <w:rFonts w:ascii="Times New Roman" w:eastAsia="Times New Roman" w:hAnsi="Times New Roman" w:cs="Times New Roman"/>
          <w:lang w:eastAsia="en-GB"/>
        </w:rPr>
        <w:t>Sous la supervision d’un fonctionnaire de la Commission, l’END contribuera à la mise en œuvre du plan d'action de l'UE en faveur de l'économie circulaire; il/elle assurera et contrôlera la bonne application de ce plan d’action, notamment en ce qui concerne le changement climatique et la protection de la biodiversité. Il/elle contribuera à la mise en œuvre de la stratégie de la Commission européenne pour des textiles durables et circulaires; il/elle assurera et contrôlera la bonne mise en œuvre de cette stratégie. L’END participera à des comités consultatifs, de gestion et/ou de réglementation, à des groupes de travail et à tout autre groupe ad hoc.</w:t>
      </w:r>
    </w:p>
    <w:p w:rsidR="00432491" w:rsidRPr="00432491" w:rsidRDefault="00432491" w:rsidP="00432491">
      <w:pPr>
        <w:spacing w:after="0" w:line="240" w:lineRule="auto"/>
        <w:ind w:left="426"/>
        <w:jc w:val="both"/>
        <w:rPr>
          <w:rFonts w:ascii="Times New Roman" w:eastAsia="Times New Roman" w:hAnsi="Times New Roman" w:cs="Times New Roman"/>
          <w:lang w:eastAsia="en-GB"/>
        </w:rPr>
      </w:pPr>
    </w:p>
    <w:p w:rsidR="00432491" w:rsidRPr="00432491" w:rsidRDefault="00432491" w:rsidP="00432491">
      <w:pPr>
        <w:spacing w:after="0" w:line="240" w:lineRule="auto"/>
        <w:ind w:left="426"/>
        <w:jc w:val="both"/>
        <w:rPr>
          <w:rFonts w:ascii="Times New Roman" w:eastAsia="Times New Roman" w:hAnsi="Times New Roman" w:cs="Times New Roman"/>
          <w:lang w:eastAsia="en-GB"/>
        </w:rPr>
      </w:pPr>
      <w:r w:rsidRPr="00432491">
        <w:rPr>
          <w:rFonts w:ascii="Times New Roman" w:eastAsia="Times New Roman" w:hAnsi="Times New Roman" w:cs="Times New Roman"/>
          <w:lang w:eastAsia="en-GB"/>
        </w:rPr>
        <w:t>COMMUNICATION EXTERNE (général)</w:t>
      </w:r>
    </w:p>
    <w:p w:rsidR="00432491" w:rsidRDefault="00432491" w:rsidP="00432491">
      <w:pPr>
        <w:spacing w:after="0" w:line="240" w:lineRule="auto"/>
        <w:ind w:left="426"/>
        <w:jc w:val="both"/>
        <w:rPr>
          <w:rFonts w:ascii="Times New Roman" w:eastAsia="Times New Roman" w:hAnsi="Times New Roman" w:cs="Times New Roman"/>
          <w:lang w:eastAsia="en-GB"/>
        </w:rPr>
      </w:pPr>
      <w:r w:rsidRPr="00432491">
        <w:rPr>
          <w:rFonts w:ascii="Times New Roman" w:eastAsia="Times New Roman" w:hAnsi="Times New Roman" w:cs="Times New Roman"/>
          <w:lang w:eastAsia="en-GB"/>
        </w:rPr>
        <w:t>Sous la supervision d’un fonctionnaire de la Commission, l’END contribuera à la définition, à la coordination et à la mise en œuvre d’une stratégie d’engagement des parties prenantes au sein de la plateforme des acteurs de l’économie circulaire. Il/elle créera des synergies entre la stratégie de communication sur l’économie circulaire et d’autres outils gérés par l’unité (par exemple, le label écologique de l’UE). Il/elle assistera les administrateurs dans la gestion des contrats de communication de l’unité; il/elle établira et entretiendra des contacts et des échanges réguliers, incluant l’organisation de réunions avec d’autres institutions européennes, des États membres, des organisations internationales publiques et privées, des instituts de recherche, des organisations environnementales et des organisations de la société civile, afin de promouvoir les outils de l’économie circulaire.</w:t>
      </w:r>
    </w:p>
    <w:p w:rsidR="00432491" w:rsidRPr="00432491" w:rsidRDefault="00432491" w:rsidP="00432491">
      <w:pPr>
        <w:spacing w:after="0" w:line="240" w:lineRule="auto"/>
        <w:ind w:left="426"/>
        <w:jc w:val="both"/>
        <w:rPr>
          <w:rFonts w:ascii="Times New Roman" w:eastAsia="Times New Roman" w:hAnsi="Times New Roman" w:cs="Times New Roman"/>
          <w:lang w:eastAsia="en-GB"/>
        </w:rPr>
      </w:pPr>
    </w:p>
    <w:p w:rsidR="00432491" w:rsidRPr="00432491" w:rsidRDefault="00432491" w:rsidP="00432491">
      <w:pPr>
        <w:spacing w:after="0" w:line="240" w:lineRule="auto"/>
        <w:ind w:left="426"/>
        <w:jc w:val="both"/>
        <w:rPr>
          <w:rFonts w:ascii="Times New Roman" w:eastAsia="Times New Roman" w:hAnsi="Times New Roman" w:cs="Times New Roman"/>
          <w:lang w:eastAsia="en-GB"/>
        </w:rPr>
      </w:pPr>
      <w:r w:rsidRPr="00432491">
        <w:rPr>
          <w:rFonts w:ascii="Times New Roman" w:eastAsia="Times New Roman" w:hAnsi="Times New Roman" w:cs="Times New Roman"/>
          <w:lang w:eastAsia="en-GB"/>
        </w:rPr>
        <w:t>COORDINATION ET CONSULTATION INTERSERVICES</w:t>
      </w:r>
    </w:p>
    <w:p w:rsidR="00FE20DE" w:rsidRDefault="00432491" w:rsidP="00432491">
      <w:pPr>
        <w:spacing w:after="0" w:line="240" w:lineRule="auto"/>
        <w:ind w:left="426"/>
        <w:jc w:val="both"/>
        <w:rPr>
          <w:rFonts w:ascii="Times New Roman" w:eastAsia="Times New Roman" w:hAnsi="Times New Roman" w:cs="Times New Roman"/>
          <w:lang w:eastAsia="en-GB"/>
        </w:rPr>
      </w:pPr>
      <w:r w:rsidRPr="00432491">
        <w:rPr>
          <w:rFonts w:ascii="Times New Roman" w:eastAsia="Times New Roman" w:hAnsi="Times New Roman" w:cs="Times New Roman"/>
          <w:lang w:eastAsia="en-GB"/>
        </w:rPr>
        <w:t>Sous la supervision d’un fonctionnaire de la Commission, l’END assurera la coordination nécessaire avec les services associés afin de garantir que la position de toutes les parties intéressées soit transmise à la Commission avant qu’une décision ne soit prise. Il/elle coordonnera les consultations interservices et/ou y donnera suite pour garantir la cohérence avec les domaines d’action traités par l’unité. Il/elle défendra également la position de la DG ENV lors des consultations et réunions interservices.</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lastRenderedPageBreak/>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432491" w:rsidRPr="00432491">
        <w:rPr>
          <w:rFonts w:ascii="Times New Roman" w:eastAsia="Times New Roman" w:hAnsi="Times New Roman" w:cs="Times New Roman"/>
          <w:lang w:eastAsia="en-GB"/>
        </w:rPr>
        <w:t>politiques publiques à caractère politique, économique, juridique ou environnemental</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432491" w:rsidRPr="00432491" w:rsidRDefault="00432491" w:rsidP="00432491">
      <w:pPr>
        <w:tabs>
          <w:tab w:val="left" w:pos="709"/>
        </w:tabs>
        <w:spacing w:after="0" w:line="240" w:lineRule="auto"/>
        <w:ind w:left="709" w:right="60"/>
        <w:jc w:val="both"/>
        <w:rPr>
          <w:rFonts w:ascii="Times New Roman" w:eastAsia="Times New Roman" w:hAnsi="Times New Roman" w:cs="Times New Roman"/>
          <w:lang w:eastAsia="en-GB"/>
        </w:rPr>
      </w:pPr>
      <w:r w:rsidRPr="00432491">
        <w:rPr>
          <w:rFonts w:ascii="Times New Roman" w:eastAsia="Times New Roman" w:hAnsi="Times New Roman" w:cs="Times New Roman"/>
          <w:lang w:eastAsia="en-GB"/>
        </w:rPr>
        <w:t>Expérience pertinente pour le poste proposé: au moins 2 ans.</w:t>
      </w:r>
    </w:p>
    <w:p w:rsidR="00745B97" w:rsidRPr="00745B97" w:rsidRDefault="00432491" w:rsidP="00432491">
      <w:pPr>
        <w:tabs>
          <w:tab w:val="left" w:pos="709"/>
        </w:tabs>
        <w:spacing w:after="0" w:line="240" w:lineRule="auto"/>
        <w:ind w:left="709" w:right="60"/>
        <w:jc w:val="both"/>
        <w:rPr>
          <w:rFonts w:ascii="Times New Roman" w:eastAsia="Times New Roman" w:hAnsi="Times New Roman" w:cs="Times New Roman"/>
          <w:u w:val="single"/>
          <w:lang w:eastAsia="en-GB"/>
        </w:rPr>
      </w:pPr>
      <w:r w:rsidRPr="00432491">
        <w:rPr>
          <w:rFonts w:ascii="Times New Roman" w:eastAsia="Times New Roman" w:hAnsi="Times New Roman" w:cs="Times New Roman"/>
          <w:lang w:eastAsia="en-GB"/>
        </w:rPr>
        <w:t>Le/la candidat(e) devra avoir une expérience de l’élaboration et de la mise en œuvre de politiques dans le domaine de l’environnement ou des ressources naturelles, de préférence en matière d’économie circulaire. Le/la candidat(e) devra avoir une bonne connaissance et une expérience professionnelle des institutions de l’Union européenne.</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432491" w:rsidP="00626061">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F322D1" w:rsidRPr="00F322D1">
        <w:rPr>
          <w:rFonts w:ascii="Times New Roman" w:eastAsia="Times New Roman" w:hAnsi="Times New Roman" w:cs="Times New Roman"/>
          <w:lang w:eastAsia="en-GB"/>
        </w:rPr>
        <w:t xml:space="preserve">nglais </w:t>
      </w:r>
      <w:r>
        <w:rPr>
          <w:rFonts w:ascii="Times New Roman" w:eastAsia="Times New Roman" w:hAnsi="Times New Roman" w:cs="Times New Roman"/>
          <w:lang w:eastAsia="en-GB"/>
        </w:rPr>
        <w:t>B1</w:t>
      </w:r>
      <w:r w:rsidR="00F322D1" w:rsidRPr="00F322D1">
        <w:rPr>
          <w:rFonts w:ascii="Times New Roman" w:eastAsia="Times New Roman" w:hAnsi="Times New Roman" w:cs="Times New Roman"/>
          <w:lang w:eastAsia="en-GB"/>
        </w:rPr>
        <w:t>.</w:t>
      </w:r>
    </w:p>
    <w:p w:rsidR="00FE20DE" w:rsidRPr="00745B97"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71C58" w:rsidRDefault="00471C5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lastRenderedPageBreak/>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p>
    <w:p w:rsidR="00450720" w:rsidRPr="00450720" w:rsidRDefault="00450720" w:rsidP="00450720">
      <w:pPr>
        <w:spacing w:after="0" w:line="240" w:lineRule="auto"/>
        <w:ind w:left="426" w:right="175"/>
        <w:jc w:val="both"/>
        <w:rPr>
          <w:rFonts w:ascii="Times New Roman" w:eastAsia="Times New Roman" w:hAnsi="Times New Roman" w:cs="Times New Roman"/>
          <w:b/>
          <w:u w:val="single"/>
          <w:lang w:eastAsia="en-GB"/>
        </w:rPr>
      </w:pPr>
      <w:r w:rsidRPr="00450720">
        <w:rPr>
          <w:rFonts w:ascii="Times New Roman" w:eastAsia="Times New Roman" w:hAnsi="Times New Roman" w:cs="Times New Roman"/>
          <w:b/>
          <w:u w:val="single"/>
          <w:lang w:eastAsia="en-GB"/>
        </w:rPr>
        <w:t>Informations de contact</w:t>
      </w:r>
    </w:p>
    <w:p w:rsidR="00450720" w:rsidRPr="00450720" w:rsidRDefault="00450720" w:rsidP="00450720">
      <w:pPr>
        <w:spacing w:after="0" w:line="240" w:lineRule="auto"/>
        <w:ind w:left="426" w:right="175"/>
        <w:jc w:val="both"/>
        <w:rPr>
          <w:rFonts w:ascii="Times New Roman" w:eastAsia="Times New Roman" w:hAnsi="Times New Roman" w:cs="Times New Roman"/>
          <w:b/>
          <w:u w:val="single"/>
          <w:lang w:eastAsia="en-GB"/>
        </w:rPr>
      </w:pPr>
    </w:p>
    <w:p w:rsidR="00450720" w:rsidRPr="00450720" w:rsidRDefault="00450720" w:rsidP="00450720">
      <w:pPr>
        <w:tabs>
          <w:tab w:val="left" w:pos="193"/>
        </w:tabs>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w:t>
      </w:r>
      <w:r w:rsidRPr="00450720">
        <w:rPr>
          <w:rFonts w:ascii="Times New Roman" w:eastAsia="Times New Roman" w:hAnsi="Times New Roman" w:cs="Times New Roman"/>
          <w:lang w:eastAsia="en-GB"/>
        </w:rPr>
        <w:tab/>
      </w:r>
      <w:r w:rsidRPr="00450720">
        <w:rPr>
          <w:rFonts w:ascii="Times New Roman" w:eastAsia="Times New Roman" w:hAnsi="Times New Roman" w:cs="Times New Roman"/>
          <w:b/>
          <w:lang w:eastAsia="en-GB"/>
        </w:rPr>
        <w:t>Le contrôleur de données</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450720">
          <w:rPr>
            <w:rFonts w:ascii="Times New Roman" w:eastAsia="Times New Roman" w:hAnsi="Times New Roman" w:cs="Times New Roman"/>
            <w:color w:val="0000FF"/>
            <w:u w:val="single"/>
            <w:lang w:eastAsia="en-GB"/>
          </w:rPr>
          <w:t>HR-B1-DPR@ec.europa.eu</w:t>
        </w:r>
      </w:hyperlink>
      <w:r w:rsidRPr="00450720">
        <w:rPr>
          <w:rFonts w:ascii="Times New Roman" w:eastAsia="Times New Roman" w:hAnsi="Times New Roman" w:cs="Times New Roman"/>
          <w:color w:val="0000FF"/>
          <w:lang w:eastAsia="en-GB"/>
        </w:rPr>
        <w:t>.</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p>
    <w:p w:rsidR="00450720" w:rsidRPr="00450720" w:rsidRDefault="00450720" w:rsidP="00450720">
      <w:pPr>
        <w:tabs>
          <w:tab w:val="left" w:pos="193"/>
        </w:tabs>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w:t>
      </w:r>
      <w:r w:rsidRPr="00450720">
        <w:rPr>
          <w:rFonts w:ascii="Times New Roman" w:eastAsia="Times New Roman" w:hAnsi="Times New Roman" w:cs="Times New Roman"/>
          <w:lang w:eastAsia="en-GB"/>
        </w:rPr>
        <w:tab/>
      </w:r>
      <w:r w:rsidRPr="00450720">
        <w:rPr>
          <w:rFonts w:ascii="Times New Roman" w:eastAsia="Times New Roman" w:hAnsi="Times New Roman" w:cs="Times New Roman"/>
          <w:b/>
          <w:u w:val="single"/>
          <w:lang w:eastAsia="en-GB"/>
        </w:rPr>
        <w:t>Le délégué à la protection des données (DPD) de la Commission</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Vous pouvez contacter le délégué à la protection des données (</w:t>
      </w:r>
      <w:hyperlink r:id="rId11" w:history="1">
        <w:r w:rsidRPr="00450720">
          <w:rPr>
            <w:rFonts w:ascii="Times New Roman" w:eastAsia="Times New Roman" w:hAnsi="Times New Roman" w:cs="Times New Roman"/>
            <w:color w:val="0000FF"/>
            <w:u w:val="single"/>
            <w:lang w:eastAsia="en-GB"/>
          </w:rPr>
          <w:t>DATA-PROTECTION-OFFICER@ec.europa.eu</w:t>
        </w:r>
      </w:hyperlink>
      <w:r w:rsidRPr="00450720">
        <w:rPr>
          <w:rFonts w:ascii="Times New Roman" w:eastAsia="Times New Roman" w:hAnsi="Times New Roman" w:cs="Times New Roman"/>
          <w:lang w:eastAsia="en-GB"/>
        </w:rPr>
        <w:t>) pour toute question relative au traitement de vos données à caractère personnel en vertu du règlement (UE) 2018/1725.</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p>
    <w:p w:rsidR="00450720" w:rsidRPr="00450720" w:rsidRDefault="00450720" w:rsidP="00450720">
      <w:pPr>
        <w:tabs>
          <w:tab w:val="left" w:pos="193"/>
        </w:tabs>
        <w:spacing w:after="0" w:line="240" w:lineRule="auto"/>
        <w:ind w:left="426" w:right="175"/>
        <w:jc w:val="both"/>
        <w:rPr>
          <w:rFonts w:ascii="Times New Roman" w:eastAsia="Times New Roman" w:hAnsi="Times New Roman" w:cs="Times New Roman"/>
          <w:b/>
          <w:u w:val="single"/>
          <w:lang w:eastAsia="en-GB"/>
        </w:rPr>
      </w:pPr>
      <w:r w:rsidRPr="00450720">
        <w:rPr>
          <w:rFonts w:ascii="Times New Roman" w:eastAsia="Times New Roman" w:hAnsi="Times New Roman" w:cs="Times New Roman"/>
          <w:b/>
          <w:lang w:eastAsia="en-GB"/>
        </w:rPr>
        <w:t>-</w:t>
      </w:r>
      <w:r w:rsidRPr="00450720">
        <w:rPr>
          <w:rFonts w:ascii="Times New Roman" w:eastAsia="Times New Roman" w:hAnsi="Times New Roman" w:cs="Times New Roman"/>
          <w:b/>
          <w:lang w:eastAsia="en-GB"/>
        </w:rPr>
        <w:tab/>
      </w:r>
      <w:r w:rsidRPr="00450720">
        <w:rPr>
          <w:rFonts w:ascii="Times New Roman" w:eastAsia="Times New Roman" w:hAnsi="Times New Roman" w:cs="Times New Roman"/>
          <w:b/>
          <w:u w:val="single"/>
          <w:lang w:eastAsia="en-GB"/>
        </w:rPr>
        <w:t>Le contrôleur européen de la protection des données (CEPD)</w:t>
      </w:r>
    </w:p>
    <w:p w:rsidR="00450720" w:rsidRPr="00450720" w:rsidRDefault="00450720" w:rsidP="00450720">
      <w:pPr>
        <w:tabs>
          <w:tab w:val="left" w:pos="193"/>
        </w:tabs>
        <w:spacing w:after="0" w:line="240" w:lineRule="auto"/>
        <w:ind w:left="426" w:right="175"/>
        <w:jc w:val="both"/>
        <w:rPr>
          <w:rFonts w:ascii="Times New Roman" w:eastAsia="Times New Roman" w:hAnsi="Times New Roman" w:cs="Times New Roman"/>
          <w:b/>
          <w:u w:val="single"/>
          <w:lang w:eastAsia="en-GB"/>
        </w:rPr>
      </w:pP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r w:rsidRPr="00450720">
        <w:rPr>
          <w:rFonts w:ascii="Times New Roman" w:eastAsia="Times New Roman" w:hAnsi="Times New Roman" w:cs="Times New Roman"/>
          <w:lang w:eastAsia="en-GB"/>
        </w:rPr>
        <w:t>Vous avez le droit de saisir le contrôleur européen de la protection des données (</w:t>
      </w:r>
      <w:hyperlink r:id="rId12" w:history="1">
        <w:r w:rsidRPr="00450720">
          <w:rPr>
            <w:rFonts w:ascii="Times New Roman" w:eastAsia="Times New Roman" w:hAnsi="Times New Roman" w:cs="Times New Roman"/>
            <w:color w:val="0000FF"/>
            <w:u w:val="single"/>
            <w:lang w:eastAsia="en-GB"/>
          </w:rPr>
          <w:t>edps@edps.europa.eu</w:t>
        </w:r>
      </w:hyperlink>
      <w:r w:rsidRPr="00450720">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450720" w:rsidRPr="00450720" w:rsidRDefault="00450720" w:rsidP="00450720">
      <w:pPr>
        <w:spacing w:after="0" w:line="240" w:lineRule="auto"/>
        <w:ind w:left="426" w:right="175"/>
        <w:jc w:val="both"/>
        <w:rPr>
          <w:rFonts w:ascii="Times New Roman" w:eastAsia="Times New Roman" w:hAnsi="Times New Roman" w:cs="Times New Roman"/>
          <w:lang w:eastAsia="en-GB"/>
        </w:rPr>
      </w:pPr>
    </w:p>
    <w:p w:rsidR="00745B97" w:rsidRPr="00745B97" w:rsidRDefault="00450720" w:rsidP="00450720">
      <w:pPr>
        <w:spacing w:after="0" w:line="240" w:lineRule="auto"/>
        <w:ind w:left="426"/>
        <w:jc w:val="both"/>
        <w:rPr>
          <w:rFonts w:ascii="Times New Roman" w:eastAsia="Times New Roman" w:hAnsi="Times New Roman" w:cs="Times New Roman"/>
          <w:sz w:val="24"/>
          <w:szCs w:val="20"/>
          <w:lang w:eastAsia="en-GB"/>
        </w:rPr>
      </w:pPr>
      <w:r w:rsidRPr="00450720">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45072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 w:id="2">
    <w:p w:rsidR="00580D78" w:rsidRPr="00B861B2" w:rsidRDefault="00580D78" w:rsidP="00580D78">
      <w:pPr>
        <w:pStyle w:val="FootnoteText"/>
      </w:pPr>
      <w:r>
        <w:rPr>
          <w:rStyle w:val="FootnoteReference"/>
        </w:rPr>
        <w:footnoteRef/>
      </w:r>
      <w:r>
        <w:t xml:space="preserve"> </w:t>
      </w:r>
      <w:hyperlink r:id="rId1" w:history="1">
        <w:r>
          <w:rPr>
            <w:rStyle w:val="Hyperlink"/>
          </w:rPr>
          <w:t>Plan d’action pour une économie circulaire (europa.eu)</w:t>
        </w:r>
      </w:hyperlink>
    </w:p>
  </w:footnote>
  <w:footnote w:id="3">
    <w:p w:rsidR="00580D78" w:rsidRPr="00477184" w:rsidRDefault="00580D78" w:rsidP="00580D78">
      <w:pPr>
        <w:pStyle w:val="FootnoteText"/>
      </w:pPr>
      <w:r>
        <w:rPr>
          <w:rStyle w:val="FootnoteReference"/>
        </w:rPr>
        <w:footnoteRef/>
      </w:r>
      <w:r>
        <w:t xml:space="preserve"> </w:t>
      </w:r>
      <w:hyperlink r:id="rId2" w:history="1">
        <w:r>
          <w:rPr>
            <w:rStyle w:val="Hyperlink"/>
          </w:rPr>
          <w:t>Stratégie textile (europa.eu)</w:t>
        </w:r>
      </w:hyperlink>
    </w:p>
  </w:footnote>
  <w:footnote w:id="4">
    <w:p w:rsidR="00580D78" w:rsidRPr="00B861B2" w:rsidRDefault="00580D78" w:rsidP="00580D78">
      <w:pPr>
        <w:pStyle w:val="FootnoteText"/>
      </w:pPr>
      <w:r>
        <w:rPr>
          <w:rStyle w:val="FootnoteReference"/>
        </w:rPr>
        <w:footnoteRef/>
      </w:r>
      <w:r>
        <w:t xml:space="preserve"> </w:t>
      </w:r>
      <w:hyperlink r:id="rId3" w:history="1">
        <w:r>
          <w:rPr>
            <w:rStyle w:val="Hyperlink"/>
          </w:rPr>
          <w:t>Plateforme des acteurs européens de l’économie circulaire |</w:t>
        </w:r>
      </w:hyperlink>
      <w:hyperlink r:id="rId4" w:history="1">
        <w:r>
          <w:rPr>
            <w:rStyle w:val="Hyperlink"/>
          </w:rPr>
          <w:t xml:space="preserve"> Une initiative conjointe de la Commission européenne et du Comité économique et social européen (europa.eu)</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7"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5"/>
  </w:num>
  <w:num w:numId="4">
    <w:abstractNumId w:val="3"/>
  </w:num>
  <w:num w:numId="5">
    <w:abstractNumId w:val="20"/>
  </w:num>
  <w:num w:numId="6">
    <w:abstractNumId w:val="29"/>
  </w:num>
  <w:num w:numId="7">
    <w:abstractNumId w:val="0"/>
  </w:num>
  <w:num w:numId="8">
    <w:abstractNumId w:val="31"/>
  </w:num>
  <w:num w:numId="9">
    <w:abstractNumId w:val="30"/>
  </w:num>
  <w:num w:numId="10">
    <w:abstractNumId w:val="26"/>
  </w:num>
  <w:num w:numId="11">
    <w:abstractNumId w:val="34"/>
  </w:num>
  <w:num w:numId="12">
    <w:abstractNumId w:val="1"/>
  </w:num>
  <w:num w:numId="13">
    <w:abstractNumId w:val="33"/>
  </w:num>
  <w:num w:numId="14">
    <w:abstractNumId w:val="19"/>
  </w:num>
  <w:num w:numId="15">
    <w:abstractNumId w:val="4"/>
  </w:num>
  <w:num w:numId="16">
    <w:abstractNumId w:val="23"/>
  </w:num>
  <w:num w:numId="17">
    <w:abstractNumId w:val="2"/>
  </w:num>
  <w:num w:numId="18">
    <w:abstractNumId w:val="32"/>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6"/>
  </w:num>
  <w:num w:numId="27">
    <w:abstractNumId w:val="10"/>
  </w:num>
  <w:num w:numId="28">
    <w:abstractNumId w:val="21"/>
  </w:num>
  <w:num w:numId="29">
    <w:abstractNumId w:val="12"/>
  </w:num>
  <w:num w:numId="30">
    <w:abstractNumId w:val="9"/>
  </w:num>
  <w:num w:numId="31">
    <w:abstractNumId w:val="8"/>
  </w:num>
  <w:num w:numId="32">
    <w:abstractNumId w:val="35"/>
  </w:num>
  <w:num w:numId="33">
    <w:abstractNumId w:val="6"/>
  </w:num>
  <w:num w:numId="34">
    <w:abstractNumId w:val="27"/>
  </w:num>
  <w:num w:numId="35">
    <w:abstractNumId w:val="5"/>
  </w:num>
  <w:num w:numId="36">
    <w:abstractNumId w:val="24"/>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3564A"/>
    <w:rsid w:val="002A3536"/>
    <w:rsid w:val="002B6FC5"/>
    <w:rsid w:val="003445AE"/>
    <w:rsid w:val="00364546"/>
    <w:rsid w:val="00381739"/>
    <w:rsid w:val="00432491"/>
    <w:rsid w:val="00450720"/>
    <w:rsid w:val="00455D44"/>
    <w:rsid w:val="00471C58"/>
    <w:rsid w:val="00534042"/>
    <w:rsid w:val="00580D78"/>
    <w:rsid w:val="005A2A39"/>
    <w:rsid w:val="00626061"/>
    <w:rsid w:val="006E408C"/>
    <w:rsid w:val="00745B97"/>
    <w:rsid w:val="00801C95"/>
    <w:rsid w:val="00804B2F"/>
    <w:rsid w:val="00811BCD"/>
    <w:rsid w:val="008D1C8C"/>
    <w:rsid w:val="009C158C"/>
    <w:rsid w:val="00A11F99"/>
    <w:rsid w:val="00AF2938"/>
    <w:rsid w:val="00B36D07"/>
    <w:rsid w:val="00BC14A5"/>
    <w:rsid w:val="00CF677F"/>
    <w:rsid w:val="00D26617"/>
    <w:rsid w:val="00E7539B"/>
    <w:rsid w:val="00EA0190"/>
    <w:rsid w:val="00EF4706"/>
    <w:rsid w:val="00F11E49"/>
    <w:rsid w:val="00F322D1"/>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uelle.MAI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circulareconomy.europa.eu/platform/" TargetMode="External"/><Relationship Id="rId2" Type="http://schemas.openxmlformats.org/officeDocument/2006/relationships/hyperlink" Target="https://ec.europa.eu/environment/strategy/textiles-strategy_fr" TargetMode="External"/><Relationship Id="rId1" Type="http://schemas.openxmlformats.org/officeDocument/2006/relationships/hyperlink" Target="https://ec.europa.eu/environment/strategy/circular-economy-action-plan_en" TargetMode="External"/><Relationship Id="rId4" Type="http://schemas.openxmlformats.org/officeDocument/2006/relationships/hyperlink" Target="https://circulareconomy.europa.eu/plat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1833</Words>
  <Characters>10454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2022-06-12T15:06:00Z</dcterms:created>
  <dcterms:modified xsi:type="dcterms:W3CDTF">2022-06-13T08:46:00Z</dcterms:modified>
</cp:coreProperties>
</file>