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90356" w:rsidP="0076731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HOME-B-2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90356" w:rsidRPr="00E90356" w:rsidRDefault="00E90356" w:rsidP="00E90356">
            <w:pPr>
              <w:rPr>
                <w:rFonts w:ascii="Times New Roman" w:hAnsi="Times New Roman" w:cs="Times New Roman"/>
                <w:b/>
                <w:lang w:val="en-GB"/>
              </w:rPr>
            </w:pPr>
            <w:r w:rsidRPr="00E90356">
              <w:rPr>
                <w:rFonts w:ascii="Times New Roman" w:hAnsi="Times New Roman" w:cs="Times New Roman"/>
                <w:b/>
                <w:lang w:val="en-GB"/>
              </w:rPr>
              <w:t>Tom SNELS</w:t>
            </w:r>
          </w:p>
          <w:p w:rsidR="00E90356" w:rsidRPr="00E90356" w:rsidRDefault="00E90356" w:rsidP="00E90356">
            <w:pPr>
              <w:rPr>
                <w:rFonts w:ascii="Times New Roman" w:hAnsi="Times New Roman" w:cs="Times New Roman"/>
                <w:b/>
                <w:lang w:val="en-GB"/>
              </w:rPr>
            </w:pPr>
            <w:hyperlink r:id="rId8" w:history="1">
              <w:r w:rsidRPr="00EA58E6">
                <w:rPr>
                  <w:rStyle w:val="Hyperlink"/>
                  <w:rFonts w:ascii="Times New Roman" w:hAnsi="Times New Roman" w:cs="Times New Roman"/>
                  <w:b/>
                  <w:lang w:val="en-GB"/>
                </w:rPr>
                <w:t>tom.snels@ec.europa.eu</w:t>
              </w:r>
            </w:hyperlink>
            <w:r>
              <w:rPr>
                <w:rFonts w:ascii="Times New Roman" w:hAnsi="Times New Roman" w:cs="Times New Roman"/>
                <w:b/>
                <w:lang w:val="en-GB"/>
              </w:rPr>
              <w:t xml:space="preserve"> </w:t>
            </w:r>
          </w:p>
          <w:p w:rsidR="00FE31F9" w:rsidRPr="00FE31F9" w:rsidRDefault="00E90356" w:rsidP="00E90356">
            <w:pPr>
              <w:rPr>
                <w:rFonts w:ascii="Times New Roman" w:hAnsi="Times New Roman" w:cs="Times New Roman"/>
                <w:b/>
              </w:rPr>
            </w:pPr>
            <w:r w:rsidRPr="00E90356">
              <w:rPr>
                <w:rFonts w:ascii="Times New Roman" w:hAnsi="Times New Roman" w:cs="Times New Roman"/>
                <w:b/>
              </w:rPr>
              <w:t>+32 2 29 64058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t xml:space="preserve">L’unité HOME.B.2 Gouvernance Schengen dirige les travaux qui sous-tendent la gouvernance de l’espace Schengen en protégeant l’application de l’acquis de Schengen et en promouvant son développement. </w:t>
      </w:r>
      <w:proofErr w:type="gramStart"/>
      <w:r w:rsidRPr="00E90356">
        <w:rPr>
          <w:rFonts w:ascii="Times New Roman" w:hAnsi="Times New Roman" w:cs="Times New Roman"/>
          <w:lang w:eastAsia="en-GB"/>
        </w:rPr>
        <w:t>«Schengen</w:t>
      </w:r>
      <w:proofErr w:type="gramEnd"/>
      <w:r w:rsidRPr="00E90356">
        <w:rPr>
          <w:rFonts w:ascii="Times New Roman" w:hAnsi="Times New Roman" w:cs="Times New Roman"/>
          <w:lang w:eastAsia="en-GB"/>
        </w:rPr>
        <w:t xml:space="preserve">» est l’une des plus grandes réalisations de l’intégration européenne, qui est au cœur de l’espace de liberté, de sécurité et de justice sans frontières intérieures. </w:t>
      </w:r>
      <w:r>
        <w:rPr>
          <w:rFonts w:ascii="Times New Roman" w:hAnsi="Times New Roman" w:cs="Times New Roman"/>
          <w:lang w:eastAsia="en-GB"/>
        </w:rPr>
        <w:t xml:space="preserve"> </w:t>
      </w:r>
    </w:p>
    <w:p w:rsidR="00E90356" w:rsidRPr="00E90356" w:rsidRDefault="00E90356" w:rsidP="00E90356">
      <w:pPr>
        <w:spacing w:after="0" w:line="240" w:lineRule="auto"/>
        <w:ind w:left="426"/>
        <w:jc w:val="both"/>
        <w:rPr>
          <w:rFonts w:ascii="Times New Roman" w:hAnsi="Times New Roman" w:cs="Times New Roman"/>
          <w:lang w:eastAsia="en-GB"/>
        </w:rPr>
      </w:pPr>
    </w:p>
    <w:p w:rsid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t xml:space="preserve">En particulier, l’unité donne des orientations stratégiques et opérationnelles au mécanisme d’évaluation et de contrôle de Schengen, qui vérifie l’application de l’acquis de Schengen et garantit la mise en œuvre effective des mesures destinées à remédier aux manquements constatés dans tous les États membres et pays associés à l’espace Schengen. Ce mécanisme couvre notamment les domaines des frontières extérieures européennes, de la politique des visas, du système d’information Schengen, de la protection des données, de la coopération policière, ainsi que de l’absence de contrôle aux frontières intérieures. </w:t>
      </w:r>
    </w:p>
    <w:p w:rsidR="00E90356" w:rsidRPr="00E90356" w:rsidRDefault="00E90356" w:rsidP="00E90356">
      <w:pPr>
        <w:spacing w:after="0" w:line="240" w:lineRule="auto"/>
        <w:ind w:left="426"/>
        <w:jc w:val="both"/>
        <w:rPr>
          <w:rFonts w:ascii="Times New Roman" w:hAnsi="Times New Roman" w:cs="Times New Roman"/>
          <w:lang w:eastAsia="en-GB"/>
        </w:rPr>
      </w:pPr>
    </w:p>
    <w:p w:rsid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t>En outre, l’unité est responsable du rapport annuel sur l’état de l’espace Schengen, qui constitue un nouvel élément clé de la Commission qui renforce la gouvernance politique de l’espace Schengen. Ce rapport, étayé par un tableau de bord, présente une évaluation stratégique et intégrée de la mise en œuvre de l’acquis de Schengen et de l’espace Schengen, ainsi que des priorités thématiques et par pays à venir. Le rapport est présenté au Parlement européen et au Conseil dans le cadre du Forum Schengen et le suivi politique est assuré par le</w:t>
      </w:r>
      <w:proofErr w:type="gramStart"/>
      <w:r w:rsidRPr="00E90356">
        <w:rPr>
          <w:rFonts w:ascii="Times New Roman" w:hAnsi="Times New Roman" w:cs="Times New Roman"/>
          <w:lang w:eastAsia="en-GB"/>
        </w:rPr>
        <w:t xml:space="preserve"> «Conseil</w:t>
      </w:r>
      <w:proofErr w:type="gramEnd"/>
      <w:r w:rsidRPr="00E90356">
        <w:rPr>
          <w:rFonts w:ascii="Times New Roman" w:hAnsi="Times New Roman" w:cs="Times New Roman"/>
          <w:lang w:eastAsia="en-GB"/>
        </w:rPr>
        <w:t xml:space="preserve"> Schengen».</w:t>
      </w:r>
    </w:p>
    <w:p w:rsidR="00E90356" w:rsidRPr="00E90356" w:rsidRDefault="00E90356" w:rsidP="00E90356">
      <w:pPr>
        <w:spacing w:after="0" w:line="240" w:lineRule="auto"/>
        <w:ind w:left="426"/>
        <w:jc w:val="both"/>
        <w:rPr>
          <w:rFonts w:ascii="Times New Roman" w:hAnsi="Times New Roman" w:cs="Times New Roman"/>
          <w:lang w:eastAsia="en-GB"/>
        </w:rPr>
      </w:pPr>
    </w:p>
    <w:p w:rsidR="00E90356" w:rsidRP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t xml:space="preserve">L’expert national détaché sera chargé de définir, de mettre en œuvre et de coordonner les évolutions politiques, législatives et opérationnelles en ce qui concerne la gouvernance de l’espace Schengen, et en particulier l’application du mécanisme d’évaluation de Schengen. </w:t>
      </w:r>
    </w:p>
    <w:p w:rsid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lastRenderedPageBreak/>
        <w:t xml:space="preserve">L’expert national détaché travaillera sous la supervision d’un administrateur. Sans préjudice du principe de coopération loyale entre les administrations nationales/régionales et européennes, l’expert national détaché ne travaillera pas sur des cas individuels ayant des implications avec des dossiers qu’il aurait dû traiter au sein de son administration nationale au cours des deux années précédant son entrée dans la Commission, ou sur des affaires directement adjacentes. L’expert national détaché ne représente pas la Commission pour prendre des engagements, financiers ou autres, ou pour négocier au nom de la Commission. </w:t>
      </w:r>
    </w:p>
    <w:p w:rsidR="00E90356" w:rsidRPr="00E90356" w:rsidRDefault="00E90356" w:rsidP="00E90356">
      <w:pPr>
        <w:spacing w:after="0" w:line="240" w:lineRule="auto"/>
        <w:ind w:left="426"/>
        <w:jc w:val="both"/>
        <w:rPr>
          <w:rFonts w:ascii="Times New Roman" w:hAnsi="Times New Roman" w:cs="Times New Roman"/>
          <w:lang w:eastAsia="en-GB"/>
        </w:rPr>
      </w:pPr>
    </w:p>
    <w:p w:rsid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t xml:space="preserve">L’expert national détaché coordonnera la préparation des évaluations Schengen pour un certain nombre d’États membres et participera en tant qu’expert de la Commission aux missions d’évaluation Schengen. L’expert national détaché assurera la liaison avec les autres unités politiques et les autorités de l’État membre concerné. L’expert national détaché contribuera également à la préparation, à l’adoption et au suivi du rapport spécifique d’évaluation Schengen, y compris en aidant à élaborer et à adopter les recommandations pertinentes et à soutenir les présentations lors des réunions du comité Schengen et du Conseil de l’Union européenne. </w:t>
      </w:r>
    </w:p>
    <w:p w:rsidR="00E90356" w:rsidRPr="00E90356" w:rsidRDefault="00E90356" w:rsidP="00E90356">
      <w:pPr>
        <w:spacing w:after="0" w:line="240" w:lineRule="auto"/>
        <w:ind w:left="426"/>
        <w:jc w:val="both"/>
        <w:rPr>
          <w:rFonts w:ascii="Times New Roman" w:hAnsi="Times New Roman" w:cs="Times New Roman"/>
          <w:lang w:eastAsia="en-GB"/>
        </w:rPr>
      </w:pPr>
    </w:p>
    <w:p w:rsid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t xml:space="preserve">L’expert national détaché contribuera au développement du programme de formation à l’évaluation de Schengen ainsi qu’à l’élaboration du programme de travail de </w:t>
      </w:r>
      <w:proofErr w:type="spellStart"/>
      <w:r w:rsidRPr="00E90356">
        <w:rPr>
          <w:rFonts w:ascii="Times New Roman" w:hAnsi="Times New Roman" w:cs="Times New Roman"/>
          <w:lang w:eastAsia="en-GB"/>
        </w:rPr>
        <w:t>Scheval</w:t>
      </w:r>
      <w:proofErr w:type="spellEnd"/>
      <w:r w:rsidRPr="00E90356">
        <w:rPr>
          <w:rFonts w:ascii="Times New Roman" w:hAnsi="Times New Roman" w:cs="Times New Roman"/>
          <w:lang w:eastAsia="en-GB"/>
        </w:rPr>
        <w:t xml:space="preserve">. L’expert national détaché évaluera également, sous la supervision d’un fonctionnaire de la Commission, les programmes nationaux pertinents des États membres financés par </w:t>
      </w:r>
      <w:proofErr w:type="spellStart"/>
      <w:r w:rsidRPr="00E90356">
        <w:rPr>
          <w:rFonts w:ascii="Times New Roman" w:hAnsi="Times New Roman" w:cs="Times New Roman"/>
          <w:lang w:eastAsia="en-GB"/>
        </w:rPr>
        <w:t>l’HOME</w:t>
      </w:r>
      <w:proofErr w:type="spellEnd"/>
      <w:r w:rsidRPr="00E90356">
        <w:rPr>
          <w:rFonts w:ascii="Times New Roman" w:hAnsi="Times New Roman" w:cs="Times New Roman"/>
          <w:lang w:eastAsia="en-GB"/>
        </w:rPr>
        <w:t xml:space="preserve"> et les demandes EMAS correspondantes. L’expert national détaché sera également le correspondant pour les évaluations de la protection des données avec la DG JUST. </w:t>
      </w:r>
    </w:p>
    <w:p w:rsidR="00E90356" w:rsidRPr="00E90356" w:rsidRDefault="00E90356" w:rsidP="00E90356">
      <w:pPr>
        <w:spacing w:after="0" w:line="240" w:lineRule="auto"/>
        <w:ind w:left="426"/>
        <w:jc w:val="both"/>
        <w:rPr>
          <w:rFonts w:ascii="Times New Roman" w:hAnsi="Times New Roman" w:cs="Times New Roman"/>
          <w:lang w:eastAsia="en-GB"/>
        </w:rPr>
      </w:pPr>
    </w:p>
    <w:p w:rsidR="00E90356" w:rsidRDefault="00E90356" w:rsidP="00E90356">
      <w:pPr>
        <w:spacing w:after="0" w:line="240" w:lineRule="auto"/>
        <w:ind w:left="426"/>
        <w:jc w:val="both"/>
        <w:rPr>
          <w:rFonts w:ascii="Times New Roman" w:hAnsi="Times New Roman" w:cs="Times New Roman"/>
          <w:lang w:eastAsia="en-GB"/>
        </w:rPr>
      </w:pPr>
      <w:r w:rsidRPr="00E90356">
        <w:rPr>
          <w:rFonts w:ascii="Times New Roman" w:hAnsi="Times New Roman" w:cs="Times New Roman"/>
          <w:lang w:eastAsia="en-GB"/>
        </w:rPr>
        <w:t xml:space="preserve">Plus généralement, sous la supervision d’un fonctionnaire de la Commission, les tâches de l’END comprennent: </w:t>
      </w:r>
    </w:p>
    <w:p w:rsidR="00E90356" w:rsidRPr="00E90356" w:rsidRDefault="00E90356" w:rsidP="00E90356">
      <w:pPr>
        <w:spacing w:after="0" w:line="240" w:lineRule="auto"/>
        <w:ind w:left="426"/>
        <w:jc w:val="both"/>
        <w:rPr>
          <w:rFonts w:ascii="Times New Roman" w:hAnsi="Times New Roman" w:cs="Times New Roman"/>
          <w:lang w:eastAsia="en-GB"/>
        </w:rPr>
      </w:pPr>
    </w:p>
    <w:p w:rsidR="00E90356" w:rsidRPr="00E90356" w:rsidRDefault="00E90356" w:rsidP="00E90356">
      <w:pPr>
        <w:pStyle w:val="ListParagraph"/>
        <w:numPr>
          <w:ilvl w:val="0"/>
          <w:numId w:val="41"/>
        </w:numPr>
        <w:spacing w:after="0" w:line="240" w:lineRule="auto"/>
        <w:ind w:left="709" w:hanging="283"/>
        <w:jc w:val="both"/>
        <w:rPr>
          <w:rFonts w:ascii="Times New Roman" w:hAnsi="Times New Roman" w:cs="Times New Roman"/>
          <w:lang w:eastAsia="en-GB"/>
        </w:rPr>
      </w:pPr>
      <w:r w:rsidRPr="00E90356">
        <w:rPr>
          <w:rFonts w:ascii="Times New Roman" w:hAnsi="Times New Roman" w:cs="Times New Roman"/>
          <w:lang w:eastAsia="en-GB"/>
        </w:rPr>
        <w:t xml:space="preserve">DÉVELOPPEMENTS POLITIQUES — contribuer à l’élaboration des politiques de la direction générale et de la Commission dans les domaines susmentionnés, à la définition des objectifs et des priorités politiques ainsi qu’à la planification et à la programmation internes au sein de l’unité, suivre l’évolution des politiques dans le domaine susmentionné, contribuer à l’évaluation/définition de la mise en œuvre de l’acquis de Schengen et assurer le suivi et/ou le lancement d’études commandées par la DG HOME ou d’autres directions générales de la Commission; </w:t>
      </w:r>
    </w:p>
    <w:p w:rsidR="00E90356" w:rsidRPr="00E90356" w:rsidRDefault="00E90356" w:rsidP="00E90356">
      <w:pPr>
        <w:pStyle w:val="ListParagraph"/>
        <w:numPr>
          <w:ilvl w:val="0"/>
          <w:numId w:val="41"/>
        </w:numPr>
        <w:spacing w:after="0" w:line="240" w:lineRule="auto"/>
        <w:ind w:left="709" w:hanging="283"/>
        <w:jc w:val="both"/>
        <w:rPr>
          <w:rFonts w:ascii="Times New Roman" w:hAnsi="Times New Roman" w:cs="Times New Roman"/>
          <w:lang w:eastAsia="en-GB"/>
        </w:rPr>
      </w:pPr>
      <w:r w:rsidRPr="00E90356">
        <w:rPr>
          <w:rFonts w:ascii="Times New Roman" w:hAnsi="Times New Roman" w:cs="Times New Roman"/>
          <w:lang w:eastAsia="en-GB"/>
        </w:rPr>
        <w:t xml:space="preserve">Travaux législatifs — contribuer à l’élaboration et au développement de la législation dans le domaine susmentionné, y compris la mise en œuvre du nouveau règlement sur le mécanisme d’évaluation de Schengen, et contribuer au suivi de la transposition et de la mise en œuvre correctes de la législation dans le domaine susmentionné, et traiter les plaintes et autres correspondances des citoyens; </w:t>
      </w:r>
    </w:p>
    <w:p w:rsidR="00E90356" w:rsidRPr="00E90356" w:rsidRDefault="00E90356" w:rsidP="00E90356">
      <w:pPr>
        <w:pStyle w:val="ListParagraph"/>
        <w:numPr>
          <w:ilvl w:val="0"/>
          <w:numId w:val="41"/>
        </w:numPr>
        <w:spacing w:after="0" w:line="240" w:lineRule="auto"/>
        <w:ind w:left="709" w:hanging="283"/>
        <w:jc w:val="both"/>
        <w:rPr>
          <w:rFonts w:ascii="Times New Roman" w:hAnsi="Times New Roman" w:cs="Times New Roman"/>
          <w:lang w:eastAsia="en-GB"/>
        </w:rPr>
      </w:pPr>
      <w:r w:rsidRPr="00E90356">
        <w:rPr>
          <w:rFonts w:ascii="Times New Roman" w:hAnsi="Times New Roman" w:cs="Times New Roman"/>
          <w:lang w:eastAsia="en-GB"/>
        </w:rPr>
        <w:t xml:space="preserve">COORDINATION POLITIQUE — œuvrer activement à l’amélioration de la coordination et de la coopération internes au sein de l’unité, de la direction générale et entre les services de la Commission dans les domaines susmentionnés, et coordonner les activités de l’unité avec les cabinets et les autres services; </w:t>
      </w:r>
    </w:p>
    <w:p w:rsidR="00E90356" w:rsidRPr="00E90356" w:rsidRDefault="00E90356" w:rsidP="00E90356">
      <w:pPr>
        <w:pStyle w:val="ListParagraph"/>
        <w:numPr>
          <w:ilvl w:val="0"/>
          <w:numId w:val="41"/>
        </w:numPr>
        <w:spacing w:after="0" w:line="240" w:lineRule="auto"/>
        <w:ind w:left="709" w:hanging="283"/>
        <w:jc w:val="both"/>
        <w:rPr>
          <w:rFonts w:ascii="Times New Roman" w:hAnsi="Times New Roman" w:cs="Times New Roman"/>
          <w:lang w:eastAsia="en-GB"/>
        </w:rPr>
      </w:pPr>
      <w:r w:rsidRPr="00E90356">
        <w:rPr>
          <w:rFonts w:ascii="Times New Roman" w:hAnsi="Times New Roman" w:cs="Times New Roman"/>
          <w:lang w:eastAsia="en-GB"/>
        </w:rPr>
        <w:t>COORDINATION interservices et CONSULTATION — préparer, mener et répondre aux consultations interservices sur tous les aspects pertinents du comité susmentionné.</w:t>
      </w:r>
    </w:p>
    <w:p w:rsidR="00E90356" w:rsidRPr="00E90356" w:rsidRDefault="00E90356" w:rsidP="00E90356">
      <w:pPr>
        <w:pStyle w:val="ListParagraph"/>
        <w:numPr>
          <w:ilvl w:val="0"/>
          <w:numId w:val="41"/>
        </w:numPr>
        <w:spacing w:after="0" w:line="240" w:lineRule="auto"/>
        <w:ind w:left="709" w:hanging="283"/>
        <w:jc w:val="both"/>
        <w:rPr>
          <w:rFonts w:ascii="Times New Roman" w:hAnsi="Times New Roman" w:cs="Times New Roman"/>
          <w:lang w:eastAsia="en-GB"/>
        </w:rPr>
      </w:pPr>
      <w:r w:rsidRPr="00E90356">
        <w:rPr>
          <w:rFonts w:ascii="Times New Roman" w:hAnsi="Times New Roman" w:cs="Times New Roman"/>
          <w:lang w:eastAsia="en-GB"/>
        </w:rPr>
        <w:t>Représentation, NEGOTIATION et PARTICIPATION — soutenir la représentation de la Commission aux réunions du Comité du Parlement européen, aux groupes de travail du Conseil, au Comité des régions et au Comité économique et social européen; organiser des réunions avec les États membres et rédiger des réponses aux questions orales et écrites et aux pétitions des députés au Parlement européen ainsi qu’aux enquêtes du Médiateur européen; et</w:t>
      </w:r>
    </w:p>
    <w:p w:rsidR="00717641" w:rsidRPr="00E90356" w:rsidRDefault="00E90356" w:rsidP="00E90356">
      <w:pPr>
        <w:pStyle w:val="ListParagraph"/>
        <w:numPr>
          <w:ilvl w:val="0"/>
          <w:numId w:val="41"/>
        </w:numPr>
        <w:spacing w:after="0" w:line="240" w:lineRule="auto"/>
        <w:ind w:left="709" w:hanging="283"/>
        <w:jc w:val="both"/>
        <w:rPr>
          <w:rFonts w:ascii="Times New Roman" w:hAnsi="Times New Roman" w:cs="Times New Roman"/>
          <w:lang w:eastAsia="en-GB"/>
        </w:rPr>
      </w:pPr>
      <w:r w:rsidRPr="00E90356">
        <w:rPr>
          <w:rFonts w:ascii="Times New Roman" w:hAnsi="Times New Roman" w:cs="Times New Roman"/>
          <w:lang w:eastAsia="en-GB"/>
        </w:rPr>
        <w:t>COMMUNICATION externe (générale) — faire des présentations et des conférences lors de séminaires et d’ateliers dans le domaine susmentionné.</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E90356" w:rsidRPr="00E90356">
        <w:rPr>
          <w:rFonts w:ascii="Times New Roman" w:hAnsi="Times New Roman" w:cs="Times New Roman"/>
        </w:rPr>
        <w:t>sciences politiques, droit ou administration publique; gestion des frontières, coopération policière, visas, retour.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90356" w:rsidRPr="00E90356" w:rsidRDefault="00E90356" w:rsidP="00E90356">
      <w:pPr>
        <w:tabs>
          <w:tab w:val="left" w:pos="709"/>
        </w:tabs>
        <w:spacing w:after="0" w:line="240" w:lineRule="auto"/>
        <w:ind w:left="709" w:right="60"/>
        <w:jc w:val="both"/>
        <w:rPr>
          <w:rFonts w:ascii="Times New Roman" w:eastAsia="Times New Roman" w:hAnsi="Times New Roman" w:cs="Times New Roman"/>
          <w:lang w:eastAsia="en-GB"/>
        </w:rPr>
      </w:pPr>
      <w:r w:rsidRPr="00E90356">
        <w:rPr>
          <w:rFonts w:ascii="Times New Roman" w:eastAsia="Times New Roman" w:hAnsi="Times New Roman" w:cs="Times New Roman"/>
          <w:lang w:eastAsia="en-GB"/>
        </w:rPr>
        <w:t>Au moins 5 années d’expérience professionnelle. La formation préalable aux évaluations Schengen et leur expérience en la matière cons</w:t>
      </w:r>
      <w:r>
        <w:rPr>
          <w:rFonts w:ascii="Times New Roman" w:eastAsia="Times New Roman" w:hAnsi="Times New Roman" w:cs="Times New Roman"/>
          <w:lang w:eastAsia="en-GB"/>
        </w:rPr>
        <w:t xml:space="preserve">titueront un atout important.  </w:t>
      </w:r>
    </w:p>
    <w:p w:rsidR="00E90356" w:rsidRPr="00E90356" w:rsidRDefault="00E90356" w:rsidP="00E90356">
      <w:pPr>
        <w:tabs>
          <w:tab w:val="left" w:pos="709"/>
        </w:tabs>
        <w:spacing w:after="0" w:line="240" w:lineRule="auto"/>
        <w:ind w:left="709" w:right="60"/>
        <w:jc w:val="both"/>
        <w:rPr>
          <w:rFonts w:ascii="Times New Roman" w:eastAsia="Times New Roman" w:hAnsi="Times New Roman" w:cs="Times New Roman"/>
          <w:lang w:eastAsia="en-GB"/>
        </w:rPr>
      </w:pPr>
      <w:r w:rsidRPr="00E90356">
        <w:rPr>
          <w:rFonts w:ascii="Times New Roman" w:eastAsia="Times New Roman" w:hAnsi="Times New Roman" w:cs="Times New Roman"/>
          <w:lang w:eastAsia="en-GB"/>
        </w:rPr>
        <w:t>Excellente connaissance de l’acquis de Schengen de l’UE et de ses base</w:t>
      </w:r>
      <w:r>
        <w:rPr>
          <w:rFonts w:ascii="Times New Roman" w:eastAsia="Times New Roman" w:hAnsi="Times New Roman" w:cs="Times New Roman"/>
          <w:lang w:eastAsia="en-GB"/>
        </w:rPr>
        <w:t>s juridiques.</w:t>
      </w:r>
    </w:p>
    <w:p w:rsidR="00767310" w:rsidRPr="00767310" w:rsidRDefault="00E90356" w:rsidP="00E90356">
      <w:pPr>
        <w:tabs>
          <w:tab w:val="left" w:pos="709"/>
        </w:tabs>
        <w:spacing w:after="0" w:line="240" w:lineRule="auto"/>
        <w:ind w:left="709" w:right="60"/>
        <w:jc w:val="both"/>
        <w:rPr>
          <w:rFonts w:ascii="Times New Roman" w:eastAsia="Times New Roman" w:hAnsi="Times New Roman" w:cs="Times New Roman"/>
          <w:lang w:eastAsia="en-GB"/>
        </w:rPr>
      </w:pPr>
      <w:r w:rsidRPr="00E90356">
        <w:rPr>
          <w:rFonts w:ascii="Times New Roman" w:eastAsia="Times New Roman" w:hAnsi="Times New Roman" w:cs="Times New Roman"/>
          <w:lang w:eastAsia="en-GB"/>
        </w:rPr>
        <w:t>Une bonne connaissance des procédures internes d’adoption de la Commission et du cadre interinstitutionnel de l’UE est également requise.</w:t>
      </w:r>
    </w:p>
    <w:p w:rsidR="00767310" w:rsidRP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E90356" w:rsidP="00DD38D6">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767310" w:rsidRPr="00767310">
        <w:rPr>
          <w:rFonts w:ascii="Times New Roman" w:eastAsia="Times New Roman" w:hAnsi="Times New Roman" w:cs="Times New Roman"/>
          <w:lang w:eastAsia="en-GB"/>
        </w:rPr>
        <w:t>nglais</w:t>
      </w:r>
      <w:r>
        <w:rPr>
          <w:rFonts w:ascii="Times New Roman" w:eastAsia="Times New Roman" w:hAnsi="Times New Roman" w:cs="Times New Roman"/>
          <w:lang w:eastAsia="en-GB"/>
        </w:rPr>
        <w:t xml:space="preserve"> C1.</w:t>
      </w:r>
      <w:bookmarkStart w:id="0" w:name="_GoBack"/>
      <w:bookmarkEnd w:id="0"/>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9035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7"/>
  </w:num>
  <w:num w:numId="3">
    <w:abstractNumId w:val="36"/>
  </w:num>
  <w:num w:numId="4">
    <w:abstractNumId w:val="24"/>
  </w:num>
  <w:num w:numId="5">
    <w:abstractNumId w:val="19"/>
  </w:num>
  <w:num w:numId="6">
    <w:abstractNumId w:val="6"/>
  </w:num>
  <w:num w:numId="7">
    <w:abstractNumId w:val="28"/>
  </w:num>
  <w:num w:numId="8">
    <w:abstractNumId w:val="20"/>
  </w:num>
  <w:num w:numId="9">
    <w:abstractNumId w:val="29"/>
  </w:num>
  <w:num w:numId="10">
    <w:abstractNumId w:val="15"/>
  </w:num>
  <w:num w:numId="11">
    <w:abstractNumId w:val="1"/>
  </w:num>
  <w:num w:numId="12">
    <w:abstractNumId w:val="12"/>
  </w:num>
  <w:num w:numId="13">
    <w:abstractNumId w:val="30"/>
  </w:num>
  <w:num w:numId="14">
    <w:abstractNumId w:val="34"/>
  </w:num>
  <w:num w:numId="15">
    <w:abstractNumId w:val="13"/>
  </w:num>
  <w:num w:numId="16">
    <w:abstractNumId w:val="0"/>
  </w:num>
  <w:num w:numId="17">
    <w:abstractNumId w:val="39"/>
  </w:num>
  <w:num w:numId="18">
    <w:abstractNumId w:val="37"/>
  </w:num>
  <w:num w:numId="19">
    <w:abstractNumId w:val="27"/>
  </w:num>
  <w:num w:numId="20">
    <w:abstractNumId w:val="23"/>
  </w:num>
  <w:num w:numId="21">
    <w:abstractNumId w:val="40"/>
  </w:num>
  <w:num w:numId="22">
    <w:abstractNumId w:val="33"/>
  </w:num>
  <w:num w:numId="23">
    <w:abstractNumId w:val="14"/>
  </w:num>
  <w:num w:numId="24">
    <w:abstractNumId w:val="25"/>
  </w:num>
  <w:num w:numId="25">
    <w:abstractNumId w:val="41"/>
  </w:num>
  <w:num w:numId="26">
    <w:abstractNumId w:val="22"/>
  </w:num>
  <w:num w:numId="27">
    <w:abstractNumId w:val="16"/>
  </w:num>
  <w:num w:numId="28">
    <w:abstractNumId w:val="26"/>
  </w:num>
  <w:num w:numId="29">
    <w:abstractNumId w:val="35"/>
  </w:num>
  <w:num w:numId="30">
    <w:abstractNumId w:val="9"/>
  </w:num>
  <w:num w:numId="31">
    <w:abstractNumId w:val="4"/>
  </w:num>
  <w:num w:numId="32">
    <w:abstractNumId w:val="38"/>
  </w:num>
  <w:num w:numId="33">
    <w:abstractNumId w:val="3"/>
  </w:num>
  <w:num w:numId="34">
    <w:abstractNumId w:val="18"/>
  </w:num>
  <w:num w:numId="35">
    <w:abstractNumId w:val="2"/>
  </w:num>
  <w:num w:numId="36">
    <w:abstractNumId w:val="31"/>
  </w:num>
  <w:num w:numId="37">
    <w:abstractNumId w:val="5"/>
  </w:num>
  <w:num w:numId="38">
    <w:abstractNumId w:val="8"/>
  </w:num>
  <w:num w:numId="39">
    <w:abstractNumId w:val="32"/>
  </w:num>
  <w:num w:numId="40">
    <w:abstractNumId w:val="11"/>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63ABA"/>
    <w:rsid w:val="004947DA"/>
    <w:rsid w:val="004D1C94"/>
    <w:rsid w:val="00504F19"/>
    <w:rsid w:val="00534042"/>
    <w:rsid w:val="00563A0A"/>
    <w:rsid w:val="00581C3B"/>
    <w:rsid w:val="006321C7"/>
    <w:rsid w:val="00674A19"/>
    <w:rsid w:val="006851C8"/>
    <w:rsid w:val="006C42CA"/>
    <w:rsid w:val="006F273B"/>
    <w:rsid w:val="00717641"/>
    <w:rsid w:val="00742390"/>
    <w:rsid w:val="00745B97"/>
    <w:rsid w:val="00762B34"/>
    <w:rsid w:val="00767310"/>
    <w:rsid w:val="00793AF8"/>
    <w:rsid w:val="007F2F83"/>
    <w:rsid w:val="007F46B6"/>
    <w:rsid w:val="007F771A"/>
    <w:rsid w:val="00803AF5"/>
    <w:rsid w:val="00804B2F"/>
    <w:rsid w:val="008E5174"/>
    <w:rsid w:val="00902804"/>
    <w:rsid w:val="009A421C"/>
    <w:rsid w:val="009B5814"/>
    <w:rsid w:val="009C39A3"/>
    <w:rsid w:val="00A140DB"/>
    <w:rsid w:val="00A23D3E"/>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90356"/>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snel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2024</Words>
  <Characters>11537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2022-05-12T12:47:00Z</dcterms:created>
  <dcterms:modified xsi:type="dcterms:W3CDTF">2022-05-12T12:47:00Z</dcterms:modified>
</cp:coreProperties>
</file>