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17641"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17641" w:rsidRPr="00717641" w:rsidRDefault="00717641" w:rsidP="00717641">
            <w:pPr>
              <w:rPr>
                <w:rFonts w:ascii="Times New Roman" w:hAnsi="Times New Roman" w:cs="Times New Roman"/>
                <w:b/>
              </w:rPr>
            </w:pPr>
            <w:r w:rsidRPr="00717641">
              <w:rPr>
                <w:rFonts w:ascii="Times New Roman" w:hAnsi="Times New Roman" w:cs="Times New Roman"/>
                <w:b/>
              </w:rPr>
              <w:t>Gaëtan Nicodème</w:t>
            </w:r>
          </w:p>
          <w:p w:rsidR="00717641" w:rsidRPr="00717641" w:rsidRDefault="00717641" w:rsidP="00717641">
            <w:pPr>
              <w:rPr>
                <w:rFonts w:ascii="Times New Roman" w:hAnsi="Times New Roman" w:cs="Times New Roman"/>
                <w:b/>
              </w:rPr>
            </w:pPr>
            <w:hyperlink r:id="rId8" w:history="1">
              <w:r w:rsidRPr="00EA58E6">
                <w:rPr>
                  <w:rStyle w:val="Hyperlink"/>
                  <w:rFonts w:ascii="Times New Roman" w:hAnsi="Times New Roman" w:cs="Times New Roman"/>
                  <w:b/>
                </w:rPr>
                <w:t>Gaetan.nicodeme@ec.europa.eu</w:t>
              </w:r>
            </w:hyperlink>
            <w:r>
              <w:rPr>
                <w:rFonts w:ascii="Times New Roman" w:hAnsi="Times New Roman" w:cs="Times New Roman"/>
                <w:b/>
              </w:rPr>
              <w:t xml:space="preserve"> </w:t>
            </w:r>
          </w:p>
          <w:p w:rsidR="00FE31F9" w:rsidRPr="00FE31F9" w:rsidRDefault="00717641" w:rsidP="00717641">
            <w:pPr>
              <w:rPr>
                <w:rFonts w:ascii="Times New Roman" w:hAnsi="Times New Roman" w:cs="Times New Roman"/>
                <w:b/>
              </w:rPr>
            </w:pPr>
            <w:r w:rsidRPr="00717641">
              <w:rPr>
                <w:rFonts w:ascii="Times New Roman" w:hAnsi="Times New Roman" w:cs="Times New Roman"/>
                <w:b/>
                <w:lang w:val="en-GB"/>
              </w:rPr>
              <w:t>+ 32 2 29 69751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17641" w:rsidRPr="00717641" w:rsidRDefault="00717641" w:rsidP="00717641">
      <w:pPr>
        <w:spacing w:after="0" w:line="240" w:lineRule="auto"/>
        <w:ind w:left="426"/>
        <w:jc w:val="both"/>
        <w:rPr>
          <w:rFonts w:ascii="Times New Roman" w:hAnsi="Times New Roman" w:cs="Times New Roman"/>
          <w:lang w:eastAsia="en-GB"/>
        </w:rPr>
      </w:pPr>
      <w:r w:rsidRPr="00717641">
        <w:rPr>
          <w:rFonts w:ascii="Times New Roman" w:hAnsi="Times New Roman" w:cs="Times New Roman"/>
          <w:lang w:eastAsia="en-GB"/>
        </w:rPr>
        <w:t xml:space="preserve">TAXUD/A3 est l’unité chargée de la gestion des risques et de la sécurité dans le domaine des douanes.  </w:t>
      </w:r>
    </w:p>
    <w:p w:rsidR="00717641" w:rsidRDefault="00717641" w:rsidP="00717641">
      <w:pPr>
        <w:spacing w:after="0" w:line="240" w:lineRule="auto"/>
        <w:ind w:left="426"/>
        <w:jc w:val="both"/>
        <w:rPr>
          <w:rFonts w:ascii="Times New Roman" w:hAnsi="Times New Roman" w:cs="Times New Roman"/>
          <w:lang w:eastAsia="en-GB"/>
        </w:rPr>
      </w:pPr>
      <w:r w:rsidRPr="00717641">
        <w:rPr>
          <w:rFonts w:ascii="Times New Roman" w:hAnsi="Times New Roman" w:cs="Times New Roman"/>
          <w:lang w:eastAsia="en-GB"/>
        </w:rPr>
        <w:t>Le candidat retenu fera partie de l’équipe responsable du programme des opérateurs économiques agréés de l’UE et soutiendra la mise en œuvre et le développement du programme dans le cadre des politiques douanières de l’UE. Les Opérateurs Économiques Agréés (OEA) sont des opérateurs qui répondent volontairement à un large éventail de critères et travaillent en étroite collaboration avec les douanes pour assurer l’objectif commun de sécurité de la chaîne d’approvisionnement. Par la suite, le programme OEA permet à la gestion des risques douaniers de traiter les OEA comme des</w:t>
      </w:r>
      <w:proofErr w:type="gramStart"/>
      <w:r w:rsidRPr="00717641">
        <w:rPr>
          <w:rFonts w:ascii="Times New Roman" w:hAnsi="Times New Roman" w:cs="Times New Roman"/>
          <w:lang w:eastAsia="en-GB"/>
        </w:rPr>
        <w:t xml:space="preserve"> «opérateurs</w:t>
      </w:r>
      <w:proofErr w:type="gramEnd"/>
      <w:r w:rsidRPr="00717641">
        <w:rPr>
          <w:rFonts w:ascii="Times New Roman" w:hAnsi="Times New Roman" w:cs="Times New Roman"/>
          <w:lang w:eastAsia="en-GB"/>
        </w:rPr>
        <w:t xml:space="preserve"> à faible risque», ce qui permet aux douanes de concentrer leurs efforts et leurs ressources sur les zones à haut risque. </w:t>
      </w:r>
    </w:p>
    <w:p w:rsidR="00717641" w:rsidRPr="00717641" w:rsidRDefault="00717641" w:rsidP="00717641">
      <w:pPr>
        <w:spacing w:after="0" w:line="240" w:lineRule="auto"/>
        <w:ind w:left="426"/>
        <w:jc w:val="both"/>
        <w:rPr>
          <w:rFonts w:ascii="Times New Roman" w:hAnsi="Times New Roman" w:cs="Times New Roman"/>
          <w:lang w:eastAsia="en-GB"/>
        </w:rPr>
      </w:pPr>
    </w:p>
    <w:p w:rsidR="00717641" w:rsidRPr="00717641" w:rsidRDefault="00717641" w:rsidP="00717641">
      <w:pPr>
        <w:spacing w:after="0" w:line="240" w:lineRule="auto"/>
        <w:ind w:left="426"/>
        <w:jc w:val="both"/>
        <w:rPr>
          <w:rFonts w:ascii="Times New Roman" w:hAnsi="Times New Roman" w:cs="Times New Roman"/>
          <w:lang w:eastAsia="en-GB"/>
        </w:rPr>
      </w:pPr>
      <w:r w:rsidRPr="00717641">
        <w:rPr>
          <w:rFonts w:ascii="Times New Roman" w:hAnsi="Times New Roman" w:cs="Times New Roman"/>
          <w:lang w:eastAsia="en-GB"/>
        </w:rPr>
        <w:t xml:space="preserve">Conformément au plan d’action douanier (PAC), l’un des principaux objectifs est de renforcer l’intégrité et la robustesse du programme OEA de l’UE en tant que norme de qualité et de renforcer l’application harmonieuse des dispositions relatives aux OEA dans l’ensemble de l’UE. En outre, de nombreuses initiatives en cours peuvent influer de manière tangible sur la conception actuelle du concept d’OEA de l’UE. Par exemple, le suivi de l’évaluation du CDU, l’étude OEA récemment lancée, les recommandations pertinentes du groupe des sages (Wise </w:t>
      </w:r>
      <w:proofErr w:type="spellStart"/>
      <w:r w:rsidRPr="00717641">
        <w:rPr>
          <w:rFonts w:ascii="Times New Roman" w:hAnsi="Times New Roman" w:cs="Times New Roman"/>
          <w:lang w:eastAsia="en-GB"/>
        </w:rPr>
        <w:t>Persons</w:t>
      </w:r>
      <w:proofErr w:type="spellEnd"/>
      <w:r w:rsidRPr="00717641">
        <w:rPr>
          <w:rFonts w:ascii="Times New Roman" w:hAnsi="Times New Roman" w:cs="Times New Roman"/>
          <w:lang w:eastAsia="en-GB"/>
        </w:rPr>
        <w:t xml:space="preserve"> Group), ainsi que les conclusions et recommandations issues de l’audit OEA récemment lancé par la Cour des comptes européenne et le groupe de réflexion sur la future gouvernance des douanes de l’UE pourraient conduire à des modifications législatives et à une nouvelle conception du concept d’OEA de l’UE. Les initiatives et les processus de réflexion susmentionnés peuvent également conduire à une approche plus stricte en ce qui concerne l’approche multicouches déjà en place du programme OEA. Elles devraient également déboucher sur la promotion d’une</w:t>
      </w:r>
      <w:proofErr w:type="gramStart"/>
      <w:r w:rsidRPr="00717641">
        <w:rPr>
          <w:rFonts w:ascii="Times New Roman" w:hAnsi="Times New Roman" w:cs="Times New Roman"/>
          <w:lang w:eastAsia="en-GB"/>
        </w:rPr>
        <w:t xml:space="preserve"> «approche</w:t>
      </w:r>
      <w:proofErr w:type="gramEnd"/>
      <w:r w:rsidRPr="00717641">
        <w:rPr>
          <w:rFonts w:ascii="Times New Roman" w:hAnsi="Times New Roman" w:cs="Times New Roman"/>
          <w:lang w:eastAsia="en-GB"/>
        </w:rPr>
        <w:t xml:space="preserve"> systémique» (SBA) dans le cadre du concept d’OEA en vue de renforcer la sécurité, la sûreté et la conformité fondées sur la confiance, d’une part, et des avantages plus tangibles, d’autre part. Enfin, on cherche à tirer parti du programme OEA pour contribuer au</w:t>
      </w:r>
      <w:proofErr w:type="gramStart"/>
      <w:r w:rsidRPr="00717641">
        <w:rPr>
          <w:rFonts w:ascii="Times New Roman" w:hAnsi="Times New Roman" w:cs="Times New Roman"/>
          <w:lang w:eastAsia="en-GB"/>
        </w:rPr>
        <w:t xml:space="preserve"> «pacte</w:t>
      </w:r>
      <w:proofErr w:type="gramEnd"/>
      <w:r w:rsidRPr="00717641">
        <w:rPr>
          <w:rFonts w:ascii="Times New Roman" w:hAnsi="Times New Roman" w:cs="Times New Roman"/>
          <w:lang w:eastAsia="en-GB"/>
        </w:rPr>
        <w:t xml:space="preserve"> vert pour l’Europe» et promouvoir des normes mondiales en matière de conformité environnementale et sociale. </w:t>
      </w:r>
    </w:p>
    <w:p w:rsidR="000B00B6" w:rsidRPr="008E5174" w:rsidRDefault="00717641" w:rsidP="00717641">
      <w:pPr>
        <w:spacing w:after="0" w:line="240" w:lineRule="auto"/>
        <w:ind w:left="426"/>
        <w:jc w:val="both"/>
        <w:rPr>
          <w:rFonts w:ascii="Times New Roman" w:hAnsi="Times New Roman" w:cs="Times New Roman"/>
          <w:lang w:eastAsia="en-GB"/>
        </w:rPr>
      </w:pPr>
      <w:r w:rsidRPr="00717641">
        <w:rPr>
          <w:rFonts w:ascii="Times New Roman" w:hAnsi="Times New Roman" w:cs="Times New Roman"/>
          <w:lang w:eastAsia="en-GB"/>
        </w:rPr>
        <w:lastRenderedPageBreak/>
        <w:t xml:space="preserve">Le candidat retenu contribuera à la poursuite du développement du programme, notamment en traitant les recommandations issues des différentes activités et processus de réflexion susmentionnés.  Il soutiendra la préparation de projets de modifications législatives concernant le programme OEA et l’élaboration d’orientations qui l’accompagnent. Le candidat retenu soutiendra la gestion et les développements concernant le système d’exploitation économique EOS et </w:t>
      </w:r>
      <w:proofErr w:type="spellStart"/>
      <w:r w:rsidRPr="00717641">
        <w:rPr>
          <w:rFonts w:ascii="Times New Roman" w:hAnsi="Times New Roman" w:cs="Times New Roman"/>
          <w:lang w:eastAsia="en-GB"/>
        </w:rPr>
        <w:t>eAEO</w:t>
      </w:r>
      <w:proofErr w:type="spellEnd"/>
      <w:r w:rsidRPr="00717641">
        <w:rPr>
          <w:rFonts w:ascii="Times New Roman" w:hAnsi="Times New Roman" w:cs="Times New Roman"/>
          <w:lang w:eastAsia="en-GB"/>
        </w:rPr>
        <w:t xml:space="preserve"> et préparera des statistiques OEA sur la base des données EOS.  Ses tâches consisteront également à contribuer à la performance de l’union douanière (CUP) en matière d’OEA et à développer davantage les indicateurs de performance liés aux OEA permettant de mesurer les résultats en matière de suivi, mais aussi de mieux démontrer les niveaux de qualité OEA par rapport aux OEA non OEA en ce qui concerne le traitement/les avantages et le respect des exigences législatives. Le candidat retenu travaillera également dans le domaine de la coopération avec d’autres autorités gouvernementales (OGA). Il peut s’agir d’explorer des domaines de coopération en matière de conformité environnementale et sociale. Enfin, le candidat retenu soutiendra les travaux concernant la comparaison de la législation des pays tiers, y compris éventuellement les aspects techniques des négociations de reconnaissance mutuelle des OEA avec les pays tiers.</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17641">
        <w:rPr>
          <w:rFonts w:ascii="Times New Roman" w:hAnsi="Times New Roman" w:cs="Times New Roman"/>
        </w:rPr>
        <w:t>d</w:t>
      </w:r>
      <w:r w:rsidR="00717641" w:rsidRPr="00717641">
        <w:rPr>
          <w:rFonts w:ascii="Times New Roman" w:hAnsi="Times New Roman" w:cs="Times New Roman"/>
        </w:rPr>
        <w:t xml:space="preserve">roit, </w:t>
      </w:r>
      <w:r w:rsidR="00717641">
        <w:rPr>
          <w:rFonts w:ascii="Times New Roman" w:hAnsi="Times New Roman" w:cs="Times New Roman"/>
        </w:rPr>
        <w:t>a</w:t>
      </w:r>
      <w:r w:rsidR="00717641" w:rsidRPr="00717641">
        <w:rPr>
          <w:rFonts w:ascii="Times New Roman" w:hAnsi="Times New Roman" w:cs="Times New Roman"/>
        </w:rPr>
        <w:t xml:space="preserve">dministration publique, </w:t>
      </w:r>
      <w:r w:rsidR="00717641">
        <w:rPr>
          <w:rFonts w:ascii="Times New Roman" w:hAnsi="Times New Roman" w:cs="Times New Roman"/>
        </w:rPr>
        <w:t>économie, a</w:t>
      </w:r>
      <w:r w:rsidR="00717641" w:rsidRPr="00717641">
        <w:rPr>
          <w:rFonts w:ascii="Times New Roman" w:hAnsi="Times New Roman" w:cs="Times New Roman"/>
        </w:rPr>
        <w:t xml:space="preserve">ffaires, </w:t>
      </w:r>
      <w:r w:rsidR="00717641">
        <w:rPr>
          <w:rFonts w:ascii="Times New Roman" w:hAnsi="Times New Roman" w:cs="Times New Roman"/>
        </w:rPr>
        <w:t>sciences des données, sciences politiques, sciences sociales, éducation, a</w:t>
      </w:r>
      <w:r w:rsidR="00717641" w:rsidRPr="00717641">
        <w:rPr>
          <w:rFonts w:ascii="Times New Roman" w:hAnsi="Times New Roman" w:cs="Times New Roman"/>
        </w:rPr>
        <w:t xml:space="preserve">dministration des affaires, </w:t>
      </w:r>
      <w:r w:rsidR="00717641">
        <w:rPr>
          <w:rFonts w:ascii="Times New Roman" w:hAnsi="Times New Roman" w:cs="Times New Roman"/>
        </w:rPr>
        <w:t>t</w:t>
      </w:r>
      <w:r w:rsidR="00717641" w:rsidRPr="00717641">
        <w:rPr>
          <w:rFonts w:ascii="Times New Roman" w:hAnsi="Times New Roman" w:cs="Times New Roman"/>
        </w:rPr>
        <w:t>ransport ou domaines connexes</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717641"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17641">
        <w:rPr>
          <w:rFonts w:ascii="Times New Roman" w:eastAsia="Times New Roman" w:hAnsi="Times New Roman" w:cs="Times New Roman"/>
          <w:lang w:eastAsia="en-GB"/>
        </w:rPr>
        <w:t xml:space="preserve">Au moins 3 ans d’expérience professionnelle dans le domaine du programme des Opérateurs Économiques Agrées (OEA). Par ailleurs, une expérience professionnelle dans le domaine des contrôles douaniers, de la gestion des risques douaniers, et des audits serait un atout majeur. Une expérience opérationnelle dans l’utilisation des OEA-EOS et </w:t>
      </w:r>
      <w:proofErr w:type="spellStart"/>
      <w:r w:rsidRPr="00717641">
        <w:rPr>
          <w:rFonts w:ascii="Times New Roman" w:eastAsia="Times New Roman" w:hAnsi="Times New Roman" w:cs="Times New Roman"/>
          <w:lang w:eastAsia="en-GB"/>
        </w:rPr>
        <w:t>eOEA</w:t>
      </w:r>
      <w:proofErr w:type="spellEnd"/>
      <w:r w:rsidRPr="00717641">
        <w:rPr>
          <w:rFonts w:ascii="Times New Roman" w:eastAsia="Times New Roman" w:hAnsi="Times New Roman" w:cs="Times New Roman"/>
          <w:lang w:eastAsia="en-GB"/>
        </w:rPr>
        <w:t>, une expérience/des connaissances sur EORI et dans le domaine des simplifications douanières serait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717641" w:rsidP="00DD38D6">
      <w:pPr>
        <w:spacing w:after="0" w:line="240" w:lineRule="auto"/>
        <w:ind w:left="709"/>
        <w:jc w:val="both"/>
        <w:rPr>
          <w:rFonts w:ascii="Times New Roman" w:eastAsia="Times New Roman" w:hAnsi="Times New Roman" w:cs="Times New Roman"/>
          <w:lang w:eastAsia="en-GB"/>
        </w:rPr>
      </w:pPr>
      <w:r w:rsidRPr="00717641">
        <w:rPr>
          <w:rFonts w:ascii="Times New Roman" w:eastAsia="Times New Roman" w:hAnsi="Times New Roman" w:cs="Times New Roman"/>
          <w:lang w:eastAsia="en-GB"/>
        </w:rPr>
        <w:lastRenderedPageBreak/>
        <w:t>L</w:t>
      </w:r>
      <w:r>
        <w:rPr>
          <w:rFonts w:ascii="Times New Roman" w:eastAsia="Times New Roman" w:hAnsi="Times New Roman" w:cs="Times New Roman"/>
          <w:lang w:eastAsia="en-GB"/>
        </w:rPr>
        <w:t xml:space="preserve">a maîtrise de l’anglais est un </w:t>
      </w:r>
      <w:r w:rsidRPr="00717641">
        <w:rPr>
          <w:rFonts w:ascii="Times New Roman" w:eastAsia="Times New Roman" w:hAnsi="Times New Roman" w:cs="Times New Roman"/>
          <w:lang w:eastAsia="en-GB"/>
        </w:rPr>
        <w:t>must</w:t>
      </w:r>
      <w:bookmarkStart w:id="0" w:name="_GoBack"/>
      <w:bookmarkEnd w:id="0"/>
      <w:r w:rsidRPr="00717641">
        <w:rPr>
          <w:rFonts w:ascii="Times New Roman" w:eastAsia="Times New Roman" w:hAnsi="Times New Roman" w:cs="Times New Roman"/>
          <w:lang w:eastAsia="en-GB"/>
        </w:rPr>
        <w:t>. La connaissance d'une autre langue de l'Union européenne dans la mesure nécessaire à l'exercice des fonctions, serait un atout</w:t>
      </w:r>
      <w:r w:rsidR="00463ABA" w:rsidRPr="00463ABA">
        <w:rPr>
          <w:rFonts w:ascii="Times New Roman" w:eastAsia="Times New Roman" w:hAnsi="Times New Roman" w:cs="Times New Roman"/>
          <w:lang w:eastAsia="en-GB"/>
        </w:rPr>
        <w: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1764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93AF8"/>
    <w:rsid w:val="007F2F83"/>
    <w:rsid w:val="007F46B6"/>
    <w:rsid w:val="007F771A"/>
    <w:rsid w:val="00803AF5"/>
    <w:rsid w:val="00804B2F"/>
    <w:rsid w:val="008E5174"/>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1769</Words>
  <Characters>10087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2022-05-12T11:58:00Z</dcterms:created>
  <dcterms:modified xsi:type="dcterms:W3CDTF">2022-05-12T11:58:00Z</dcterms:modified>
</cp:coreProperties>
</file>