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81331" w:rsidP="00703A7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TAXUD-A-3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81331" w:rsidRPr="00481331" w:rsidRDefault="00481331" w:rsidP="00481331">
            <w:pPr>
              <w:rPr>
                <w:rFonts w:ascii="Times New Roman" w:hAnsi="Times New Roman" w:cs="Times New Roman"/>
                <w:b/>
              </w:rPr>
            </w:pPr>
            <w:r w:rsidRPr="00481331">
              <w:rPr>
                <w:rFonts w:ascii="Times New Roman" w:hAnsi="Times New Roman" w:cs="Times New Roman"/>
                <w:b/>
              </w:rPr>
              <w:t>Gaëtan Nicodème</w:t>
            </w:r>
          </w:p>
          <w:p w:rsidR="00481331" w:rsidRPr="00481331" w:rsidRDefault="00481331" w:rsidP="00481331">
            <w:pPr>
              <w:rPr>
                <w:rFonts w:ascii="Times New Roman" w:hAnsi="Times New Roman" w:cs="Times New Roman"/>
                <w:b/>
              </w:rPr>
            </w:pPr>
            <w:hyperlink r:id="rId8" w:history="1">
              <w:r w:rsidRPr="00481331">
                <w:rPr>
                  <w:rFonts w:ascii="Times New Roman" w:hAnsi="Times New Roman" w:cs="Times New Roman"/>
                  <w:b/>
                  <w:color w:val="0000FF" w:themeColor="hyperlink"/>
                  <w:u w:val="single"/>
                </w:rPr>
                <w:t>Gaetan.nicodeme@ec.europa.eu</w:t>
              </w:r>
            </w:hyperlink>
            <w:r w:rsidRPr="00481331">
              <w:rPr>
                <w:rFonts w:ascii="Times New Roman" w:hAnsi="Times New Roman" w:cs="Times New Roman"/>
                <w:b/>
              </w:rPr>
              <w:t xml:space="preserve"> </w:t>
            </w:r>
          </w:p>
          <w:p w:rsidR="00D53AD5" w:rsidRPr="00C531F2" w:rsidRDefault="00481331" w:rsidP="00481331">
            <w:pPr>
              <w:ind w:left="34" w:right="1317"/>
              <w:jc w:val="both"/>
              <w:rPr>
                <w:rFonts w:ascii="Times New Roman" w:hAnsi="Times New Roman" w:cs="Times New Roman"/>
                <w:b/>
              </w:rPr>
            </w:pPr>
            <w:r w:rsidRPr="00481331">
              <w:rPr>
                <w:rFonts w:ascii="Times New Roman" w:hAnsi="Times New Roman" w:cs="Times New Roman"/>
                <w:b/>
                <w:lang w:val="en-GB"/>
              </w:rPr>
              <w:t>+ 32 2 29 69751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r w:rsidRPr="00481331">
        <w:rPr>
          <w:rFonts w:ascii="Times New Roman" w:eastAsia="Times New Roman" w:hAnsi="Times New Roman" w:cs="Times New Roman"/>
          <w:lang w:val="de-DE" w:eastAsia="en-GB"/>
        </w:rPr>
        <w:t>TAXUD/A3 ist das für Risikomanagement und Sicherheit im Zollbereich zuständige Referat.</w:t>
      </w: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r w:rsidRPr="00481331">
        <w:rPr>
          <w:rFonts w:ascii="Times New Roman" w:eastAsia="Times New Roman" w:hAnsi="Times New Roman" w:cs="Times New Roman"/>
          <w:lang w:val="de-DE" w:eastAsia="en-GB"/>
        </w:rPr>
        <w:t>Der erfolgreiche Bewerber/die erfolgreiche Bewerberin wird dem Team angehören, das für das EU-Programm für zugelassene Wirtschaftsbeteiligte (AEO) verantwortlich ist, und die Umsetzung und Weiterentwicklung des Programms im Rahmen der EU-Zollpolitik unterstützen. AEOs sind Wirtschaftsbeteiligte, die freiwillig eine Vielzahl von Kriterien erfüllen und eng mit dem Zoll zusammenarbeiten, um das gemeinsame Ziel der Lieferkettensicherheit zu gewährleisten. Das AEO-Programm unterstützt das Zollrisikomanagement, in dem AEOs als "Wirtschaftsbeteiligte mit niedrigen Risiko" behandelt und erlaubt somit dem Zoll, seinen Fokus und seine Ressourcen auf Bereiche mit hohem Risiko zu konzentrieren.</w:t>
      </w: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p>
    <w:p w:rsidR="00481331" w:rsidRDefault="00481331" w:rsidP="00481331">
      <w:pPr>
        <w:spacing w:after="0" w:line="240" w:lineRule="auto"/>
        <w:ind w:left="426"/>
        <w:jc w:val="both"/>
        <w:rPr>
          <w:rFonts w:ascii="Times New Roman" w:eastAsia="Times New Roman" w:hAnsi="Times New Roman" w:cs="Times New Roman"/>
          <w:lang w:val="de-DE" w:eastAsia="en-GB"/>
        </w:rPr>
      </w:pPr>
      <w:proofErr w:type="spellStart"/>
      <w:r w:rsidRPr="00481331">
        <w:rPr>
          <w:rFonts w:ascii="Times New Roman" w:eastAsia="Times New Roman" w:hAnsi="Times New Roman" w:cs="Times New Roman"/>
          <w:lang w:val="de-DE" w:eastAsia="en-GB"/>
        </w:rPr>
        <w:t>Gemäss</w:t>
      </w:r>
      <w:proofErr w:type="spellEnd"/>
      <w:r w:rsidRPr="00481331">
        <w:rPr>
          <w:rFonts w:ascii="Times New Roman" w:eastAsia="Times New Roman" w:hAnsi="Times New Roman" w:cs="Times New Roman"/>
          <w:lang w:val="de-DE" w:eastAsia="en-GB"/>
        </w:rPr>
        <w:t xml:space="preserve"> dem Zollaktionsplan besteht eines der Hauptziele darin, die Integrität und Robustheit des EU-AEO-Programms als Qualitätsstandard zu stärken und die einheitliche Anwendung der AEO-Bestimmungen in der gesamten EU zu fördern. Darüber hinaus können laufende Initiativen die aktuelle Ausgestaltung des EU-AEO-Konzepts spürbar beeinflussen. Zum Beispiel die Folgemaßnahmen zur UZK Evaluierung, die kürzlich gestartete AEO-Studie, relevante Empfehlungen der Gruppe der Weisen (WPG) („Wise </w:t>
      </w:r>
      <w:proofErr w:type="spellStart"/>
      <w:r w:rsidRPr="00481331">
        <w:rPr>
          <w:rFonts w:ascii="Times New Roman" w:eastAsia="Times New Roman" w:hAnsi="Times New Roman" w:cs="Times New Roman"/>
          <w:lang w:val="de-DE" w:eastAsia="en-GB"/>
        </w:rPr>
        <w:t>Persons</w:t>
      </w:r>
      <w:proofErr w:type="spellEnd"/>
      <w:r w:rsidRPr="00481331">
        <w:rPr>
          <w:rFonts w:ascii="Times New Roman" w:eastAsia="Times New Roman" w:hAnsi="Times New Roman" w:cs="Times New Roman"/>
          <w:lang w:val="de-DE" w:eastAsia="en-GB"/>
        </w:rPr>
        <w:t xml:space="preserve"> Group“), sowie die Ergebnisse und Empfehlungen aus der kürzlich eingeleiteten AEO-Prüfung durch den Europäischen Rechnungshof und </w:t>
      </w:r>
      <w:proofErr w:type="spellStart"/>
      <w:r w:rsidRPr="00481331">
        <w:rPr>
          <w:rFonts w:ascii="Times New Roman" w:eastAsia="Times New Roman" w:hAnsi="Times New Roman" w:cs="Times New Roman"/>
          <w:lang w:val="de-DE" w:eastAsia="en-GB"/>
        </w:rPr>
        <w:t>schliesslich</w:t>
      </w:r>
      <w:proofErr w:type="spellEnd"/>
      <w:r w:rsidRPr="00481331">
        <w:rPr>
          <w:rFonts w:ascii="Times New Roman" w:eastAsia="Times New Roman" w:hAnsi="Times New Roman" w:cs="Times New Roman"/>
          <w:lang w:val="de-DE" w:eastAsia="en-GB"/>
        </w:rPr>
        <w:t xml:space="preserve"> die Reflexionsgruppe zur künftigen Steuerung des EU-Zolls können zu Gesetzesänderungen und einer Neugestaltung des EU-AEO-Konzepts führen. Die oben genannten Initiativen können auch zu einem stringenteren Ansatz im Hinblick auf den bereits bestehenden risikobasierten Ansatz des AEO-Programms führen.  Es wird auch erwartet, dass ein "systembasierte Ansatz" (SBA) („</w:t>
      </w:r>
      <w:proofErr w:type="spellStart"/>
      <w:r w:rsidRPr="00481331">
        <w:rPr>
          <w:rFonts w:ascii="Times New Roman" w:eastAsia="Times New Roman" w:hAnsi="Times New Roman" w:cs="Times New Roman"/>
          <w:lang w:val="de-DE" w:eastAsia="en-GB"/>
        </w:rPr>
        <w:t>system</w:t>
      </w:r>
      <w:proofErr w:type="spellEnd"/>
      <w:r w:rsidRPr="00481331">
        <w:rPr>
          <w:rFonts w:ascii="Times New Roman" w:eastAsia="Times New Roman" w:hAnsi="Times New Roman" w:cs="Times New Roman"/>
          <w:lang w:val="de-DE" w:eastAsia="en-GB"/>
        </w:rPr>
        <w:t xml:space="preserve"> </w:t>
      </w:r>
      <w:proofErr w:type="spellStart"/>
      <w:r w:rsidRPr="00481331">
        <w:rPr>
          <w:rFonts w:ascii="Times New Roman" w:eastAsia="Times New Roman" w:hAnsi="Times New Roman" w:cs="Times New Roman"/>
          <w:lang w:val="de-DE" w:eastAsia="en-GB"/>
        </w:rPr>
        <w:t>based</w:t>
      </w:r>
      <w:proofErr w:type="spellEnd"/>
      <w:r w:rsidRPr="00481331">
        <w:rPr>
          <w:rFonts w:ascii="Times New Roman" w:eastAsia="Times New Roman" w:hAnsi="Times New Roman" w:cs="Times New Roman"/>
          <w:lang w:val="de-DE" w:eastAsia="en-GB"/>
        </w:rPr>
        <w:t xml:space="preserve"> </w:t>
      </w:r>
      <w:proofErr w:type="spellStart"/>
      <w:r w:rsidRPr="00481331">
        <w:rPr>
          <w:rFonts w:ascii="Times New Roman" w:eastAsia="Times New Roman" w:hAnsi="Times New Roman" w:cs="Times New Roman"/>
          <w:lang w:val="de-DE" w:eastAsia="en-GB"/>
        </w:rPr>
        <w:t>approach</w:t>
      </w:r>
      <w:proofErr w:type="spellEnd"/>
      <w:r w:rsidRPr="00481331">
        <w:rPr>
          <w:rFonts w:ascii="Times New Roman" w:eastAsia="Times New Roman" w:hAnsi="Times New Roman" w:cs="Times New Roman"/>
          <w:lang w:val="de-DE" w:eastAsia="en-GB"/>
        </w:rPr>
        <w:t xml:space="preserve">“) durch das AEO-Konzepts hinsichtlich mehr auf Vertrauen basierter Sicherheit, Schutz und Compliance einerseits, und greifbareren Vorteilen andererseits gefördert wird. Schließlich wird angestrebt, </w:t>
      </w:r>
      <w:r w:rsidRPr="00481331">
        <w:rPr>
          <w:rFonts w:ascii="Times New Roman" w:eastAsia="Times New Roman" w:hAnsi="Times New Roman" w:cs="Times New Roman"/>
          <w:lang w:val="de-DE" w:eastAsia="en-GB"/>
        </w:rPr>
        <w:lastRenderedPageBreak/>
        <w:t>dass das AEO-Programm zum "European Green Deal" beitragen und globale Standards in Bezug auf die Einhaltung von Umwelt- und Sozialvorschriften fördern wird.</w:t>
      </w: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p>
    <w:p w:rsidR="001E1B8A" w:rsidRPr="002D1BCE" w:rsidRDefault="00481331" w:rsidP="00481331">
      <w:pPr>
        <w:spacing w:after="0" w:line="240" w:lineRule="auto"/>
        <w:ind w:left="426"/>
        <w:jc w:val="both"/>
        <w:rPr>
          <w:rFonts w:ascii="Times New Roman" w:eastAsia="Times New Roman" w:hAnsi="Times New Roman" w:cs="Times New Roman"/>
          <w:lang w:val="de-DE" w:eastAsia="en-GB"/>
        </w:rPr>
      </w:pPr>
      <w:r w:rsidRPr="00481331">
        <w:rPr>
          <w:rFonts w:ascii="Times New Roman" w:eastAsia="Times New Roman" w:hAnsi="Times New Roman" w:cs="Times New Roman"/>
          <w:lang w:val="de-DE" w:eastAsia="en-GB"/>
        </w:rPr>
        <w:t xml:space="preserve">Der erfolgreiche Bewerber/die erfolgreiche Bewerberin wird zur Weiterentwicklung des Programms beitragen, insbesondere durch die Verarbeitung der Empfehlungen aus den verschiedenen oben genannten Aktivitäten.  Er/sie wird die Ausarbeitung von Entwürfen für Gesetzesänderungen in Bezug auf das AEO-Programm und die Entwicklung begleitender Leitlinien unterstützen.  Der erfolgreiche Bewerber/die erfolgreiche Bewerberin wird das Management und die Entwicklungen in Bezug auf EOS und </w:t>
      </w:r>
      <w:proofErr w:type="spellStart"/>
      <w:r w:rsidRPr="00481331">
        <w:rPr>
          <w:rFonts w:ascii="Times New Roman" w:eastAsia="Times New Roman" w:hAnsi="Times New Roman" w:cs="Times New Roman"/>
          <w:lang w:val="de-DE" w:eastAsia="en-GB"/>
        </w:rPr>
        <w:t>eAEO</w:t>
      </w:r>
      <w:proofErr w:type="spellEnd"/>
      <w:r w:rsidRPr="00481331">
        <w:rPr>
          <w:rFonts w:ascii="Times New Roman" w:eastAsia="Times New Roman" w:hAnsi="Times New Roman" w:cs="Times New Roman"/>
          <w:lang w:val="de-DE" w:eastAsia="en-GB"/>
        </w:rPr>
        <w:t xml:space="preserve"> unterstützen und AEO-Statistiken auf der Grundlage von EOS-Daten erstellen. Zu seinen Aufgaben gehört es auch, zum (CUP) (“</w:t>
      </w:r>
      <w:proofErr w:type="spellStart"/>
      <w:r w:rsidRPr="00481331">
        <w:rPr>
          <w:rFonts w:ascii="Times New Roman" w:eastAsia="Times New Roman" w:hAnsi="Times New Roman" w:cs="Times New Roman"/>
          <w:lang w:val="de-DE" w:eastAsia="en-GB"/>
        </w:rPr>
        <w:t>customs</w:t>
      </w:r>
      <w:proofErr w:type="spellEnd"/>
      <w:r w:rsidRPr="00481331">
        <w:rPr>
          <w:rFonts w:ascii="Times New Roman" w:eastAsia="Times New Roman" w:hAnsi="Times New Roman" w:cs="Times New Roman"/>
          <w:lang w:val="de-DE" w:eastAsia="en-GB"/>
        </w:rPr>
        <w:t xml:space="preserve"> </w:t>
      </w:r>
      <w:proofErr w:type="spellStart"/>
      <w:r w:rsidRPr="00481331">
        <w:rPr>
          <w:rFonts w:ascii="Times New Roman" w:eastAsia="Times New Roman" w:hAnsi="Times New Roman" w:cs="Times New Roman"/>
          <w:lang w:val="de-DE" w:eastAsia="en-GB"/>
        </w:rPr>
        <w:t>union</w:t>
      </w:r>
      <w:proofErr w:type="spellEnd"/>
      <w:r w:rsidRPr="00481331">
        <w:rPr>
          <w:rFonts w:ascii="Times New Roman" w:eastAsia="Times New Roman" w:hAnsi="Times New Roman" w:cs="Times New Roman"/>
          <w:lang w:val="de-DE" w:eastAsia="en-GB"/>
        </w:rPr>
        <w:t xml:space="preserve"> </w:t>
      </w:r>
      <w:proofErr w:type="spellStart"/>
      <w:r w:rsidRPr="00481331">
        <w:rPr>
          <w:rFonts w:ascii="Times New Roman" w:eastAsia="Times New Roman" w:hAnsi="Times New Roman" w:cs="Times New Roman"/>
          <w:lang w:val="de-DE" w:eastAsia="en-GB"/>
        </w:rPr>
        <w:t>performance</w:t>
      </w:r>
      <w:proofErr w:type="spellEnd"/>
      <w:r w:rsidRPr="00481331">
        <w:rPr>
          <w:rFonts w:ascii="Times New Roman" w:eastAsia="Times New Roman" w:hAnsi="Times New Roman" w:cs="Times New Roman"/>
          <w:lang w:val="de-DE" w:eastAsia="en-GB"/>
        </w:rPr>
        <w:t>”) in Bezug auf AEO beizutragen und AEO-bezogene CUP-Leistungsindikatoren weiterzuentwickeln, eine bessere Erfassung der Bemessung bei der Überwachung (“</w:t>
      </w:r>
      <w:proofErr w:type="spellStart"/>
      <w:r w:rsidRPr="00481331">
        <w:rPr>
          <w:rFonts w:ascii="Times New Roman" w:eastAsia="Times New Roman" w:hAnsi="Times New Roman" w:cs="Times New Roman"/>
          <w:lang w:val="de-DE" w:eastAsia="en-GB"/>
        </w:rPr>
        <w:t>monitoring</w:t>
      </w:r>
      <w:proofErr w:type="spellEnd"/>
      <w:r w:rsidRPr="00481331">
        <w:rPr>
          <w:rFonts w:ascii="Times New Roman" w:eastAsia="Times New Roman" w:hAnsi="Times New Roman" w:cs="Times New Roman"/>
          <w:lang w:val="de-DE" w:eastAsia="en-GB"/>
        </w:rPr>
        <w:t xml:space="preserve">”) zu ermöglichen, aber auch das Qualitätsniveaus von AEOs im Vergleich zu Nicht-AEOs in Bezug auf Vorteile, einerseits, und die Einhaltung der gesetzlichen Vorschriften, andererseits besser bemessen. Der erfolgreiche Bewerber/die erfolgreiche Bewerberin wird auch im Bereich der Zusammenarbeit mit anderen Regierungsbehörden (OGA) arbeiten. Dies kann auch die Zusammenarbeit im Bereich der Einhaltung von Umwelt- und Sozialvorschriften beinhalten. Schließlich wird der erfolgreiche Bewerber/die erfolgreiche </w:t>
      </w:r>
      <w:proofErr w:type="spellStart"/>
      <w:r w:rsidRPr="00481331">
        <w:rPr>
          <w:rFonts w:ascii="Times New Roman" w:eastAsia="Times New Roman" w:hAnsi="Times New Roman" w:cs="Times New Roman"/>
          <w:lang w:val="de-DE" w:eastAsia="en-GB"/>
        </w:rPr>
        <w:t>Bewerbering</w:t>
      </w:r>
      <w:proofErr w:type="spellEnd"/>
      <w:r w:rsidRPr="00481331">
        <w:rPr>
          <w:rFonts w:ascii="Times New Roman" w:eastAsia="Times New Roman" w:hAnsi="Times New Roman" w:cs="Times New Roman"/>
          <w:lang w:val="de-DE" w:eastAsia="en-GB"/>
        </w:rPr>
        <w:t xml:space="preserve"> die Arbeiten zum Vergleich der Rechtsvorschriften von Drittländern unterstützen, möglicherweise einschließlich der technischen Aspekte der Verhandlungen des AEO über die gegenseitige Anerkennung mit Drittländern.</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81331" w:rsidRPr="00481331">
        <w:rPr>
          <w:rFonts w:ascii="Times New Roman" w:eastAsia="Times New Roman" w:hAnsi="Times New Roman" w:cs="Times New Roman"/>
          <w:lang w:val="de-DE" w:eastAsia="en-GB"/>
        </w:rPr>
        <w:t xml:space="preserve">Recht, öffentliche Verwaltung, Wirtschaftswissenschaften, </w:t>
      </w:r>
      <w:proofErr w:type="gramStart"/>
      <w:r w:rsidR="00481331" w:rsidRPr="00481331">
        <w:rPr>
          <w:rFonts w:ascii="Times New Roman" w:eastAsia="Times New Roman" w:hAnsi="Times New Roman" w:cs="Times New Roman"/>
          <w:lang w:val="de-DE" w:eastAsia="en-GB"/>
        </w:rPr>
        <w:t>Datenwissenschaft,  Politikwissenschaften</w:t>
      </w:r>
      <w:proofErr w:type="gramEnd"/>
      <w:r w:rsidR="00481331" w:rsidRPr="00481331">
        <w:rPr>
          <w:rFonts w:ascii="Times New Roman" w:eastAsia="Times New Roman" w:hAnsi="Times New Roman" w:cs="Times New Roman"/>
          <w:lang w:val="de-DE" w:eastAsia="en-GB"/>
        </w:rPr>
        <w:t>, Sozialwissenschaften, Systemwissenschaften, Bildung, Unternehmensverwaltung, Verkehr oder verwandte Bereiche.</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481331"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481331">
        <w:rPr>
          <w:rFonts w:ascii="Times New Roman" w:eastAsia="Times New Roman" w:hAnsi="Times New Roman" w:cs="Times New Roman"/>
          <w:lang w:val="de-DE" w:eastAsia="en-GB"/>
        </w:rPr>
        <w:t xml:space="preserve">Mindestens 3 Jahre Berufserfahrung im Bereich des AEO Programmes. Berufserfahrung im Bereich Zollkontrollen, Zollrisikomanagement und Audit sind von großem Vorteil. Operative Erfahrungen in der </w:t>
      </w:r>
      <w:r w:rsidRPr="00481331">
        <w:rPr>
          <w:rFonts w:ascii="Times New Roman" w:eastAsia="Times New Roman" w:hAnsi="Times New Roman" w:cs="Times New Roman"/>
          <w:lang w:val="de-DE" w:eastAsia="en-GB"/>
        </w:rPr>
        <w:lastRenderedPageBreak/>
        <w:t xml:space="preserve">Nutzung des AEO-EOS und </w:t>
      </w:r>
      <w:proofErr w:type="spellStart"/>
      <w:r w:rsidRPr="00481331">
        <w:rPr>
          <w:rFonts w:ascii="Times New Roman" w:eastAsia="Times New Roman" w:hAnsi="Times New Roman" w:cs="Times New Roman"/>
          <w:lang w:val="de-DE" w:eastAsia="en-GB"/>
        </w:rPr>
        <w:t>eAEO</w:t>
      </w:r>
      <w:proofErr w:type="spellEnd"/>
      <w:r w:rsidRPr="00481331">
        <w:rPr>
          <w:rFonts w:ascii="Times New Roman" w:eastAsia="Times New Roman" w:hAnsi="Times New Roman" w:cs="Times New Roman"/>
          <w:lang w:val="de-DE" w:eastAsia="en-GB"/>
        </w:rPr>
        <w:t>, sowie Kenntnisse/Erfahrung in den Bereichen EORI und Zollvereinfachungen sind von Vorteil.</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81331"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481331">
        <w:rPr>
          <w:rFonts w:ascii="Times New Roman" w:eastAsia="Times New Roman" w:hAnsi="Times New Roman" w:cs="Times New Roman"/>
          <w:lang w:val="de-DE" w:eastAsia="en-GB"/>
        </w:rPr>
        <w:t>Fließendes Englisch ist ein „Muss“. Kenntnisse einer anderen EU-Sprache, soweit sie für die dienstlichen Erfordernisse nötig sind,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8133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481331"/>
    <w:rsid w:val="004A0D22"/>
    <w:rsid w:val="004B1E82"/>
    <w:rsid w:val="005303B0"/>
    <w:rsid w:val="00534042"/>
    <w:rsid w:val="00550A94"/>
    <w:rsid w:val="005648F5"/>
    <w:rsid w:val="005A0D05"/>
    <w:rsid w:val="005D37D0"/>
    <w:rsid w:val="006740F2"/>
    <w:rsid w:val="006E54AE"/>
    <w:rsid w:val="006F30A1"/>
    <w:rsid w:val="00703A7C"/>
    <w:rsid w:val="00734E4D"/>
    <w:rsid w:val="007628D6"/>
    <w:rsid w:val="007E099F"/>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2022-05-12T12:03:00Z</dcterms:created>
  <dcterms:modified xsi:type="dcterms:W3CDTF">2022-05-12T12:03:00Z</dcterms:modified>
</cp:coreProperties>
</file>