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D5F5E"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SANTE-B-5</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D5F5E" w:rsidRPr="000D5F5E" w:rsidRDefault="000D5F5E" w:rsidP="000D5F5E">
            <w:pPr>
              <w:rPr>
                <w:rFonts w:ascii="Times New Roman" w:hAnsi="Times New Roman" w:cs="Times New Roman"/>
                <w:b/>
                <w:lang w:val="en-GB"/>
              </w:rPr>
            </w:pPr>
            <w:r w:rsidRPr="000D5F5E">
              <w:rPr>
                <w:rFonts w:ascii="Times New Roman" w:hAnsi="Times New Roman" w:cs="Times New Roman"/>
                <w:b/>
                <w:lang w:val="en-GB"/>
              </w:rPr>
              <w:t>Olga Solomon</w:t>
            </w:r>
          </w:p>
          <w:p w:rsidR="000D5F5E" w:rsidRPr="000D5F5E" w:rsidRDefault="00E23563" w:rsidP="000D5F5E">
            <w:pPr>
              <w:rPr>
                <w:rFonts w:ascii="Times New Roman" w:hAnsi="Times New Roman" w:cs="Times New Roman"/>
                <w:b/>
                <w:lang w:val="en-GB"/>
              </w:rPr>
            </w:pPr>
            <w:hyperlink r:id="rId8" w:history="1">
              <w:r w:rsidR="000D5F5E" w:rsidRPr="000D5F5E">
                <w:rPr>
                  <w:rFonts w:ascii="Times New Roman" w:hAnsi="Times New Roman" w:cs="Times New Roman"/>
                  <w:b/>
                  <w:color w:val="0000FF" w:themeColor="hyperlink"/>
                  <w:u w:val="single"/>
                  <w:lang w:val="en-GB"/>
                </w:rPr>
                <w:t>olga.solomon@ec.europa.eu</w:t>
              </w:r>
            </w:hyperlink>
            <w:r w:rsidR="000D5F5E" w:rsidRPr="000D5F5E">
              <w:rPr>
                <w:rFonts w:ascii="Times New Roman" w:hAnsi="Times New Roman" w:cs="Times New Roman"/>
                <w:b/>
                <w:lang w:val="en-GB"/>
              </w:rPr>
              <w:t xml:space="preserve"> </w:t>
            </w:r>
          </w:p>
          <w:p w:rsidR="00D53AD5" w:rsidRPr="00C531F2" w:rsidRDefault="000D5F5E" w:rsidP="000D5F5E">
            <w:pPr>
              <w:ind w:left="34" w:right="1317"/>
              <w:jc w:val="both"/>
              <w:rPr>
                <w:rFonts w:ascii="Times New Roman" w:hAnsi="Times New Roman" w:cs="Times New Roman"/>
                <w:b/>
              </w:rPr>
            </w:pPr>
            <w:r w:rsidRPr="009362DE">
              <w:rPr>
                <w:rFonts w:ascii="Times New Roman" w:hAnsi="Times New Roman" w:cs="Times New Roman"/>
                <w:b/>
              </w:rPr>
              <w:t>+32 2 2955959</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D5F5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Der/die nationale Sachverständiger/Sachverständige wird die Arbeit des Referats B.5 unterstützen. Dieses Referat ("Arzneimittel: Politik, Zulassung und Überwachung") kümmert sich um wesentliche Teile des Rechtsrahmens für Humanarzneimittel. Es koordiniert die EU-Arzneimittelstrategie, eines der Schlüsselprojekte der derzeitigen Kommission. Es ist auch für den Prozess der Erteilung von Genehmigungen für das Inverkehrbringen von Arzneimitteln für die gesamte EU verantwortlich. Das Referat interagiert regelmäßig mit der Europäischen Arzneimittel-Agentur.</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Der/die national Sachverständiger/Sachverständige wird in einem aufregenden Moment ankommen, in dem das Innovationstempo dramatisch zugenommen hat und neue wissenschaftliche Entwicklungen das bestehende Paradigma für die Zulassung von Arzneimitteln in Frage stellen. Arzneimittel werden mehr und mehr Teil integrierter Therapien, bei denen Daten, KI und Algorithmen beginnen eine zunehmende Rolle spielen und wo gleichzeitig die Diskussion über Zugang und Verfügbarkeit von Arzneimitteln weiterhin die politische Agenda dominiert. Die EU-Pharmastrategie zielt darauf ab, dieses und andere Themen auf ganzheitliche Weise zu betrachten, um die EU-Pharmapolitik zukunftssicher zu machen, aber auch die Lehren aus der COVID 19-Pandemie zu berücksichtigen.</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Die Aufgaben des/der nationalen Sachverständiger/Sachverständige umfassen:</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w:t>
      </w:r>
      <w:r w:rsidRPr="000D5F5E">
        <w:rPr>
          <w:rFonts w:ascii="Times New Roman" w:eastAsia="Times New Roman" w:hAnsi="Times New Roman" w:cs="Times New Roman"/>
          <w:lang w:val="de-DE" w:eastAsia="en-GB"/>
        </w:rPr>
        <w:tab/>
        <w:t>Bereitstellung von Fachwissen und Unterstützung bei der Umsetzung der Arzneimittelstrategie und den damit verbundenen politischen Aktivitäten, einschließlich Maßnahmen im Zusammenhang mit der EU-Arzneimittelgesetzgebung,</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w:t>
      </w:r>
      <w:r w:rsidRPr="000D5F5E">
        <w:rPr>
          <w:rFonts w:ascii="Times New Roman" w:eastAsia="Times New Roman" w:hAnsi="Times New Roman" w:cs="Times New Roman"/>
          <w:lang w:val="de-DE" w:eastAsia="en-GB"/>
        </w:rPr>
        <w:tab/>
        <w:t>Unterstützung von Aktivitäten im Zusammenhang mit der Zulassung von Arzneimitteln auf EU-Ebene,</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w:t>
      </w:r>
      <w:r w:rsidRPr="000D5F5E">
        <w:rPr>
          <w:rFonts w:ascii="Times New Roman" w:eastAsia="Times New Roman" w:hAnsi="Times New Roman" w:cs="Times New Roman"/>
          <w:lang w:val="de-DE" w:eastAsia="en-GB"/>
        </w:rPr>
        <w:tab/>
        <w:t>Entwicklung, Entwurf und Verwaltung von Gesetzen und Richtlinien für pharmazeutische Produkte,</w:t>
      </w:r>
    </w:p>
    <w:p w:rsidR="000D5F5E" w:rsidRPr="000D5F5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lastRenderedPageBreak/>
        <w:t>•</w:t>
      </w:r>
      <w:r w:rsidRPr="000D5F5E">
        <w:rPr>
          <w:rFonts w:ascii="Times New Roman" w:eastAsia="Times New Roman" w:hAnsi="Times New Roman" w:cs="Times New Roman"/>
          <w:lang w:val="de-DE" w:eastAsia="en-GB"/>
        </w:rPr>
        <w:tab/>
        <w:t>Gewährleistung einer wirksamen Umsetzung der Rechtsvorschriften der Europäischen Union,</w:t>
      </w:r>
    </w:p>
    <w:p w:rsidR="001E1B8A" w:rsidRPr="002D1BCE" w:rsidRDefault="000D5F5E" w:rsidP="000D5F5E">
      <w:pPr>
        <w:spacing w:after="0" w:line="240" w:lineRule="auto"/>
        <w:ind w:left="426"/>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w:t>
      </w:r>
      <w:r w:rsidRPr="000D5F5E">
        <w:rPr>
          <w:rFonts w:ascii="Times New Roman" w:eastAsia="Times New Roman" w:hAnsi="Times New Roman" w:cs="Times New Roman"/>
          <w:lang w:val="de-DE" w:eastAsia="en-GB"/>
        </w:rPr>
        <w:tab/>
        <w:t>Erleichterung des Austauschs zwischen den Mitgliedstaaten und der Europäischen Arzneimittel-Agentur und Entwicklung bewährter Verfahren.</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D5F5E" w:rsidRPr="000D5F5E">
        <w:rPr>
          <w:rFonts w:ascii="Times New Roman" w:eastAsia="Times New Roman" w:hAnsi="Times New Roman" w:cs="Times New Roman"/>
          <w:lang w:val="de-DE" w:eastAsia="en-GB"/>
        </w:rPr>
        <w:t>Öffentliche Gesundheit, Jura, Wirtschaftswissenschaften, Naturwissenschaften oder in einem vergleichbaren Bereich</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0D5F5E" w:rsidP="001E1B8A">
      <w:pPr>
        <w:tabs>
          <w:tab w:val="left" w:pos="709"/>
        </w:tabs>
        <w:spacing w:after="0" w:line="240" w:lineRule="auto"/>
        <w:ind w:left="709" w:right="60"/>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Mindestens drei Jahre im Bereich der Arzneimittelpolitik. Erfahrung bezüglich der Aufgaben des Postens wäre von Vorteil.</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D5F5E"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0D5F5E">
        <w:rPr>
          <w:rFonts w:ascii="Times New Roman" w:eastAsia="Times New Roman" w:hAnsi="Times New Roman" w:cs="Times New Roman"/>
          <w:lang w:val="de-DE" w:eastAsia="en-GB"/>
        </w:rPr>
        <w:t>Gute Englischkenntnisse sind unbedingt erforderlich, und Französischkenntnisse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bookmarkStart w:id="0" w:name="_GoBack"/>
      <w:bookmarkEnd w:id="0"/>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2356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D5F5E"/>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2022-05-05T12:52:00Z</dcterms:created>
  <dcterms:modified xsi:type="dcterms:W3CDTF">2022-05-10T11:59:00Z</dcterms:modified>
</cp:coreProperties>
</file>