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847E2" w:rsidP="00B847E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w:t>
            </w:r>
            <w:r w:rsidR="00BC661A">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847E2" w:rsidRPr="00B847E2" w:rsidRDefault="00B847E2" w:rsidP="00B847E2">
            <w:pPr>
              <w:rPr>
                <w:rFonts w:ascii="Times New Roman" w:hAnsi="Times New Roman" w:cs="Times New Roman"/>
                <w:b/>
              </w:rPr>
            </w:pPr>
            <w:r w:rsidRPr="00B847E2">
              <w:rPr>
                <w:rFonts w:ascii="Times New Roman" w:hAnsi="Times New Roman" w:cs="Times New Roman"/>
                <w:b/>
              </w:rPr>
              <w:t>Kaspar Richter</w:t>
            </w:r>
          </w:p>
          <w:p w:rsidR="00B847E2" w:rsidRPr="00B847E2" w:rsidRDefault="00B847E2" w:rsidP="00B847E2">
            <w:pPr>
              <w:rPr>
                <w:rFonts w:ascii="Times New Roman" w:hAnsi="Times New Roman" w:cs="Times New Roman"/>
                <w:b/>
              </w:rPr>
            </w:pPr>
            <w:hyperlink r:id="rId8" w:history="1">
              <w:r w:rsidRPr="004A6289">
                <w:rPr>
                  <w:rStyle w:val="Hyperlink"/>
                  <w:rFonts w:ascii="Times New Roman" w:hAnsi="Times New Roman" w:cs="Times New Roman"/>
                  <w:b/>
                </w:rPr>
                <w:t>kaspar.richter@ec.europa.eu</w:t>
              </w:r>
            </w:hyperlink>
            <w:r>
              <w:rPr>
                <w:rFonts w:ascii="Times New Roman" w:hAnsi="Times New Roman" w:cs="Times New Roman"/>
                <w:b/>
              </w:rPr>
              <w:t xml:space="preserve"> </w:t>
            </w:r>
          </w:p>
          <w:p w:rsidR="00FE31F9" w:rsidRPr="00FE31F9" w:rsidRDefault="00B847E2" w:rsidP="00B847E2">
            <w:pPr>
              <w:rPr>
                <w:rFonts w:ascii="Times New Roman" w:hAnsi="Times New Roman" w:cs="Times New Roman"/>
                <w:b/>
              </w:rPr>
            </w:pPr>
            <w:r w:rsidRPr="00B847E2">
              <w:rPr>
                <w:rFonts w:ascii="Times New Roman" w:hAnsi="Times New Roman" w:cs="Times New Roman"/>
                <w:b/>
              </w:rPr>
              <w:t>+32 2 29 90048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B847E2"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847E2" w:rsidRDefault="00B847E2" w:rsidP="00B847E2">
      <w:pPr>
        <w:spacing w:after="0" w:line="240" w:lineRule="auto"/>
        <w:ind w:left="426"/>
        <w:contextualSpacing/>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La Direction générale de l'appui aux réformes structurelles (DG REFORM) est placée sous la coordination de la commissaire Ferreira. La mission de la DG REFORM est d'apporter et de coordonner un soutien technique aux États membres pour la conception et la mise en œuvre de réformes structurelles – en particulier dans le contexte du processus de gouvernance économique – et la bonne utilisation des fonds de l'Union européenne. Le soutien est ouvert à tous les États membres, sur demande.</w:t>
      </w:r>
      <w:r>
        <w:rPr>
          <w:rFonts w:ascii="Times New Roman" w:eastAsia="Times New Roman" w:hAnsi="Times New Roman" w:cs="Times New Roman"/>
          <w:lang w:eastAsia="en-GB"/>
        </w:rPr>
        <w:t xml:space="preserve"> </w:t>
      </w:r>
    </w:p>
    <w:p w:rsidR="00B847E2" w:rsidRPr="00B847E2" w:rsidRDefault="00B847E2" w:rsidP="00B847E2">
      <w:pPr>
        <w:spacing w:after="0" w:line="240" w:lineRule="auto"/>
        <w:ind w:left="426"/>
        <w:contextualSpacing/>
        <w:jc w:val="both"/>
        <w:rPr>
          <w:rFonts w:ascii="Times New Roman" w:eastAsia="Times New Roman" w:hAnsi="Times New Roman" w:cs="Times New Roman"/>
          <w:lang w:eastAsia="en-GB"/>
        </w:rPr>
      </w:pPr>
    </w:p>
    <w:p w:rsidR="00B847E2" w:rsidRDefault="00B847E2" w:rsidP="00B847E2">
      <w:pPr>
        <w:spacing w:after="0" w:line="240" w:lineRule="auto"/>
        <w:ind w:left="426"/>
        <w:contextualSpacing/>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La DG REFORM travaille actuellement avec les 27 États membres de l'Union européenne. Elle compte environ 200 collaborateurs basés à Bruxelles, Athènes, Nicosie, Zagreb et Bucarest. Elle est composée d'une équipe de direction, d'une équipe horizontale et de deux directorats.  La Direction A est composée de trois unités responsables du budget et des finances; de la planification, de l’évaluation et de la coordination de l'appui et de l’appui au règlement de la question chypriote. La Direction B est composée de cinq unités sectorielles spécialisées dans les politiques publiques (gestion des finances publiques ; gouvernance et administration publique ; croissance durable et environnement des entreprises ; marché du travail, éducation, santé et services sociaux ; secteur financier et accès au financement).</w:t>
      </w:r>
    </w:p>
    <w:p w:rsidR="00B847E2" w:rsidRPr="00B847E2" w:rsidRDefault="00B847E2" w:rsidP="00B847E2">
      <w:pPr>
        <w:spacing w:after="0" w:line="240" w:lineRule="auto"/>
        <w:ind w:left="426"/>
        <w:contextualSpacing/>
        <w:jc w:val="both"/>
        <w:rPr>
          <w:rFonts w:ascii="Times New Roman" w:eastAsia="Times New Roman" w:hAnsi="Times New Roman" w:cs="Times New Roman"/>
          <w:lang w:eastAsia="en-GB"/>
        </w:rPr>
      </w:pPr>
    </w:p>
    <w:p w:rsidR="00B847E2" w:rsidRDefault="00B847E2" w:rsidP="00B847E2">
      <w:pPr>
        <w:spacing w:after="0" w:line="240" w:lineRule="auto"/>
        <w:ind w:left="426"/>
        <w:contextualSpacing/>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La DG REFORM a un rôle de coordination important au sein de la Commission européenne, ainsi que des contacts fréquents avec les États membres et diverses parties prenantes.</w:t>
      </w:r>
    </w:p>
    <w:p w:rsidR="00B847E2" w:rsidRPr="00B847E2" w:rsidRDefault="00B847E2" w:rsidP="00B847E2">
      <w:pPr>
        <w:spacing w:after="0" w:line="240" w:lineRule="auto"/>
        <w:ind w:left="426"/>
        <w:contextualSpacing/>
        <w:jc w:val="both"/>
        <w:rPr>
          <w:rFonts w:ascii="Times New Roman" w:eastAsia="Times New Roman" w:hAnsi="Times New Roman" w:cs="Times New Roman"/>
          <w:lang w:eastAsia="en-GB"/>
        </w:rPr>
      </w:pPr>
    </w:p>
    <w:p w:rsidR="00B847E2" w:rsidRPr="00B847E2" w:rsidRDefault="00B847E2" w:rsidP="00B847E2">
      <w:pPr>
        <w:spacing w:after="0" w:line="240" w:lineRule="auto"/>
        <w:ind w:left="426"/>
        <w:contextualSpacing/>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La DG REFORM gère le Programme d’appui à la réforme structurelle (SRSP) et depuis 2021 l'Instrument d'appui technique (TSI). Le SRSP et le TSI disposent d'un budget dédié et d'un cadre juridique spécifique pour apporter un service d'assistance technique aux États membres. La DG REFORM gère également le Programme d’aide en faveur de la communauté chypriote turque.</w:t>
      </w:r>
    </w:p>
    <w:p w:rsidR="00B847E2" w:rsidRPr="00B847E2" w:rsidRDefault="00B847E2" w:rsidP="00B847E2">
      <w:pPr>
        <w:spacing w:after="0" w:line="240" w:lineRule="auto"/>
        <w:ind w:left="426"/>
        <w:contextualSpacing/>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lastRenderedPageBreak/>
        <w:t>L'expert national détaché (END) fera partie de l'unité B3 (croissance durable et environnement des entreprises) de la DG REFORM. L’expert sera en charge du design, de la mise en place et de la supervision des programmes d’assistance technique et des projets pour les États Membres dans tous les domaines liés à la compétitivité tels que :</w:t>
      </w:r>
    </w:p>
    <w:p w:rsidR="00B847E2" w:rsidRPr="00B847E2" w:rsidRDefault="00B847E2" w:rsidP="00B847E2">
      <w:pPr>
        <w:pStyle w:val="ListParagraph"/>
        <w:numPr>
          <w:ilvl w:val="0"/>
          <w:numId w:val="28"/>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Investissements étrangers et commerce ;</w:t>
      </w:r>
    </w:p>
    <w:p w:rsidR="00B847E2" w:rsidRPr="00B847E2" w:rsidRDefault="00B847E2" w:rsidP="00B847E2">
      <w:pPr>
        <w:pStyle w:val="ListParagraph"/>
        <w:numPr>
          <w:ilvl w:val="0"/>
          <w:numId w:val="28"/>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Amélioration de la règlementation, des licences et inspections ;</w:t>
      </w:r>
    </w:p>
    <w:p w:rsidR="00B847E2" w:rsidRPr="00B847E2" w:rsidRDefault="00B847E2" w:rsidP="00B847E2">
      <w:pPr>
        <w:pStyle w:val="ListParagraph"/>
        <w:numPr>
          <w:ilvl w:val="0"/>
          <w:numId w:val="28"/>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Transport et mobilité ;</w:t>
      </w:r>
    </w:p>
    <w:p w:rsidR="00B847E2" w:rsidRPr="00B847E2" w:rsidRDefault="00B847E2" w:rsidP="00B847E2">
      <w:pPr>
        <w:pStyle w:val="ListParagraph"/>
        <w:numPr>
          <w:ilvl w:val="0"/>
          <w:numId w:val="28"/>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Économie digitale, recherche et innovation.</w:t>
      </w:r>
    </w:p>
    <w:p w:rsidR="00B847E2" w:rsidRDefault="00B847E2" w:rsidP="00B847E2">
      <w:pPr>
        <w:spacing w:after="0" w:line="240" w:lineRule="auto"/>
        <w:ind w:left="426"/>
        <w:contextualSpacing/>
        <w:jc w:val="both"/>
        <w:rPr>
          <w:rFonts w:ascii="Times New Roman" w:eastAsia="Times New Roman" w:hAnsi="Times New Roman" w:cs="Times New Roman"/>
          <w:lang w:eastAsia="en-GB"/>
        </w:rPr>
      </w:pPr>
    </w:p>
    <w:p w:rsidR="00B847E2" w:rsidRPr="00B847E2" w:rsidRDefault="00B847E2" w:rsidP="00B847E2">
      <w:pPr>
        <w:spacing w:after="0" w:line="240" w:lineRule="auto"/>
        <w:ind w:left="426"/>
        <w:contextualSpacing/>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Dans le domaine d'activité en question, l'expert effectuera les tâches suivantes :</w:t>
      </w:r>
    </w:p>
    <w:p w:rsidR="00B847E2" w:rsidRPr="00B847E2" w:rsidRDefault="00B847E2" w:rsidP="00B847E2">
      <w:pPr>
        <w:pStyle w:val="ListParagraph"/>
        <w:numPr>
          <w:ilvl w:val="0"/>
          <w:numId w:val="29"/>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Suivi des développements récents dans les domaines liés à la compétitivité au sein des États membres concernés ;</w:t>
      </w:r>
    </w:p>
    <w:p w:rsidR="00B847E2" w:rsidRPr="00B847E2" w:rsidRDefault="00B847E2" w:rsidP="00B847E2">
      <w:pPr>
        <w:pStyle w:val="ListParagraph"/>
        <w:numPr>
          <w:ilvl w:val="0"/>
          <w:numId w:val="29"/>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Préparation et / ou coordination des contributions de l'équipe aux discussions et aux propositions relatives aux projets d'assistance technique destinés à aider les États membres dans la préparation et la mise en œuvre des réformes pertinentes ;</w:t>
      </w:r>
    </w:p>
    <w:p w:rsidR="00B847E2" w:rsidRPr="00B847E2" w:rsidRDefault="00B847E2" w:rsidP="00B847E2">
      <w:pPr>
        <w:pStyle w:val="ListParagraph"/>
        <w:numPr>
          <w:ilvl w:val="0"/>
          <w:numId w:val="29"/>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Contribution au développement et au déploiement de projets d'assistance technique, en coordination avec d'autres services de la Commission Européenne et prestataires d'assistance technique (États membres, organisations internationales, agences publiques et experts privés) ;</w:t>
      </w:r>
    </w:p>
    <w:p w:rsidR="00B847E2" w:rsidRPr="00B847E2" w:rsidRDefault="00B847E2" w:rsidP="00B847E2">
      <w:pPr>
        <w:pStyle w:val="ListParagraph"/>
        <w:numPr>
          <w:ilvl w:val="0"/>
          <w:numId w:val="29"/>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Suivi et mise en œuvre effective des projets d'assistance technique, en liaison avec les prestataires d'assistance technique ;</w:t>
      </w:r>
    </w:p>
    <w:p w:rsidR="00B847E2" w:rsidRPr="00B847E2" w:rsidRDefault="00B847E2" w:rsidP="00B847E2">
      <w:pPr>
        <w:pStyle w:val="ListParagraph"/>
        <w:numPr>
          <w:ilvl w:val="0"/>
          <w:numId w:val="29"/>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Préparation et / ou coordination des briefings, documents de travail et autres matériels dans le domaine d'activité ;</w:t>
      </w:r>
    </w:p>
    <w:p w:rsidR="00B847E2" w:rsidRPr="00B847E2" w:rsidRDefault="00B847E2" w:rsidP="00B847E2">
      <w:pPr>
        <w:pStyle w:val="ListParagraph"/>
        <w:numPr>
          <w:ilvl w:val="0"/>
          <w:numId w:val="29"/>
        </w:numPr>
        <w:spacing w:after="0" w:line="240" w:lineRule="auto"/>
        <w:ind w:left="709" w:hanging="283"/>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 xml:space="preserve">Contribution aux discussions avec les États membres bénéficiant d'une assistance technique ainsi qu'avec les prestataires d'assistance technique (États membres, organisations internationales, agences publiques et experts privés). </w:t>
      </w:r>
    </w:p>
    <w:p w:rsidR="00B847E2" w:rsidRDefault="00B847E2" w:rsidP="00B847E2">
      <w:pPr>
        <w:spacing w:after="0" w:line="240" w:lineRule="auto"/>
        <w:ind w:left="426"/>
        <w:contextualSpacing/>
        <w:jc w:val="both"/>
        <w:rPr>
          <w:rFonts w:ascii="Times New Roman" w:eastAsia="Times New Roman" w:hAnsi="Times New Roman" w:cs="Times New Roman"/>
          <w:lang w:eastAsia="en-GB"/>
        </w:rPr>
      </w:pPr>
    </w:p>
    <w:p w:rsidR="00456E92" w:rsidRDefault="00B847E2" w:rsidP="00B847E2">
      <w:pPr>
        <w:spacing w:after="0" w:line="240" w:lineRule="auto"/>
        <w:ind w:left="426"/>
        <w:contextualSpacing/>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Le poste nécessitera des voyages fréquents de Bruxelles vers les États membres, à la fois pour la coordination ou l’accomplissement des activités de soutien technique dans les pays bénéficiaires et pour renforcer les liens avec d'éventuels fournisseurs de soutien technique dans les États membres de l'UE.</w:t>
      </w:r>
    </w:p>
    <w:p w:rsidR="00BC661A" w:rsidRPr="00456E92" w:rsidRDefault="00BC661A" w:rsidP="00BC66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BC661A">
        <w:rPr>
          <w:rFonts w:ascii="Times New Roman" w:hAnsi="Times New Roman" w:cs="Times New Roman"/>
        </w:rPr>
        <w:t>é</w:t>
      </w:r>
      <w:r w:rsidR="00BC661A" w:rsidRPr="00BC661A">
        <w:rPr>
          <w:rFonts w:ascii="Times New Roman" w:hAnsi="Times New Roman" w:cs="Times New Roman"/>
        </w:rPr>
        <w:t>conomie</w:t>
      </w:r>
      <w:r w:rsidR="00B847E2">
        <w:rPr>
          <w:rFonts w:ascii="Times New Roman" w:hAnsi="Times New Roman" w:cs="Times New Roman"/>
        </w:rPr>
        <w:t>, finance et droit</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93AF8" w:rsidRPr="00FE31F9" w:rsidRDefault="00B847E2" w:rsidP="00BC661A">
      <w:pPr>
        <w:tabs>
          <w:tab w:val="left" w:pos="709"/>
        </w:tabs>
        <w:spacing w:after="0" w:line="240" w:lineRule="auto"/>
        <w:ind w:left="709" w:right="60"/>
        <w:jc w:val="both"/>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L’END doit démontrer une capacité à assumer un haut niveau de responsabilité dans les domaines liés à la compétitivité. Il/elle doit posséder des compétences analytiques pointues, une capacité à synthétiser des informations complexes, à faire avancer des projets, ainsi qu'une excellente capacité de rédaction (en particulier en anglais). Il/elle doit avoir un fort sens de l'engagement, savoir travailler en équipe et posséder de bonnes compétences interpersonnelles. Sa capacité à faire avancer rapidement les travaux avec un bon jugement et à créer un réseau pertinent auprès de collègues – tant au sein de la Commission européenne que dans les États membres – est essentielle.</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B847E2" w:rsidRDefault="00B847E2" w:rsidP="00BC661A">
      <w:pPr>
        <w:spacing w:after="0" w:line="240" w:lineRule="auto"/>
        <w:ind w:left="709"/>
        <w:rPr>
          <w:rFonts w:ascii="Times New Roman" w:eastAsia="Times New Roman" w:hAnsi="Times New Roman" w:cs="Times New Roman"/>
          <w:lang w:eastAsia="en-GB"/>
        </w:rPr>
      </w:pPr>
      <w:r w:rsidRPr="00B847E2">
        <w:rPr>
          <w:rFonts w:ascii="Times New Roman" w:eastAsia="Times New Roman" w:hAnsi="Times New Roman" w:cs="Times New Roman"/>
          <w:lang w:eastAsia="en-GB"/>
        </w:rPr>
        <w:t>L'END travaillera principalement en anglais. D'excellentes compétences rédactionnelles en anglais sont requises.</w:t>
      </w:r>
    </w:p>
    <w:p w:rsidR="00BC661A" w:rsidRPr="00B847E2" w:rsidRDefault="00BC661A" w:rsidP="001F18BF">
      <w:pPr>
        <w:spacing w:after="0" w:line="240" w:lineRule="auto"/>
        <w:ind w:left="709"/>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847E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E4E1A96"/>
    <w:multiLevelType w:val="hybridMultilevel"/>
    <w:tmpl w:val="4DE8576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4"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5B47430"/>
    <w:multiLevelType w:val="hybridMultilevel"/>
    <w:tmpl w:val="622CA8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2"/>
  </w:num>
  <w:num w:numId="2">
    <w:abstractNumId w:val="9"/>
  </w:num>
  <w:num w:numId="3">
    <w:abstractNumId w:val="24"/>
  </w:num>
  <w:num w:numId="4">
    <w:abstractNumId w:val="15"/>
  </w:num>
  <w:num w:numId="5">
    <w:abstractNumId w:val="10"/>
  </w:num>
  <w:num w:numId="6">
    <w:abstractNumId w:val="2"/>
  </w:num>
  <w:num w:numId="7">
    <w:abstractNumId w:val="18"/>
  </w:num>
  <w:num w:numId="8">
    <w:abstractNumId w:val="11"/>
  </w:num>
  <w:num w:numId="9">
    <w:abstractNumId w:val="19"/>
  </w:num>
  <w:num w:numId="10">
    <w:abstractNumId w:val="7"/>
  </w:num>
  <w:num w:numId="11">
    <w:abstractNumId w:val="1"/>
  </w:num>
  <w:num w:numId="12">
    <w:abstractNumId w:val="3"/>
  </w:num>
  <w:num w:numId="13">
    <w:abstractNumId w:val="20"/>
  </w:num>
  <w:num w:numId="14">
    <w:abstractNumId w:val="23"/>
  </w:num>
  <w:num w:numId="15">
    <w:abstractNumId w:val="4"/>
  </w:num>
  <w:num w:numId="16">
    <w:abstractNumId w:val="0"/>
  </w:num>
  <w:num w:numId="17">
    <w:abstractNumId w:val="26"/>
  </w:num>
  <w:num w:numId="18">
    <w:abstractNumId w:val="25"/>
  </w:num>
  <w:num w:numId="19">
    <w:abstractNumId w:val="17"/>
  </w:num>
  <w:num w:numId="20">
    <w:abstractNumId w:val="14"/>
  </w:num>
  <w:num w:numId="21">
    <w:abstractNumId w:val="27"/>
  </w:num>
  <w:num w:numId="22">
    <w:abstractNumId w:val="22"/>
  </w:num>
  <w:num w:numId="23">
    <w:abstractNumId w:val="6"/>
  </w:num>
  <w:num w:numId="24">
    <w:abstractNumId w:val="16"/>
  </w:num>
  <w:num w:numId="25">
    <w:abstractNumId w:val="28"/>
  </w:num>
  <w:num w:numId="26">
    <w:abstractNumId w:val="13"/>
  </w:num>
  <w:num w:numId="27">
    <w:abstractNumId w:val="8"/>
  </w:num>
  <w:num w:numId="28">
    <w:abstractNumId w:val="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46B6"/>
    <w:rsid w:val="007F771A"/>
    <w:rsid w:val="00803AF5"/>
    <w:rsid w:val="00804B2F"/>
    <w:rsid w:val="00902804"/>
    <w:rsid w:val="009A421C"/>
    <w:rsid w:val="009C39A3"/>
    <w:rsid w:val="00A140DB"/>
    <w:rsid w:val="00A23D3E"/>
    <w:rsid w:val="00A516E1"/>
    <w:rsid w:val="00B05153"/>
    <w:rsid w:val="00B36D07"/>
    <w:rsid w:val="00B847E2"/>
    <w:rsid w:val="00BA34CF"/>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938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par.rich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1799</Words>
  <Characters>10237</Characters>
  <Application>Microsoft Office Word</Application>
  <DocSecurity>0</DocSecurity>
  <Lines>208</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2022-03-11T16:37:00Z</dcterms:created>
  <dcterms:modified xsi:type="dcterms:W3CDTF">2022-03-11T16:37:00Z</dcterms:modified>
</cp:coreProperties>
</file>