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8A02AF"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COMP-A</w:t>
            </w:r>
            <w:r w:rsidR="00010C4F">
              <w:rPr>
                <w:rFonts w:ascii="Times New Roman" w:eastAsia="Times New Roman" w:hAnsi="Times New Roman" w:cs="Times New Roman"/>
                <w:b/>
                <w:sz w:val="24"/>
                <w:szCs w:val="20"/>
                <w:lang w:eastAsia="en-GB"/>
              </w:rPr>
              <w:t>-1</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A02AF" w:rsidRPr="008A02AF" w:rsidRDefault="008A02AF" w:rsidP="008A02AF">
            <w:pPr>
              <w:rPr>
                <w:rFonts w:ascii="Times New Roman" w:hAnsi="Times New Roman" w:cs="Times New Roman"/>
                <w:b/>
                <w:lang w:val="en-GB"/>
              </w:rPr>
            </w:pPr>
            <w:r w:rsidRPr="008A02AF">
              <w:rPr>
                <w:rFonts w:ascii="Times New Roman" w:hAnsi="Times New Roman" w:cs="Times New Roman"/>
                <w:b/>
                <w:lang w:val="en-GB"/>
              </w:rPr>
              <w:t>Sophie MOONEN, contact : Lea ZUBER</w:t>
            </w:r>
          </w:p>
          <w:p w:rsidR="008A02AF" w:rsidRPr="008A02AF" w:rsidRDefault="008A02AF" w:rsidP="008A02AF">
            <w:pPr>
              <w:rPr>
                <w:rFonts w:ascii="Times New Roman" w:hAnsi="Times New Roman" w:cs="Times New Roman"/>
                <w:b/>
                <w:lang w:val="en-GB"/>
              </w:rPr>
            </w:pPr>
            <w:hyperlink r:id="rId8" w:history="1">
              <w:r w:rsidRPr="00B70077">
                <w:rPr>
                  <w:rStyle w:val="Hyperlink"/>
                  <w:rFonts w:ascii="Times New Roman" w:hAnsi="Times New Roman" w:cs="Times New Roman"/>
                  <w:b/>
                  <w:lang w:val="en-GB"/>
                </w:rPr>
                <w:t>Lea.ZUBER@ec.europa.eu</w:t>
              </w:r>
            </w:hyperlink>
            <w:r>
              <w:rPr>
                <w:rFonts w:ascii="Times New Roman" w:hAnsi="Times New Roman" w:cs="Times New Roman"/>
                <w:b/>
                <w:lang w:val="en-GB"/>
              </w:rPr>
              <w:t xml:space="preserve"> </w:t>
            </w:r>
          </w:p>
          <w:p w:rsidR="00381739" w:rsidRDefault="008A02AF" w:rsidP="008A02AF">
            <w:pPr>
              <w:rPr>
                <w:rFonts w:ascii="Times New Roman" w:hAnsi="Times New Roman" w:cs="Times New Roman"/>
                <w:b/>
              </w:rPr>
            </w:pPr>
            <w:r w:rsidRPr="008A02AF">
              <w:rPr>
                <w:rFonts w:ascii="Times New Roman" w:hAnsi="Times New Roman" w:cs="Times New Roman"/>
                <w:b/>
                <w:lang w:val="en-GB"/>
              </w:rPr>
              <w:t>+32 229 56298</w:t>
            </w:r>
          </w:p>
          <w:p w:rsidR="00804B2F" w:rsidRPr="00381739" w:rsidRDefault="008A02AF" w:rsidP="00804B2F">
            <w:pPr>
              <w:rPr>
                <w:rFonts w:ascii="Times New Roman" w:hAnsi="Times New Roman" w:cs="Times New Roman"/>
                <w:b/>
              </w:rPr>
            </w:pPr>
            <w:r>
              <w:rPr>
                <w:rFonts w:ascii="Times New Roman" w:hAnsi="Times New Roman" w:cs="Times New Roman"/>
                <w:b/>
              </w:rPr>
              <w:t>2</w:t>
            </w:r>
          </w:p>
          <w:p w:rsidR="00381739" w:rsidRPr="00381739" w:rsidRDefault="008A02AF"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36190C" w:rsidRPr="0036190C">
              <w:rPr>
                <w:rFonts w:ascii="Times New Roman" w:hAnsi="Times New Roman" w:cs="Times New Roman"/>
                <w:b/>
                <w:vertAlign w:val="superscript"/>
              </w:rPr>
              <w:t>ème</w:t>
            </w:r>
            <w:r w:rsidR="0036190C">
              <w:rPr>
                <w:rFonts w:ascii="Times New Roman" w:hAnsi="Times New Roman" w:cs="Times New Roman"/>
                <w:b/>
              </w:rPr>
              <w:t xml:space="preserve"> </w:t>
            </w:r>
            <w:r w:rsidR="00381739" w:rsidRPr="00381739">
              <w:rPr>
                <w:rFonts w:ascii="Times New Roman" w:hAnsi="Times New Roman" w:cs="Times New Roman"/>
                <w:b/>
              </w:rPr>
              <w:t>trimestre 202</w:t>
            </w:r>
            <w:r w:rsidR="0036190C">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A02A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36190C" w:rsidRDefault="0036190C" w:rsidP="0036190C">
      <w:pPr>
        <w:spacing w:after="0" w:line="240" w:lineRule="auto"/>
        <w:rPr>
          <w:rFonts w:ascii="Times New Roman" w:eastAsia="Times New Roman" w:hAnsi="Times New Roman" w:cs="Times New Roman"/>
          <w:sz w:val="24"/>
          <w:szCs w:val="20"/>
          <w:lang w:eastAsia="en-GB"/>
        </w:rPr>
      </w:pPr>
    </w:p>
    <w:p w:rsidR="008A02AF" w:rsidRDefault="008A02AF" w:rsidP="008A02AF">
      <w:pPr>
        <w:spacing w:after="0" w:line="240" w:lineRule="auto"/>
        <w:ind w:left="426"/>
        <w:jc w:val="both"/>
        <w:rPr>
          <w:rFonts w:ascii="Times New Roman" w:eastAsia="Times New Roman" w:hAnsi="Times New Roman" w:cs="Times New Roman"/>
          <w:lang w:eastAsia="en-GB"/>
        </w:rPr>
      </w:pPr>
      <w:r w:rsidRPr="008A02AF">
        <w:rPr>
          <w:rFonts w:ascii="Times New Roman" w:eastAsia="Times New Roman" w:hAnsi="Times New Roman" w:cs="Times New Roman"/>
          <w:lang w:eastAsia="en-GB"/>
        </w:rPr>
        <w:t xml:space="preserve">Nous proposons un poste de coordinateur des politiques au sein de l'Unité A-1 - </w:t>
      </w:r>
      <w:proofErr w:type="spellStart"/>
      <w:r w:rsidRPr="008A02AF">
        <w:rPr>
          <w:rFonts w:ascii="Times New Roman" w:eastAsia="Times New Roman" w:hAnsi="Times New Roman" w:cs="Times New Roman"/>
          <w:lang w:eastAsia="en-GB"/>
        </w:rPr>
        <w:t>Task</w:t>
      </w:r>
      <w:proofErr w:type="spellEnd"/>
      <w:r w:rsidRPr="008A02AF">
        <w:rPr>
          <w:rFonts w:ascii="Times New Roman" w:eastAsia="Times New Roman" w:hAnsi="Times New Roman" w:cs="Times New Roman"/>
          <w:lang w:eastAsia="en-GB"/>
        </w:rPr>
        <w:t xml:space="preserve"> Force Digital </w:t>
      </w:r>
      <w:proofErr w:type="spellStart"/>
      <w:r w:rsidRPr="008A02AF">
        <w:rPr>
          <w:rFonts w:ascii="Times New Roman" w:eastAsia="Times New Roman" w:hAnsi="Times New Roman" w:cs="Times New Roman"/>
          <w:lang w:eastAsia="en-GB"/>
        </w:rPr>
        <w:t>Markets</w:t>
      </w:r>
      <w:proofErr w:type="spellEnd"/>
      <w:r w:rsidRPr="008A02AF">
        <w:rPr>
          <w:rFonts w:ascii="Times New Roman" w:eastAsia="Times New Roman" w:hAnsi="Times New Roman" w:cs="Times New Roman"/>
          <w:lang w:eastAsia="en-GB"/>
        </w:rPr>
        <w:t xml:space="preserve"> </w:t>
      </w:r>
      <w:proofErr w:type="spellStart"/>
      <w:r w:rsidRPr="008A02AF">
        <w:rPr>
          <w:rFonts w:ascii="Times New Roman" w:eastAsia="Times New Roman" w:hAnsi="Times New Roman" w:cs="Times New Roman"/>
          <w:lang w:eastAsia="en-GB"/>
        </w:rPr>
        <w:t>Act</w:t>
      </w:r>
      <w:proofErr w:type="spellEnd"/>
      <w:r w:rsidRPr="008A02AF">
        <w:rPr>
          <w:rFonts w:ascii="Times New Roman" w:eastAsia="Times New Roman" w:hAnsi="Times New Roman" w:cs="Times New Roman"/>
          <w:lang w:eastAsia="en-GB"/>
        </w:rPr>
        <w:t xml:space="preserve"> de la Direction Général </w:t>
      </w:r>
      <w:proofErr w:type="spellStart"/>
      <w:r w:rsidRPr="008A02AF">
        <w:rPr>
          <w:rFonts w:ascii="Times New Roman" w:eastAsia="Times New Roman" w:hAnsi="Times New Roman" w:cs="Times New Roman"/>
          <w:lang w:eastAsia="en-GB"/>
        </w:rPr>
        <w:t>ede</w:t>
      </w:r>
      <w:proofErr w:type="spellEnd"/>
      <w:r w:rsidRPr="008A02AF">
        <w:rPr>
          <w:rFonts w:ascii="Times New Roman" w:eastAsia="Times New Roman" w:hAnsi="Times New Roman" w:cs="Times New Roman"/>
          <w:lang w:eastAsia="en-GB"/>
        </w:rPr>
        <w:t xml:space="preserve"> la Concurrence (DG COMP) dans un environnement de travail dynamique et stimulant intellectuellement.  </w:t>
      </w:r>
    </w:p>
    <w:p w:rsidR="008A02AF" w:rsidRPr="008A02AF" w:rsidRDefault="008A02AF" w:rsidP="008A02AF">
      <w:pPr>
        <w:spacing w:after="0" w:line="240" w:lineRule="auto"/>
        <w:ind w:left="426"/>
        <w:jc w:val="both"/>
        <w:rPr>
          <w:rFonts w:ascii="Times New Roman" w:eastAsia="Times New Roman" w:hAnsi="Times New Roman" w:cs="Times New Roman"/>
          <w:lang w:eastAsia="en-GB"/>
        </w:rPr>
      </w:pPr>
    </w:p>
    <w:p w:rsidR="008A02AF" w:rsidRPr="008A02AF" w:rsidRDefault="008A02AF" w:rsidP="008A02AF">
      <w:pPr>
        <w:spacing w:after="0" w:line="240" w:lineRule="auto"/>
        <w:ind w:left="426"/>
        <w:jc w:val="both"/>
        <w:rPr>
          <w:rFonts w:ascii="Times New Roman" w:eastAsia="Times New Roman" w:hAnsi="Times New Roman" w:cs="Times New Roman"/>
          <w:lang w:eastAsia="en-GB"/>
        </w:rPr>
      </w:pPr>
      <w:r w:rsidRPr="008A02AF">
        <w:rPr>
          <w:rFonts w:ascii="Times New Roman" w:eastAsia="Times New Roman" w:hAnsi="Times New Roman" w:cs="Times New Roman"/>
          <w:lang w:eastAsia="en-GB"/>
        </w:rPr>
        <w:t xml:space="preserve">La </w:t>
      </w:r>
      <w:proofErr w:type="spellStart"/>
      <w:r w:rsidRPr="008A02AF">
        <w:rPr>
          <w:rFonts w:ascii="Times New Roman" w:eastAsia="Times New Roman" w:hAnsi="Times New Roman" w:cs="Times New Roman"/>
          <w:lang w:eastAsia="en-GB"/>
        </w:rPr>
        <w:t>Task</w:t>
      </w:r>
      <w:proofErr w:type="spellEnd"/>
      <w:r w:rsidRPr="008A02AF">
        <w:rPr>
          <w:rFonts w:ascii="Times New Roman" w:eastAsia="Times New Roman" w:hAnsi="Times New Roman" w:cs="Times New Roman"/>
          <w:lang w:eastAsia="en-GB"/>
        </w:rPr>
        <w:t xml:space="preserve"> Force Digital </w:t>
      </w:r>
      <w:proofErr w:type="spellStart"/>
      <w:r w:rsidRPr="008A02AF">
        <w:rPr>
          <w:rFonts w:ascii="Times New Roman" w:eastAsia="Times New Roman" w:hAnsi="Times New Roman" w:cs="Times New Roman"/>
          <w:lang w:eastAsia="en-GB"/>
        </w:rPr>
        <w:t>Markets</w:t>
      </w:r>
      <w:proofErr w:type="spellEnd"/>
      <w:r w:rsidRPr="008A02AF">
        <w:rPr>
          <w:rFonts w:ascii="Times New Roman" w:eastAsia="Times New Roman" w:hAnsi="Times New Roman" w:cs="Times New Roman"/>
          <w:lang w:eastAsia="en-GB"/>
        </w:rPr>
        <w:t xml:space="preserve"> </w:t>
      </w:r>
      <w:proofErr w:type="spellStart"/>
      <w:r w:rsidRPr="008A02AF">
        <w:rPr>
          <w:rFonts w:ascii="Times New Roman" w:eastAsia="Times New Roman" w:hAnsi="Times New Roman" w:cs="Times New Roman"/>
          <w:lang w:eastAsia="en-GB"/>
        </w:rPr>
        <w:t>Act</w:t>
      </w:r>
      <w:proofErr w:type="spellEnd"/>
      <w:r w:rsidRPr="008A02AF">
        <w:rPr>
          <w:rFonts w:ascii="Times New Roman" w:eastAsia="Times New Roman" w:hAnsi="Times New Roman" w:cs="Times New Roman"/>
          <w:lang w:eastAsia="en-GB"/>
        </w:rPr>
        <w:t>, créée au sein de l'Unité A.1 (Politique et support des cas concernant les pratiques anticoncurrentielles), est chargée :</w:t>
      </w:r>
    </w:p>
    <w:p w:rsidR="008A02AF" w:rsidRPr="008A02AF" w:rsidRDefault="008A02AF" w:rsidP="008A02AF">
      <w:pPr>
        <w:pStyle w:val="ListParagraph"/>
        <w:numPr>
          <w:ilvl w:val="0"/>
          <w:numId w:val="35"/>
        </w:numPr>
        <w:spacing w:after="0" w:line="240" w:lineRule="auto"/>
        <w:ind w:left="709" w:hanging="283"/>
        <w:jc w:val="both"/>
        <w:rPr>
          <w:rFonts w:ascii="Times New Roman" w:eastAsia="Times New Roman" w:hAnsi="Times New Roman" w:cs="Times New Roman"/>
          <w:lang w:eastAsia="en-GB"/>
        </w:rPr>
      </w:pPr>
      <w:r w:rsidRPr="008A02AF">
        <w:rPr>
          <w:rFonts w:ascii="Times New Roman" w:eastAsia="Times New Roman" w:hAnsi="Times New Roman" w:cs="Times New Roman"/>
          <w:lang w:eastAsia="en-GB"/>
        </w:rPr>
        <w:t xml:space="preserve">De l'adoption rapide de la Législation sur les marchés numériques en s'assurant de sa complémentarité ainsi que de sa cohérence avec l'application du droit de la concurrence </w:t>
      </w:r>
    </w:p>
    <w:p w:rsidR="008A02AF" w:rsidRPr="008A02AF" w:rsidRDefault="008A02AF" w:rsidP="008A02AF">
      <w:pPr>
        <w:pStyle w:val="ListParagraph"/>
        <w:numPr>
          <w:ilvl w:val="0"/>
          <w:numId w:val="35"/>
        </w:numPr>
        <w:spacing w:after="0" w:line="240" w:lineRule="auto"/>
        <w:ind w:left="709" w:hanging="283"/>
        <w:jc w:val="both"/>
        <w:rPr>
          <w:rFonts w:ascii="Times New Roman" w:eastAsia="Times New Roman" w:hAnsi="Times New Roman" w:cs="Times New Roman"/>
          <w:lang w:eastAsia="en-GB"/>
        </w:rPr>
      </w:pPr>
      <w:r w:rsidRPr="008A02AF">
        <w:rPr>
          <w:rFonts w:ascii="Times New Roman" w:eastAsia="Times New Roman" w:hAnsi="Times New Roman" w:cs="Times New Roman"/>
          <w:lang w:eastAsia="en-GB"/>
        </w:rPr>
        <w:t>De la coordination avec les travaux du Réseau Européen de la Concurrence</w:t>
      </w:r>
    </w:p>
    <w:p w:rsidR="008A02AF" w:rsidRPr="008A02AF" w:rsidRDefault="008A02AF" w:rsidP="008A02AF">
      <w:pPr>
        <w:pStyle w:val="ListParagraph"/>
        <w:numPr>
          <w:ilvl w:val="0"/>
          <w:numId w:val="35"/>
        </w:numPr>
        <w:spacing w:after="0" w:line="240" w:lineRule="auto"/>
        <w:ind w:left="709" w:hanging="283"/>
        <w:jc w:val="both"/>
        <w:rPr>
          <w:rFonts w:ascii="Times New Roman" w:eastAsia="Times New Roman" w:hAnsi="Times New Roman" w:cs="Times New Roman"/>
          <w:lang w:eastAsia="en-GB"/>
        </w:rPr>
      </w:pPr>
      <w:r w:rsidRPr="008A02AF">
        <w:rPr>
          <w:rFonts w:ascii="Times New Roman" w:eastAsia="Times New Roman" w:hAnsi="Times New Roman" w:cs="Times New Roman"/>
          <w:lang w:eastAsia="en-GB"/>
        </w:rPr>
        <w:t xml:space="preserve">De la mise en œuvre efficace de la Législation sur les marchés numériques en s'appuyant notamment sur l'expérience et les outils utilisés dans le contrôle des pratiques anticoncurrentielles et des concentrations. </w:t>
      </w:r>
    </w:p>
    <w:p w:rsidR="008A02AF" w:rsidRDefault="008A02AF" w:rsidP="008A02AF">
      <w:pPr>
        <w:spacing w:after="0" w:line="240" w:lineRule="auto"/>
        <w:ind w:left="426"/>
        <w:jc w:val="both"/>
        <w:rPr>
          <w:rFonts w:ascii="Times New Roman" w:eastAsia="Times New Roman" w:hAnsi="Times New Roman" w:cs="Times New Roman"/>
          <w:lang w:eastAsia="en-GB"/>
        </w:rPr>
      </w:pPr>
    </w:p>
    <w:p w:rsidR="008A02AF" w:rsidRDefault="008A02AF" w:rsidP="008A02AF">
      <w:pPr>
        <w:spacing w:after="0" w:line="240" w:lineRule="auto"/>
        <w:ind w:left="426"/>
        <w:jc w:val="both"/>
        <w:rPr>
          <w:rFonts w:ascii="Times New Roman" w:eastAsia="Times New Roman" w:hAnsi="Times New Roman" w:cs="Times New Roman"/>
          <w:lang w:eastAsia="en-GB"/>
        </w:rPr>
      </w:pPr>
      <w:r w:rsidRPr="008A02AF">
        <w:rPr>
          <w:rFonts w:ascii="Times New Roman" w:eastAsia="Times New Roman" w:hAnsi="Times New Roman" w:cs="Times New Roman"/>
          <w:lang w:eastAsia="en-GB"/>
        </w:rPr>
        <w:t xml:space="preserve">La Législation sur les marchés numériques sera un nouvel outil mis en œuvre par la Commission, dans le but de rendre les marchés numériques équitables et ouverts.  Cette mise en œuvre devra être faite de manière extrêmement coordonnée avec les règles européennes et nationales en matière de droit de la cooccurrence de manière à s'assurer de la cohérence et de la complémentarité de la nouvelle législation avec les règles existantes et ce dans tous les différents instruments de droit de la concurrence. </w:t>
      </w:r>
    </w:p>
    <w:p w:rsidR="008A02AF" w:rsidRPr="008A02AF" w:rsidRDefault="008A02AF" w:rsidP="008A02AF">
      <w:pPr>
        <w:spacing w:after="0" w:line="240" w:lineRule="auto"/>
        <w:ind w:left="426"/>
        <w:jc w:val="both"/>
        <w:rPr>
          <w:rFonts w:ascii="Times New Roman" w:eastAsia="Times New Roman" w:hAnsi="Times New Roman" w:cs="Times New Roman"/>
          <w:lang w:eastAsia="en-GB"/>
        </w:rPr>
      </w:pPr>
    </w:p>
    <w:p w:rsidR="008A02AF" w:rsidRPr="008A02AF" w:rsidRDefault="008A02AF" w:rsidP="008A02AF">
      <w:pPr>
        <w:spacing w:after="0" w:line="240" w:lineRule="auto"/>
        <w:ind w:left="426"/>
        <w:jc w:val="both"/>
        <w:rPr>
          <w:rFonts w:ascii="Times New Roman" w:eastAsia="Times New Roman" w:hAnsi="Times New Roman" w:cs="Times New Roman"/>
          <w:lang w:eastAsia="en-GB"/>
        </w:rPr>
      </w:pPr>
      <w:r w:rsidRPr="008A02AF">
        <w:rPr>
          <w:rFonts w:ascii="Times New Roman" w:eastAsia="Times New Roman" w:hAnsi="Times New Roman" w:cs="Times New Roman"/>
          <w:lang w:eastAsia="en-GB"/>
        </w:rPr>
        <w:t xml:space="preserve">Le travail préparatoire à la mise en œuvre de la législation sur les marchés numériques comprendra notamment les tâches suivantes : préparation des futures actions de mise en œuvre, préparation des actes d'exécution de la future législation ainsi que des règles de procédures, début de la phase de discussions préliminaires avec les entreprises concernées. </w:t>
      </w:r>
    </w:p>
    <w:p w:rsidR="008A02AF" w:rsidRDefault="008A02AF" w:rsidP="008A02AF">
      <w:pPr>
        <w:spacing w:after="0" w:line="240" w:lineRule="auto"/>
        <w:ind w:left="426"/>
        <w:jc w:val="both"/>
        <w:rPr>
          <w:rFonts w:ascii="Times New Roman" w:eastAsia="Times New Roman" w:hAnsi="Times New Roman" w:cs="Times New Roman"/>
          <w:lang w:eastAsia="en-GB"/>
        </w:rPr>
      </w:pPr>
      <w:r w:rsidRPr="008A02AF">
        <w:rPr>
          <w:rFonts w:ascii="Times New Roman" w:eastAsia="Times New Roman" w:hAnsi="Times New Roman" w:cs="Times New Roman"/>
          <w:lang w:eastAsia="en-GB"/>
        </w:rPr>
        <w:lastRenderedPageBreak/>
        <w:t>Une fois la nouvelle législation en vigueur, les tâches comprendront notamment l'organisation des discussions préliminaires avec les contrôleurs d'accès, l'analyse et la vérification des dossiers déposés par ceux-ci, la préparation de décisions notamment des décisions de désignations des contrôleurs d'accès ainsi que le suivi et la surveillance de la conformité à ces décisions.</w:t>
      </w:r>
    </w:p>
    <w:p w:rsidR="008A02AF" w:rsidRPr="008A02AF" w:rsidRDefault="008A02AF" w:rsidP="008A02AF">
      <w:pPr>
        <w:spacing w:after="0" w:line="240" w:lineRule="auto"/>
        <w:ind w:left="426"/>
        <w:jc w:val="both"/>
        <w:rPr>
          <w:rFonts w:ascii="Times New Roman" w:eastAsia="Times New Roman" w:hAnsi="Times New Roman" w:cs="Times New Roman"/>
          <w:lang w:eastAsia="en-GB"/>
        </w:rPr>
      </w:pPr>
    </w:p>
    <w:p w:rsidR="008A02AF" w:rsidRDefault="008A02AF" w:rsidP="008A02AF">
      <w:pPr>
        <w:spacing w:after="0" w:line="240" w:lineRule="auto"/>
        <w:ind w:left="426"/>
        <w:jc w:val="both"/>
        <w:rPr>
          <w:rFonts w:ascii="Times New Roman" w:eastAsia="Times New Roman" w:hAnsi="Times New Roman" w:cs="Times New Roman"/>
          <w:lang w:eastAsia="en-GB"/>
        </w:rPr>
      </w:pPr>
      <w:r w:rsidRPr="008A02AF">
        <w:rPr>
          <w:rFonts w:ascii="Times New Roman" w:eastAsia="Times New Roman" w:hAnsi="Times New Roman" w:cs="Times New Roman"/>
          <w:lang w:eastAsia="en-GB"/>
        </w:rPr>
        <w:t xml:space="preserve">Ce travail sera à la fois novateur, intellectuellement stimulant et interactif et impliquera des contacts fréquents avec les autres directions générales de la Commission ainsi qu'avec les entreprises concernées et les autorités nationales. </w:t>
      </w:r>
    </w:p>
    <w:p w:rsidR="008A02AF" w:rsidRPr="008A02AF" w:rsidRDefault="008A02AF" w:rsidP="008A02AF">
      <w:pPr>
        <w:spacing w:after="0" w:line="240" w:lineRule="auto"/>
        <w:ind w:left="426"/>
        <w:jc w:val="both"/>
        <w:rPr>
          <w:rFonts w:ascii="Times New Roman" w:eastAsia="Times New Roman" w:hAnsi="Times New Roman" w:cs="Times New Roman"/>
          <w:lang w:eastAsia="en-GB"/>
        </w:rPr>
      </w:pPr>
    </w:p>
    <w:p w:rsidR="002F53FB" w:rsidRDefault="008A02AF" w:rsidP="008A02AF">
      <w:pPr>
        <w:spacing w:after="0" w:line="240" w:lineRule="auto"/>
        <w:ind w:left="426"/>
        <w:jc w:val="both"/>
        <w:rPr>
          <w:rFonts w:ascii="Times New Roman" w:eastAsia="Times New Roman" w:hAnsi="Times New Roman" w:cs="Times New Roman"/>
          <w:lang w:eastAsia="en-GB"/>
        </w:rPr>
      </w:pPr>
      <w:r w:rsidRPr="008A02AF">
        <w:rPr>
          <w:rFonts w:ascii="Times New Roman" w:eastAsia="Times New Roman" w:hAnsi="Times New Roman" w:cs="Times New Roman"/>
          <w:lang w:eastAsia="en-GB"/>
        </w:rPr>
        <w:t>Le candidat idéal devra avoir de solides connaissances légales ou économiques, d'excellentes aptitudes rédactionnelles, avoir un solide esprit d'équipe et la capacité à effectuer son travail de manière indépendante dans des délais parfois très courts.  Le candidat doit également avoir une bonne connaissance des marchés numériques. Une expérience dans le secteur des technologies de l'information (expertise technique, application du droit de la concurrence) serait un atout supplémentaire. Nous fonctionnons avec une structure organisationnelle horizontale et nous proposons une atmosphère de travail à la fois amicale et ouverte d'esprit avec un haut degré d'autonomie dans le travail.</w:t>
      </w:r>
    </w:p>
    <w:p w:rsidR="008A02AF" w:rsidRPr="002F53FB" w:rsidRDefault="008A02AF" w:rsidP="008A02AF">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E12EF4">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7F276B">
        <w:rPr>
          <w:rFonts w:ascii="Times New Roman" w:eastAsia="Times New Roman" w:hAnsi="Times New Roman" w:cs="Times New Roman"/>
          <w:lang w:eastAsia="en-GB"/>
        </w:rPr>
        <w:t> </w:t>
      </w:r>
      <w:r w:rsidR="007F276B" w:rsidRPr="00E12EF4">
        <w:rPr>
          <w:rFonts w:ascii="Times New Roman" w:eastAsia="Times New Roman" w:hAnsi="Times New Roman" w:cs="Times New Roman"/>
          <w:lang w:eastAsia="en-GB"/>
        </w:rPr>
        <w:t>:</w:t>
      </w:r>
      <w:r w:rsidR="00E12EF4" w:rsidRPr="00E12EF4">
        <w:rPr>
          <w:rFonts w:ascii="Times New Roman" w:hAnsi="Times New Roman" w:cs="Times New Roman"/>
        </w:rPr>
        <w:t xml:space="preserve"> </w:t>
      </w:r>
      <w:r w:rsidR="008A02AF" w:rsidRPr="008A02AF">
        <w:rPr>
          <w:rFonts w:ascii="Times New Roman" w:hAnsi="Times New Roman" w:cs="Times New Roman"/>
        </w:rPr>
        <w:t>droit de la concurrence ou régulation du marché intérieur</w:t>
      </w:r>
      <w:r w:rsidR="00E12EF4">
        <w:rPr>
          <w:rFonts w:ascii="Times New Roman" w:eastAsia="Times New Roman" w:hAnsi="Times New Roman" w:cs="Times New Roman"/>
          <w:lang w:eastAsia="en-GB"/>
        </w:rPr>
        <w:t>.</w:t>
      </w:r>
    </w:p>
    <w:p w:rsidR="001F34B4" w:rsidRPr="00745B97" w:rsidRDefault="001F34B4"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F34B4" w:rsidRPr="008A02AF" w:rsidRDefault="008A02AF" w:rsidP="008A02AF">
      <w:pPr>
        <w:tabs>
          <w:tab w:val="left" w:pos="709"/>
        </w:tabs>
        <w:spacing w:after="0" w:line="240" w:lineRule="auto"/>
        <w:ind w:left="709" w:right="60"/>
        <w:jc w:val="both"/>
        <w:rPr>
          <w:rFonts w:ascii="Times New Roman" w:eastAsia="Times New Roman" w:hAnsi="Times New Roman" w:cs="Times New Roman"/>
          <w:lang w:eastAsia="en-GB"/>
        </w:rPr>
      </w:pPr>
      <w:r w:rsidRPr="008A02AF">
        <w:rPr>
          <w:rFonts w:ascii="Times New Roman" w:eastAsia="Times New Roman" w:hAnsi="Times New Roman" w:cs="Times New Roman"/>
          <w:lang w:eastAsia="en-GB"/>
        </w:rPr>
        <w:t>Autorité nationale de la concurrence or autorité de régulation</w:t>
      </w:r>
      <w:r>
        <w:rPr>
          <w:rFonts w:ascii="Times New Roman" w:eastAsia="Times New Roman" w:hAnsi="Times New Roman" w:cs="Times New Roman"/>
          <w:lang w:eastAsia="en-GB"/>
        </w:rPr>
        <w:t>.</w:t>
      </w:r>
    </w:p>
    <w:p w:rsidR="001F34B4" w:rsidRPr="001F34B4" w:rsidRDefault="001F34B4" w:rsidP="001F34B4">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A02AF" w:rsidRPr="00010C4F" w:rsidRDefault="008A02AF" w:rsidP="008A02AF">
      <w:pPr>
        <w:spacing w:after="0" w:line="240" w:lineRule="auto"/>
        <w:ind w:left="709"/>
        <w:jc w:val="both"/>
        <w:rPr>
          <w:rFonts w:ascii="Times New Roman" w:eastAsia="Times New Roman" w:hAnsi="Times New Roman" w:cs="Times New Roman"/>
          <w:lang w:eastAsia="en-GB"/>
        </w:rPr>
      </w:pPr>
      <w:r>
        <w:rPr>
          <w:rFonts w:ascii="Times New Roman" w:eastAsia="Times New Roman" w:hAnsi="Times New Roman" w:cs="Times New Roman"/>
          <w:lang w:eastAsia="en-GB"/>
        </w:rPr>
        <w:t>Anglais</w:t>
      </w:r>
    </w:p>
    <w:p w:rsidR="001F18BF" w:rsidRDefault="001F18BF" w:rsidP="008A02AF">
      <w:pPr>
        <w:spacing w:after="0" w:line="240" w:lineRule="auto"/>
        <w:ind w:left="709"/>
        <w:jc w:val="both"/>
        <w:rPr>
          <w:rFonts w:ascii="Times New Roman" w:eastAsia="Times New Roman" w:hAnsi="Times New Roman" w:cs="Times New Roman"/>
          <w:lang w:eastAsia="en-GB"/>
        </w:rPr>
      </w:pPr>
    </w:p>
    <w:p w:rsidR="008A02AF" w:rsidRDefault="008A02AF" w:rsidP="008A02AF">
      <w:pPr>
        <w:spacing w:after="0" w:line="240" w:lineRule="auto"/>
        <w:ind w:left="709"/>
        <w:jc w:val="both"/>
        <w:rPr>
          <w:rFonts w:ascii="Times New Roman" w:eastAsia="Times New Roman" w:hAnsi="Times New Roman" w:cs="Times New Roman"/>
          <w:lang w:eastAsia="en-GB"/>
        </w:rPr>
      </w:pPr>
    </w:p>
    <w:p w:rsidR="008A02AF" w:rsidRPr="00745B97" w:rsidRDefault="008A02AF" w:rsidP="008A02AF">
      <w:pPr>
        <w:spacing w:after="0" w:line="240" w:lineRule="auto"/>
        <w:ind w:left="709"/>
        <w:jc w:val="both"/>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8A02AF"/>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2E95702"/>
    <w:multiLevelType w:val="hybridMultilevel"/>
    <w:tmpl w:val="4D7E711C"/>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6AF14C1"/>
    <w:multiLevelType w:val="hybridMultilevel"/>
    <w:tmpl w:val="AEFC9FF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A2070DE"/>
    <w:multiLevelType w:val="hybridMultilevel"/>
    <w:tmpl w:val="A032344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D0C0BAC"/>
    <w:multiLevelType w:val="hybridMultilevel"/>
    <w:tmpl w:val="DA8CB85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FEE03C2"/>
    <w:multiLevelType w:val="hybridMultilevel"/>
    <w:tmpl w:val="D12C1042"/>
    <w:lvl w:ilvl="0" w:tplc="21785350">
      <w:start w:val="1"/>
      <w:numFmt w:val="bullet"/>
      <w:lvlText w:val="-"/>
      <w:lvlJc w:val="left"/>
      <w:pPr>
        <w:ind w:left="1146" w:hanging="360"/>
      </w:pPr>
      <w:rPr>
        <w:rFonts w:ascii="Times New Roman" w:hAnsi="Times New Roman" w:cs="Times New Roman" w:hint="default"/>
      </w:rPr>
    </w:lvl>
    <w:lvl w:ilvl="1" w:tplc="022A59AA">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4F72A31"/>
    <w:multiLevelType w:val="hybridMultilevel"/>
    <w:tmpl w:val="0422EB98"/>
    <w:lvl w:ilvl="0" w:tplc="BB646AA6">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2"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5"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DF867EE"/>
    <w:multiLevelType w:val="hybridMultilevel"/>
    <w:tmpl w:val="A64411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0202C4B"/>
    <w:multiLevelType w:val="hybridMultilevel"/>
    <w:tmpl w:val="FB36D27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3953F28"/>
    <w:multiLevelType w:val="hybridMultilevel"/>
    <w:tmpl w:val="E77619EA"/>
    <w:lvl w:ilvl="0" w:tplc="BE5C765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8C6648E"/>
    <w:multiLevelType w:val="hybridMultilevel"/>
    <w:tmpl w:val="F0407F3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E6B71A9"/>
    <w:multiLevelType w:val="hybridMultilevel"/>
    <w:tmpl w:val="763201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70C7507"/>
    <w:multiLevelType w:val="hybridMultilevel"/>
    <w:tmpl w:val="6FACBA5A"/>
    <w:lvl w:ilvl="0" w:tplc="BB8EE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1"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6B54288"/>
    <w:multiLevelType w:val="hybridMultilevel"/>
    <w:tmpl w:val="4DB2F6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CF21C4D"/>
    <w:multiLevelType w:val="hybridMultilevel"/>
    <w:tmpl w:val="D9C28A08"/>
    <w:lvl w:ilvl="0" w:tplc="21785350">
      <w:start w:val="1"/>
      <w:numFmt w:val="bullet"/>
      <w:lvlText w:val="-"/>
      <w:lvlJc w:val="left"/>
      <w:pPr>
        <w:ind w:left="1200" w:hanging="360"/>
      </w:pPr>
      <w:rPr>
        <w:rFonts w:ascii="Times New Roman" w:hAnsi="Times New Roman" w:cs="Times New Roman" w:hint="default"/>
      </w:rPr>
    </w:lvl>
    <w:lvl w:ilvl="1" w:tplc="08090003" w:tentative="1">
      <w:start w:val="1"/>
      <w:numFmt w:val="bullet"/>
      <w:lvlText w:val="o"/>
      <w:lvlJc w:val="left"/>
      <w:pPr>
        <w:ind w:left="1920" w:hanging="360"/>
      </w:pPr>
      <w:rPr>
        <w:rFonts w:ascii="Courier New" w:hAnsi="Courier New" w:cs="Courier New" w:hint="default"/>
      </w:rPr>
    </w:lvl>
    <w:lvl w:ilvl="2" w:tplc="08090005" w:tentative="1">
      <w:start w:val="1"/>
      <w:numFmt w:val="bullet"/>
      <w:lvlText w:val=""/>
      <w:lvlJc w:val="left"/>
      <w:pPr>
        <w:ind w:left="2640" w:hanging="360"/>
      </w:pPr>
      <w:rPr>
        <w:rFonts w:ascii="Wingdings" w:hAnsi="Wingdings" w:hint="default"/>
      </w:rPr>
    </w:lvl>
    <w:lvl w:ilvl="3" w:tplc="08090001" w:tentative="1">
      <w:start w:val="1"/>
      <w:numFmt w:val="bullet"/>
      <w:lvlText w:val=""/>
      <w:lvlJc w:val="left"/>
      <w:pPr>
        <w:ind w:left="3360" w:hanging="360"/>
      </w:pPr>
      <w:rPr>
        <w:rFonts w:ascii="Symbol" w:hAnsi="Symbol" w:hint="default"/>
      </w:rPr>
    </w:lvl>
    <w:lvl w:ilvl="4" w:tplc="08090003" w:tentative="1">
      <w:start w:val="1"/>
      <w:numFmt w:val="bullet"/>
      <w:lvlText w:val="o"/>
      <w:lvlJc w:val="left"/>
      <w:pPr>
        <w:ind w:left="4080" w:hanging="360"/>
      </w:pPr>
      <w:rPr>
        <w:rFonts w:ascii="Courier New" w:hAnsi="Courier New" w:cs="Courier New" w:hint="default"/>
      </w:rPr>
    </w:lvl>
    <w:lvl w:ilvl="5" w:tplc="08090005" w:tentative="1">
      <w:start w:val="1"/>
      <w:numFmt w:val="bullet"/>
      <w:lvlText w:val=""/>
      <w:lvlJc w:val="left"/>
      <w:pPr>
        <w:ind w:left="4800" w:hanging="360"/>
      </w:pPr>
      <w:rPr>
        <w:rFonts w:ascii="Wingdings" w:hAnsi="Wingdings" w:hint="default"/>
      </w:rPr>
    </w:lvl>
    <w:lvl w:ilvl="6" w:tplc="08090001" w:tentative="1">
      <w:start w:val="1"/>
      <w:numFmt w:val="bullet"/>
      <w:lvlText w:val=""/>
      <w:lvlJc w:val="left"/>
      <w:pPr>
        <w:ind w:left="5520" w:hanging="360"/>
      </w:pPr>
      <w:rPr>
        <w:rFonts w:ascii="Symbol" w:hAnsi="Symbol" w:hint="default"/>
      </w:rPr>
    </w:lvl>
    <w:lvl w:ilvl="7" w:tplc="08090003" w:tentative="1">
      <w:start w:val="1"/>
      <w:numFmt w:val="bullet"/>
      <w:lvlText w:val="o"/>
      <w:lvlJc w:val="left"/>
      <w:pPr>
        <w:ind w:left="6240" w:hanging="360"/>
      </w:pPr>
      <w:rPr>
        <w:rFonts w:ascii="Courier New" w:hAnsi="Courier New" w:cs="Courier New" w:hint="default"/>
      </w:rPr>
    </w:lvl>
    <w:lvl w:ilvl="8" w:tplc="08090005" w:tentative="1">
      <w:start w:val="1"/>
      <w:numFmt w:val="bullet"/>
      <w:lvlText w:val=""/>
      <w:lvlJc w:val="left"/>
      <w:pPr>
        <w:ind w:left="6960" w:hanging="360"/>
      </w:pPr>
      <w:rPr>
        <w:rFonts w:ascii="Wingdings" w:hAnsi="Wingdings" w:hint="default"/>
      </w:rPr>
    </w:lvl>
  </w:abstractNum>
  <w:num w:numId="1">
    <w:abstractNumId w:val="15"/>
  </w:num>
  <w:num w:numId="2">
    <w:abstractNumId w:val="12"/>
  </w:num>
  <w:num w:numId="3">
    <w:abstractNumId w:val="30"/>
  </w:num>
  <w:num w:numId="4">
    <w:abstractNumId w:val="17"/>
  </w:num>
  <w:num w:numId="5">
    <w:abstractNumId w:val="13"/>
  </w:num>
  <w:num w:numId="6">
    <w:abstractNumId w:val="4"/>
  </w:num>
  <w:num w:numId="7">
    <w:abstractNumId w:val="21"/>
  </w:num>
  <w:num w:numId="8">
    <w:abstractNumId w:val="14"/>
  </w:num>
  <w:num w:numId="9">
    <w:abstractNumId w:val="22"/>
  </w:num>
  <w:num w:numId="10">
    <w:abstractNumId w:val="10"/>
  </w:num>
  <w:num w:numId="11">
    <w:abstractNumId w:val="1"/>
  </w:num>
  <w:num w:numId="12">
    <w:abstractNumId w:val="7"/>
  </w:num>
  <w:num w:numId="13">
    <w:abstractNumId w:val="24"/>
  </w:num>
  <w:num w:numId="14">
    <w:abstractNumId w:val="29"/>
  </w:num>
  <w:num w:numId="15">
    <w:abstractNumId w:val="8"/>
  </w:num>
  <w:num w:numId="16">
    <w:abstractNumId w:val="0"/>
  </w:num>
  <w:num w:numId="17">
    <w:abstractNumId w:val="33"/>
  </w:num>
  <w:num w:numId="18">
    <w:abstractNumId w:val="31"/>
  </w:num>
  <w:num w:numId="19">
    <w:abstractNumId w:val="20"/>
  </w:num>
  <w:num w:numId="20">
    <w:abstractNumId w:val="16"/>
  </w:num>
  <w:num w:numId="21">
    <w:abstractNumId w:val="34"/>
  </w:num>
  <w:num w:numId="22">
    <w:abstractNumId w:val="28"/>
  </w:num>
  <w:num w:numId="23">
    <w:abstractNumId w:val="32"/>
  </w:num>
  <w:num w:numId="24">
    <w:abstractNumId w:val="9"/>
  </w:num>
  <w:num w:numId="25">
    <w:abstractNumId w:val="5"/>
  </w:num>
  <w:num w:numId="26">
    <w:abstractNumId w:val="2"/>
  </w:num>
  <w:num w:numId="27">
    <w:abstractNumId w:val="25"/>
  </w:num>
  <w:num w:numId="28">
    <w:abstractNumId w:val="27"/>
  </w:num>
  <w:num w:numId="29">
    <w:abstractNumId w:val="6"/>
  </w:num>
  <w:num w:numId="30">
    <w:abstractNumId w:val="11"/>
  </w:num>
  <w:num w:numId="31">
    <w:abstractNumId w:val="35"/>
  </w:num>
  <w:num w:numId="32">
    <w:abstractNumId w:val="19"/>
  </w:num>
  <w:num w:numId="33">
    <w:abstractNumId w:val="26"/>
  </w:num>
  <w:num w:numId="34">
    <w:abstractNumId w:val="3"/>
  </w:num>
  <w:num w:numId="35">
    <w:abstractNumId w:val="18"/>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10C4F"/>
    <w:rsid w:val="000D7956"/>
    <w:rsid w:val="000E6DA3"/>
    <w:rsid w:val="0019598C"/>
    <w:rsid w:val="001D1CEB"/>
    <w:rsid w:val="001F18BF"/>
    <w:rsid w:val="001F34B4"/>
    <w:rsid w:val="001F6A8B"/>
    <w:rsid w:val="00294A59"/>
    <w:rsid w:val="002A3536"/>
    <w:rsid w:val="002D3AB2"/>
    <w:rsid w:val="002D5733"/>
    <w:rsid w:val="002F53FB"/>
    <w:rsid w:val="003445AE"/>
    <w:rsid w:val="0036190C"/>
    <w:rsid w:val="00381739"/>
    <w:rsid w:val="003F6A25"/>
    <w:rsid w:val="0041391F"/>
    <w:rsid w:val="00443EC9"/>
    <w:rsid w:val="004947DA"/>
    <w:rsid w:val="004D1C94"/>
    <w:rsid w:val="00504F19"/>
    <w:rsid w:val="00534042"/>
    <w:rsid w:val="00563A0A"/>
    <w:rsid w:val="00581C3B"/>
    <w:rsid w:val="006321C7"/>
    <w:rsid w:val="006851C8"/>
    <w:rsid w:val="006F273B"/>
    <w:rsid w:val="00745B97"/>
    <w:rsid w:val="00762B34"/>
    <w:rsid w:val="00793AF8"/>
    <w:rsid w:val="007F276B"/>
    <w:rsid w:val="007F46B6"/>
    <w:rsid w:val="007F771A"/>
    <w:rsid w:val="00803AF5"/>
    <w:rsid w:val="00804B2F"/>
    <w:rsid w:val="008A02AF"/>
    <w:rsid w:val="00902804"/>
    <w:rsid w:val="00906967"/>
    <w:rsid w:val="009A421C"/>
    <w:rsid w:val="009C39A3"/>
    <w:rsid w:val="00A140DB"/>
    <w:rsid w:val="00A23D3E"/>
    <w:rsid w:val="00A516E1"/>
    <w:rsid w:val="00B05153"/>
    <w:rsid w:val="00B36D07"/>
    <w:rsid w:val="00BA34CF"/>
    <w:rsid w:val="00BC14A5"/>
    <w:rsid w:val="00C20621"/>
    <w:rsid w:val="00CF677F"/>
    <w:rsid w:val="00D805C9"/>
    <w:rsid w:val="00D869ED"/>
    <w:rsid w:val="00D9400C"/>
    <w:rsid w:val="00DF5355"/>
    <w:rsid w:val="00E109FB"/>
    <w:rsid w:val="00E12EF4"/>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5F61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a.ZUB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1579</Words>
  <Characters>8957</Characters>
  <Application>Microsoft Office Word</Application>
  <DocSecurity>0</DocSecurity>
  <Lines>186</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2022-03-11T12:16:00Z</dcterms:created>
  <dcterms:modified xsi:type="dcterms:W3CDTF">2022-03-11T12:16:00Z</dcterms:modified>
</cp:coreProperties>
</file>