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F3A5B" w:rsidP="0039580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395800">
              <w:rPr>
                <w:rFonts w:ascii="Times New Roman" w:eastAsia="Times New Roman" w:hAnsi="Times New Roman" w:cs="Times New Roman"/>
                <w:b/>
                <w:sz w:val="24"/>
                <w:szCs w:val="20"/>
                <w:lang w:val="de-DE" w:eastAsia="en-GB"/>
              </w:rPr>
              <w:t>E-2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95800" w:rsidRPr="002F4A81" w:rsidRDefault="00395800" w:rsidP="00395800">
            <w:pPr>
              <w:rPr>
                <w:rFonts w:ascii="Times New Roman" w:hAnsi="Times New Roman" w:cs="Times New Roman"/>
                <w:b/>
              </w:rPr>
            </w:pPr>
            <w:r w:rsidRPr="002F4A81">
              <w:rPr>
                <w:rFonts w:ascii="Times New Roman" w:hAnsi="Times New Roman" w:cs="Times New Roman"/>
                <w:b/>
              </w:rPr>
              <w:t>Natalia Lazarova</w:t>
            </w:r>
          </w:p>
          <w:p w:rsidR="00395800" w:rsidRPr="002F4A81" w:rsidRDefault="002F4A81" w:rsidP="00395800">
            <w:pPr>
              <w:rPr>
                <w:rFonts w:ascii="Times New Roman" w:hAnsi="Times New Roman" w:cs="Times New Roman"/>
                <w:b/>
              </w:rPr>
            </w:pPr>
            <w:r>
              <w:fldChar w:fldCharType="begin"/>
            </w:r>
            <w:r>
              <w:instrText xml:space="preserve"> HYPERLINK "mailto:Natalia.lazarova@ec.europa.eu" </w:instrText>
            </w:r>
            <w:r>
              <w:fldChar w:fldCharType="separate"/>
            </w:r>
            <w:r w:rsidR="00395800" w:rsidRPr="002F4A81">
              <w:rPr>
                <w:rStyle w:val="Hyperlink"/>
                <w:rFonts w:ascii="Times New Roman" w:hAnsi="Times New Roman" w:cs="Times New Roman"/>
                <w:b/>
              </w:rPr>
              <w:t>Natalia.lazarova@ec.europa.eu</w:t>
            </w:r>
            <w:r>
              <w:rPr>
                <w:rStyle w:val="Hyperlink"/>
                <w:rFonts w:ascii="Times New Roman" w:hAnsi="Times New Roman" w:cs="Times New Roman"/>
                <w:b/>
                <w:lang w:val="en-GB"/>
              </w:rPr>
              <w:fldChar w:fldCharType="end"/>
            </w:r>
            <w:r w:rsidR="00395800" w:rsidRPr="002F4A81">
              <w:rPr>
                <w:rFonts w:ascii="Times New Roman" w:hAnsi="Times New Roman" w:cs="Times New Roman"/>
                <w:b/>
              </w:rPr>
              <w:t xml:space="preserve">  </w:t>
            </w:r>
          </w:p>
          <w:p w:rsidR="009F5B63" w:rsidRPr="00613992" w:rsidRDefault="00395800" w:rsidP="00395800">
            <w:pPr>
              <w:ind w:left="34" w:right="1317"/>
              <w:jc w:val="both"/>
              <w:rPr>
                <w:rFonts w:ascii="Times New Roman" w:hAnsi="Times New Roman" w:cs="Times New Roman"/>
                <w:b/>
              </w:rPr>
            </w:pPr>
            <w:r w:rsidRPr="002F4A81">
              <w:rPr>
                <w:rFonts w:ascii="Times New Roman" w:hAnsi="Times New Roman" w:cs="Times New Roman"/>
                <w:b/>
              </w:rPr>
              <w:t>+32 2 295 8857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F3A5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Das Referat E-2 der GD Wettbewerb ist mit der Anwendung des EU-Kartellrechts in allen Branchen der Konsumgüter, der Grundstoffindustrie, der Landwirtschaft sowie des produzierenden Gewerbes, einschließlich Automobilbau und –vertrieb, befasst. Wir suchen eine(n) hochmotivierte(n) und dynamische(n) Referenten/Referentin.</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 xml:space="preserve">Die Tätigkeit umfasst die Analyse wettbewerbsrechtlicher Sachverhalte in den betreffenden Branchen unter rechtlichen und ökonomischen </w:t>
      </w:r>
      <w:proofErr w:type="gramStart"/>
      <w:r w:rsidRPr="00395800">
        <w:rPr>
          <w:rFonts w:ascii="Times New Roman" w:eastAsia="Times New Roman" w:hAnsi="Times New Roman" w:cs="Times New Roman"/>
          <w:lang w:val="de-DE" w:eastAsia="en-GB"/>
        </w:rPr>
        <w:t>Gesichtspunkten,  insbesondere</w:t>
      </w:r>
      <w:proofErr w:type="gramEnd"/>
      <w:r w:rsidRPr="00395800">
        <w:rPr>
          <w:rFonts w:ascii="Times New Roman" w:eastAsia="Times New Roman" w:hAnsi="Times New Roman" w:cs="Times New Roman"/>
          <w:lang w:val="de-DE" w:eastAsia="en-GB"/>
        </w:rPr>
        <w:t xml:space="preserve">: </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Mitarbeit an allen Verfahrensschritten bei Einzelfallermittlungen in Anwendung der Artikel 101, 102 und 106 des Vertrags im Zuständigkeitsbereich des Referates. Diese umfasst individuelle Arbeit wie auch Arbeit in Teams, sowie regelmäßige Kontakte mit Unternehmen und deren rechtlichen Vertretern, mit anderen Direktionen der GD Wettbewerb sowie anderen Dienststellen der Kommission.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Mitarbeit an der Formulierung der Wettbewerbspolitik, etwa durch Teilnahme an Arbeitsgruppen sowie durch die Erstellung von Berichten.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Erstellung von Briefings und Redeentwürfen für die Kommissarin und den Generaldirektor für Wettbewerbspolitik.</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Marktbeobachtung der Branchen, die in die Zuständigkeit des Referates fallen, im Hinblick auf das Aufspüren von wettbewerbswidrigen Verhaltensweisen und die eventuelle Einleitung von ex officio-Untersuchungen.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Analyse und Klärung von Wettbewerbsfragen im Rahmen informeller Kontakte mit Unternehmen und deren Vertretern, etwa im Rahmen informeller Beschwerden.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Abfassung von Antworten auf parlamentarische Anfragen und auf Fragen von Unternehmen und Bürgern zur Wettbewerbspolitik.</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C65BA8" w:rsidRPr="00DA006A"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Der Referent/die Referentin ist in erster Linie für Kartellrechtsfälle sowie für Fälle des Missbrauchs einer beherrschenden Stellung verantwortlich. Die Tätigkeit kann ebenfalls die Bearbeitung von Fusionsfällen in den betreffenden Branchen beinhalten (im Rahmen der Zuständigkeit des Referates E-4).</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95800" w:rsidRPr="00395800">
        <w:rPr>
          <w:rFonts w:ascii="Times New Roman" w:eastAsia="Times New Roman" w:hAnsi="Times New Roman" w:cs="Times New Roman"/>
          <w:lang w:val="de-DE" w:eastAsia="en-GB"/>
        </w:rPr>
        <w:t>Rechtswissenschaften und/oder Wirtschaftswissenschaften im Bereich der Wettbewerbspolitik</w:t>
      </w:r>
      <w:r w:rsidR="00B931DA" w:rsidRPr="00B931DA">
        <w:rPr>
          <w:rFonts w:ascii="Times New Roman" w:eastAsia="Times New Roman" w:hAnsi="Times New Roman" w:cs="Times New Roman"/>
          <w:lang w:val="de-DE" w:eastAsia="en-GB"/>
        </w:rPr>
        <w: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395800"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Entsprechende Erfahrung in den Branchen der Konsumgüter, der Grundstoffindustrie, der Landwirtschaft und dem produzierenden Gewerbe wäre willkommen.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395800"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Interessenten sollten mündlich und schriftlich in Englisch arbeiten können. Kenntnisse anderer EU-Sprachen sind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2F4A81">
        <w:fldChar w:fldCharType="begin"/>
      </w:r>
      <w:r w:rsidR="002F4A81" w:rsidRPr="002F4A81">
        <w:rPr>
          <w:lang w:val="de-DE"/>
        </w:rPr>
        <w:instrText xml:space="preserve"> HYPERLINK "http://europass.cedefop.europa.eu/de/documents/curriculum-vitae" </w:instrText>
      </w:r>
      <w:r w:rsidR="002F4A81">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2F4A81">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8"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9"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F4A81">
      <w:pPr>
        <w:rPr>
          <w:lang w:val="de-DE"/>
        </w:rPr>
      </w:pPr>
    </w:p>
    <w:sectPr w:rsidR="00AC55BD" w:rsidRPr="00950BA5"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2F4A81"/>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1214</Words>
  <Characters>8670</Characters>
  <Application>Microsoft Office Word</Application>
  <DocSecurity>0</DocSecurity>
  <Lines>197</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2022-03-11T12:52:00Z</dcterms:created>
  <dcterms:modified xsi:type="dcterms:W3CDTF">2022-03-11T12:52:00Z</dcterms:modified>
</cp:coreProperties>
</file>