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F2BCA" w:rsidP="00CB29F1">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REFORM-B-1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F2BCA" w:rsidRPr="008F2BCA" w:rsidRDefault="008F2BCA" w:rsidP="008F2BCA">
            <w:pPr>
              <w:rPr>
                <w:rFonts w:ascii="Times New Roman" w:hAnsi="Times New Roman" w:cs="Times New Roman"/>
                <w:b/>
                <w:lang w:val="en-GB"/>
              </w:rPr>
            </w:pPr>
            <w:r w:rsidRPr="008F2BCA">
              <w:rPr>
                <w:rFonts w:ascii="Times New Roman" w:hAnsi="Times New Roman" w:cs="Times New Roman"/>
                <w:b/>
                <w:lang w:val="en-GB"/>
              </w:rPr>
              <w:t xml:space="preserve">Christoph SCHWIERZ </w:t>
            </w:r>
          </w:p>
          <w:p w:rsidR="008F2BCA" w:rsidRPr="008F2BCA" w:rsidRDefault="008F2BCA" w:rsidP="008F2BCA">
            <w:pPr>
              <w:rPr>
                <w:rFonts w:ascii="Times New Roman" w:hAnsi="Times New Roman" w:cs="Times New Roman"/>
                <w:b/>
                <w:lang w:val="en-GB"/>
              </w:rPr>
            </w:pPr>
            <w:hyperlink r:id="rId8" w:history="1">
              <w:r w:rsidRPr="008F2BCA">
                <w:rPr>
                  <w:rFonts w:ascii="Times New Roman" w:hAnsi="Times New Roman" w:cs="Times New Roman"/>
                  <w:b/>
                  <w:color w:val="0000FF" w:themeColor="hyperlink"/>
                  <w:u w:val="single"/>
                  <w:lang w:val="en-GB"/>
                </w:rPr>
                <w:t>Christoph.SCHWIERZ@ec.europa.eu</w:t>
              </w:r>
            </w:hyperlink>
            <w:r w:rsidRPr="008F2BCA">
              <w:rPr>
                <w:rFonts w:ascii="Times New Roman" w:hAnsi="Times New Roman" w:cs="Times New Roman"/>
                <w:b/>
                <w:lang w:val="en-GB"/>
              </w:rPr>
              <w:t xml:space="preserve"> </w:t>
            </w:r>
          </w:p>
          <w:p w:rsidR="00E21280" w:rsidRPr="00E7382B" w:rsidRDefault="008F2BCA" w:rsidP="008F2BCA">
            <w:pPr>
              <w:ind w:right="1317"/>
              <w:jc w:val="both"/>
              <w:rPr>
                <w:rFonts w:ascii="Times New Roman" w:hAnsi="Times New Roman" w:cs="Times New Roman"/>
                <w:b/>
              </w:rPr>
            </w:pPr>
            <w:r w:rsidRPr="008F2BCA">
              <w:rPr>
                <w:rFonts w:ascii="Times New Roman" w:hAnsi="Times New Roman" w:cs="Times New Roman"/>
                <w:b/>
                <w:lang w:val="en-GB"/>
              </w:rPr>
              <w:t>+32 2 29607521</w:t>
            </w:r>
          </w:p>
          <w:p w:rsidR="00E21280" w:rsidRDefault="00CB29F1"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8F2BCA"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5F172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E7382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8F2BCA" w:rsidP="00950BA5">
            <w:pPr>
              <w:rPr>
                <w:rFonts w:ascii="Times New Roman" w:eastAsia="Times New Roman" w:hAnsi="Times New Roman" w:cs="Times New Roman"/>
                <w:sz w:val="24"/>
                <w:szCs w:val="20"/>
                <w:lang w:val="de-DE" w:eastAsia="en-GB"/>
              </w:rPr>
            </w:pPr>
            <w:r w:rsidRPr="00E7382B">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382B">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8F2BCA"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8F2BCA" w:rsidP="00950BA5">
            <w:pPr>
              <w:rPr>
                <w:rFonts w:ascii="Times New Roman" w:eastAsia="Times New Roman" w:hAnsi="Times New Roman" w:cs="Times New Roman"/>
                <w:lang w:val="de-DE" w:eastAsia="en-GB"/>
              </w:rPr>
            </w:pP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rPr>
                <w:rFonts w:ascii="Times New Roman" w:eastAsia="Times New Roman" w:hAnsi="Times New Roman" w:cs="Times New Roman"/>
                <w:b/>
                <w:bCs/>
                <w:lang w:val="de-DE" w:eastAsia="en-GB"/>
              </w:rPr>
              <w:t xml:space="preserve"> OECD, WB, IWF</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Die Generaldirektion Unterstützung von Strukturreformen (GD REFORM) wird koordiniert von Kommissarin Ferreira. Die Mission von GD REFORM ist die Bereitstellung und Koordinierung von technischer Unterstützung für Mitgliedsstaaten zur Vorbereitung und Implementierung von Strukturreformen – insbesondere im Kontext des wirtschaftlichen Steuerungsprozesses – wie auch für die effiziente und effektive Nutzung von Finanzmitteln der Europäischen Union. Die Unterstützung steht allen Mitgliedsstaaten offen, auf deren Anfrage.</w:t>
      </w: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 xml:space="preserve">Die GD REFORM stellt derzeit in allen 27 Mitgliedsstaaten Unterstützung zur Verfügung. Sie hat in etwa 200 Mitarbeiter in Brüssel, Athen, Nikosia, Zagreb und Bukarest. </w:t>
      </w: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 xml:space="preserve">Es besteht aus einem Managementteam, horizontalen Richtlinieneinheit und zwei Direktionen. Die Direktion A besteht aus 3 Referaten, die für Haushalt und Finanzen zuständig sind, als auch für Planung, Bewertung und Koordinierung der Unterstützung; und zypriotische Siedlungsunterstützung. Die Direktion B besteht aus 5 Referaten, die für die Verwaltung der Einnahmen und das öffentliche Finanzmanagement zuständig sind. </w:t>
      </w:r>
      <w:proofErr w:type="spellStart"/>
      <w:r w:rsidRPr="008F2BCA">
        <w:rPr>
          <w:rFonts w:ascii="Times New Roman" w:eastAsia="Times New Roman" w:hAnsi="Times New Roman" w:cs="Times New Roman"/>
          <w:lang w:val="de-DE" w:eastAsia="en-GB"/>
        </w:rPr>
        <w:t>Governance</w:t>
      </w:r>
      <w:proofErr w:type="spellEnd"/>
      <w:r w:rsidRPr="008F2BCA">
        <w:rPr>
          <w:rFonts w:ascii="Times New Roman" w:eastAsia="Times New Roman" w:hAnsi="Times New Roman" w:cs="Times New Roman"/>
          <w:lang w:val="de-DE" w:eastAsia="en-GB"/>
        </w:rPr>
        <w:t xml:space="preserve"> und öffentliche Verwaltung; nachhaltiges Wachstum und Geschäftsumfeld; Arbeitsmarkt, Bildung, Gesundheits- und Sozialdienste; und Finanzsektor und Zugang zu Finanzmitteln.</w:t>
      </w: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Die GD REFORM hat eine starke koordinierende Rolle über die Kommission hinweg, wie auch häufige Kontakte zu Mitgliedsstaaten und anderen Stakeholdern.</w:t>
      </w: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lastRenderedPageBreak/>
        <w:t>Die GD REFORM managet das Programm zur Unterstützung von Strukturreformen (SRSP) und von 2021 an das Instrument für technische Unterstützung (TSI). Sowohl SRSP als auch TSI verfügen über ein fest zugeordnetes Budget und ein rechtliches Rahmenwerk hinsichtlich der Bereitstellung von technischer Unterstützung für Mitgliedsstaaten. Die GD REFORM ist ferner für die Durchführung des EU-Hilfsprogramms für die türkisch-zyprische Gemeinschaft zuständig.</w:t>
      </w: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Die Stelle befindet sich in der Abteilung für Finanzverwaltung und öffentliches Finanzmanagement (REFORM.B1), deren Aufgabe es ist, die Unterstützung der Mitgliedstaaten (Konzeption, Design, Durchführung und Überwachung von Programmen und Projekten für technische Unterstützung) in den folgenden Hauptbereichen zu koordinieren: Öffentlichkeit Finanzmanagement und Ausgabenpolitik, Einnahmenverwaltung, Steuerpolitik. Das Referat besteht aus 15 Mitarbeitern mit Sitz in Brüssel (14) und Athen (1).</w:t>
      </w: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Der endsandte Sachverständige wird im Bereich der öffentlichen Finanzverwaltung Unterstützung leisten.</w:t>
      </w: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Im Tätigkeitsbereich ist der abgeordnete Sachverständige für folgende Aufgaben verantwortlich:</w:t>
      </w: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rsidR="008F2BCA" w:rsidRPr="008F2BCA" w:rsidRDefault="008F2BCA" w:rsidP="008F2BCA">
      <w:pPr>
        <w:pStyle w:val="ListParagraph"/>
        <w:numPr>
          <w:ilvl w:val="0"/>
          <w:numId w:val="31"/>
        </w:numPr>
        <w:tabs>
          <w:tab w:val="left" w:pos="426"/>
        </w:tabs>
        <w:spacing w:after="0" w:line="240" w:lineRule="auto"/>
        <w:ind w:left="709" w:hanging="283"/>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Konzeption, Umsetzung und Überwachung von Projekten zur technischen Unterstützung im Bereich des öffentlichen Finanzmanagements in den EU-Mitgliedstaaten, in den Bereichen der Finanzverwaltung und Zollbehörden, Einhaltung der Steuervorschriften, aggressive Steuerplanung, Steuerbetrug und Steuerhinterziehung, Digitalisierung von Finanzbehörden und Steuerpolitik. Darüber hinaus umfasst es auch die Überwachung der Umsetzung der Projekte, um die Qualität zu fördern und die Nachhaltigkeit der wichtigsten Strukturreformen zu unterstützen. Dies beinhaltet eine enge Zusammenarbeit mit den Mitgliedstaaten, anderen Kommissionsdienststellen und Anbietern technischer Unterstützung (Mitgliedstaaten, internationale Organisationen, öffentliche Stellen und private Sachverständige).</w:t>
      </w:r>
    </w:p>
    <w:p w:rsidR="008F2BCA" w:rsidRPr="008F2BCA" w:rsidRDefault="008F2BCA" w:rsidP="008F2BCA">
      <w:pPr>
        <w:pStyle w:val="ListParagraph"/>
        <w:numPr>
          <w:ilvl w:val="0"/>
          <w:numId w:val="31"/>
        </w:numPr>
        <w:tabs>
          <w:tab w:val="left" w:pos="426"/>
        </w:tabs>
        <w:spacing w:after="0" w:line="240" w:lineRule="auto"/>
        <w:ind w:left="709" w:hanging="283"/>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Verfolgung und Lösung von Problemen im Zusammenhang mit der Implementierung der technischen Unterstützung; Dazu gehören die Ermittlung von Reformengpässen und der Vorschlag von Mitteln zu deren Überwindung durch Bereitstellung technischer Unterstützung in Abstimmung mit den zuständigen Kommissionsdienststellen und den einzelnen Mitgliedstaaten, die technische Unterstützung im Bereich der öffentlichen Finanzverwaltung anfordern.</w:t>
      </w:r>
    </w:p>
    <w:p w:rsidR="008F2BCA" w:rsidRPr="008F2BCA" w:rsidRDefault="008F2BCA" w:rsidP="008F2BCA">
      <w:pPr>
        <w:pStyle w:val="ListParagraph"/>
        <w:numPr>
          <w:ilvl w:val="0"/>
          <w:numId w:val="31"/>
        </w:numPr>
        <w:tabs>
          <w:tab w:val="left" w:pos="426"/>
        </w:tabs>
        <w:spacing w:after="0" w:line="240" w:lineRule="auto"/>
        <w:ind w:left="709" w:hanging="283"/>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Teilnahme an Dienstreisen im Zusammenhang mit der technischen Unterstützung im Bereich der Finanzverwaltung;</w:t>
      </w:r>
    </w:p>
    <w:p w:rsidR="008F2BCA" w:rsidRPr="008F2BCA" w:rsidRDefault="008F2BCA" w:rsidP="008F2BCA">
      <w:pPr>
        <w:pStyle w:val="ListParagraph"/>
        <w:numPr>
          <w:ilvl w:val="0"/>
          <w:numId w:val="31"/>
        </w:numPr>
        <w:tabs>
          <w:tab w:val="left" w:pos="426"/>
        </w:tabs>
        <w:spacing w:after="0" w:line="240" w:lineRule="auto"/>
        <w:ind w:left="709" w:hanging="283"/>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Verbreitung bewährter Verfahren für die Umsetzung von Strukturreformen durch Vermittlung von Unterstützung und Erfahrungsaustausch; und</w:t>
      </w:r>
    </w:p>
    <w:p w:rsidR="008F2BCA" w:rsidRPr="008F2BCA" w:rsidRDefault="008F2BCA" w:rsidP="008F2BCA">
      <w:pPr>
        <w:pStyle w:val="ListParagraph"/>
        <w:numPr>
          <w:ilvl w:val="0"/>
          <w:numId w:val="31"/>
        </w:numPr>
        <w:tabs>
          <w:tab w:val="left" w:pos="426"/>
        </w:tabs>
        <w:spacing w:after="0" w:line="240" w:lineRule="auto"/>
        <w:ind w:left="709" w:hanging="283"/>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Unterstützung bei der Ermittlung des Reformbedarfs und bei der Formulierung vorgeschlagener Mittel zu dessen Überwindung durch Bereitstellung technischer Unterstützung in Abstimmung mit den zuständigen Kommissionsdienststellen und dem einzelnen Mitgliedstaat, der technische Unterstützung anfordert. Dies beinhaltet die Zusammenarbeit mit den anfragenden Mitgliedstaaten bei der Ermittlung von Problemen / Hindernissen / Problemen in ihren derzeitigen Finanzverwaltungssystemen und bei der Entwicklung politischer Empfehlungen zur Verbesserung dieses Rahmens auf der Grundlage der besten europäischen und internationalen Praxis.</w:t>
      </w:r>
    </w:p>
    <w:p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rsidR="00E7382B" w:rsidRPr="00E7382B"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Angesichts dieser Aufgaben erfordert die Stelle regelmäßige Dienstreisen in die Mitgliedstaaten, sowohl zur Koordinierung / Bereitstellung / Überwachung der technischen Unterstützung in den Empfängerländern als auch zur Stärkung der Verbindungen zu möglichen Anbietern technischer Unterstützung in den Mitgliedstaaten. Dies kann auch die Teilnahme an Missionen mit dem IWF, der OECD oder der Weltbank beinhalten.</w:t>
      </w:r>
    </w:p>
    <w:p w:rsidR="00E7382B" w:rsidRPr="005F1726" w:rsidRDefault="00E7382B" w:rsidP="00E7382B">
      <w:pPr>
        <w:tabs>
          <w:tab w:val="left" w:pos="426"/>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EC7C30" w:rsidRPr="008F2BCA">
        <w:rPr>
          <w:lang w:val="de-DE"/>
        </w:rPr>
        <w:t xml:space="preserve"> </w:t>
      </w:r>
      <w:r w:rsidR="008F2BCA" w:rsidRPr="008F2BCA">
        <w:rPr>
          <w:rFonts w:ascii="Times New Roman" w:eastAsia="Times New Roman" w:hAnsi="Times New Roman" w:cs="Times New Roman"/>
          <w:lang w:val="de-DE" w:eastAsia="en-GB"/>
        </w:rPr>
        <w:t>Wirtschaft, Rechnungswesen, öffentliche Verwaltung / öffentliches Recht, Wirtschaftsprüfung, Politikwissenschaft</w:t>
      </w:r>
      <w:r w:rsidR="00916CEC" w:rsidRPr="00916CE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C6173" w:rsidRDefault="008F2BCA" w:rsidP="00E7382B">
      <w:pPr>
        <w:tabs>
          <w:tab w:val="left" w:pos="1418"/>
        </w:tabs>
        <w:spacing w:after="0" w:line="240" w:lineRule="auto"/>
        <w:ind w:left="709" w:right="60"/>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Der Sachverständige sollte nachweislich in der Lage sein, ein hohes Maß an Verantwortung zu übernehmen, und über fundierte Kenntnisse in einer Reihe von Themen im Bereich der Finanzverwaltung verfügen, einschließlich der periodengerechten Rechnungslegung und der Überprüfung der Ausgaben. Mindestens 6 Jahre Erfahrung im Bereich der Finanzverwaltung in Bereichen der Einhaltung von Steuervorschriften, aggressive Steuerplanung, Steuerbetrug und Steuerhinterziehung. Vorerfahrungen als Anbieter von technischem Support, insbesondere in Zusammenarbeit mit internationalen Organisationen, wären für einen Kandidaten ein starkes Plus. Der Experte sollte auch scharfe analytische Fähigkeiten und nachweisbare Fähigkeiten nachweisen, einschließlich der Fähigkeit verfahrenstechnische Aspekte von EU-finanzierter technischer Unterstützung zugunsten der Mitgliedstaaten zu beherrschen, um schnell zu lernen und in neuen Themen operativ zu werden. Hervorragende Entwurfs- und Präsentationsfähigkeiten in Englisch sind erforderlich. Die Fähigkeit, die Arbeit mit fundiertem Urteilsvermögen schnell voranzutreiben und sich effektiv mit internen und externen Kollegen zu vernetzen, ist von entscheidender Bedeutung. Vorerfahrungen als Manager von technischen Supportprojekten wären von Vorteil.</w:t>
      </w:r>
    </w:p>
    <w:p w:rsidR="00324421" w:rsidRPr="008C6173" w:rsidRDefault="00324421"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8F2BCA" w:rsidP="00324421">
      <w:pPr>
        <w:tabs>
          <w:tab w:val="left" w:pos="709"/>
        </w:tabs>
        <w:spacing w:after="0" w:line="240" w:lineRule="auto"/>
        <w:ind w:left="709" w:right="60"/>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Der abgeordnete nationale Experte wird hauptsächlich in Englisch arbeiten. Hervorragende Entwurfs- und Präsentationsfähigkeiten in Englisch sind unerlässlich.</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B29F1" w:rsidRDefault="00CB29F1"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F2BC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328D"/>
    <w:multiLevelType w:val="hybridMultilevel"/>
    <w:tmpl w:val="B0EE0B40"/>
    <w:lvl w:ilvl="0" w:tplc="A8E6012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60272AC"/>
    <w:multiLevelType w:val="hybridMultilevel"/>
    <w:tmpl w:val="0AC81D6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0"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0431487"/>
    <w:multiLevelType w:val="hybridMultilevel"/>
    <w:tmpl w:val="4392A80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29"/>
  </w:num>
  <w:num w:numId="3">
    <w:abstractNumId w:val="19"/>
  </w:num>
  <w:num w:numId="4">
    <w:abstractNumId w:val="4"/>
  </w:num>
  <w:num w:numId="5">
    <w:abstractNumId w:val="16"/>
  </w:num>
  <w:num w:numId="6">
    <w:abstractNumId w:val="11"/>
  </w:num>
  <w:num w:numId="7">
    <w:abstractNumId w:val="25"/>
  </w:num>
  <w:num w:numId="8">
    <w:abstractNumId w:val="15"/>
  </w:num>
  <w:num w:numId="9">
    <w:abstractNumId w:val="5"/>
  </w:num>
  <w:num w:numId="10">
    <w:abstractNumId w:val="12"/>
  </w:num>
  <w:num w:numId="11">
    <w:abstractNumId w:val="7"/>
  </w:num>
  <w:num w:numId="12">
    <w:abstractNumId w:val="31"/>
  </w:num>
  <w:num w:numId="13">
    <w:abstractNumId w:val="20"/>
  </w:num>
  <w:num w:numId="14">
    <w:abstractNumId w:val="21"/>
  </w:num>
  <w:num w:numId="15">
    <w:abstractNumId w:val="17"/>
  </w:num>
  <w:num w:numId="16">
    <w:abstractNumId w:val="26"/>
  </w:num>
  <w:num w:numId="17">
    <w:abstractNumId w:val="2"/>
  </w:num>
  <w:num w:numId="18">
    <w:abstractNumId w:val="14"/>
  </w:num>
  <w:num w:numId="19">
    <w:abstractNumId w:val="6"/>
  </w:num>
  <w:num w:numId="20">
    <w:abstractNumId w:val="22"/>
  </w:num>
  <w:num w:numId="21">
    <w:abstractNumId w:val="30"/>
  </w:num>
  <w:num w:numId="22">
    <w:abstractNumId w:val="27"/>
  </w:num>
  <w:num w:numId="23">
    <w:abstractNumId w:val="10"/>
  </w:num>
  <w:num w:numId="24">
    <w:abstractNumId w:val="24"/>
  </w:num>
  <w:num w:numId="25">
    <w:abstractNumId w:val="18"/>
  </w:num>
  <w:num w:numId="26">
    <w:abstractNumId w:val="3"/>
  </w:num>
  <w:num w:numId="27">
    <w:abstractNumId w:val="23"/>
  </w:num>
  <w:num w:numId="28">
    <w:abstractNumId w:val="9"/>
  </w:num>
  <w:num w:numId="29">
    <w:abstractNumId w:val="1"/>
  </w:num>
  <w:num w:numId="30">
    <w:abstractNumId w:val="2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8027B"/>
    <w:rsid w:val="002A40F8"/>
    <w:rsid w:val="002D1237"/>
    <w:rsid w:val="00324421"/>
    <w:rsid w:val="00365478"/>
    <w:rsid w:val="00370EFD"/>
    <w:rsid w:val="004B1E82"/>
    <w:rsid w:val="00534042"/>
    <w:rsid w:val="00550A94"/>
    <w:rsid w:val="005648F5"/>
    <w:rsid w:val="005A0D05"/>
    <w:rsid w:val="005C644D"/>
    <w:rsid w:val="005D37D0"/>
    <w:rsid w:val="005F1726"/>
    <w:rsid w:val="006740F2"/>
    <w:rsid w:val="006F30A1"/>
    <w:rsid w:val="00734E4D"/>
    <w:rsid w:val="007628D6"/>
    <w:rsid w:val="007E099F"/>
    <w:rsid w:val="008C6173"/>
    <w:rsid w:val="008C673F"/>
    <w:rsid w:val="008F2BCA"/>
    <w:rsid w:val="00916CEC"/>
    <w:rsid w:val="00950BA5"/>
    <w:rsid w:val="009A4F67"/>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B29F1"/>
    <w:rsid w:val="00CF677F"/>
    <w:rsid w:val="00D51A08"/>
    <w:rsid w:val="00D64903"/>
    <w:rsid w:val="00E11F69"/>
    <w:rsid w:val="00E21280"/>
    <w:rsid w:val="00E40791"/>
    <w:rsid w:val="00E7382B"/>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68C5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SCHWIER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1724</Words>
  <Characters>12557</Characters>
  <Application>Microsoft Office Word</Application>
  <DocSecurity>0</DocSecurity>
  <Lines>241</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2022-03-14T09:58:00Z</dcterms:created>
  <dcterms:modified xsi:type="dcterms:W3CDTF">2022-03-14T09:58:00Z</dcterms:modified>
</cp:coreProperties>
</file>