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127"/>
        <w:gridCol w:w="5829"/>
      </w:tblGrid>
      <w:tr w:rsidR="00950BA5" w:rsidRPr="006740F2" w:rsidTr="007F6407">
        <w:trPr>
          <w:trHeight w:val="611"/>
          <w:jc w:val="center"/>
        </w:trPr>
        <w:tc>
          <w:tcPr>
            <w:tcW w:w="4127"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829" w:type="dxa"/>
            <w:vAlign w:val="center"/>
          </w:tcPr>
          <w:p w:rsidR="00950BA5" w:rsidRPr="006740F2" w:rsidRDefault="007F6407"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COMP-H-2 / COMP-H-3</w:t>
            </w:r>
          </w:p>
        </w:tc>
      </w:tr>
      <w:tr w:rsidR="00950BA5" w:rsidRPr="00C840B6" w:rsidTr="007F6407">
        <w:trPr>
          <w:trHeight w:val="1977"/>
          <w:jc w:val="center"/>
        </w:trPr>
        <w:tc>
          <w:tcPr>
            <w:tcW w:w="4127"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7F6407" w:rsidRDefault="007F6407" w:rsidP="00950BA5">
            <w:pPr>
              <w:tabs>
                <w:tab w:val="left" w:pos="1697"/>
              </w:tabs>
              <w:ind w:right="-1739"/>
              <w:jc w:val="both"/>
              <w:rPr>
                <w:rFonts w:ascii="Times New Roman" w:eastAsia="Times New Roman" w:hAnsi="Times New Roman" w:cs="Times New Roman"/>
                <w:b/>
                <w:lang w:val="de-DE" w:eastAsia="en-GB"/>
              </w:rPr>
            </w:pP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829" w:type="dxa"/>
          </w:tcPr>
          <w:p w:rsidR="007F6407" w:rsidRDefault="007F6407" w:rsidP="007F6407">
            <w:pPr>
              <w:spacing w:line="276" w:lineRule="auto"/>
              <w:rPr>
                <w:rFonts w:ascii="Times New Roman" w:hAnsi="Times New Roman" w:cs="Times New Roman"/>
                <w:b/>
                <w:lang w:val="en-GB"/>
              </w:rPr>
            </w:pPr>
            <w:r w:rsidRPr="007F6407">
              <w:rPr>
                <w:rFonts w:ascii="Times New Roman" w:hAnsi="Times New Roman" w:cs="Times New Roman"/>
                <w:b/>
                <w:lang w:val="en-GB"/>
              </w:rPr>
              <w:t>Demos SPATHARIS, Max LIENEMEYER</w:t>
            </w:r>
          </w:p>
          <w:p w:rsidR="007F6407" w:rsidRDefault="007F6407" w:rsidP="007F6407">
            <w:pPr>
              <w:spacing w:line="276" w:lineRule="auto"/>
              <w:rPr>
                <w:rFonts w:ascii="Times New Roman" w:hAnsi="Times New Roman" w:cs="Times New Roman"/>
                <w:b/>
                <w:lang w:val="en-GB"/>
              </w:rPr>
            </w:pPr>
            <w:hyperlink r:id="rId8" w:history="1">
              <w:r w:rsidRPr="007F6407">
                <w:rPr>
                  <w:rFonts w:ascii="Times New Roman" w:hAnsi="Times New Roman" w:cs="Times New Roman"/>
                  <w:b/>
                  <w:color w:val="0000FF" w:themeColor="hyperlink"/>
                  <w:u w:val="single"/>
                  <w:lang w:val="en-GB"/>
                </w:rPr>
                <w:t>Demos.SPATHARIS@ec.europa.eu</w:t>
              </w:r>
            </w:hyperlink>
            <w:r w:rsidRPr="007F6407">
              <w:rPr>
                <w:rFonts w:ascii="Times New Roman" w:hAnsi="Times New Roman" w:cs="Times New Roman"/>
                <w:b/>
                <w:lang w:val="en-GB"/>
              </w:rPr>
              <w:t xml:space="preserve">, </w:t>
            </w:r>
            <w:hyperlink r:id="rId9" w:history="1">
              <w:r w:rsidRPr="007F6407">
                <w:rPr>
                  <w:rFonts w:ascii="Times New Roman" w:hAnsi="Times New Roman" w:cs="Times New Roman"/>
                  <w:b/>
                  <w:color w:val="0000FF" w:themeColor="hyperlink"/>
                  <w:u w:val="single"/>
                  <w:lang w:val="en-GB"/>
                </w:rPr>
                <w:t>Max.LIENEMEYER@ec.europa.eu</w:t>
              </w:r>
            </w:hyperlink>
            <w:r w:rsidRPr="007F6407">
              <w:rPr>
                <w:rFonts w:ascii="Times New Roman" w:hAnsi="Times New Roman" w:cs="Times New Roman"/>
                <w:b/>
                <w:lang w:val="en-GB"/>
              </w:rPr>
              <w:t xml:space="preserve"> </w:t>
            </w:r>
          </w:p>
          <w:p w:rsidR="00E21280" w:rsidRDefault="007F6407" w:rsidP="007F6407">
            <w:pPr>
              <w:spacing w:line="276" w:lineRule="auto"/>
              <w:rPr>
                <w:rFonts w:ascii="Times New Roman" w:hAnsi="Times New Roman" w:cs="Times New Roman"/>
                <w:b/>
                <w:lang w:val="en-GB"/>
              </w:rPr>
            </w:pPr>
            <w:r w:rsidRPr="007F6407">
              <w:rPr>
                <w:rFonts w:ascii="Times New Roman" w:hAnsi="Times New Roman" w:cs="Times New Roman"/>
                <w:b/>
                <w:lang w:val="en-GB"/>
              </w:rPr>
              <w:t>+32 2 29 96839 / +32 2 29 86243</w:t>
            </w:r>
          </w:p>
          <w:p w:rsidR="007F6407" w:rsidRPr="00E21280" w:rsidRDefault="007F6407" w:rsidP="007F6407">
            <w:pPr>
              <w:spacing w:line="276" w:lineRule="auto"/>
              <w:rPr>
                <w:rFonts w:ascii="Times New Roman" w:hAnsi="Times New Roman" w:cs="Times New Roman"/>
                <w:b/>
                <w:lang w:val="de-DE"/>
              </w:rPr>
            </w:pPr>
            <w:r>
              <w:rPr>
                <w:rFonts w:ascii="Times New Roman" w:hAnsi="Times New Roman" w:cs="Times New Roman"/>
                <w:b/>
                <w:lang w:val="de-DE"/>
              </w:rPr>
              <w:t>6</w:t>
            </w:r>
          </w:p>
          <w:p w:rsidR="00950BA5" w:rsidRPr="00950BA5" w:rsidRDefault="007F6407" w:rsidP="00E21280">
            <w:pPr>
              <w:ind w:left="34" w:right="1317"/>
              <w:jc w:val="both"/>
              <w:rPr>
                <w:rFonts w:ascii="Times New Roman" w:eastAsia="Times New Roman" w:hAnsi="Times New Roman" w:cs="Times New Roman"/>
                <w:b/>
                <w:lang w:val="de-DE" w:eastAsia="en-GB"/>
              </w:rPr>
            </w:pPr>
            <w:bookmarkStart w:id="0" w:name="_GoBack"/>
            <w:bookmarkEnd w:id="0"/>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F640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610718">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7F6407">
        <w:trPr>
          <w:trHeight w:val="545"/>
          <w:jc w:val="center"/>
        </w:trPr>
        <w:tc>
          <w:tcPr>
            <w:tcW w:w="4127"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829" w:type="dxa"/>
            <w:tcBorders>
              <w:left w:val="single" w:sz="4" w:space="0" w:color="auto"/>
            </w:tcBorders>
            <w:vAlign w:val="center"/>
          </w:tcPr>
          <w:p w:rsidR="00950BA5" w:rsidRPr="006740F2" w:rsidRDefault="007F640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F640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F6407" w:rsidRP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p>
    <w:p w:rsid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r w:rsidRPr="007F6407">
        <w:rPr>
          <w:rFonts w:ascii="Times New Roman" w:eastAsia="Times New Roman" w:hAnsi="Times New Roman" w:cs="Times New Roman"/>
          <w:lang w:val="de-DE" w:eastAsia="en-GB"/>
        </w:rPr>
        <w:t xml:space="preserve">Die Referate COMP.H.2 und H3 sind zuständig für die Durchsetzung der EU-Vorschriften über staatliche Beihilfen in allen Mitgliedstaaten in den Bereichen IPCEI (wichtige Vorhaben von gemeinsamem europäischem Interesse), Forschung, Entwicklung &amp; Innovation und Umwelt (inklusive E-Mobilität, </w:t>
      </w:r>
      <w:proofErr w:type="spellStart"/>
      <w:r w:rsidRPr="007F6407">
        <w:rPr>
          <w:rFonts w:ascii="Times New Roman" w:eastAsia="Times New Roman" w:hAnsi="Times New Roman" w:cs="Times New Roman"/>
          <w:lang w:val="de-DE" w:eastAsia="en-GB"/>
        </w:rPr>
        <w:t>Dekarbonisierungsmaßnahmen</w:t>
      </w:r>
      <w:proofErr w:type="spellEnd"/>
      <w:r w:rsidRPr="007F6407">
        <w:rPr>
          <w:rFonts w:ascii="Times New Roman" w:eastAsia="Times New Roman" w:hAnsi="Times New Roman" w:cs="Times New Roman"/>
          <w:lang w:val="de-DE" w:eastAsia="en-GB"/>
        </w:rPr>
        <w:t xml:space="preserve"> von Industrieprozessen und Energieeffizienz), und Beschäftigung. Die Referate setzen die Kontrolle staatlicher Beihilfen durch die Prüfung individueller Beihilfen und Beihilferegelungen um und tragen zur Entwicklung der Politik im Bereich staatlicher Beihilfen und entsprechender Initiativen in ihren Zuständigkeitsbereichen bei. Der Schwerpunkt der Referate liegt in der Prüfung von Beihilfen für wichtiger Vorhaben von gemeinsamem europäischem Interesse (IPCEI) zum Beispiel Mikroelektronik und Kommunikationstechnologien, Batterien, Wasserstoff-Technologien und Wasserstoff-Anwendungen sowie in den Bereichen Cloud-Technologie und Gesundheit. </w:t>
      </w:r>
    </w:p>
    <w:p w:rsidR="007F6407" w:rsidRP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p>
    <w:p w:rsid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r w:rsidRPr="007F6407">
        <w:rPr>
          <w:rFonts w:ascii="Times New Roman" w:eastAsia="Times New Roman" w:hAnsi="Times New Roman" w:cs="Times New Roman"/>
          <w:lang w:val="de-DE" w:eastAsia="en-GB"/>
        </w:rPr>
        <w:t>Hierbei geht es um die beihilferechtliche Prüfung der Vereinbarkeit mit den EU-Wettbewerbsregeln im Rahmen der IPCEI Mitteilung. Es gilt u.a. darum zu prüfen, ob das Vorhaben nachweislich ein erhebliches Marktversagen behebt, ob eine Gruppe einzelner Vorhaben in einer gemeinsamen Struktur integriert ist, auf grenzübergreifender Zusammenarbeit beruht, die Beihilfe auf das nötige Mindestmaß begrenzt ist (</w:t>
      </w:r>
      <w:proofErr w:type="spellStart"/>
      <w:r w:rsidRPr="007F6407">
        <w:rPr>
          <w:rFonts w:ascii="Times New Roman" w:eastAsia="Times New Roman" w:hAnsi="Times New Roman" w:cs="Times New Roman"/>
          <w:lang w:val="de-DE" w:eastAsia="en-GB"/>
        </w:rPr>
        <w:t>funding-gap</w:t>
      </w:r>
      <w:proofErr w:type="spellEnd"/>
      <w:r w:rsidRPr="007F6407">
        <w:rPr>
          <w:rFonts w:ascii="Times New Roman" w:eastAsia="Times New Roman" w:hAnsi="Times New Roman" w:cs="Times New Roman"/>
          <w:lang w:val="de-DE" w:eastAsia="en-GB"/>
        </w:rPr>
        <w:t xml:space="preserve"> Berechnung), neuartige Innovationen betrifft, die einen hohen Forschungsgehalt aufweisen oder die Entwicklung eines neuen Produkts oder einer neuen Dienstleistung mit hohem Forschungs- und Innovationsgehalt aufweisen. Bei. Infrastrukturprojekten wird untersucht, ob diese für Unionsstrategien von großer Bedeutung sind. Des Weiteren sollen begünstigte Unternehmen einen erheblichen </w:t>
      </w:r>
      <w:proofErr w:type="spellStart"/>
      <w:r w:rsidRPr="007F6407">
        <w:rPr>
          <w:rFonts w:ascii="Times New Roman" w:eastAsia="Times New Roman" w:hAnsi="Times New Roman" w:cs="Times New Roman"/>
          <w:lang w:val="de-DE" w:eastAsia="en-GB"/>
        </w:rPr>
        <w:lastRenderedPageBreak/>
        <w:t>Kofinanzierungsbeitrag</w:t>
      </w:r>
      <w:proofErr w:type="spellEnd"/>
      <w:r w:rsidRPr="007F6407">
        <w:rPr>
          <w:rFonts w:ascii="Times New Roman" w:eastAsia="Times New Roman" w:hAnsi="Times New Roman" w:cs="Times New Roman"/>
          <w:lang w:val="de-DE" w:eastAsia="en-GB"/>
        </w:rPr>
        <w:t xml:space="preserve"> leisten, über die teilnehmenden Mitgliedstaaten und Unternehmen hinaus konkrete positive </w:t>
      </w:r>
      <w:proofErr w:type="spellStart"/>
      <w:r w:rsidRPr="007F6407">
        <w:rPr>
          <w:rFonts w:ascii="Times New Roman" w:eastAsia="Times New Roman" w:hAnsi="Times New Roman" w:cs="Times New Roman"/>
          <w:lang w:val="de-DE" w:eastAsia="en-GB"/>
        </w:rPr>
        <w:t>Spillovereffekte</w:t>
      </w:r>
      <w:proofErr w:type="spellEnd"/>
      <w:r w:rsidRPr="007F6407">
        <w:rPr>
          <w:rFonts w:ascii="Times New Roman" w:eastAsia="Times New Roman" w:hAnsi="Times New Roman" w:cs="Times New Roman"/>
          <w:lang w:val="de-DE" w:eastAsia="en-GB"/>
        </w:rPr>
        <w:t xml:space="preserve"> erzeugt werden und Wettbewerbsbeeinträchtigungen durch die Beihilfe durch ausreichende positive Auswirkungen aufgewogen werden. </w:t>
      </w:r>
    </w:p>
    <w:p w:rsidR="007F6407" w:rsidRP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p>
    <w:p w:rsidR="007F6407" w:rsidRPr="007F6407" w:rsidRDefault="007F6407" w:rsidP="007F6407">
      <w:pPr>
        <w:tabs>
          <w:tab w:val="left" w:pos="426"/>
        </w:tabs>
        <w:spacing w:after="0" w:line="240" w:lineRule="auto"/>
        <w:ind w:left="426"/>
        <w:jc w:val="both"/>
        <w:rPr>
          <w:rFonts w:ascii="Times New Roman" w:eastAsia="Times New Roman" w:hAnsi="Times New Roman" w:cs="Times New Roman"/>
          <w:lang w:val="de-DE" w:eastAsia="en-GB"/>
        </w:rPr>
      </w:pPr>
      <w:r w:rsidRPr="007F6407">
        <w:rPr>
          <w:rFonts w:ascii="Times New Roman" w:eastAsia="Times New Roman" w:hAnsi="Times New Roman" w:cs="Times New Roman"/>
          <w:lang w:val="de-DE" w:eastAsia="en-GB"/>
        </w:rPr>
        <w:t>Angeboten wird eine sehr interessante und bereichernde Stelle als Sachbearbeiter. Sachbearbeiter arbeiten üblicherweise in Teams, die für die Fälle vom Beginn bis zur förmlichen Annahme einer Entscheidung der Kommission verantwortlich sind. Zusätzlich arbeiteten die Referate eng mit anderen Referaten in der Kommission zusammen. Dadurch bieten sich weitere Möglichkeiten, das eigene Wissen zu erweitern und Erfahrungswerte zu sammeln. Wir bieten die Möglichkeit des Einstiegs in ein dynamisches Team hochqualifizierter Fachleute, das in einem stimulierenden, freundlichen und teamorientierten Umfeld arbeitet. Angesichts der wirtschaftlichen und strategischen Bedeutung der Bereiche für die die Referate zuständig sind, bietet die Stelle einen breiten Spielraum für die berufliche und persönliche Weiterentwicklung. Neue Mitarbeiter der GD Wettbewerb erhalten eine spezifische Einarbeitung in die Organisation und Arbeitsverfahren der Generaldirektion. Coaching und Mentoring durch einen erfahrenen Kollegen der Referate werden ebenfalls angeboten. Die GD Wettbewerb verfolgt eine Politik der Chancengleichheit an und betreibt ein System flexibler Arbeitszeiten.</w:t>
      </w:r>
    </w:p>
    <w:p w:rsidR="00324421" w:rsidRPr="005F1726"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7F6407"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Pr="007F6407">
        <w:rPr>
          <w:rFonts w:ascii="Times New Roman" w:eastAsia="Times New Roman" w:hAnsi="Times New Roman" w:cs="Times New Roman"/>
          <w:lang w:val="de-DE" w:eastAsia="en-GB"/>
        </w:rPr>
        <w:t>:</w:t>
      </w:r>
      <w:r w:rsidR="00EC7C30" w:rsidRPr="007F6407">
        <w:rPr>
          <w:rFonts w:ascii="Times New Roman" w:hAnsi="Times New Roman" w:cs="Times New Roman"/>
          <w:lang w:val="de-DE"/>
        </w:rPr>
        <w:t xml:space="preserve"> </w:t>
      </w:r>
      <w:r w:rsidR="007F6407" w:rsidRPr="007F6407">
        <w:rPr>
          <w:rFonts w:ascii="Times New Roman" w:hAnsi="Times New Roman" w:cs="Times New Roman"/>
          <w:lang w:val="de-DE"/>
        </w:rPr>
        <w:t>Naturwissenschaften, Ingenieurwesen, Finanzanalyse, bzw.  Wirtschafts- oder Rechtswissenschaft sowie gute analytische, redaktionelle und kommunikative Fähigkeiten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7F6407"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7F6407">
        <w:rPr>
          <w:rFonts w:ascii="Times New Roman" w:eastAsia="Times New Roman" w:hAnsi="Times New Roman" w:cs="Times New Roman"/>
          <w:lang w:val="de-DE" w:eastAsia="en-GB"/>
        </w:rPr>
        <w:t>Beurteilung von Sachverhalten im Zusammenhang mit den diversen IPCEI zu Grunde liegende</w:t>
      </w:r>
      <w:r>
        <w:rPr>
          <w:rFonts w:ascii="Times New Roman" w:eastAsia="Times New Roman" w:hAnsi="Times New Roman" w:cs="Times New Roman"/>
          <w:lang w:val="de-DE" w:eastAsia="en-GB"/>
        </w:rPr>
        <w:t>n Themen wären auch von Vorteil</w:t>
      </w:r>
      <w:r w:rsidR="00324421">
        <w:rPr>
          <w:rFonts w:ascii="Times New Roman" w:eastAsia="Times New Roman" w:hAnsi="Times New Roman" w:cs="Times New Roman"/>
          <w:lang w:val="de-DE" w:eastAsia="en-GB"/>
        </w:rPr>
        <w:t>.</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F6407" w:rsidP="0032442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7F6407">
        <w:rPr>
          <w:rFonts w:ascii="Times New Roman" w:eastAsia="Times New Roman" w:hAnsi="Times New Roman" w:cs="Times New Roman"/>
          <w:lang w:val="de-DE" w:eastAsia="en-GB"/>
        </w:rPr>
        <w:t>ründliche Kenntnisse in der englischen Sprache erforderlich</w:t>
      </w:r>
      <w:r w:rsidR="00916CEC" w:rsidRPr="00916CE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30C90">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7F6407"/>
    <w:rsid w:val="008C6173"/>
    <w:rsid w:val="008C673F"/>
    <w:rsid w:val="00916CEC"/>
    <w:rsid w:val="00930C90"/>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1@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mailto:Max.LIENEMEY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1349</Words>
  <Characters>9934</Characters>
  <Application>Microsoft Office Word</Application>
  <DocSecurity>0</DocSecurity>
  <Lines>242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2022-03-11T13:11:00Z</dcterms:created>
  <dcterms:modified xsi:type="dcterms:W3CDTF">2022-03-11T13:12:00Z</dcterms:modified>
</cp:coreProperties>
</file>