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5623E" w:rsidP="009D7AF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CNECT-B-1</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5623E" w:rsidRPr="0035623E" w:rsidRDefault="0035623E" w:rsidP="0035623E">
            <w:pPr>
              <w:rPr>
                <w:rFonts w:ascii="Times New Roman" w:hAnsi="Times New Roman" w:cs="Times New Roman"/>
                <w:b/>
                <w:lang w:val="en-GB"/>
              </w:rPr>
            </w:pPr>
            <w:r w:rsidRPr="0035623E">
              <w:rPr>
                <w:rFonts w:ascii="Times New Roman" w:hAnsi="Times New Roman" w:cs="Times New Roman"/>
                <w:b/>
                <w:lang w:val="en-GB"/>
              </w:rPr>
              <w:t>Carlota REYNERS FONTANA</w:t>
            </w:r>
          </w:p>
          <w:p w:rsidR="0035623E" w:rsidRPr="0035623E" w:rsidRDefault="00DC117D" w:rsidP="0035623E">
            <w:pPr>
              <w:rPr>
                <w:rFonts w:ascii="Times New Roman" w:hAnsi="Times New Roman" w:cs="Times New Roman"/>
                <w:b/>
                <w:lang w:val="en-GB"/>
              </w:rPr>
            </w:pPr>
            <w:hyperlink r:id="rId8" w:history="1">
              <w:r w:rsidR="0035623E" w:rsidRPr="0001496C">
                <w:rPr>
                  <w:rStyle w:val="Hyperlink"/>
                  <w:rFonts w:ascii="Times New Roman" w:hAnsi="Times New Roman" w:cs="Times New Roman"/>
                  <w:b/>
                  <w:lang w:val="en-GB"/>
                </w:rPr>
                <w:t>Carlota.reyners-fontana@ec.europa.eu</w:t>
              </w:r>
            </w:hyperlink>
            <w:r w:rsidR="0035623E">
              <w:rPr>
                <w:rFonts w:ascii="Times New Roman" w:hAnsi="Times New Roman" w:cs="Times New Roman"/>
                <w:b/>
                <w:lang w:val="en-GB"/>
              </w:rPr>
              <w:t xml:space="preserve"> </w:t>
            </w:r>
            <w:r w:rsidR="0035623E" w:rsidRPr="0035623E">
              <w:rPr>
                <w:rFonts w:ascii="Times New Roman" w:hAnsi="Times New Roman" w:cs="Times New Roman"/>
                <w:b/>
                <w:lang w:val="en-GB"/>
              </w:rPr>
              <w:t xml:space="preserve"> </w:t>
            </w:r>
          </w:p>
          <w:p w:rsidR="006A2619" w:rsidRDefault="0035623E" w:rsidP="0035623E">
            <w:pPr>
              <w:rPr>
                <w:rFonts w:ascii="Times New Roman" w:hAnsi="Times New Roman" w:cs="Times New Roman"/>
                <w:b/>
              </w:rPr>
            </w:pPr>
            <w:r w:rsidRPr="00DC117D">
              <w:rPr>
                <w:rFonts w:ascii="Times New Roman" w:hAnsi="Times New Roman" w:cs="Times New Roman"/>
                <w:b/>
              </w:rPr>
              <w:t>+32 229-62223</w:t>
            </w:r>
          </w:p>
          <w:p w:rsidR="00621284" w:rsidRDefault="00621284" w:rsidP="00D61A8C">
            <w:pPr>
              <w:rPr>
                <w:rFonts w:ascii="Times New Roman" w:hAnsi="Times New Roman" w:cs="Times New Roman"/>
                <w:b/>
              </w:rPr>
            </w:pPr>
            <w:r>
              <w:rPr>
                <w:rFonts w:ascii="Times New Roman" w:hAnsi="Times New Roman" w:cs="Times New Roman"/>
                <w:b/>
              </w:rPr>
              <w:t>1</w:t>
            </w:r>
          </w:p>
          <w:p w:rsidR="00381739" w:rsidRPr="004D5CA2" w:rsidRDefault="00DC117D" w:rsidP="00381739">
            <w:pPr>
              <w:rPr>
                <w:rFonts w:ascii="Times New Roman" w:hAnsi="Times New Roman" w:cs="Times New Roman"/>
                <w:b/>
              </w:rPr>
            </w:pPr>
            <w:r>
              <w:rPr>
                <w:rFonts w:ascii="Times New Roman" w:hAnsi="Times New Roman" w:cs="Times New Roman"/>
                <w:b/>
              </w:rPr>
              <w:t>2</w:t>
            </w:r>
            <w:r w:rsidR="0002531B" w:rsidRPr="0002531B">
              <w:rPr>
                <w:rFonts w:ascii="Times New Roman" w:hAnsi="Times New Roman" w:cs="Times New Roman"/>
                <w:b/>
                <w:vertAlign w:val="superscript"/>
              </w:rPr>
              <w:t>ème</w:t>
            </w:r>
            <w:r w:rsidR="0002531B">
              <w:rPr>
                <w:rFonts w:ascii="Times New Roman" w:hAnsi="Times New Roman" w:cs="Times New Roman"/>
                <w:b/>
              </w:rPr>
              <w:t xml:space="preserve"> </w:t>
            </w:r>
            <w:r w:rsidR="00381739" w:rsidRPr="00381739">
              <w:rPr>
                <w:rFonts w:ascii="Times New Roman" w:hAnsi="Times New Roman" w:cs="Times New Roman"/>
                <w:b/>
              </w:rPr>
              <w:t>trimestre 202</w:t>
            </w:r>
            <w:r>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D61A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bookmarkStart w:id="0" w:name="_GoBack"/>
      <w:bookmarkEnd w:id="0"/>
    </w:p>
    <w:p w:rsidR="0035623E" w:rsidRDefault="0035623E" w:rsidP="0035623E">
      <w:pPr>
        <w:pStyle w:val="ListParagraph"/>
        <w:spacing w:after="0" w:line="240" w:lineRule="auto"/>
        <w:ind w:left="425"/>
        <w:jc w:val="both"/>
        <w:rPr>
          <w:rFonts w:ascii="Times New Roman" w:hAnsi="Times New Roman" w:cs="Times New Roman"/>
        </w:rPr>
      </w:pPr>
      <w:r w:rsidRPr="0035623E">
        <w:rPr>
          <w:rFonts w:ascii="Times New Roman" w:hAnsi="Times New Roman" w:cs="Times New Roman"/>
        </w:rPr>
        <w:t>L’unité B1</w:t>
      </w:r>
      <w:proofErr w:type="gramStart"/>
      <w:r w:rsidRPr="0035623E">
        <w:rPr>
          <w:rFonts w:ascii="Times New Roman" w:hAnsi="Times New Roman" w:cs="Times New Roman"/>
        </w:rPr>
        <w:t xml:space="preserve"> «Politique</w:t>
      </w:r>
      <w:proofErr w:type="gramEnd"/>
      <w:r w:rsidRPr="0035623E">
        <w:rPr>
          <w:rFonts w:ascii="Times New Roman" w:hAnsi="Times New Roman" w:cs="Times New Roman"/>
        </w:rPr>
        <w:t xml:space="preserve"> des communications électroniques» est l’une des cinq unités de la direction B «Connectivité». L’unité est chargée d’élaborer la politique et la législation dans le domaine des communications électroniques. Elle vise à garantir des conditions propices au déploiement concurrentiel de nouveaux réseaux à haut débit et des conditions de concurrence équitables pour les réseaux numériques avancés et les services innovants, permettant aux citoyens et aux entreprises de bénéficier d’une connectivité de première qualité dans l’ensemble de l’UE. </w:t>
      </w:r>
    </w:p>
    <w:p w:rsidR="0035623E" w:rsidRPr="0035623E" w:rsidRDefault="0035623E" w:rsidP="0035623E">
      <w:pPr>
        <w:pStyle w:val="ListParagraph"/>
        <w:spacing w:after="0" w:line="240" w:lineRule="auto"/>
        <w:ind w:left="425"/>
        <w:jc w:val="both"/>
        <w:rPr>
          <w:rFonts w:ascii="Times New Roman" w:hAnsi="Times New Roman" w:cs="Times New Roman"/>
        </w:rPr>
      </w:pPr>
    </w:p>
    <w:p w:rsidR="0035623E" w:rsidRDefault="0035623E" w:rsidP="0035623E">
      <w:pPr>
        <w:pStyle w:val="ListParagraph"/>
        <w:spacing w:after="0" w:line="240" w:lineRule="auto"/>
        <w:ind w:left="425"/>
        <w:jc w:val="both"/>
        <w:rPr>
          <w:rFonts w:ascii="Times New Roman" w:hAnsi="Times New Roman" w:cs="Times New Roman"/>
        </w:rPr>
      </w:pPr>
      <w:r w:rsidRPr="0035623E">
        <w:rPr>
          <w:rFonts w:ascii="Times New Roman" w:hAnsi="Times New Roman" w:cs="Times New Roman"/>
        </w:rPr>
        <w:t xml:space="preserve">L’unité se compose de 11 collègues couvrant différents aspects de la politique en matière de communications électroniques, allant de l’accès aux réseaux et de la concurrence aux questions de la protection des consommateurs, y compris la neutralité du réseau (et les questions connexes telles que les risques de congestion du réseau), le changement de fournisseur, le service universel et les communications d’urgence. L’unité contribue activement aux discussions en cours concernant les mesures destinées à aider le secteur au cours de la phase de redressement post-COVID et plus récemment aux questions concernant l'empreinte environnementale des réseaux de communications électroniques. </w:t>
      </w:r>
    </w:p>
    <w:p w:rsidR="0035623E" w:rsidRPr="0035623E" w:rsidRDefault="0035623E" w:rsidP="0035623E">
      <w:pPr>
        <w:pStyle w:val="ListParagraph"/>
        <w:spacing w:after="0" w:line="240" w:lineRule="auto"/>
        <w:ind w:left="425"/>
        <w:jc w:val="both"/>
        <w:rPr>
          <w:rFonts w:ascii="Times New Roman" w:hAnsi="Times New Roman" w:cs="Times New Roman"/>
        </w:rPr>
      </w:pPr>
    </w:p>
    <w:p w:rsidR="0035623E" w:rsidRPr="0035623E" w:rsidRDefault="0035623E" w:rsidP="0035623E">
      <w:pPr>
        <w:pStyle w:val="ListParagraph"/>
        <w:spacing w:after="0" w:line="240" w:lineRule="auto"/>
        <w:ind w:left="425"/>
        <w:jc w:val="both"/>
        <w:rPr>
          <w:rFonts w:ascii="Times New Roman" w:hAnsi="Times New Roman" w:cs="Times New Roman"/>
        </w:rPr>
      </w:pPr>
      <w:r w:rsidRPr="0035623E">
        <w:rPr>
          <w:rFonts w:ascii="Times New Roman" w:hAnsi="Times New Roman" w:cs="Times New Roman"/>
        </w:rPr>
        <w:t>Dans ce contexte, les principales priorités législatives actuelles de l’unité sont la révision de la directive sur la réduction des coûts du haut débit (T2 2022) ainsi que la préparation d’un acte délégué sur plusieurs aspects concernant les communications d’urgence (numéro 112) (T4 2022). En outre, l’unité étudie également des mesures non contraignantes visant à accroître la transparence à l’égard des consommateurs en ce qui concerne l’empreinte environnementale des réseaux de télécommunications et, à moyen terme, elle commencera à préparer le réexamen du chapitre relatif aux utilisateurs finaux du code des communications électroniques européen (CCEE).</w:t>
      </w:r>
    </w:p>
    <w:p w:rsidR="0035623E" w:rsidRPr="0035623E" w:rsidRDefault="0035623E" w:rsidP="0035623E">
      <w:pPr>
        <w:pStyle w:val="ListParagraph"/>
        <w:spacing w:after="0" w:line="240" w:lineRule="auto"/>
        <w:ind w:left="425"/>
        <w:jc w:val="both"/>
        <w:rPr>
          <w:rFonts w:ascii="Times New Roman" w:hAnsi="Times New Roman" w:cs="Times New Roman"/>
        </w:rPr>
      </w:pPr>
    </w:p>
    <w:p w:rsidR="000B552E" w:rsidRDefault="0035623E" w:rsidP="0035623E">
      <w:pPr>
        <w:pStyle w:val="ListParagraph"/>
        <w:spacing w:after="0" w:line="240" w:lineRule="auto"/>
        <w:ind w:left="425"/>
        <w:jc w:val="both"/>
        <w:rPr>
          <w:rFonts w:ascii="Times New Roman" w:hAnsi="Times New Roman" w:cs="Times New Roman"/>
        </w:rPr>
      </w:pPr>
      <w:r w:rsidRPr="0035623E">
        <w:rPr>
          <w:rFonts w:ascii="Times New Roman" w:hAnsi="Times New Roman" w:cs="Times New Roman"/>
        </w:rPr>
        <w:lastRenderedPageBreak/>
        <w:t>Sous la supervision d’un fonctionnaire de la Commission et au sein d’une équipe, le candidat retenu contribuera à l’un des deux dossiers législatifs en préparation ainsi qu’à l’évolution future des politiques et suivra les évolutions réglementaires, commerciales et technologiques nécessaires à l’élaboration des politiques. Les travaux impliquent des contacts réguliers avec les États membres, les autorités de régulation, les utilisateurs, les acteurs du marché et les associations sectorielles.</w:t>
      </w:r>
    </w:p>
    <w:p w:rsidR="000B552E" w:rsidRPr="000B552E" w:rsidRDefault="000B552E" w:rsidP="000B552E">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5D29D2" w:rsidRDefault="00745B97" w:rsidP="006C0C8A">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35623E" w:rsidRPr="0035623E">
        <w:rPr>
          <w:rFonts w:ascii="Times New Roman" w:hAnsi="Times New Roman" w:cs="Times New Roman"/>
        </w:rPr>
        <w:t>droit, économie ou ingénierie télécom</w:t>
      </w:r>
      <w:r w:rsidR="00D61A8C" w:rsidRPr="00D61A8C">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B552E" w:rsidRPr="0035623E" w:rsidRDefault="0035623E" w:rsidP="0035623E">
      <w:pPr>
        <w:tabs>
          <w:tab w:val="left" w:pos="1843"/>
        </w:tabs>
        <w:spacing w:after="0" w:line="240" w:lineRule="auto"/>
        <w:ind w:left="709" w:right="60"/>
        <w:jc w:val="both"/>
        <w:rPr>
          <w:rFonts w:ascii="Times New Roman" w:eastAsia="Times New Roman" w:hAnsi="Times New Roman" w:cs="Times New Roman"/>
          <w:lang w:eastAsia="en-GB"/>
        </w:rPr>
      </w:pPr>
      <w:r w:rsidRPr="0035623E">
        <w:rPr>
          <w:rFonts w:ascii="Times New Roman" w:eastAsia="Times New Roman" w:hAnsi="Times New Roman" w:cs="Times New Roman"/>
          <w:lang w:eastAsia="en-GB"/>
        </w:rPr>
        <w:t>Les candidats devront posséder une solide expérience de la politique en matière de communications électroniques et une bonne connaissance du cadre réglementaire. Une certaine compréhension des procédures décisionnelles de l’UE serait un atout.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35623E" w:rsidP="001F18BF">
      <w:pPr>
        <w:spacing w:after="0" w:line="240" w:lineRule="auto"/>
        <w:ind w:left="709"/>
        <w:rPr>
          <w:rFonts w:ascii="Times New Roman" w:eastAsia="Times New Roman" w:hAnsi="Times New Roman" w:cs="Times New Roman"/>
          <w:lang w:eastAsia="en-GB"/>
        </w:rPr>
      </w:pPr>
      <w:r w:rsidRPr="0035623E">
        <w:rPr>
          <w:rFonts w:ascii="Times New Roman" w:eastAsia="Times New Roman" w:hAnsi="Times New Roman" w:cs="Times New Roman"/>
          <w:lang w:eastAsia="en-GB"/>
        </w:rPr>
        <w:t>Anglais (la connaissance du français est un ato</w:t>
      </w:r>
      <w:r>
        <w:rPr>
          <w:rFonts w:ascii="Times New Roman" w:eastAsia="Times New Roman" w:hAnsi="Times New Roman" w:cs="Times New Roman"/>
          <w:lang w:eastAsia="en-GB"/>
        </w:rPr>
        <w:t>u</w:t>
      </w:r>
      <w:r w:rsidRPr="0035623E">
        <w:rPr>
          <w:rFonts w:ascii="Times New Roman" w:eastAsia="Times New Roman" w:hAnsi="Times New Roman" w:cs="Times New Roman"/>
          <w:lang w:eastAsia="en-GB"/>
        </w:rPr>
        <w:t>t)</w:t>
      </w:r>
      <w:r>
        <w:rPr>
          <w:rFonts w:ascii="Times New Roman" w:eastAsia="Times New Roman" w:hAnsi="Times New Roman" w:cs="Times New Roman"/>
          <w:lang w:eastAsia="en-GB"/>
        </w:rPr>
        <w:t>.</w:t>
      </w:r>
    </w:p>
    <w:p w:rsidR="00823281" w:rsidRPr="00745B97" w:rsidRDefault="00823281"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candidats seront informés du suivi de leur candidature par l'unité concernée.</w:t>
      </w:r>
    </w:p>
    <w:p w:rsidR="00D61A8C" w:rsidRDefault="00D61A8C"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lastRenderedPageBreak/>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572"/>
    <w:multiLevelType w:val="hybridMultilevel"/>
    <w:tmpl w:val="0EDEB800"/>
    <w:lvl w:ilvl="0" w:tplc="2382A9E6">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E52180A"/>
    <w:multiLevelType w:val="hybridMultilevel"/>
    <w:tmpl w:val="B7B04B6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328434E9"/>
    <w:multiLevelType w:val="hybridMultilevel"/>
    <w:tmpl w:val="5584FED0"/>
    <w:lvl w:ilvl="0" w:tplc="B590E9BC">
      <w:start w:val="1"/>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B414CF"/>
    <w:multiLevelType w:val="hybridMultilevel"/>
    <w:tmpl w:val="F364E90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8"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5F8E08C8"/>
    <w:multiLevelType w:val="hybridMultilevel"/>
    <w:tmpl w:val="0DCE0D8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6C287A92"/>
    <w:multiLevelType w:val="hybridMultilevel"/>
    <w:tmpl w:val="7342142A"/>
    <w:lvl w:ilvl="0" w:tplc="DF741F7E">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7" w15:restartNumberingAfterBreak="0">
    <w:nsid w:val="7957563B"/>
    <w:multiLevelType w:val="hybridMultilevel"/>
    <w:tmpl w:val="7F2E9F12"/>
    <w:lvl w:ilvl="0" w:tplc="2382A9E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79EF19F8"/>
    <w:multiLevelType w:val="hybridMultilevel"/>
    <w:tmpl w:val="CCCE770E"/>
    <w:lvl w:ilvl="0" w:tplc="DF741F7E">
      <w:numFmt w:val="bullet"/>
      <w:lvlText w:val="•"/>
      <w:lvlJc w:val="left"/>
      <w:pPr>
        <w:ind w:left="1494"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9"/>
  </w:num>
  <w:num w:numId="2">
    <w:abstractNumId w:val="13"/>
  </w:num>
  <w:num w:numId="3">
    <w:abstractNumId w:val="11"/>
  </w:num>
  <w:num w:numId="4">
    <w:abstractNumId w:val="8"/>
  </w:num>
  <w:num w:numId="5">
    <w:abstractNumId w:val="10"/>
  </w:num>
  <w:num w:numId="6">
    <w:abstractNumId w:val="5"/>
  </w:num>
  <w:num w:numId="7">
    <w:abstractNumId w:val="3"/>
  </w:num>
  <w:num w:numId="8">
    <w:abstractNumId w:val="15"/>
  </w:num>
  <w:num w:numId="9">
    <w:abstractNumId w:val="7"/>
  </w:num>
  <w:num w:numId="10">
    <w:abstractNumId w:val="2"/>
  </w:num>
  <w:num w:numId="11">
    <w:abstractNumId w:val="16"/>
  </w:num>
  <w:num w:numId="12">
    <w:abstractNumId w:val="12"/>
  </w:num>
  <w:num w:numId="13">
    <w:abstractNumId w:val="4"/>
  </w:num>
  <w:num w:numId="14">
    <w:abstractNumId w:val="6"/>
  </w:num>
  <w:num w:numId="15">
    <w:abstractNumId w:val="1"/>
  </w:num>
  <w:num w:numId="16">
    <w:abstractNumId w:val="14"/>
  </w:num>
  <w:num w:numId="17">
    <w:abstractNumId w:val="18"/>
  </w:num>
  <w:num w:numId="18">
    <w:abstractNumId w:val="17"/>
  </w:num>
  <w:num w:numId="1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B552E"/>
    <w:rsid w:val="000B6701"/>
    <w:rsid w:val="000D3C7E"/>
    <w:rsid w:val="000D7956"/>
    <w:rsid w:val="000E6DA3"/>
    <w:rsid w:val="00112337"/>
    <w:rsid w:val="0019598C"/>
    <w:rsid w:val="001D1CEB"/>
    <w:rsid w:val="001F18BF"/>
    <w:rsid w:val="001F3AF6"/>
    <w:rsid w:val="001F6A8B"/>
    <w:rsid w:val="002532CB"/>
    <w:rsid w:val="00253D2A"/>
    <w:rsid w:val="00294A59"/>
    <w:rsid w:val="002A3536"/>
    <w:rsid w:val="002D3AB2"/>
    <w:rsid w:val="002D5733"/>
    <w:rsid w:val="003076C4"/>
    <w:rsid w:val="003445AE"/>
    <w:rsid w:val="0035623E"/>
    <w:rsid w:val="00381739"/>
    <w:rsid w:val="003A1412"/>
    <w:rsid w:val="003B5714"/>
    <w:rsid w:val="003C037E"/>
    <w:rsid w:val="003F6A25"/>
    <w:rsid w:val="00443EC9"/>
    <w:rsid w:val="004947DA"/>
    <w:rsid w:val="004D1C94"/>
    <w:rsid w:val="004D5CA2"/>
    <w:rsid w:val="00504F19"/>
    <w:rsid w:val="0051373F"/>
    <w:rsid w:val="00534042"/>
    <w:rsid w:val="00563A0A"/>
    <w:rsid w:val="00581C3B"/>
    <w:rsid w:val="005A0E71"/>
    <w:rsid w:val="005B106C"/>
    <w:rsid w:val="005D29D2"/>
    <w:rsid w:val="00621284"/>
    <w:rsid w:val="006321C7"/>
    <w:rsid w:val="006851C8"/>
    <w:rsid w:val="006A2619"/>
    <w:rsid w:val="006C0C8A"/>
    <w:rsid w:val="006F273B"/>
    <w:rsid w:val="00745B97"/>
    <w:rsid w:val="00762B34"/>
    <w:rsid w:val="00766E35"/>
    <w:rsid w:val="007673A9"/>
    <w:rsid w:val="00793AF8"/>
    <w:rsid w:val="007F1F06"/>
    <w:rsid w:val="007F46B6"/>
    <w:rsid w:val="007F771A"/>
    <w:rsid w:val="00803AF5"/>
    <w:rsid w:val="00804B2F"/>
    <w:rsid w:val="00823281"/>
    <w:rsid w:val="00823E21"/>
    <w:rsid w:val="00862363"/>
    <w:rsid w:val="00875AB2"/>
    <w:rsid w:val="00890683"/>
    <w:rsid w:val="00890C8A"/>
    <w:rsid w:val="00902804"/>
    <w:rsid w:val="00962667"/>
    <w:rsid w:val="009A421C"/>
    <w:rsid w:val="009C55A3"/>
    <w:rsid w:val="009D7AF5"/>
    <w:rsid w:val="009E3E12"/>
    <w:rsid w:val="00A140DB"/>
    <w:rsid w:val="00A516E1"/>
    <w:rsid w:val="00A955DE"/>
    <w:rsid w:val="00A9645C"/>
    <w:rsid w:val="00AA2606"/>
    <w:rsid w:val="00B15B47"/>
    <w:rsid w:val="00B252C1"/>
    <w:rsid w:val="00B3294A"/>
    <w:rsid w:val="00B36D07"/>
    <w:rsid w:val="00BA34CF"/>
    <w:rsid w:val="00BB18BA"/>
    <w:rsid w:val="00BC14A5"/>
    <w:rsid w:val="00BD297B"/>
    <w:rsid w:val="00C51C52"/>
    <w:rsid w:val="00C564E9"/>
    <w:rsid w:val="00CF6068"/>
    <w:rsid w:val="00CF677F"/>
    <w:rsid w:val="00D37D48"/>
    <w:rsid w:val="00D61A8C"/>
    <w:rsid w:val="00D64B33"/>
    <w:rsid w:val="00D805C9"/>
    <w:rsid w:val="00D869ED"/>
    <w:rsid w:val="00D926BD"/>
    <w:rsid w:val="00D9400C"/>
    <w:rsid w:val="00DC117D"/>
    <w:rsid w:val="00E109FB"/>
    <w:rsid w:val="00E441A0"/>
    <w:rsid w:val="00EA2848"/>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39457"/>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ta.reyners-fontan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1488</Words>
  <Characters>8647</Characters>
  <Application>Microsoft Office Word</Application>
  <DocSecurity>0</DocSecurity>
  <Lines>180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2022-02-14T10:03:00Z</dcterms:created>
  <dcterms:modified xsi:type="dcterms:W3CDTF">2022-02-14T10:03:00Z</dcterms:modified>
</cp:coreProperties>
</file>