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91FCC" w:rsidP="00A10A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TAXUD-E</w:t>
            </w:r>
            <w:r w:rsidR="00056179">
              <w:rPr>
                <w:rFonts w:ascii="Times New Roman" w:eastAsia="Times New Roman" w:hAnsi="Times New Roman" w:cs="Times New Roman"/>
                <w:b/>
                <w:sz w:val="24"/>
                <w:szCs w:val="20"/>
                <w:lang w:val="de-DE" w:eastAsia="en-GB"/>
              </w:rPr>
              <w:t>-4</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91FCC" w:rsidRPr="00291FCC" w:rsidRDefault="00291FCC" w:rsidP="00291FCC">
            <w:pPr>
              <w:rPr>
                <w:rFonts w:ascii="Times New Roman" w:hAnsi="Times New Roman" w:cs="Times New Roman"/>
                <w:b/>
              </w:rPr>
            </w:pPr>
            <w:r w:rsidRPr="00291FCC">
              <w:rPr>
                <w:rFonts w:ascii="Times New Roman" w:hAnsi="Times New Roman" w:cs="Times New Roman"/>
                <w:b/>
              </w:rPr>
              <w:t>Fernando PERREAU DE PINNINCK</w:t>
            </w:r>
          </w:p>
          <w:p w:rsidR="00291FCC" w:rsidRPr="00291FCC" w:rsidRDefault="00291FCC" w:rsidP="00291FCC">
            <w:pPr>
              <w:rPr>
                <w:rFonts w:ascii="Times New Roman" w:hAnsi="Times New Roman" w:cs="Times New Roman"/>
                <w:b/>
              </w:rPr>
            </w:pPr>
            <w:hyperlink r:id="rId8" w:history="1">
              <w:r w:rsidRPr="007956D9">
                <w:rPr>
                  <w:rStyle w:val="Hyperlink"/>
                  <w:rFonts w:ascii="Times New Roman" w:hAnsi="Times New Roman" w:cs="Times New Roman"/>
                  <w:b/>
                </w:rPr>
                <w:t>Fernando.PERREAU-DE-PINNINCK@ec.europa.eu</w:t>
              </w:r>
            </w:hyperlink>
            <w:r>
              <w:rPr>
                <w:rFonts w:ascii="Times New Roman" w:hAnsi="Times New Roman" w:cs="Times New Roman"/>
                <w:b/>
              </w:rPr>
              <w:t xml:space="preserve"> </w:t>
            </w:r>
          </w:p>
          <w:p w:rsidR="006A2619" w:rsidRPr="000654AE" w:rsidRDefault="00291FCC" w:rsidP="00291FCC">
            <w:pPr>
              <w:rPr>
                <w:rFonts w:ascii="Times New Roman" w:hAnsi="Times New Roman" w:cs="Times New Roman"/>
                <w:b/>
                <w:lang w:val="en-GB"/>
              </w:rPr>
            </w:pPr>
            <w:r w:rsidRPr="00291FCC">
              <w:rPr>
                <w:rFonts w:ascii="Times New Roman" w:hAnsi="Times New Roman" w:cs="Times New Roman"/>
                <w:b/>
                <w:lang w:val="en-GB"/>
              </w:rPr>
              <w:t>+32 229-61932</w:t>
            </w:r>
          </w:p>
          <w:p w:rsidR="00621284" w:rsidRPr="000654AE" w:rsidRDefault="002B14F7" w:rsidP="00D61A8C">
            <w:pPr>
              <w:rPr>
                <w:rFonts w:ascii="Times New Roman" w:hAnsi="Times New Roman" w:cs="Times New Roman"/>
                <w:b/>
                <w:lang w:val="en-GB"/>
              </w:rPr>
            </w:pPr>
            <w:r>
              <w:rPr>
                <w:rFonts w:ascii="Times New Roman" w:hAnsi="Times New Roman" w:cs="Times New Roman"/>
                <w:b/>
                <w:lang w:val="en-GB"/>
              </w:rPr>
              <w:t>1</w:t>
            </w:r>
          </w:p>
          <w:p w:rsidR="00381739" w:rsidRPr="004D5CA2" w:rsidRDefault="00056179"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E31B0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91FCC" w:rsidRDefault="00291FCC" w:rsidP="00291FCC">
      <w:pPr>
        <w:spacing w:after="0" w:line="240" w:lineRule="auto"/>
        <w:ind w:left="426" w:hanging="1"/>
        <w:jc w:val="both"/>
        <w:rPr>
          <w:rFonts w:ascii="Times New Roman" w:hAnsi="Times New Roman" w:cs="Times New Roman"/>
        </w:rPr>
      </w:pPr>
      <w:r w:rsidRPr="00291FCC">
        <w:rPr>
          <w:rFonts w:ascii="Times New Roman" w:hAnsi="Times New Roman" w:cs="Times New Roman"/>
        </w:rPr>
        <w:t xml:space="preserve">Fonction principale : gestion de la convention </w:t>
      </w:r>
      <w:proofErr w:type="spellStart"/>
      <w:r w:rsidRPr="00291FCC">
        <w:rPr>
          <w:rFonts w:ascii="Times New Roman" w:hAnsi="Times New Roman" w:cs="Times New Roman"/>
        </w:rPr>
        <w:t>paneuro-méditerranéenne</w:t>
      </w:r>
      <w:proofErr w:type="spellEnd"/>
      <w:r w:rsidRPr="00291FCC">
        <w:rPr>
          <w:rFonts w:ascii="Times New Roman" w:hAnsi="Times New Roman" w:cs="Times New Roman"/>
        </w:rPr>
        <w:t xml:space="preserve"> sur les règles d’origine et participation aux négociations portant sur son réexamen et introduction des règles d'origine transitoires révisées dans les protocoles d’origine des accords de l’UE avec ses partenaires PEM, ainsi que leur mise en œuvre. </w:t>
      </w:r>
    </w:p>
    <w:p w:rsidR="00291FCC" w:rsidRDefault="00291FCC" w:rsidP="00291FCC">
      <w:pPr>
        <w:spacing w:after="0" w:line="240" w:lineRule="auto"/>
        <w:ind w:left="426" w:hanging="1"/>
        <w:jc w:val="both"/>
        <w:rPr>
          <w:rFonts w:ascii="Times New Roman" w:hAnsi="Times New Roman" w:cs="Times New Roman"/>
        </w:rPr>
      </w:pPr>
    </w:p>
    <w:p w:rsidR="00291FCC" w:rsidRPr="00291FCC" w:rsidRDefault="00291FCC" w:rsidP="00291FCC">
      <w:pPr>
        <w:spacing w:after="0" w:line="240" w:lineRule="auto"/>
        <w:ind w:left="426" w:hanging="1"/>
        <w:jc w:val="both"/>
        <w:rPr>
          <w:rFonts w:ascii="Times New Roman" w:hAnsi="Times New Roman" w:cs="Times New Roman"/>
        </w:rPr>
      </w:pPr>
      <w:r w:rsidRPr="00291FCC">
        <w:rPr>
          <w:rFonts w:ascii="Times New Roman" w:hAnsi="Times New Roman" w:cs="Times New Roman"/>
        </w:rPr>
        <w:t>Les tâches spécifiques comprennent :</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 xml:space="preserve">Préparer, rédiger et assurer le suivi des documents de travail concernant l’extension et la gestion des règles </w:t>
      </w:r>
      <w:proofErr w:type="spellStart"/>
      <w:r w:rsidRPr="00291FCC">
        <w:rPr>
          <w:rFonts w:ascii="Times New Roman" w:hAnsi="Times New Roman" w:cs="Times New Roman"/>
        </w:rPr>
        <w:t>paneuro-méditerranéennes</w:t>
      </w:r>
      <w:proofErr w:type="spellEnd"/>
      <w:r w:rsidRPr="00291FCC">
        <w:rPr>
          <w:rFonts w:ascii="Times New Roman" w:hAnsi="Times New Roman" w:cs="Times New Roman"/>
        </w:rPr>
        <w:t xml:space="preserve"> d’origine applicables aux partenaires méditerranéens, ainsi que les réunions avec les États membres et les partenaires préférentiels PEM.</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Produire, actualiser, gérer et contrôler l’application des actes juridiques relatifs aux règles d’origine préférentielle pour les pays concernés.</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 xml:space="preserve">Préparer des projets de protocoles sur les règles d’origine : modifier les protocoles existants ou rédiger de nouveaux protocoles aux fins de négociations. </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Préparer, rédiger et assurer le suivi des documents de travail du groupe d’experts douaniers (section</w:t>
      </w:r>
      <w:proofErr w:type="gramStart"/>
      <w:r w:rsidRPr="00291FCC">
        <w:rPr>
          <w:rFonts w:ascii="Times New Roman" w:hAnsi="Times New Roman" w:cs="Times New Roman"/>
        </w:rPr>
        <w:t xml:space="preserve"> «origine</w:t>
      </w:r>
      <w:proofErr w:type="gramEnd"/>
      <w:r w:rsidRPr="00291FCC">
        <w:rPr>
          <w:rFonts w:ascii="Times New Roman" w:hAnsi="Times New Roman" w:cs="Times New Roman"/>
        </w:rPr>
        <w:t>»).</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Sous la supervision d’un administrateur, maintenir des contacts et des échanges réguliers d’informations avec les organismes des secteurs public et privé des États membres et des pays partenaires sur des questions intéressant le secteur.</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 xml:space="preserve">Assister un fonctionnaire de la Commission dans les </w:t>
      </w:r>
      <w:proofErr w:type="gramStart"/>
      <w:r w:rsidRPr="00291FCC">
        <w:rPr>
          <w:rFonts w:ascii="Times New Roman" w:hAnsi="Times New Roman" w:cs="Times New Roman"/>
        </w:rPr>
        <w:t>négociations  au</w:t>
      </w:r>
      <w:proofErr w:type="gramEnd"/>
      <w:r w:rsidRPr="00291FCC">
        <w:rPr>
          <w:rFonts w:ascii="Times New Roman" w:hAnsi="Times New Roman" w:cs="Times New Roman"/>
        </w:rPr>
        <w:t xml:space="preserve"> nom de la Commission avec les États membres, les pays tiers, les entreprises et d’autres organisations. </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Suivre et résoudre les problèmes liés à la mise en œuvre des règles d’origine préférentielle avec les pays concernés.</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 xml:space="preserve">Assister aux réunions régulières des comités de gestion avec les pays partenaires concernés. </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lastRenderedPageBreak/>
        <w:t xml:space="preserve">Suivre les discussions au sein du Conseil sur les questions liées aux règles d’origine PEM. </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 xml:space="preserve">Assurer la liaison avec les directions générales de la Commission concernées (par exemple DG INTPA, TRADE, AGRI, MARE, BUDG, NEAR, SG, OLAF, Service juridique) et le SEAE. </w:t>
      </w:r>
    </w:p>
    <w:p w:rsidR="00291FCC"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 xml:space="preserve">Préparer, mener et répondre aux consultations </w:t>
      </w:r>
      <w:proofErr w:type="spellStart"/>
      <w:r w:rsidRPr="00291FCC">
        <w:rPr>
          <w:rFonts w:ascii="Times New Roman" w:hAnsi="Times New Roman" w:cs="Times New Roman"/>
        </w:rPr>
        <w:t>inter-services</w:t>
      </w:r>
      <w:proofErr w:type="spellEnd"/>
      <w:r w:rsidRPr="00291FCC">
        <w:rPr>
          <w:rFonts w:ascii="Times New Roman" w:hAnsi="Times New Roman" w:cs="Times New Roman"/>
        </w:rPr>
        <w:t xml:space="preserve"> sur tous les aspects concernant les règles d’origine préférentielle avec les pays partenaires concernés, organiser et participer aux réunions </w:t>
      </w:r>
      <w:proofErr w:type="spellStart"/>
      <w:r w:rsidRPr="00291FCC">
        <w:rPr>
          <w:rFonts w:ascii="Times New Roman" w:hAnsi="Times New Roman" w:cs="Times New Roman"/>
        </w:rPr>
        <w:t>inter-services</w:t>
      </w:r>
      <w:proofErr w:type="spellEnd"/>
      <w:r w:rsidRPr="00291FCC">
        <w:rPr>
          <w:rFonts w:ascii="Times New Roman" w:hAnsi="Times New Roman" w:cs="Times New Roman"/>
        </w:rPr>
        <w:t xml:space="preserve"> de coordination.  </w:t>
      </w:r>
    </w:p>
    <w:p w:rsidR="004644A7" w:rsidRPr="00291FCC" w:rsidRDefault="00291FCC" w:rsidP="00291FCC">
      <w:pPr>
        <w:pStyle w:val="ListParagraph"/>
        <w:numPr>
          <w:ilvl w:val="0"/>
          <w:numId w:val="9"/>
        </w:numPr>
        <w:spacing w:after="0" w:line="240" w:lineRule="auto"/>
        <w:ind w:left="709" w:hanging="283"/>
        <w:jc w:val="both"/>
        <w:rPr>
          <w:rFonts w:ascii="Times New Roman" w:hAnsi="Times New Roman" w:cs="Times New Roman"/>
        </w:rPr>
      </w:pPr>
      <w:r w:rsidRPr="00291FCC">
        <w:rPr>
          <w:rFonts w:ascii="Times New Roman" w:hAnsi="Times New Roman" w:cs="Times New Roman"/>
        </w:rPr>
        <w:t>Répondre aux demandes d’informations externes concernant les travaux de l’unité, ainsi qu’aux demandes d’informations émanant de la hiérarchie et d’autres services au sein de la Commission.</w:t>
      </w:r>
    </w:p>
    <w:p w:rsidR="00084964" w:rsidRPr="00084964" w:rsidRDefault="00084964" w:rsidP="004644A7">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4644A7">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291FCC" w:rsidRPr="00291FCC">
        <w:rPr>
          <w:rFonts w:ascii="Times New Roman" w:hAnsi="Times New Roman" w:cs="Times New Roman"/>
        </w:rPr>
        <w:t>de préférence droit, économie et/ou science</w:t>
      </w:r>
      <w:r w:rsidR="00291FCC">
        <w:rPr>
          <w:rFonts w:ascii="Times New Roman" w:hAnsi="Times New Roman" w:cs="Times New Roman"/>
        </w:rPr>
        <w:t>s</w:t>
      </w:r>
      <w:r w:rsidR="00291FCC" w:rsidRPr="00291FCC">
        <w:rPr>
          <w:rFonts w:ascii="Times New Roman" w:hAnsi="Times New Roman" w:cs="Times New Roman"/>
        </w:rPr>
        <w:t xml:space="preserve"> politique</w:t>
      </w:r>
      <w:r w:rsidR="00291FCC">
        <w:rPr>
          <w:rFonts w:ascii="Times New Roman" w:hAnsi="Times New Roman" w:cs="Times New Roman"/>
        </w:rPr>
        <w:t>s</w:t>
      </w:r>
      <w:r w:rsidR="009321FE" w:rsidRPr="009321F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291FCC" w:rsidP="00291FCC">
      <w:pPr>
        <w:tabs>
          <w:tab w:val="left" w:pos="1276"/>
        </w:tabs>
        <w:spacing w:after="0" w:line="240" w:lineRule="auto"/>
        <w:ind w:left="709" w:right="60"/>
        <w:jc w:val="both"/>
        <w:rPr>
          <w:rFonts w:ascii="Times New Roman" w:eastAsia="Times New Roman" w:hAnsi="Times New Roman" w:cs="Times New Roman"/>
          <w:lang w:eastAsia="en-GB"/>
        </w:rPr>
      </w:pPr>
      <w:r w:rsidRPr="00291FCC">
        <w:rPr>
          <w:rFonts w:ascii="Times New Roman" w:eastAsia="Times New Roman" w:hAnsi="Times New Roman" w:cs="Times New Roman"/>
          <w:lang w:eastAsia="en-GB"/>
        </w:rPr>
        <w:t>Au moins trois ans dans le domaine des règles d’origine ou dans des domaines directement liés aux règles d’origine, ainsi qu'une compétence en matière douanière.</w:t>
      </w:r>
    </w:p>
    <w:p w:rsidR="00291FCC" w:rsidRDefault="00291FCC" w:rsidP="00291FCC">
      <w:pPr>
        <w:tabs>
          <w:tab w:val="left" w:pos="1276"/>
        </w:tabs>
        <w:spacing w:after="0" w:line="240" w:lineRule="auto"/>
        <w:ind w:left="709" w:right="60"/>
        <w:jc w:val="both"/>
        <w:rPr>
          <w:rFonts w:ascii="Times New Roman" w:eastAsia="Times New Roman" w:hAnsi="Times New Roman" w:cs="Times New Roman"/>
          <w:lang w:eastAsia="en-GB"/>
        </w:rPr>
      </w:pPr>
    </w:p>
    <w:p w:rsidR="00291FCC" w:rsidRPr="00291FCC" w:rsidRDefault="00291FCC" w:rsidP="00291FCC">
      <w:pPr>
        <w:tabs>
          <w:tab w:val="left" w:pos="1276"/>
        </w:tabs>
        <w:spacing w:after="0" w:line="240" w:lineRule="auto"/>
        <w:ind w:left="709" w:right="60"/>
        <w:jc w:val="both"/>
        <w:rPr>
          <w:rFonts w:ascii="Times New Roman" w:eastAsia="Times New Roman" w:hAnsi="Times New Roman" w:cs="Times New Roman"/>
          <w:lang w:eastAsia="en-GB"/>
        </w:rPr>
      </w:pPr>
      <w:r w:rsidRPr="00291FCC">
        <w:rPr>
          <w:rFonts w:ascii="Times New Roman" w:eastAsia="Times New Roman" w:hAnsi="Times New Roman" w:cs="Times New Roman"/>
          <w:lang w:eastAsia="en-GB"/>
        </w:rPr>
        <w:t>En plus des connaissances sur le sujet, sont appréciées les compétences suivantes : de bonnes capacités de communication (à l'oral comme à l'écrit), la capacité de travailler de manière autonome et avec initiative, la capacité d’analyse et la capacité de synthétiser et de présenter des arguments sur des questions techniques d’une manière claire, un esprit critique, la capacité de travailler en équipe, et l’intérêt pour le sujet combiné à la rigueur analytique. Des compétences de négociation et la connaissance des processus internationaux seraient un plus.</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291FCC" w:rsidP="00E77B0E">
      <w:pPr>
        <w:spacing w:after="0" w:line="240" w:lineRule="auto"/>
        <w:ind w:left="709"/>
        <w:jc w:val="both"/>
        <w:rPr>
          <w:rFonts w:ascii="Times New Roman" w:eastAsia="Times New Roman" w:hAnsi="Times New Roman" w:cs="Times New Roman"/>
          <w:lang w:eastAsia="en-GB"/>
        </w:rPr>
      </w:pPr>
      <w:r w:rsidRPr="00291FCC">
        <w:rPr>
          <w:rFonts w:ascii="Times New Roman" w:eastAsia="Times New Roman" w:hAnsi="Times New Roman" w:cs="Times New Roman"/>
          <w:lang w:eastAsia="en-GB"/>
        </w:rPr>
        <w:t>Une bonne maîtrise de l’anglais est essentielle, une connaissance pratique du français est très souhaitable.</w:t>
      </w:r>
    </w:p>
    <w:p w:rsidR="00291FCC" w:rsidRDefault="00291FCC" w:rsidP="00E77B0E">
      <w:pPr>
        <w:spacing w:after="0" w:line="240" w:lineRule="auto"/>
        <w:ind w:left="709"/>
        <w:jc w:val="both"/>
        <w:rPr>
          <w:rFonts w:ascii="Times New Roman" w:eastAsia="Times New Roman" w:hAnsi="Times New Roman" w:cs="Times New Roman"/>
          <w:lang w:eastAsia="en-GB"/>
        </w:rPr>
      </w:pPr>
    </w:p>
    <w:p w:rsidR="00291FCC" w:rsidRDefault="00291FCC" w:rsidP="00E77B0E">
      <w:pPr>
        <w:spacing w:after="0" w:line="240" w:lineRule="auto"/>
        <w:ind w:left="709"/>
        <w:jc w:val="both"/>
        <w:rPr>
          <w:rFonts w:ascii="Times New Roman" w:eastAsia="Times New Roman" w:hAnsi="Times New Roman" w:cs="Times New Roman"/>
          <w:lang w:eastAsia="en-GB"/>
        </w:rPr>
      </w:pPr>
      <w:bookmarkStart w:id="0" w:name="_GoBack"/>
      <w:bookmarkEnd w:id="0"/>
    </w:p>
    <w:p w:rsidR="004644A7" w:rsidRPr="00745B97" w:rsidRDefault="004644A7"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B14F7" w:rsidRDefault="002B14F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37E6D"/>
    <w:multiLevelType w:val="hybridMultilevel"/>
    <w:tmpl w:val="DA6C0262"/>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D72080E"/>
    <w:multiLevelType w:val="hybridMultilevel"/>
    <w:tmpl w:val="A322E89A"/>
    <w:lvl w:ilvl="0" w:tplc="21785350">
      <w:start w:val="1"/>
      <w:numFmt w:val="bullet"/>
      <w:lvlText w:val="-"/>
      <w:lvlJc w:val="left"/>
      <w:pPr>
        <w:ind w:left="2509" w:hanging="360"/>
      </w:pPr>
      <w:rPr>
        <w:rFonts w:ascii="Times New Roman" w:hAnsi="Times New Roman" w:cs="Times New Roman" w:hint="default"/>
      </w:rPr>
    </w:lvl>
    <w:lvl w:ilvl="1" w:tplc="08090003" w:tentative="1">
      <w:start w:val="1"/>
      <w:numFmt w:val="bullet"/>
      <w:lvlText w:val="o"/>
      <w:lvlJc w:val="left"/>
      <w:pPr>
        <w:ind w:left="3229" w:hanging="360"/>
      </w:pPr>
      <w:rPr>
        <w:rFonts w:ascii="Courier New" w:hAnsi="Courier New" w:cs="Courier New" w:hint="default"/>
      </w:rPr>
    </w:lvl>
    <w:lvl w:ilvl="2" w:tplc="08090005" w:tentative="1">
      <w:start w:val="1"/>
      <w:numFmt w:val="bullet"/>
      <w:lvlText w:val=""/>
      <w:lvlJc w:val="left"/>
      <w:pPr>
        <w:ind w:left="3949" w:hanging="360"/>
      </w:pPr>
      <w:rPr>
        <w:rFonts w:ascii="Wingdings" w:hAnsi="Wingdings" w:hint="default"/>
      </w:rPr>
    </w:lvl>
    <w:lvl w:ilvl="3" w:tplc="08090001" w:tentative="1">
      <w:start w:val="1"/>
      <w:numFmt w:val="bullet"/>
      <w:lvlText w:val=""/>
      <w:lvlJc w:val="left"/>
      <w:pPr>
        <w:ind w:left="4669" w:hanging="360"/>
      </w:pPr>
      <w:rPr>
        <w:rFonts w:ascii="Symbol" w:hAnsi="Symbol" w:hint="default"/>
      </w:rPr>
    </w:lvl>
    <w:lvl w:ilvl="4" w:tplc="08090003" w:tentative="1">
      <w:start w:val="1"/>
      <w:numFmt w:val="bullet"/>
      <w:lvlText w:val="o"/>
      <w:lvlJc w:val="left"/>
      <w:pPr>
        <w:ind w:left="5389" w:hanging="360"/>
      </w:pPr>
      <w:rPr>
        <w:rFonts w:ascii="Courier New" w:hAnsi="Courier New" w:cs="Courier New" w:hint="default"/>
      </w:rPr>
    </w:lvl>
    <w:lvl w:ilvl="5" w:tplc="08090005" w:tentative="1">
      <w:start w:val="1"/>
      <w:numFmt w:val="bullet"/>
      <w:lvlText w:val=""/>
      <w:lvlJc w:val="left"/>
      <w:pPr>
        <w:ind w:left="6109" w:hanging="360"/>
      </w:pPr>
      <w:rPr>
        <w:rFonts w:ascii="Wingdings" w:hAnsi="Wingdings" w:hint="default"/>
      </w:rPr>
    </w:lvl>
    <w:lvl w:ilvl="6" w:tplc="08090001" w:tentative="1">
      <w:start w:val="1"/>
      <w:numFmt w:val="bullet"/>
      <w:lvlText w:val=""/>
      <w:lvlJc w:val="left"/>
      <w:pPr>
        <w:ind w:left="6829" w:hanging="360"/>
      </w:pPr>
      <w:rPr>
        <w:rFonts w:ascii="Symbol" w:hAnsi="Symbol" w:hint="default"/>
      </w:rPr>
    </w:lvl>
    <w:lvl w:ilvl="7" w:tplc="08090003" w:tentative="1">
      <w:start w:val="1"/>
      <w:numFmt w:val="bullet"/>
      <w:lvlText w:val="o"/>
      <w:lvlJc w:val="left"/>
      <w:pPr>
        <w:ind w:left="7549" w:hanging="360"/>
      </w:pPr>
      <w:rPr>
        <w:rFonts w:ascii="Courier New" w:hAnsi="Courier New" w:cs="Courier New" w:hint="default"/>
      </w:rPr>
    </w:lvl>
    <w:lvl w:ilvl="8" w:tplc="08090005" w:tentative="1">
      <w:start w:val="1"/>
      <w:numFmt w:val="bullet"/>
      <w:lvlText w:val=""/>
      <w:lvlJc w:val="left"/>
      <w:pPr>
        <w:ind w:left="8269" w:hanging="360"/>
      </w:pPr>
      <w:rPr>
        <w:rFonts w:ascii="Wingdings" w:hAnsi="Wingdings" w:hint="default"/>
      </w:rPr>
    </w:lvl>
  </w:abstractNum>
  <w:abstractNum w:abstractNumId="2"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F5D67DF"/>
    <w:multiLevelType w:val="hybridMultilevel"/>
    <w:tmpl w:val="62A6E7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2A694355"/>
    <w:multiLevelType w:val="hybridMultilevel"/>
    <w:tmpl w:val="DF706964"/>
    <w:lvl w:ilvl="0" w:tplc="77184DA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6"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6A81309C"/>
    <w:multiLevelType w:val="hybridMultilevel"/>
    <w:tmpl w:val="3C9CA4E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6CB655D0"/>
    <w:multiLevelType w:val="hybridMultilevel"/>
    <w:tmpl w:val="9008FD84"/>
    <w:lvl w:ilvl="0" w:tplc="84287D18">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76D10235"/>
    <w:multiLevelType w:val="hybridMultilevel"/>
    <w:tmpl w:val="36CCB6C6"/>
    <w:lvl w:ilvl="0" w:tplc="21785350">
      <w:start w:val="1"/>
      <w:numFmt w:val="bullet"/>
      <w:lvlText w:val="-"/>
      <w:lvlJc w:val="left"/>
      <w:pPr>
        <w:ind w:left="1429" w:hanging="360"/>
      </w:pPr>
      <w:rPr>
        <w:rFonts w:ascii="Times New Roman" w:hAnsi="Times New Roman" w:cs="Times New Roman" w:hint="default"/>
      </w:rPr>
    </w:lvl>
    <w:lvl w:ilvl="1" w:tplc="712E861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6"/>
  </w:num>
  <w:num w:numId="4">
    <w:abstractNumId w:val="3"/>
  </w:num>
  <w:num w:numId="5">
    <w:abstractNumId w:val="7"/>
  </w:num>
  <w:num w:numId="6">
    <w:abstractNumId w:val="5"/>
  </w:num>
  <w:num w:numId="7">
    <w:abstractNumId w:val="9"/>
  </w:num>
  <w:num w:numId="8">
    <w:abstractNumId w:val="1"/>
  </w:num>
  <w:num w:numId="9">
    <w:abstractNumId w:val="0"/>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56179"/>
    <w:rsid w:val="000654AE"/>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1FCC"/>
    <w:rsid w:val="00294A59"/>
    <w:rsid w:val="002A3536"/>
    <w:rsid w:val="002B14F7"/>
    <w:rsid w:val="002D3AB2"/>
    <w:rsid w:val="002D5733"/>
    <w:rsid w:val="002F144B"/>
    <w:rsid w:val="003076C4"/>
    <w:rsid w:val="0032075E"/>
    <w:rsid w:val="003445AE"/>
    <w:rsid w:val="0035623E"/>
    <w:rsid w:val="00381739"/>
    <w:rsid w:val="00396F20"/>
    <w:rsid w:val="003A1412"/>
    <w:rsid w:val="003B2113"/>
    <w:rsid w:val="003B5714"/>
    <w:rsid w:val="003C037E"/>
    <w:rsid w:val="003D5B0C"/>
    <w:rsid w:val="003F6A25"/>
    <w:rsid w:val="004061B8"/>
    <w:rsid w:val="00443EC9"/>
    <w:rsid w:val="004644A7"/>
    <w:rsid w:val="004947DA"/>
    <w:rsid w:val="004C0C7C"/>
    <w:rsid w:val="004D1C94"/>
    <w:rsid w:val="004D5CA2"/>
    <w:rsid w:val="00504F19"/>
    <w:rsid w:val="0051373F"/>
    <w:rsid w:val="00523F0F"/>
    <w:rsid w:val="00534042"/>
    <w:rsid w:val="00534152"/>
    <w:rsid w:val="00536795"/>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B45C9"/>
    <w:rsid w:val="009C55A3"/>
    <w:rsid w:val="009D7AF5"/>
    <w:rsid w:val="009E3E12"/>
    <w:rsid w:val="00A03A1A"/>
    <w:rsid w:val="00A10A28"/>
    <w:rsid w:val="00A140DB"/>
    <w:rsid w:val="00A25E7D"/>
    <w:rsid w:val="00A516E1"/>
    <w:rsid w:val="00A71CC1"/>
    <w:rsid w:val="00A955DE"/>
    <w:rsid w:val="00A9645C"/>
    <w:rsid w:val="00AA2606"/>
    <w:rsid w:val="00AA7653"/>
    <w:rsid w:val="00B15B47"/>
    <w:rsid w:val="00B252C1"/>
    <w:rsid w:val="00B3294A"/>
    <w:rsid w:val="00B32F63"/>
    <w:rsid w:val="00B36D07"/>
    <w:rsid w:val="00B641A8"/>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1B0D"/>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3BC3"/>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rnando.PERREAU-DE-PINNINC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1579</Words>
  <Characters>9080</Characters>
  <Application>Microsoft Office Word</Application>
  <DocSecurity>0</DocSecurity>
  <Lines>185</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2022-02-14T10:27:00Z</dcterms:created>
  <dcterms:modified xsi:type="dcterms:W3CDTF">2022-02-14T10:27:00Z</dcterms:modified>
</cp:coreProperties>
</file>