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03A1A" w:rsidP="004644A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w:t>
            </w:r>
            <w:r w:rsidR="004644A7">
              <w:rPr>
                <w:rFonts w:ascii="Times New Roman" w:eastAsia="Times New Roman" w:hAnsi="Times New Roman" w:cs="Times New Roman"/>
                <w:b/>
                <w:sz w:val="24"/>
                <w:szCs w:val="20"/>
                <w:lang w:val="de-DE" w:eastAsia="en-GB"/>
              </w:rPr>
              <w:t>F</w:t>
            </w:r>
            <w:r w:rsidR="009321FE">
              <w:rPr>
                <w:rFonts w:ascii="Times New Roman" w:eastAsia="Times New Roman" w:hAnsi="Times New Roman" w:cs="Times New Roman"/>
                <w:b/>
                <w:sz w:val="24"/>
                <w:szCs w:val="20"/>
                <w:lang w:val="de-DE" w:eastAsia="en-GB"/>
              </w:rPr>
              <w:t>-2</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644A7" w:rsidRPr="004644A7" w:rsidRDefault="004644A7" w:rsidP="004644A7">
            <w:pPr>
              <w:rPr>
                <w:rFonts w:ascii="Times New Roman" w:hAnsi="Times New Roman" w:cs="Times New Roman"/>
                <w:b/>
              </w:rPr>
            </w:pPr>
            <w:r w:rsidRPr="004644A7">
              <w:rPr>
                <w:rFonts w:ascii="Times New Roman" w:hAnsi="Times New Roman" w:cs="Times New Roman"/>
                <w:b/>
              </w:rPr>
              <w:t xml:space="preserve">Mme Nienke </w:t>
            </w:r>
            <w:proofErr w:type="spellStart"/>
            <w:r w:rsidRPr="004644A7">
              <w:rPr>
                <w:rFonts w:ascii="Times New Roman" w:hAnsi="Times New Roman" w:cs="Times New Roman"/>
                <w:b/>
              </w:rPr>
              <w:t>Buisman</w:t>
            </w:r>
            <w:proofErr w:type="spellEnd"/>
          </w:p>
          <w:p w:rsidR="004644A7" w:rsidRPr="004644A7" w:rsidRDefault="004644A7" w:rsidP="004644A7">
            <w:pPr>
              <w:rPr>
                <w:rFonts w:ascii="Times New Roman" w:hAnsi="Times New Roman" w:cs="Times New Roman"/>
                <w:b/>
              </w:rPr>
            </w:pPr>
            <w:hyperlink r:id="rId8" w:history="1">
              <w:r w:rsidRPr="00085A5C">
                <w:rPr>
                  <w:rStyle w:val="Hyperlink"/>
                  <w:rFonts w:ascii="Times New Roman" w:hAnsi="Times New Roman" w:cs="Times New Roman"/>
                  <w:b/>
                </w:rPr>
                <w:t>Nienke.Buisman@ec.europa.eu</w:t>
              </w:r>
            </w:hyperlink>
            <w:r>
              <w:rPr>
                <w:rFonts w:ascii="Times New Roman" w:hAnsi="Times New Roman" w:cs="Times New Roman"/>
                <w:b/>
              </w:rPr>
              <w:t xml:space="preserve"> </w:t>
            </w:r>
          </w:p>
          <w:p w:rsidR="006A2619" w:rsidRPr="00947519" w:rsidRDefault="004644A7" w:rsidP="004644A7">
            <w:pPr>
              <w:rPr>
                <w:rFonts w:ascii="Times New Roman" w:hAnsi="Times New Roman" w:cs="Times New Roman"/>
                <w:b/>
              </w:rPr>
            </w:pPr>
            <w:r w:rsidRPr="004644A7">
              <w:rPr>
                <w:rFonts w:ascii="Times New Roman" w:hAnsi="Times New Roman" w:cs="Times New Roman"/>
                <w:b/>
              </w:rPr>
              <w:t>+ 32 229 98927</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4644A7"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6B577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644A7" w:rsidRPr="004644A7" w:rsidRDefault="004644A7" w:rsidP="004644A7">
      <w:pPr>
        <w:spacing w:line="240" w:lineRule="auto"/>
        <w:ind w:left="425"/>
        <w:jc w:val="both"/>
        <w:rPr>
          <w:rFonts w:ascii="Times New Roman" w:hAnsi="Times New Roman" w:cs="Times New Roman"/>
        </w:rPr>
      </w:pPr>
      <w:r w:rsidRPr="004644A7">
        <w:rPr>
          <w:rFonts w:ascii="Times New Roman" w:hAnsi="Times New Roman" w:cs="Times New Roman"/>
        </w:rPr>
        <w:t>La direction F</w:t>
      </w:r>
      <w:proofErr w:type="gramStart"/>
      <w:r w:rsidRPr="004644A7">
        <w:rPr>
          <w:rFonts w:ascii="Times New Roman" w:hAnsi="Times New Roman" w:cs="Times New Roman"/>
        </w:rPr>
        <w:t xml:space="preserve"> «Approche</w:t>
      </w:r>
      <w:proofErr w:type="gramEnd"/>
      <w:r w:rsidRPr="004644A7">
        <w:rPr>
          <w:rFonts w:ascii="Times New Roman" w:hAnsi="Times New Roman" w:cs="Times New Roman"/>
        </w:rPr>
        <w:t xml:space="preserve"> Globale et Coopération internationale dans la R&amp;I-» dirige la coopération internationale au sein de la DG R&amp;I. Elle contribue à concrétiser la priorité de la Commission pour une Europe plus forte dans le monde. Elle soutient la réalisation d’une coopération internationale stratégique et équilibrée en matière de R&amp;I, fondée sur le bénéfice mutuel, les intérêts et les valeurs de l’UE, la réciprocité et les engagements internationaux, conformément à l’approche globale sur la recherche et l’innovation. En outre, la direction facilite l’accès aux meilleurs talents, compétences et ressources du monde, permet une action et une coordination conjointes internationales en matière de R&amp;I afin de relever les défis sociétaux mondiaux et supprime les obstacles à l’entrée sur les chaînes de valeur mondiales et les marchés étrangers, et contribue à renforcer la confiance dans les relations extérieures de l’UE.</w:t>
      </w:r>
    </w:p>
    <w:p w:rsidR="004644A7" w:rsidRPr="004644A7" w:rsidRDefault="004644A7" w:rsidP="004644A7">
      <w:pPr>
        <w:spacing w:line="240" w:lineRule="auto"/>
        <w:ind w:left="425"/>
        <w:jc w:val="both"/>
        <w:rPr>
          <w:rFonts w:ascii="Times New Roman" w:hAnsi="Times New Roman" w:cs="Times New Roman"/>
        </w:rPr>
      </w:pPr>
      <w:r w:rsidRPr="004644A7">
        <w:rPr>
          <w:rFonts w:ascii="Times New Roman" w:hAnsi="Times New Roman" w:cs="Times New Roman"/>
        </w:rPr>
        <w:t>L’unité F2 fait office de centre de compétences de la DG pour l’analyse des pays et des régions et élabore, en coopération avec les services concernés, des options stratégiques et stratégiques pour les activités de coopération internationale avec les pays et régions concernés d’Asie, d’Afrique et du Moyen-Orient. Elle gère les relations avec les pays et régions tiers relevant de sa compétence dans le domaine de la politique de R &amp;I, notamment en soutenant le processus d’association des nouveaux arrivants au programme-cadre de l’UE.</w:t>
      </w:r>
    </w:p>
    <w:p w:rsidR="004644A7" w:rsidRPr="004644A7" w:rsidRDefault="004644A7" w:rsidP="004644A7">
      <w:pPr>
        <w:spacing w:line="240" w:lineRule="auto"/>
        <w:ind w:left="425"/>
        <w:jc w:val="both"/>
        <w:rPr>
          <w:rFonts w:ascii="Times New Roman" w:hAnsi="Times New Roman" w:cs="Times New Roman"/>
        </w:rPr>
      </w:pPr>
      <w:r w:rsidRPr="004644A7">
        <w:rPr>
          <w:rFonts w:ascii="Times New Roman" w:hAnsi="Times New Roman" w:cs="Times New Roman"/>
        </w:rPr>
        <w:t xml:space="preserve">L’unité joue également le rôle de pôle de cohérence de la stratégie de coopération internationale en matière de R&amp;I à l’égard d’autres services de la Commission tels que la DG INTPA, la DG NEAR et le Service européen pour l’action extérieure, et promeut la cohérence de la politique/stratégie de l’UE avec les politiques et activités de coopération internationale des États membres, ainsi que les synergies avec d’autres politiques de l’UE, en particulier les politiques extérieures. </w:t>
      </w:r>
    </w:p>
    <w:p w:rsidR="004644A7" w:rsidRPr="004644A7" w:rsidRDefault="004644A7" w:rsidP="004644A7">
      <w:pPr>
        <w:spacing w:line="240" w:lineRule="auto"/>
        <w:ind w:left="425"/>
        <w:jc w:val="both"/>
        <w:rPr>
          <w:rFonts w:ascii="Times New Roman" w:hAnsi="Times New Roman" w:cs="Times New Roman"/>
        </w:rPr>
      </w:pPr>
      <w:r w:rsidRPr="004644A7">
        <w:rPr>
          <w:rFonts w:ascii="Times New Roman" w:hAnsi="Times New Roman" w:cs="Times New Roman"/>
        </w:rPr>
        <w:t xml:space="preserve">En tant que membre de notre équipe (~ 15 personnes et 6 conseillers scientifiques et leurs équipes basés dans les délégations concernées de l’UE), le travail de l’END consisterait à contribuer à assurer la cohérence </w:t>
      </w:r>
      <w:r w:rsidRPr="004644A7">
        <w:rPr>
          <w:rFonts w:ascii="Times New Roman" w:hAnsi="Times New Roman" w:cs="Times New Roman"/>
        </w:rPr>
        <w:lastRenderedPageBreak/>
        <w:t>politique globale et un échange d’informations adéquat avec le sous-groupe permanent de l’EER sur l’approche globale de la R &amp;I, en accomplissant les tâches suivantes:</w:t>
      </w:r>
    </w:p>
    <w:p w:rsidR="004644A7" w:rsidRPr="004644A7" w:rsidRDefault="004644A7" w:rsidP="004644A7">
      <w:pPr>
        <w:pStyle w:val="ListParagraph"/>
        <w:numPr>
          <w:ilvl w:val="0"/>
          <w:numId w:val="4"/>
        </w:numPr>
        <w:spacing w:after="0" w:line="240" w:lineRule="auto"/>
        <w:ind w:left="709" w:hanging="283"/>
        <w:jc w:val="both"/>
        <w:rPr>
          <w:rFonts w:ascii="Times New Roman" w:hAnsi="Times New Roman" w:cs="Times New Roman"/>
        </w:rPr>
      </w:pPr>
      <w:r w:rsidRPr="004644A7">
        <w:rPr>
          <w:rFonts w:ascii="Times New Roman" w:hAnsi="Times New Roman" w:cs="Times New Roman"/>
        </w:rPr>
        <w:t xml:space="preserve">Soutenir le secrétariat du sous-groupe permanent de l’EER sur l’approche globale et les coprésidents de ce groupe; </w:t>
      </w:r>
    </w:p>
    <w:p w:rsidR="004644A7" w:rsidRPr="004644A7" w:rsidRDefault="004644A7" w:rsidP="004644A7">
      <w:pPr>
        <w:pStyle w:val="ListParagraph"/>
        <w:numPr>
          <w:ilvl w:val="0"/>
          <w:numId w:val="4"/>
        </w:numPr>
        <w:spacing w:after="0" w:line="240" w:lineRule="auto"/>
        <w:ind w:left="709" w:hanging="283"/>
        <w:jc w:val="both"/>
        <w:rPr>
          <w:rFonts w:ascii="Times New Roman" w:hAnsi="Times New Roman" w:cs="Times New Roman"/>
        </w:rPr>
      </w:pPr>
      <w:r w:rsidRPr="004644A7">
        <w:rPr>
          <w:rFonts w:ascii="Times New Roman" w:hAnsi="Times New Roman" w:cs="Times New Roman"/>
        </w:rPr>
        <w:t>Préparer et assurer le suivi de toutes les réunions du sous-groupe permanent de l’EER sur l’approche globale, ce qui implique des tâches liées au contenu et davantage de tâches administratives et informer la hiérarchie</w:t>
      </w:r>
    </w:p>
    <w:p w:rsidR="004644A7" w:rsidRPr="004644A7" w:rsidRDefault="004644A7" w:rsidP="004644A7">
      <w:pPr>
        <w:pStyle w:val="ListParagraph"/>
        <w:numPr>
          <w:ilvl w:val="0"/>
          <w:numId w:val="4"/>
        </w:numPr>
        <w:spacing w:after="0" w:line="240" w:lineRule="auto"/>
        <w:ind w:left="709" w:hanging="283"/>
        <w:jc w:val="both"/>
        <w:rPr>
          <w:rFonts w:ascii="Times New Roman" w:hAnsi="Times New Roman" w:cs="Times New Roman"/>
        </w:rPr>
      </w:pPr>
      <w:r w:rsidRPr="004644A7">
        <w:rPr>
          <w:rFonts w:ascii="Times New Roman" w:hAnsi="Times New Roman" w:cs="Times New Roman"/>
        </w:rPr>
        <w:t xml:space="preserve">Participation aux réunions du sous-groupe permanent de l’EER sur l’approche globale et préparer le compte rendu de ces réunions </w:t>
      </w:r>
    </w:p>
    <w:p w:rsidR="004644A7" w:rsidRPr="004644A7" w:rsidRDefault="004644A7" w:rsidP="004644A7">
      <w:pPr>
        <w:pStyle w:val="ListParagraph"/>
        <w:numPr>
          <w:ilvl w:val="0"/>
          <w:numId w:val="4"/>
        </w:numPr>
        <w:spacing w:after="0" w:line="240" w:lineRule="auto"/>
        <w:ind w:left="709" w:hanging="283"/>
        <w:jc w:val="both"/>
        <w:rPr>
          <w:rFonts w:ascii="Times New Roman" w:hAnsi="Times New Roman" w:cs="Times New Roman"/>
        </w:rPr>
      </w:pPr>
      <w:r w:rsidRPr="004644A7">
        <w:rPr>
          <w:rFonts w:ascii="Times New Roman" w:hAnsi="Times New Roman" w:cs="Times New Roman"/>
        </w:rPr>
        <w:t>Échanges au sein de la DG R&amp;I, des autres DG et institutions concernées (par exemple, le Conseil, le Service européen pour l’action extérieure, la DG INTPA)</w:t>
      </w:r>
    </w:p>
    <w:p w:rsidR="00084964" w:rsidRPr="004644A7" w:rsidRDefault="004644A7" w:rsidP="004644A7">
      <w:pPr>
        <w:pStyle w:val="ListParagraph"/>
        <w:numPr>
          <w:ilvl w:val="0"/>
          <w:numId w:val="4"/>
        </w:numPr>
        <w:spacing w:after="0" w:line="240" w:lineRule="auto"/>
        <w:ind w:left="709" w:hanging="283"/>
        <w:jc w:val="both"/>
        <w:rPr>
          <w:rFonts w:ascii="Times New Roman" w:hAnsi="Times New Roman" w:cs="Times New Roman"/>
        </w:rPr>
      </w:pPr>
      <w:r w:rsidRPr="004644A7">
        <w:rPr>
          <w:rFonts w:ascii="Times New Roman" w:hAnsi="Times New Roman" w:cs="Times New Roman"/>
        </w:rPr>
        <w:t>Assurer l’interface entre le sous-groupe permanent de l’EER sur l’approche globale de la R&amp;I et le forum de l’EER</w:t>
      </w:r>
      <w:r w:rsidR="009321FE" w:rsidRPr="004644A7">
        <w:rPr>
          <w:rFonts w:ascii="Times New Roman" w:hAnsi="Times New Roman" w:cs="Times New Roman"/>
        </w:rPr>
        <w:t>.</w:t>
      </w:r>
    </w:p>
    <w:p w:rsidR="00084964" w:rsidRPr="00084964" w:rsidRDefault="00084964" w:rsidP="004644A7">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4644A7">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4644A7">
        <w:rPr>
          <w:rFonts w:ascii="Times New Roman" w:hAnsi="Times New Roman" w:cs="Times New Roman"/>
        </w:rPr>
        <w:t>é</w:t>
      </w:r>
      <w:r w:rsidR="004644A7" w:rsidRPr="004644A7">
        <w:rPr>
          <w:rFonts w:ascii="Times New Roman" w:hAnsi="Times New Roman" w:cs="Times New Roman"/>
        </w:rPr>
        <w:t>laboration des politiques</w:t>
      </w:r>
      <w:r w:rsidR="004644A7">
        <w:rPr>
          <w:rFonts w:ascii="Times New Roman" w:hAnsi="Times New Roman" w:cs="Times New Roman"/>
        </w:rPr>
        <w:t>, s</w:t>
      </w:r>
      <w:r w:rsidR="004644A7" w:rsidRPr="004644A7">
        <w:rPr>
          <w:rFonts w:ascii="Times New Roman" w:hAnsi="Times New Roman" w:cs="Times New Roman"/>
        </w:rPr>
        <w:t>uivi des politiques</w:t>
      </w:r>
      <w:r w:rsidR="004644A7">
        <w:rPr>
          <w:rFonts w:ascii="Times New Roman" w:hAnsi="Times New Roman" w:cs="Times New Roman"/>
        </w:rPr>
        <w:t>, s</w:t>
      </w:r>
      <w:r w:rsidR="004644A7" w:rsidRPr="004644A7">
        <w:rPr>
          <w:rFonts w:ascii="Times New Roman" w:hAnsi="Times New Roman" w:cs="Times New Roman"/>
        </w:rPr>
        <w:t>cience et recherche</w:t>
      </w:r>
      <w:r w:rsidR="009321FE" w:rsidRPr="009321F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Pr="009321FE" w:rsidRDefault="004644A7" w:rsidP="009321FE">
      <w:pPr>
        <w:tabs>
          <w:tab w:val="left" w:pos="1276"/>
        </w:tabs>
        <w:spacing w:after="0" w:line="240" w:lineRule="auto"/>
        <w:ind w:left="709" w:right="60"/>
        <w:jc w:val="both"/>
        <w:rPr>
          <w:rFonts w:ascii="Times New Roman" w:eastAsia="Times New Roman" w:hAnsi="Times New Roman" w:cs="Times New Roman"/>
          <w:lang w:eastAsia="en-GB"/>
        </w:rPr>
      </w:pPr>
      <w:r w:rsidRPr="004644A7">
        <w:rPr>
          <w:rFonts w:ascii="Times New Roman" w:eastAsia="Times New Roman" w:hAnsi="Times New Roman" w:cs="Times New Roman"/>
          <w:lang w:eastAsia="en-GB"/>
        </w:rPr>
        <w:t>Le candidat doit avoir au moins 5 ans d’expérience professionnelle dans un domaine en rapport avec la mission et les activités de l’unité (élaboration des politiques, suivi des politiques, science et recherche).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4644A7" w:rsidP="00E77B0E">
      <w:pPr>
        <w:spacing w:after="0" w:line="240" w:lineRule="auto"/>
        <w:ind w:left="709"/>
        <w:jc w:val="both"/>
        <w:rPr>
          <w:rFonts w:ascii="Times New Roman" w:eastAsia="Times New Roman" w:hAnsi="Times New Roman" w:cs="Times New Roman"/>
          <w:lang w:eastAsia="en-GB"/>
        </w:rPr>
      </w:pPr>
      <w:r w:rsidRPr="004644A7">
        <w:rPr>
          <w:rFonts w:ascii="Times New Roman" w:eastAsia="Times New Roman" w:hAnsi="Times New Roman" w:cs="Times New Roman"/>
          <w:lang w:eastAsia="en-GB"/>
        </w:rPr>
        <w:t>Le candidat doit posséder d’excellentes capacités de communication orale et écrite en anglais (C1); Une bonne maîtrise du français et/ou de l’allemand (B1) ferait également l’objet d’une évaluation positive, mais n’est pas obligatoire.</w:t>
      </w:r>
    </w:p>
    <w:p w:rsidR="00823281" w:rsidRDefault="00823281" w:rsidP="001F18BF">
      <w:pPr>
        <w:spacing w:after="0" w:line="240" w:lineRule="auto"/>
        <w:ind w:left="709"/>
        <w:rPr>
          <w:rFonts w:ascii="Times New Roman" w:eastAsia="Times New Roman" w:hAnsi="Times New Roman" w:cs="Times New Roman"/>
          <w:lang w:eastAsia="en-GB"/>
        </w:rPr>
      </w:pPr>
    </w:p>
    <w:p w:rsidR="004644A7" w:rsidRPr="00745B97" w:rsidRDefault="004644A7" w:rsidP="001F18BF">
      <w:pPr>
        <w:spacing w:after="0" w:line="240" w:lineRule="auto"/>
        <w:ind w:left="709"/>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5048F"/>
    <w:multiLevelType w:val="hybridMultilevel"/>
    <w:tmpl w:val="1B18D0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F5D67DF"/>
    <w:multiLevelType w:val="hybridMultilevel"/>
    <w:tmpl w:val="62A6E71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27B168F6"/>
    <w:multiLevelType w:val="hybridMultilevel"/>
    <w:tmpl w:val="07D0271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487C7BAB"/>
    <w:multiLevelType w:val="hybridMultilevel"/>
    <w:tmpl w:val="46CC82E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2"/>
  </w:num>
  <w:num w:numId="2">
    <w:abstractNumId w:val="0"/>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644A7"/>
    <w:rsid w:val="004947DA"/>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321FE"/>
    <w:rsid w:val="00947519"/>
    <w:rsid w:val="00962667"/>
    <w:rsid w:val="0098041E"/>
    <w:rsid w:val="009A421C"/>
    <w:rsid w:val="009C55A3"/>
    <w:rsid w:val="009D7AF5"/>
    <w:rsid w:val="009E3E12"/>
    <w:rsid w:val="00A03A1A"/>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enke.Buism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1645</Words>
  <Characters>9312</Characters>
  <Application>Microsoft Office Word</Application>
  <DocSecurity>0</DocSecurity>
  <Lines>202</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2022-02-11T17:36:00Z</dcterms:created>
  <dcterms:modified xsi:type="dcterms:W3CDTF">2022-02-11T17:36:00Z</dcterms:modified>
</cp:coreProperties>
</file>