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F7952" w:rsidP="00CA0C94">
            <w:pPr>
              <w:rPr>
                <w:rFonts w:ascii="Times New Roman" w:eastAsia="Times New Roman" w:hAnsi="Times New Roman" w:cs="Times New Roman"/>
                <w:b/>
                <w:sz w:val="24"/>
                <w:szCs w:val="20"/>
                <w:lang w:eastAsia="en-GB"/>
              </w:rPr>
            </w:pPr>
            <w:bookmarkStart w:id="0" w:name="_GoBack"/>
            <w:r>
              <w:rPr>
                <w:rFonts w:ascii="Times New Roman" w:eastAsia="Times New Roman" w:hAnsi="Times New Roman" w:cs="Times New Roman"/>
                <w:b/>
                <w:sz w:val="24"/>
                <w:szCs w:val="20"/>
                <w:lang w:eastAsia="en-GB"/>
              </w:rPr>
              <w:t>HOME-A-3_Dél Serbie</w:t>
            </w:r>
            <w:bookmarkEnd w:id="0"/>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F7952" w:rsidRPr="008F7952" w:rsidRDefault="008F7952" w:rsidP="008F7952">
            <w:pPr>
              <w:ind w:right="1317"/>
              <w:jc w:val="both"/>
              <w:rPr>
                <w:rFonts w:ascii="Times New Roman" w:hAnsi="Times New Roman" w:cs="Times New Roman"/>
                <w:b/>
                <w:lang w:val="de-DE"/>
              </w:rPr>
            </w:pPr>
            <w:r w:rsidRPr="008F7952">
              <w:rPr>
                <w:rFonts w:ascii="Times New Roman" w:hAnsi="Times New Roman" w:cs="Times New Roman"/>
                <w:b/>
                <w:lang w:val="de-DE"/>
              </w:rPr>
              <w:t>Davinia WOOD</w:t>
            </w:r>
          </w:p>
          <w:p w:rsidR="008F7952" w:rsidRPr="008F7952" w:rsidRDefault="008F7952" w:rsidP="008F7952">
            <w:pPr>
              <w:ind w:right="1317"/>
              <w:jc w:val="both"/>
              <w:rPr>
                <w:rFonts w:ascii="Times New Roman" w:hAnsi="Times New Roman" w:cs="Times New Roman"/>
                <w:b/>
                <w:lang w:val="de-DE"/>
              </w:rPr>
            </w:pPr>
            <w:hyperlink r:id="rId8" w:history="1">
              <w:r w:rsidRPr="007956D9">
                <w:rPr>
                  <w:rStyle w:val="Hyperlink"/>
                  <w:rFonts w:ascii="Times New Roman" w:hAnsi="Times New Roman" w:cs="Times New Roman"/>
                  <w:b/>
                  <w:lang w:val="de-DE"/>
                </w:rPr>
                <w:t>davinia.wood@ec.europa.eu</w:t>
              </w:r>
            </w:hyperlink>
            <w:r>
              <w:rPr>
                <w:rFonts w:ascii="Times New Roman" w:hAnsi="Times New Roman" w:cs="Times New Roman"/>
                <w:b/>
                <w:lang w:val="de-DE"/>
              </w:rPr>
              <w:t xml:space="preserve"> </w:t>
            </w:r>
          </w:p>
          <w:p w:rsidR="00A2180F" w:rsidRDefault="008F7952" w:rsidP="008F7952">
            <w:pPr>
              <w:ind w:right="1317"/>
              <w:jc w:val="both"/>
              <w:rPr>
                <w:rFonts w:ascii="Times New Roman" w:hAnsi="Times New Roman" w:cs="Times New Roman"/>
                <w:b/>
                <w:lang w:val="de-DE"/>
              </w:rPr>
            </w:pPr>
            <w:r w:rsidRPr="008F7952">
              <w:rPr>
                <w:rFonts w:ascii="Times New Roman" w:hAnsi="Times New Roman" w:cs="Times New Roman"/>
                <w:b/>
                <w:lang w:val="de-DE"/>
              </w:rPr>
              <w:t>+32 2 295 10 17</w:t>
            </w:r>
          </w:p>
          <w:p w:rsidR="00A2180F" w:rsidRPr="00F45958" w:rsidRDefault="00A2180F" w:rsidP="00A2180F">
            <w:pPr>
              <w:ind w:right="1317"/>
              <w:jc w:val="both"/>
              <w:rPr>
                <w:rFonts w:ascii="Times New Roman" w:hAnsi="Times New Roman" w:cs="Times New Roman"/>
                <w:b/>
                <w:lang w:val="de-DE"/>
              </w:rPr>
            </w:pPr>
            <w:r>
              <w:rPr>
                <w:rFonts w:ascii="Times New Roman" w:hAnsi="Times New Roman" w:cs="Times New Roman"/>
                <w:b/>
                <w:lang w:val="de-DE"/>
              </w:rPr>
              <w:t>1</w:t>
            </w:r>
          </w:p>
          <w:p w:rsidR="00381739" w:rsidRPr="00381739" w:rsidRDefault="008F7952" w:rsidP="00EF4C44">
            <w:pPr>
              <w:rPr>
                <w:rFonts w:ascii="Times New Roman" w:eastAsia="Times New Roman" w:hAnsi="Times New Roman" w:cs="Times New Roman"/>
                <w:b/>
                <w:sz w:val="24"/>
                <w:szCs w:val="20"/>
                <w:lang w:eastAsia="en-GB"/>
              </w:rPr>
            </w:pPr>
            <w:r>
              <w:rPr>
                <w:rFonts w:ascii="Times New Roman" w:hAnsi="Times New Roman" w:cs="Times New Roman"/>
                <w:b/>
              </w:rPr>
              <w:t>1</w:t>
            </w:r>
            <w:r w:rsidRPr="008F7952">
              <w:rPr>
                <w:rFonts w:ascii="Times New Roman" w:hAnsi="Times New Roman" w:cs="Times New Roman"/>
                <w:b/>
                <w:vertAlign w:val="superscript"/>
              </w:rPr>
              <w:t>er</w:t>
            </w:r>
            <w:r>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3</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F4C44" w:rsidP="008F7952">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A2180F">
              <w:rPr>
                <w:rFonts w:ascii="Times New Roman" w:eastAsia="Times New Roman" w:hAnsi="Times New Roman" w:cs="Times New Roman"/>
                <w:b/>
                <w:lang w:eastAsia="en-GB"/>
              </w:rPr>
              <w:t>S</w:t>
            </w:r>
            <w:r w:rsidR="008F7952">
              <w:rPr>
                <w:rFonts w:ascii="Times New Roman" w:eastAsia="Times New Roman" w:hAnsi="Times New Roman" w:cs="Times New Roman"/>
                <w:b/>
                <w:lang w:eastAsia="en-GB"/>
              </w:rPr>
              <w:t>erbie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F4C44" w:rsidP="008D0D80">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F7952" w:rsidRDefault="008F7952" w:rsidP="008F7952">
      <w:pPr>
        <w:spacing w:after="0" w:line="240" w:lineRule="auto"/>
        <w:ind w:left="426"/>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Finalité générale: renforcer la coordination afin de maximiser l’impact de l’action de l’UE sur la migration dans les pays tiers et renforcer l’engagement des principaux pays d’origine et de transit sur l’ensemble des questions liées à la migration. Premièrement, les agents de liaison «Migration» européens contribueront à la mise en œuvre opérationnelle de l’approche globale présentée dans le Pacte européen sur l'immigration et l'asile, notamment en contribuant à la gouvernance et à la gestion de la migration, y compris la prévention et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de possibilités économiques. Les officiers de liaison</w:t>
      </w:r>
      <w:proofErr w:type="gramStart"/>
      <w:r w:rsidRPr="008F7952">
        <w:rPr>
          <w:rFonts w:ascii="Times New Roman" w:eastAsia="Times New Roman" w:hAnsi="Times New Roman" w:cs="Times New Roman"/>
          <w:lang w:eastAsia="en-GB"/>
        </w:rPr>
        <w:t xml:space="preserve"> «Migration</w:t>
      </w:r>
      <w:proofErr w:type="gramEnd"/>
      <w:r w:rsidRPr="008F7952">
        <w:rPr>
          <w:rFonts w:ascii="Times New Roman" w:eastAsia="Times New Roman" w:hAnsi="Times New Roman" w:cs="Times New Roman"/>
          <w:lang w:eastAsia="en-GB"/>
        </w:rPr>
        <w:t>» européens contribueront également à la mise en œuvre des cadres de coopération bilatérale et régionale en matière de migration.</w:t>
      </w:r>
    </w:p>
    <w:p w:rsidR="008F7952" w:rsidRPr="008F7952" w:rsidRDefault="008F7952" w:rsidP="008F7952">
      <w:pPr>
        <w:spacing w:after="0" w:line="240" w:lineRule="auto"/>
        <w:ind w:left="426"/>
        <w:jc w:val="both"/>
        <w:rPr>
          <w:rFonts w:ascii="Times New Roman" w:eastAsia="Times New Roman" w:hAnsi="Times New Roman" w:cs="Times New Roman"/>
          <w:lang w:eastAsia="en-GB"/>
        </w:rPr>
      </w:pPr>
    </w:p>
    <w:p w:rsidR="008F7952" w:rsidRDefault="008F7952" w:rsidP="008F7952">
      <w:pPr>
        <w:spacing w:after="0" w:line="240" w:lineRule="auto"/>
        <w:ind w:left="426"/>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le cas échéant, dans la région. Le poste en Serbie a un mandat régional pour les Balkans occidentaux.</w:t>
      </w:r>
    </w:p>
    <w:p w:rsidR="008F7952" w:rsidRPr="008F7952" w:rsidRDefault="008F7952" w:rsidP="008F7952">
      <w:pPr>
        <w:spacing w:after="0" w:line="240" w:lineRule="auto"/>
        <w:ind w:left="426"/>
        <w:jc w:val="both"/>
        <w:rPr>
          <w:rFonts w:ascii="Times New Roman" w:eastAsia="Times New Roman" w:hAnsi="Times New Roman" w:cs="Times New Roman"/>
          <w:lang w:eastAsia="en-GB"/>
        </w:rPr>
      </w:pPr>
    </w:p>
    <w:p w:rsidR="008F7952" w:rsidRPr="008F7952" w:rsidRDefault="008F7952" w:rsidP="008F7952">
      <w:pPr>
        <w:spacing w:after="0" w:line="240" w:lineRule="auto"/>
        <w:ind w:left="426"/>
        <w:jc w:val="both"/>
        <w:rPr>
          <w:rFonts w:ascii="Times New Roman" w:eastAsia="Times New Roman" w:hAnsi="Times New Roman" w:cs="Times New Roman"/>
          <w:lang w:eastAsia="en-GB"/>
        </w:rPr>
      </w:pPr>
      <w:r w:rsidRPr="008F7952">
        <w:rPr>
          <w:rFonts w:ascii="Times New Roman" w:eastAsia="Times New Roman" w:hAnsi="Times New Roman" w:cs="Times New Roman"/>
          <w:u w:val="single"/>
          <w:lang w:eastAsia="en-GB"/>
        </w:rPr>
        <w:t>Fonctions et responsabilités</w:t>
      </w:r>
      <w:r w:rsidRPr="008F7952">
        <w:rPr>
          <w:rFonts w:ascii="Times New Roman" w:eastAsia="Times New Roman" w:hAnsi="Times New Roman" w:cs="Times New Roman"/>
          <w:lang w:eastAsia="en-GB"/>
        </w:rPr>
        <w:t xml:space="preserve">: </w:t>
      </w:r>
    </w:p>
    <w:p w:rsidR="008F7952" w:rsidRPr="008F7952" w:rsidRDefault="008F7952" w:rsidP="008F7952">
      <w:pPr>
        <w:pStyle w:val="ListParagraph"/>
        <w:numPr>
          <w:ilvl w:val="0"/>
          <w:numId w:val="5"/>
        </w:numPr>
        <w:spacing w:after="0" w:line="240" w:lineRule="auto"/>
        <w:ind w:left="709" w:hanging="218"/>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rsidR="008F7952" w:rsidRPr="008F7952" w:rsidRDefault="008F7952" w:rsidP="008F7952">
      <w:pPr>
        <w:pStyle w:val="ListParagraph"/>
        <w:numPr>
          <w:ilvl w:val="0"/>
          <w:numId w:val="5"/>
        </w:numPr>
        <w:spacing w:after="0" w:line="240" w:lineRule="auto"/>
        <w:ind w:left="709" w:hanging="218"/>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 xml:space="preserve">Rassembler des connaissances et des informations relatives à la situation migratoire et aux tendances migratoires spécifiques (flux, itinéraires, risques, modes opératoires utilisés par les passeurs et activités </w:t>
      </w:r>
      <w:r w:rsidRPr="008F7952">
        <w:rPr>
          <w:rFonts w:ascii="Times New Roman" w:eastAsia="Times New Roman" w:hAnsi="Times New Roman" w:cs="Times New Roman"/>
          <w:lang w:eastAsia="en-GB"/>
        </w:rPr>
        <w:lastRenderedPageBreak/>
        <w:t xml:space="preserve">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w:t>
      </w:r>
      <w:proofErr w:type="spellStart"/>
      <w:r w:rsidRPr="008F7952">
        <w:rPr>
          <w:rFonts w:ascii="Times New Roman" w:eastAsia="Times New Roman" w:hAnsi="Times New Roman" w:cs="Times New Roman"/>
          <w:lang w:eastAsia="en-GB"/>
        </w:rPr>
        <w:t>Frontex</w:t>
      </w:r>
      <w:proofErr w:type="spellEnd"/>
      <w:r w:rsidRPr="008F7952">
        <w:rPr>
          <w:rFonts w:ascii="Times New Roman" w:eastAsia="Times New Roman" w:hAnsi="Times New Roman" w:cs="Times New Roman"/>
          <w:lang w:eastAsia="en-GB"/>
        </w:rPr>
        <w:t xml:space="preserve"> et des enquêtes menées au niveau de l’UE avec le soutien d’Europol. </w:t>
      </w:r>
    </w:p>
    <w:p w:rsidR="008F7952" w:rsidRPr="008F7952" w:rsidRDefault="008F7952" w:rsidP="008F7952">
      <w:pPr>
        <w:pStyle w:val="ListParagraph"/>
        <w:numPr>
          <w:ilvl w:val="0"/>
          <w:numId w:val="5"/>
        </w:numPr>
        <w:spacing w:after="0" w:line="240" w:lineRule="auto"/>
        <w:ind w:left="709" w:hanging="218"/>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Les officiers de liaison</w:t>
      </w:r>
      <w:proofErr w:type="gramStart"/>
      <w:r w:rsidRPr="008F7952">
        <w:rPr>
          <w:rFonts w:ascii="Times New Roman" w:eastAsia="Times New Roman" w:hAnsi="Times New Roman" w:cs="Times New Roman"/>
          <w:lang w:eastAsia="en-GB"/>
        </w:rPr>
        <w:t xml:space="preserve"> «Migration</w:t>
      </w:r>
      <w:proofErr w:type="gramEnd"/>
      <w:r w:rsidRPr="008F7952">
        <w:rPr>
          <w:rFonts w:ascii="Times New Roman" w:eastAsia="Times New Roman" w:hAnsi="Times New Roman" w:cs="Times New Roman"/>
          <w:lang w:eastAsia="en-GB"/>
        </w:rPr>
        <w:t>» européens fourniront également des analyses et des recommandations et contribueront à l’établissement de rapports pour les délégations de l’UE concernées.</w:t>
      </w:r>
    </w:p>
    <w:p w:rsidR="008F7952" w:rsidRPr="008F7952" w:rsidRDefault="008F7952" w:rsidP="008F7952">
      <w:pPr>
        <w:pStyle w:val="ListParagraph"/>
        <w:numPr>
          <w:ilvl w:val="0"/>
          <w:numId w:val="5"/>
        </w:numPr>
        <w:spacing w:after="0" w:line="240" w:lineRule="auto"/>
        <w:ind w:left="709" w:hanging="218"/>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Sous la supervision du chef de la section politique, faciliter et soutenir le réseau des officiers de liaison</w:t>
      </w:r>
      <w:proofErr w:type="gramStart"/>
      <w:r w:rsidRPr="008F7952">
        <w:rPr>
          <w:rFonts w:ascii="Times New Roman" w:eastAsia="Times New Roman" w:hAnsi="Times New Roman" w:cs="Times New Roman"/>
          <w:lang w:eastAsia="en-GB"/>
        </w:rPr>
        <w:t xml:space="preserve"> «Immigration</w:t>
      </w:r>
      <w:proofErr w:type="gramEnd"/>
      <w:r w:rsidRPr="008F7952">
        <w:rPr>
          <w:rFonts w:ascii="Times New Roman" w:eastAsia="Times New Roman" w:hAnsi="Times New Roman" w:cs="Times New Roman"/>
          <w:lang w:eastAsia="en-GB"/>
        </w:rPr>
        <w:t>» dans le pays ou la région de détachement conformément au règlement (UE) 2019/1240. Il devrait faciliter les contacts entre les officiers de liaison</w:t>
      </w:r>
      <w:proofErr w:type="gramStart"/>
      <w:r w:rsidRPr="008F7952">
        <w:rPr>
          <w:rFonts w:ascii="Times New Roman" w:eastAsia="Times New Roman" w:hAnsi="Times New Roman" w:cs="Times New Roman"/>
          <w:lang w:eastAsia="en-GB"/>
        </w:rPr>
        <w:t xml:space="preserve"> «Immigration</w:t>
      </w:r>
      <w:proofErr w:type="gramEnd"/>
      <w:r w:rsidRPr="008F7952">
        <w:rPr>
          <w:rFonts w:ascii="Times New Roman" w:eastAsia="Times New Roman" w:hAnsi="Times New Roman" w:cs="Times New Roman"/>
          <w:lang w:eastAsia="en-GB"/>
        </w:rPr>
        <w:t>»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w:t>
      </w:r>
      <w:proofErr w:type="gramStart"/>
      <w:r w:rsidRPr="008F7952">
        <w:rPr>
          <w:rFonts w:ascii="Times New Roman" w:eastAsia="Times New Roman" w:hAnsi="Times New Roman" w:cs="Times New Roman"/>
          <w:lang w:eastAsia="en-GB"/>
        </w:rPr>
        <w:t xml:space="preserve"> «Migration</w:t>
      </w:r>
      <w:proofErr w:type="gramEnd"/>
      <w:r w:rsidRPr="008F7952">
        <w:rPr>
          <w:rFonts w:ascii="Times New Roman" w:eastAsia="Times New Roman" w:hAnsi="Times New Roman" w:cs="Times New Roman"/>
          <w:lang w:eastAsia="en-GB"/>
        </w:rPr>
        <w:t xml:space="preserve">» européens contribueront à créer une représentation coordonnée de l’UE vis-à-vis du pays hôte afin de garantir une meilleure mise en commun des ressources et un meilleur partage des informations. </w:t>
      </w:r>
    </w:p>
    <w:p w:rsidR="008F7952" w:rsidRPr="008F7952" w:rsidRDefault="008F7952" w:rsidP="008F7952">
      <w:pPr>
        <w:pStyle w:val="ListParagraph"/>
        <w:numPr>
          <w:ilvl w:val="0"/>
          <w:numId w:val="5"/>
        </w:numPr>
        <w:spacing w:after="0" w:line="240" w:lineRule="auto"/>
        <w:ind w:left="709" w:hanging="218"/>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w:t>
      </w:r>
      <w:proofErr w:type="gramStart"/>
      <w:r w:rsidRPr="008F7952">
        <w:rPr>
          <w:rFonts w:ascii="Times New Roman" w:eastAsia="Times New Roman" w:hAnsi="Times New Roman" w:cs="Times New Roman"/>
          <w:lang w:eastAsia="en-GB"/>
        </w:rPr>
        <w:t xml:space="preserve"> «Migration</w:t>
      </w:r>
      <w:proofErr w:type="gramEnd"/>
      <w:r w:rsidRPr="008F7952">
        <w:rPr>
          <w:rFonts w:ascii="Times New Roman" w:eastAsia="Times New Roman" w:hAnsi="Times New Roman" w:cs="Times New Roman"/>
          <w:lang w:eastAsia="en-GB"/>
        </w:rPr>
        <w:t>» européens devront également coopérer étroitement avec les points de contact pour la traite des êtres humains à la délégation de l’UE. Le cas échéant, les officiers de liaison</w:t>
      </w:r>
      <w:proofErr w:type="gramStart"/>
      <w:r w:rsidRPr="008F7952">
        <w:rPr>
          <w:rFonts w:ascii="Times New Roman" w:eastAsia="Times New Roman" w:hAnsi="Times New Roman" w:cs="Times New Roman"/>
          <w:lang w:eastAsia="en-GB"/>
        </w:rPr>
        <w:t xml:space="preserve"> «Migration</w:t>
      </w:r>
      <w:proofErr w:type="gramEnd"/>
      <w:r w:rsidRPr="008F7952">
        <w:rPr>
          <w:rFonts w:ascii="Times New Roman" w:eastAsia="Times New Roman" w:hAnsi="Times New Roman" w:cs="Times New Roman"/>
          <w:lang w:eastAsia="en-GB"/>
        </w:rPr>
        <w:t>» européens contribueront également à la préparation des projets liés à la migration ainsi qu' à la coordination des politiques avec les instruments de financement (IPA, AMIF, ISF).</w:t>
      </w:r>
    </w:p>
    <w:p w:rsidR="008F7952" w:rsidRPr="008F7952" w:rsidRDefault="008F7952" w:rsidP="008F7952">
      <w:pPr>
        <w:pStyle w:val="ListParagraph"/>
        <w:numPr>
          <w:ilvl w:val="0"/>
          <w:numId w:val="5"/>
        </w:numPr>
        <w:spacing w:after="0" w:line="240" w:lineRule="auto"/>
        <w:ind w:left="709" w:hanging="218"/>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8F7952">
        <w:rPr>
          <w:rFonts w:ascii="Times New Roman" w:eastAsia="Times New Roman" w:hAnsi="Times New Roman" w:cs="Times New Roman"/>
          <w:lang w:eastAsia="en-GB"/>
        </w:rPr>
        <w:t>Frontex</w:t>
      </w:r>
      <w:proofErr w:type="spellEnd"/>
      <w:r w:rsidRPr="008F7952">
        <w:rPr>
          <w:rFonts w:ascii="Times New Roman" w:eastAsia="Times New Roman" w:hAnsi="Times New Roman" w:cs="Times New Roman"/>
          <w:lang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rsidR="009F68A9" w:rsidRPr="008F7952" w:rsidRDefault="008F7952" w:rsidP="008F7952">
      <w:pPr>
        <w:pStyle w:val="ListParagraph"/>
        <w:numPr>
          <w:ilvl w:val="0"/>
          <w:numId w:val="5"/>
        </w:numPr>
        <w:spacing w:after="0" w:line="240" w:lineRule="auto"/>
        <w:ind w:left="709" w:hanging="218"/>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w:t>
      </w:r>
      <w:r w:rsidRPr="00745B97">
        <w:rPr>
          <w:rFonts w:ascii="Times New Roman" w:eastAsia="Times New Roman" w:hAnsi="Times New Roman" w:cs="Times New Roman"/>
          <w:lang w:eastAsia="en-GB"/>
        </w:rPr>
        <w:lastRenderedPageBreak/>
        <w:t>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A2180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w:t>
      </w:r>
      <w:r w:rsidR="00BB25AF" w:rsidRPr="00BB25AF">
        <w:t xml:space="preserve"> </w:t>
      </w:r>
      <w:r w:rsidR="008F7952" w:rsidRPr="008F7952">
        <w:rPr>
          <w:rFonts w:ascii="Times New Roman" w:eastAsia="Times New Roman" w:hAnsi="Times New Roman" w:cs="Times New Roman"/>
          <w:lang w:eastAsia="en-GB"/>
        </w:rPr>
        <w:t>droit, sciences politiques, économie, gestion des affaire</w:t>
      </w:r>
      <w:r w:rsidR="008F7952">
        <w:rPr>
          <w:rFonts w:ascii="Times New Roman" w:eastAsia="Times New Roman" w:hAnsi="Times New Roman" w:cs="Times New Roman"/>
          <w:lang w:eastAsia="en-GB"/>
        </w:rPr>
        <w:t>s ou tout autre domaine connexe</w:t>
      </w:r>
      <w:r w:rsidR="00A2180F">
        <w:rPr>
          <w:rFonts w:ascii="Times New Roman" w:eastAsia="Times New Roman" w:hAnsi="Times New Roman" w:cs="Times New Roman"/>
          <w:lang w:eastAsia="en-GB"/>
        </w:rPr>
        <w:t>.</w:t>
      </w:r>
    </w:p>
    <w:p w:rsidR="00A2180F" w:rsidRPr="00745B97" w:rsidRDefault="00A2180F" w:rsidP="00A2180F">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F7952" w:rsidRDefault="008F7952" w:rsidP="008F7952">
      <w:pPr>
        <w:tabs>
          <w:tab w:val="left" w:pos="709"/>
        </w:tabs>
        <w:spacing w:after="0" w:line="240" w:lineRule="auto"/>
        <w:ind w:left="709" w:right="60"/>
        <w:jc w:val="both"/>
        <w:rPr>
          <w:rFonts w:ascii="Times New Roman" w:eastAsia="Times New Roman" w:hAnsi="Times New Roman" w:cs="Times New Roman"/>
          <w:lang w:eastAsia="en-GB"/>
        </w:rPr>
      </w:pPr>
      <w:r w:rsidRPr="008F7952">
        <w:rPr>
          <w:rFonts w:ascii="Times New Roman" w:eastAsia="Times New Roman" w:hAnsi="Times New Roman" w:cs="Times New Roman"/>
          <w:u w:val="single"/>
          <w:lang w:eastAsia="en-GB"/>
        </w:rPr>
        <w:t>Essentielle</w:t>
      </w:r>
      <w:r>
        <w:rPr>
          <w:rFonts w:ascii="Times New Roman" w:eastAsia="Times New Roman" w:hAnsi="Times New Roman" w:cs="Times New Roman"/>
          <w:lang w:eastAsia="en-GB"/>
        </w:rPr>
        <w:t>: u</w:t>
      </w:r>
      <w:r w:rsidRPr="008F7952">
        <w:rPr>
          <w:rFonts w:ascii="Times New Roman" w:eastAsia="Times New Roman" w:hAnsi="Times New Roman" w:cs="Times New Roman"/>
          <w:lang w:eastAsia="en-GB"/>
        </w:rPr>
        <w:t>n</w:t>
      </w:r>
      <w:r>
        <w:rPr>
          <w:rFonts w:ascii="Times New Roman" w:eastAsia="Times New Roman" w:hAnsi="Times New Roman" w:cs="Times New Roman"/>
          <w:lang w:eastAsia="en-GB"/>
        </w:rPr>
        <w:t>e</w:t>
      </w:r>
      <w:r w:rsidRPr="008F7952">
        <w:rPr>
          <w:rFonts w:ascii="Times New Roman" w:eastAsia="Times New Roman" w:hAnsi="Times New Roman" w:cs="Times New Roman"/>
          <w:lang w:eastAsia="en-GB"/>
        </w:rPr>
        <w:t xml:space="preserve">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esprit d'équipe.</w:t>
      </w:r>
    </w:p>
    <w:p w:rsidR="008F7952" w:rsidRPr="008F7952" w:rsidRDefault="008F7952" w:rsidP="008F7952">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8F7952" w:rsidP="008F7952">
      <w:pPr>
        <w:tabs>
          <w:tab w:val="left" w:pos="709"/>
        </w:tabs>
        <w:spacing w:after="0" w:line="240" w:lineRule="auto"/>
        <w:ind w:left="709" w:right="60"/>
        <w:jc w:val="both"/>
        <w:rPr>
          <w:rFonts w:ascii="Times New Roman" w:eastAsia="Times New Roman" w:hAnsi="Times New Roman" w:cs="Times New Roman"/>
          <w:lang w:eastAsia="en-GB"/>
        </w:rPr>
      </w:pPr>
      <w:r w:rsidRPr="008F7952">
        <w:rPr>
          <w:rFonts w:ascii="Times New Roman" w:eastAsia="Times New Roman" w:hAnsi="Times New Roman" w:cs="Times New Roman"/>
          <w:u w:val="single"/>
          <w:lang w:eastAsia="en-GB"/>
        </w:rPr>
        <w:t>Souhaitée</w:t>
      </w:r>
      <w:r>
        <w:rPr>
          <w:rFonts w:ascii="Times New Roman" w:eastAsia="Times New Roman" w:hAnsi="Times New Roman" w:cs="Times New Roman"/>
          <w:lang w:eastAsia="en-GB"/>
        </w:rPr>
        <w:t>: u</w:t>
      </w:r>
      <w:r w:rsidRPr="008F7952">
        <w:rPr>
          <w:rFonts w:ascii="Times New Roman" w:eastAsia="Times New Roman" w:hAnsi="Times New Roman" w:cs="Times New Roman"/>
          <w:lang w:eastAsia="en-GB"/>
        </w:rPr>
        <w:t>ne expérience professionnelle dans le domaine de la migration, en particulier en ce qui concerne les pays tiers, l’Union européenne et les organisations internationales; l’expérience en tant qu’officiers de liaison</w:t>
      </w:r>
      <w:proofErr w:type="gramStart"/>
      <w:r w:rsidRPr="008F7952">
        <w:rPr>
          <w:rFonts w:ascii="Times New Roman" w:eastAsia="Times New Roman" w:hAnsi="Times New Roman" w:cs="Times New Roman"/>
          <w:lang w:eastAsia="en-GB"/>
        </w:rPr>
        <w:t xml:space="preserve"> «Immigration</w:t>
      </w:r>
      <w:proofErr w:type="gramEnd"/>
      <w:r w:rsidRPr="008F7952">
        <w:rPr>
          <w:rFonts w:ascii="Times New Roman" w:eastAsia="Times New Roman" w:hAnsi="Times New Roman" w:cs="Times New Roman"/>
          <w:lang w:eastAsia="en-GB"/>
        </w:rPr>
        <w:t>», ainsi que d’autres officiers de liaison ou diplomates pour un État membre de l’UE dans un pays tiers qui, dans le cadre de ses fonctions, traitait des questions de migration serait un atout.</w:t>
      </w:r>
    </w:p>
    <w:p w:rsidR="00EF4C44" w:rsidRPr="00745B97"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8F7952" w:rsidP="00EF4C44">
      <w:pPr>
        <w:spacing w:after="0"/>
        <w:ind w:left="709"/>
        <w:jc w:val="both"/>
        <w:rPr>
          <w:rFonts w:ascii="Times New Roman" w:eastAsia="Times New Roman" w:hAnsi="Times New Roman" w:cs="Times New Roman"/>
          <w:lang w:eastAsia="en-GB"/>
        </w:rPr>
      </w:pPr>
      <w:r w:rsidRPr="008F7952">
        <w:rPr>
          <w:rFonts w:ascii="Times New Roman" w:eastAsia="Times New Roman" w:hAnsi="Times New Roman" w:cs="Times New Roman"/>
          <w:lang w:eastAsia="en-GB"/>
        </w:rPr>
        <w:t>Connaissance approfondie de l’anglais oral et écrit. La connaissance de la langue officielle du pays d’accueil serait un atout majeur. La connaissance du fra</w:t>
      </w:r>
      <w:r>
        <w:rPr>
          <w:rFonts w:ascii="Times New Roman" w:eastAsia="Times New Roman" w:hAnsi="Times New Roman" w:cs="Times New Roman"/>
          <w:lang w:eastAsia="en-GB"/>
        </w:rPr>
        <w:t>nçais serait également un atout</w:t>
      </w:r>
      <w:r w:rsidR="0019007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F795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75F8"/>
    <w:multiLevelType w:val="hybridMultilevel"/>
    <w:tmpl w:val="3C38A4B8"/>
    <w:lvl w:ilvl="0" w:tplc="A67EA57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37242CC"/>
    <w:multiLevelType w:val="hybridMultilevel"/>
    <w:tmpl w:val="7D6875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704C5906"/>
    <w:multiLevelType w:val="hybridMultilevel"/>
    <w:tmpl w:val="41C80B40"/>
    <w:lvl w:ilvl="0" w:tplc="6016BD0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74913D52"/>
    <w:multiLevelType w:val="hybridMultilevel"/>
    <w:tmpl w:val="75FA81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810E0"/>
    <w:rsid w:val="0019007C"/>
    <w:rsid w:val="0019598C"/>
    <w:rsid w:val="001B5641"/>
    <w:rsid w:val="002A3536"/>
    <w:rsid w:val="00381739"/>
    <w:rsid w:val="005265F8"/>
    <w:rsid w:val="00534042"/>
    <w:rsid w:val="00535BDC"/>
    <w:rsid w:val="00666BCD"/>
    <w:rsid w:val="00670EC1"/>
    <w:rsid w:val="00745B97"/>
    <w:rsid w:val="007932A1"/>
    <w:rsid w:val="007D4902"/>
    <w:rsid w:val="00804B2F"/>
    <w:rsid w:val="008D0D80"/>
    <w:rsid w:val="008F7952"/>
    <w:rsid w:val="009F68A9"/>
    <w:rsid w:val="00A2180F"/>
    <w:rsid w:val="00A92378"/>
    <w:rsid w:val="00B36D07"/>
    <w:rsid w:val="00BB25AF"/>
    <w:rsid w:val="00BC14A5"/>
    <w:rsid w:val="00C34E6D"/>
    <w:rsid w:val="00CA0C94"/>
    <w:rsid w:val="00CA5854"/>
    <w:rsid w:val="00CF677F"/>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CE6D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2168</Words>
  <Characters>12147</Characters>
  <Application>Microsoft Office Word</Application>
  <DocSecurity>0</DocSecurity>
  <Lines>209</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cp:lastPrinted>2020-01-10T14:56:00Z</cp:lastPrinted>
  <dcterms:created xsi:type="dcterms:W3CDTF">2022-02-14T11:15:00Z</dcterms:created>
  <dcterms:modified xsi:type="dcterms:W3CDTF">2022-02-14T11:15:00Z</dcterms:modified>
</cp:coreProperties>
</file>