
<file path=[Content_Types].xml><?xml version="1.0" encoding="utf-8"?>
<Types xmlns="http://schemas.openxmlformats.org/package/2006/content-types">
  <Default Extension="e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8" w:rsidRDefault="00827FD8" w:rsidP="00222B43">
      <w:pPr>
        <w:spacing w:before="100" w:beforeAutospacing="1" w:after="100" w:afterAutospacing="1"/>
        <w:jc w:val="center"/>
        <w:rPr>
          <w:rFonts w:asciiTheme="majorHAnsi" w:hAnsiTheme="majorHAnsi"/>
          <w:b/>
          <w:bCs/>
          <w:lang w:val="bg-BG" w:eastAsia="bg-BG"/>
        </w:rPr>
      </w:pPr>
    </w:p>
    <w:p w:rsidR="00A60F6D" w:rsidRPr="00CC1B8F" w:rsidRDefault="00A60F6D" w:rsidP="00222B43">
      <w:pPr>
        <w:spacing w:before="100" w:beforeAutospacing="1" w:after="100" w:afterAutospacing="1"/>
        <w:jc w:val="center"/>
        <w:rPr>
          <w:rFonts w:asciiTheme="majorHAnsi" w:hAnsiTheme="majorHAnsi"/>
          <w:lang w:val="bg-BG" w:eastAsia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ОБЯВЛЕНИЕ</w:t>
      </w:r>
    </w:p>
    <w:p w:rsidR="00673DF7" w:rsidRPr="00CC1B8F" w:rsidRDefault="00673DF7" w:rsidP="00222B43">
      <w:pPr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bCs/>
          <w:lang w:val="bg-BG" w:eastAsia="bg-BG"/>
        </w:rPr>
        <w:t>Министерството на външните работи, на основание чл. 10а, ал. 2 от Закона за държавния служител и чл. 14</w:t>
      </w:r>
      <w:r w:rsidR="00855110" w:rsidRPr="00CC1B8F">
        <w:rPr>
          <w:rFonts w:asciiTheme="majorHAnsi" w:hAnsiTheme="majorHAnsi"/>
          <w:b/>
          <w:bCs/>
          <w:lang w:val="bg-BG" w:eastAsia="bg-BG"/>
        </w:rPr>
        <w:t>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ал. 2 от Наредбата за провеждане на конкурсите </w:t>
      </w:r>
      <w:r w:rsidRPr="00CC1B8F">
        <w:rPr>
          <w:rFonts w:asciiTheme="majorHAnsi" w:hAnsiTheme="majorHAnsi" w:cstheme="minorHAnsi"/>
          <w:b/>
          <w:lang w:val="bg-BG"/>
        </w:rPr>
        <w:t>и подбора при мобилност на</w:t>
      </w:r>
      <w:r w:rsidRPr="00CC1B8F">
        <w:rPr>
          <w:rFonts w:asciiTheme="majorHAnsi" w:hAnsiTheme="majorHAnsi" w:cstheme="minorHAnsi"/>
          <w:lang w:val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държавни служители </w:t>
      </w:r>
      <w:r w:rsidRPr="00CC1B8F">
        <w:rPr>
          <w:rFonts w:asciiTheme="majorHAnsi" w:hAnsiTheme="majorHAnsi" w:cstheme="minorHAnsi"/>
          <w:b/>
          <w:lang w:val="bg-BG"/>
        </w:rPr>
        <w:t>/</w:t>
      </w:r>
      <w:r w:rsidRPr="00CC1B8F">
        <w:rPr>
          <w:rFonts w:asciiTheme="majorHAnsi" w:hAnsiTheme="majorHAnsi"/>
          <w:b/>
          <w:lang w:val="bg-BG"/>
        </w:rPr>
        <w:t>приета с ПМС № 304 от 03.12.2019 г., обн. ДВ, бр.97 от 10.12.2019 г., изм. и доп. ДВ, бр. 9 от 31.01.2020 г.</w:t>
      </w:r>
      <w:r w:rsidRPr="00CC1B8F">
        <w:rPr>
          <w:rFonts w:asciiTheme="majorHAnsi" w:hAnsiTheme="majorHAnsi"/>
          <w:lang w:val="bg-BG"/>
        </w:rPr>
        <w:t xml:space="preserve">, </w:t>
      </w:r>
      <w:r w:rsidRPr="00CC1B8F">
        <w:rPr>
          <w:rFonts w:asciiTheme="majorHAnsi" w:hAnsiTheme="majorHAnsi" w:cstheme="minorHAnsi"/>
          <w:b/>
          <w:lang w:val="bg-BG"/>
        </w:rPr>
        <w:t>изм. и доп. ДВ бр.29 от 09.04.2021 г., в сила от 09.04.2021 г./,</w:t>
      </w:r>
      <w:r w:rsidRPr="00CC1B8F">
        <w:rPr>
          <w:rFonts w:asciiTheme="majorHAnsi" w:hAnsiTheme="majorHAnsi"/>
          <w:b/>
          <w:bCs/>
          <w:lang w:val="bg-BG" w:eastAsia="bg-BG"/>
        </w:rPr>
        <w:t xml:space="preserve"> обявява конкурс за назначаване на</w:t>
      </w:r>
      <w:r w:rsidRPr="00CC1B8F">
        <w:rPr>
          <w:rFonts w:asciiTheme="majorHAnsi" w:hAnsiTheme="majorHAnsi"/>
          <w:b/>
          <w:lang w:val="bg-BG"/>
        </w:rPr>
        <w:t xml:space="preserve"> държавен служител на свободна  длъжност: </w:t>
      </w:r>
    </w:p>
    <w:p w:rsidR="0014238C" w:rsidRPr="00CC1B8F" w:rsidRDefault="0014238C" w:rsidP="00222B43">
      <w:pPr>
        <w:jc w:val="both"/>
        <w:rPr>
          <w:rFonts w:asciiTheme="majorHAnsi" w:hAnsiTheme="majorHAnsi"/>
          <w:b/>
          <w:bCs/>
          <w:lang w:val="bg-BG" w:eastAsia="bg-BG"/>
        </w:rPr>
      </w:pPr>
    </w:p>
    <w:p w:rsidR="00295A57" w:rsidRDefault="00295A57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b/>
          <w:sz w:val="24"/>
          <w:szCs w:val="24"/>
        </w:rPr>
        <w:t>„</w:t>
      </w:r>
      <w:r w:rsidR="008977AC">
        <w:rPr>
          <w:rFonts w:ascii="Cambria" w:hAnsi="Cambria"/>
          <w:b/>
          <w:sz w:val="24"/>
          <w:szCs w:val="24"/>
        </w:rPr>
        <w:t>Главен</w:t>
      </w:r>
      <w:r w:rsidRPr="00CC1B8F">
        <w:rPr>
          <w:rFonts w:ascii="Cambria" w:hAnsi="Cambria"/>
          <w:b/>
          <w:sz w:val="24"/>
          <w:szCs w:val="24"/>
        </w:rPr>
        <w:t xml:space="preserve">   експерт” </w:t>
      </w:r>
      <w:r w:rsidRPr="00CC1B8F">
        <w:rPr>
          <w:rFonts w:ascii="Cambria" w:hAnsi="Cambria"/>
          <w:sz w:val="24"/>
          <w:szCs w:val="24"/>
        </w:rPr>
        <w:t xml:space="preserve">– </w:t>
      </w:r>
      <w:r w:rsidR="008977AC">
        <w:rPr>
          <w:rFonts w:ascii="Cambria" w:hAnsi="Cambria"/>
          <w:sz w:val="24"/>
          <w:szCs w:val="24"/>
        </w:rPr>
        <w:t xml:space="preserve"> </w:t>
      </w:r>
      <w:r w:rsidR="00BB2DA6">
        <w:rPr>
          <w:rFonts w:ascii="Cambria" w:hAnsi="Cambria"/>
          <w:sz w:val="24"/>
          <w:szCs w:val="24"/>
        </w:rPr>
        <w:t xml:space="preserve">една </w:t>
      </w:r>
      <w:r w:rsidRPr="00CC1B8F">
        <w:rPr>
          <w:rFonts w:ascii="Cambria" w:hAnsi="Cambria"/>
          <w:sz w:val="24"/>
          <w:szCs w:val="24"/>
        </w:rPr>
        <w:t>щатн</w:t>
      </w:r>
      <w:r w:rsidR="00BB2DA6">
        <w:rPr>
          <w:rFonts w:ascii="Cambria" w:hAnsi="Cambria"/>
          <w:sz w:val="24"/>
          <w:szCs w:val="24"/>
        </w:rPr>
        <w:t>а</w:t>
      </w:r>
      <w:r w:rsidR="008977AC">
        <w:rPr>
          <w:rFonts w:ascii="Cambria" w:hAnsi="Cambria"/>
          <w:sz w:val="24"/>
          <w:szCs w:val="24"/>
        </w:rPr>
        <w:t xml:space="preserve"> </w:t>
      </w:r>
      <w:r w:rsidRPr="00CC1B8F">
        <w:rPr>
          <w:rFonts w:ascii="Cambria" w:hAnsi="Cambria"/>
          <w:sz w:val="24"/>
          <w:szCs w:val="24"/>
        </w:rPr>
        <w:t>бройк</w:t>
      </w:r>
      <w:r w:rsidR="00BB2DA6">
        <w:rPr>
          <w:rFonts w:ascii="Cambria" w:hAnsi="Cambria"/>
          <w:sz w:val="24"/>
          <w:szCs w:val="24"/>
        </w:rPr>
        <w:t>а</w:t>
      </w:r>
      <w:r w:rsidRPr="00CC1B8F">
        <w:rPr>
          <w:rFonts w:ascii="Cambria" w:hAnsi="Cambria"/>
          <w:b/>
          <w:sz w:val="24"/>
          <w:szCs w:val="24"/>
        </w:rPr>
        <w:t xml:space="preserve">, </w:t>
      </w:r>
      <w:r w:rsidRPr="00CC1B8F">
        <w:rPr>
          <w:rFonts w:ascii="Cambria" w:hAnsi="Cambria"/>
          <w:sz w:val="24"/>
          <w:szCs w:val="24"/>
        </w:rPr>
        <w:t xml:space="preserve"> дирекция „</w:t>
      </w:r>
      <w:r w:rsidR="00327ACB">
        <w:rPr>
          <w:rFonts w:ascii="Cambria" w:hAnsi="Cambria"/>
          <w:sz w:val="24"/>
          <w:szCs w:val="24"/>
        </w:rPr>
        <w:t>Пресцентър</w:t>
      </w:r>
      <w:r w:rsidRPr="00CC1B8F">
        <w:rPr>
          <w:rFonts w:ascii="Cambria" w:hAnsi="Cambria"/>
          <w:sz w:val="24"/>
          <w:szCs w:val="24"/>
        </w:rPr>
        <w:t>”.</w:t>
      </w:r>
    </w:p>
    <w:p w:rsidR="008977AC" w:rsidRPr="00CC1B8F" w:rsidRDefault="008977AC" w:rsidP="00295A57">
      <w:pPr>
        <w:pStyle w:val="ListParagraph"/>
        <w:spacing w:after="0" w:line="240" w:lineRule="auto"/>
        <w:ind w:left="360"/>
        <w:jc w:val="center"/>
        <w:rPr>
          <w:rFonts w:ascii="Cambria" w:hAnsi="Cambria"/>
          <w:b/>
          <w:sz w:val="24"/>
          <w:szCs w:val="24"/>
        </w:rPr>
      </w:pPr>
    </w:p>
    <w:p w:rsidR="00327ACB" w:rsidRDefault="009F1E46" w:rsidP="00EB3C3F">
      <w:pPr>
        <w:rPr>
          <w:rFonts w:asciiTheme="majorHAnsi" w:hAnsiTheme="majorHAnsi" w:cs="Calibri"/>
          <w:b/>
          <w:lang w:val="bg-BG"/>
        </w:rPr>
      </w:pPr>
      <w:r w:rsidRPr="00CC1B8F">
        <w:rPr>
          <w:rFonts w:asciiTheme="majorHAnsi" w:hAnsiTheme="majorHAnsi" w:cs="Calibri"/>
          <w:b/>
          <w:lang w:val="bg-BG"/>
        </w:rPr>
        <w:t>Описание на длъжността:</w:t>
      </w:r>
      <w:r w:rsidR="00673DF7" w:rsidRPr="00CC1B8F">
        <w:rPr>
          <w:rFonts w:asciiTheme="majorHAnsi" w:hAnsiTheme="majorHAnsi" w:cs="Calibri"/>
          <w:b/>
          <w:lang w:val="bg-BG"/>
        </w:rPr>
        <w:t xml:space="preserve"> </w:t>
      </w:r>
      <w:r w:rsidR="00327ACB">
        <w:rPr>
          <w:rFonts w:asciiTheme="majorHAnsi" w:hAnsiTheme="majorHAnsi" w:cs="Calibri"/>
          <w:b/>
          <w:lang w:val="bg-BG"/>
        </w:rPr>
        <w:t xml:space="preserve"> </w:t>
      </w:r>
    </w:p>
    <w:p w:rsidR="00EB3C3F" w:rsidRPr="00EB3C3F" w:rsidRDefault="00EB3C3F" w:rsidP="00EB3C3F">
      <w:pPr>
        <w:rPr>
          <w:lang w:val="bg-BG"/>
        </w:rPr>
      </w:pPr>
      <w:r w:rsidRPr="00EB3C3F">
        <w:rPr>
          <w:lang w:val="bg-BG"/>
        </w:rPr>
        <w:t>Подпомага експертно изпълнението на текущите функционални задачи на звеното във връзка с:</w:t>
      </w:r>
    </w:p>
    <w:p w:rsidR="00EB3C3F" w:rsidRPr="00EB3C3F" w:rsidRDefault="00EB3C3F" w:rsidP="00EB3C3F">
      <w:pPr>
        <w:rPr>
          <w:lang w:val="bg-BG"/>
        </w:rPr>
      </w:pPr>
      <w:r w:rsidRPr="00EB3C3F">
        <w:rPr>
          <w:lang w:val="bg-BG"/>
        </w:rPr>
        <w:t>- Изготвяне на информационни бюлетини и други информационни продукти, които се разпространяват до ръководството на МВнР и задграничните представителства.</w:t>
      </w:r>
    </w:p>
    <w:p w:rsidR="00EB3C3F" w:rsidRPr="00EB3C3F" w:rsidRDefault="00EB3C3F" w:rsidP="00EB3C3F">
      <w:pPr>
        <w:rPr>
          <w:lang w:val="bg-BG"/>
        </w:rPr>
      </w:pPr>
      <w:r w:rsidRPr="00EB3C3F">
        <w:rPr>
          <w:lang w:val="bg-BG"/>
        </w:rPr>
        <w:t>- Администриране на съдържание на официалната страница на МВнР и задграничните представителства.</w:t>
      </w:r>
    </w:p>
    <w:p w:rsidR="00EB3C3F" w:rsidRPr="00EB3C3F" w:rsidRDefault="00EB3C3F" w:rsidP="00EB3C3F">
      <w:pPr>
        <w:rPr>
          <w:lang w:val="bg-BG"/>
        </w:rPr>
      </w:pPr>
      <w:r w:rsidRPr="00EB3C3F">
        <w:rPr>
          <w:lang w:val="bg-BG"/>
        </w:rPr>
        <w:t xml:space="preserve">- Поддържане на социалните мрежи – профили на министъра на външните работи и на министерството. </w:t>
      </w:r>
    </w:p>
    <w:p w:rsidR="00EB3C3F" w:rsidRPr="00EB3C3F" w:rsidRDefault="00EB3C3F" w:rsidP="00EB3C3F">
      <w:pPr>
        <w:rPr>
          <w:lang w:val="bg-BG"/>
        </w:rPr>
      </w:pPr>
      <w:r w:rsidRPr="00EB3C3F">
        <w:rPr>
          <w:lang w:val="bg-BG"/>
        </w:rPr>
        <w:t>- Публично представяне дейността на министъра на външните работи на Република България и институцията чрез изготвяне и публикуване на съобщения до средствата за масово осведомяване (СМО), от срещи, визити, участия в международни конференции и форуми и други събития от обществено значим характер на ръководството на МВнР. Поддържане на активен диалог с представителите на медиите, отразяване и популяризиране на дейността на министъра на външните работи и институцията, както и оповестяване на официални позиции и информация по външнополитически теми и събития.</w:t>
      </w:r>
    </w:p>
    <w:p w:rsidR="008977AC" w:rsidRPr="008977AC" w:rsidRDefault="00197C6C" w:rsidP="008977AC">
      <w:pPr>
        <w:pStyle w:val="ListParagraph"/>
        <w:widowControl w:val="0"/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</w:rPr>
      </w:pPr>
      <w:r w:rsidRPr="008977AC">
        <w:rPr>
          <w:rFonts w:ascii="Cambria" w:eastAsia="Times New Roman" w:hAnsi="Cambria" w:cs="Times New Roman"/>
          <w:sz w:val="24"/>
          <w:szCs w:val="24"/>
        </w:rPr>
        <w:t>Съгласно Наредбата за заплатите на служителите в държавната администрация и Вътрешните правила за работна заплата, размерът на основното месечно възнаграждение  за длъжността „</w:t>
      </w:r>
      <w:r w:rsidR="0042049A">
        <w:rPr>
          <w:rFonts w:ascii="Cambria" w:eastAsia="Times New Roman" w:hAnsi="Cambria" w:cs="Times New Roman"/>
          <w:sz w:val="24"/>
          <w:szCs w:val="24"/>
        </w:rPr>
        <w:t>Гл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>а</w:t>
      </w:r>
      <w:r w:rsidR="0042049A">
        <w:rPr>
          <w:rFonts w:ascii="Cambria" w:eastAsia="Times New Roman" w:hAnsi="Cambria" w:cs="Times New Roman"/>
          <w:sz w:val="24"/>
          <w:szCs w:val="24"/>
        </w:rPr>
        <w:t>вен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 експерт</w:t>
      </w:r>
      <w:r w:rsidRPr="008977AC">
        <w:rPr>
          <w:rFonts w:ascii="Cambria" w:eastAsia="Times New Roman" w:hAnsi="Cambria" w:cs="Times New Roman"/>
          <w:sz w:val="24"/>
          <w:szCs w:val="24"/>
        </w:rPr>
        <w:t xml:space="preserve">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за I степен </w:t>
      </w:r>
      <w:r w:rsidR="00580C76" w:rsidRPr="008977AC">
        <w:rPr>
          <w:rFonts w:ascii="Cambria" w:eastAsia="Times New Roman" w:hAnsi="Cambria" w:cs="Times New Roman"/>
          <w:sz w:val="24"/>
          <w:szCs w:val="24"/>
        </w:rPr>
        <w:t xml:space="preserve">– </w:t>
      </w:r>
      <w:r w:rsidR="008977AC" w:rsidRPr="008977AC">
        <w:rPr>
          <w:rFonts w:ascii="Cambria" w:eastAsia="Times New Roman" w:hAnsi="Cambria" w:cs="Times New Roman"/>
          <w:sz w:val="24"/>
          <w:szCs w:val="24"/>
        </w:rPr>
        <w:t>1556 лв., за II степен -1599 лв., за III степен – 1642 лв.</w:t>
      </w:r>
    </w:p>
    <w:p w:rsidR="00A97FFE" w:rsidRPr="00CC1B8F" w:rsidRDefault="00A97FFE" w:rsidP="008977AC">
      <w:pPr>
        <w:spacing w:before="120" w:after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Минимални изисквания съгласно Класификатора на длъжностите в администрацията(КДА) и специфични изисквания, предвидени в нормативни актове за заемане на длъжността. Кандидатите следва:</w:t>
      </w:r>
    </w:p>
    <w:p w:rsidR="004542E7" w:rsidRPr="004542E7" w:rsidRDefault="004542E7" w:rsidP="004542E7">
      <w:pPr>
        <w:numPr>
          <w:ilvl w:val="0"/>
          <w:numId w:val="9"/>
        </w:numPr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4542E7">
        <w:rPr>
          <w:rFonts w:ascii="Cambria" w:eastAsia="Calibri" w:hAnsi="Cambria"/>
          <w:sz w:val="22"/>
          <w:szCs w:val="22"/>
          <w:lang w:val="bg-BG"/>
        </w:rPr>
        <w:t>Да са  български граждани и да нямат друго гражданство освен на държава - членка на Европейския съюз, съгласно чл. 27, ал. 2, т.1  във връзка с ал. 1, т. 1 от Закона за дипломатическата служба;</w:t>
      </w:r>
    </w:p>
    <w:p w:rsidR="004542E7" w:rsidRPr="004542E7" w:rsidRDefault="004542E7" w:rsidP="004542E7">
      <w:pPr>
        <w:numPr>
          <w:ilvl w:val="0"/>
          <w:numId w:val="9"/>
        </w:numPr>
        <w:tabs>
          <w:tab w:val="left" w:pos="426"/>
        </w:tabs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4542E7">
        <w:rPr>
          <w:rFonts w:ascii="Cambria" w:eastAsia="Calibri" w:hAnsi="Cambria"/>
          <w:sz w:val="22"/>
          <w:szCs w:val="22"/>
          <w:lang w:val="bg-BG"/>
        </w:rPr>
        <w:t>Да притежават завършено висше образование с образователно-квалификационна степен „магистър“ съгласно чл. 27, ал. 2, т.1 във връзка с ал. 1, т. 2 от Закона за дипломатическата служба в професионална област</w:t>
      </w:r>
      <w:r w:rsidRPr="004542E7">
        <w:rPr>
          <w:rFonts w:ascii="Cambria" w:eastAsia="Calibri" w:hAnsi="Cambria" w:cs="Calibri"/>
          <w:sz w:val="22"/>
          <w:szCs w:val="22"/>
          <w:lang w:val="bg-BG"/>
        </w:rPr>
        <w:t xml:space="preserve">: </w:t>
      </w:r>
      <w:r w:rsidRPr="004542E7">
        <w:rPr>
          <w:rFonts w:ascii="Cambria" w:eastAsia="Calibri" w:hAnsi="Cambria"/>
          <w:sz w:val="22"/>
          <w:szCs w:val="22"/>
          <w:lang w:val="bg-BG"/>
        </w:rPr>
        <w:t>социална, хуманитарна;</w:t>
      </w:r>
    </w:p>
    <w:p w:rsidR="004542E7" w:rsidRPr="00164A28" w:rsidRDefault="004542E7" w:rsidP="004542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4542E7">
        <w:rPr>
          <w:rFonts w:ascii="Cambria" w:eastAsia="Calibri" w:hAnsi="Cambria"/>
          <w:sz w:val="22"/>
          <w:szCs w:val="22"/>
          <w:lang w:val="bg-BG"/>
        </w:rPr>
        <w:t xml:space="preserve">Да владеят най-малко един чужд език съгласно чл. 27, ал. 2, т. 2 от Закона за </w:t>
      </w:r>
      <w:r w:rsidRPr="00164A28">
        <w:rPr>
          <w:rFonts w:ascii="Cambria" w:eastAsia="Calibri" w:hAnsi="Cambria"/>
          <w:sz w:val="22"/>
          <w:szCs w:val="22"/>
          <w:lang w:val="bg-BG"/>
        </w:rPr>
        <w:lastRenderedPageBreak/>
        <w:t xml:space="preserve">дипломатическата служба; </w:t>
      </w:r>
    </w:p>
    <w:p w:rsidR="004542E7" w:rsidRPr="00164A28" w:rsidRDefault="004542E7" w:rsidP="004542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Да притежават компютърна грамотност</w:t>
      </w:r>
      <w:r w:rsidRPr="00164A28">
        <w:rPr>
          <w:rFonts w:ascii="Cambria" w:hAnsi="Cambria"/>
          <w:sz w:val="22"/>
          <w:szCs w:val="22"/>
          <w:lang w:val="bg-BG"/>
        </w:rPr>
        <w:t>,</w:t>
      </w:r>
      <w:r w:rsidRPr="00164A28">
        <w:rPr>
          <w:rFonts w:ascii="Cambria" w:eastAsia="Calibri" w:hAnsi="Cambria"/>
          <w:sz w:val="22"/>
          <w:szCs w:val="22"/>
          <w:lang w:val="bg-BG"/>
        </w:rPr>
        <w:t xml:space="preserve"> </w:t>
      </w:r>
      <w:r w:rsidRPr="00164A28">
        <w:rPr>
          <w:rFonts w:ascii="Cambria" w:hAnsi="Cambria"/>
          <w:sz w:val="22"/>
          <w:szCs w:val="22"/>
          <w:lang w:val="bg-BG"/>
        </w:rPr>
        <w:t xml:space="preserve">съгласно чл. 27, ал. 2, т.1  във </w:t>
      </w:r>
      <w:proofErr w:type="spellStart"/>
      <w:r w:rsidRPr="00164A28">
        <w:rPr>
          <w:rFonts w:ascii="Cambria" w:hAnsi="Cambria"/>
          <w:sz w:val="22"/>
          <w:szCs w:val="22"/>
          <w:lang w:val="bg-BG"/>
        </w:rPr>
        <w:t>вр</w:t>
      </w:r>
      <w:proofErr w:type="spellEnd"/>
      <w:r w:rsidRPr="00164A28">
        <w:rPr>
          <w:rFonts w:ascii="Cambria" w:hAnsi="Cambria"/>
          <w:sz w:val="22"/>
          <w:szCs w:val="22"/>
          <w:lang w:val="bg-BG"/>
        </w:rPr>
        <w:t xml:space="preserve">. с ал. 1, т. 4 от Закона за дипломатическата служба </w:t>
      </w:r>
      <w:r w:rsidRPr="00164A28">
        <w:rPr>
          <w:rFonts w:ascii="Cambria" w:eastAsia="Calibri" w:hAnsi="Cambria"/>
          <w:sz w:val="22"/>
          <w:szCs w:val="22"/>
          <w:lang w:val="bg-BG"/>
        </w:rPr>
        <w:t xml:space="preserve">–  </w:t>
      </w:r>
      <w:r w:rsidRPr="00164A28">
        <w:rPr>
          <w:rFonts w:ascii="Cambria" w:hAnsi="Cambria"/>
          <w:sz w:val="22"/>
          <w:szCs w:val="22"/>
          <w:lang w:val="bg-BG"/>
        </w:rPr>
        <w:t>работа с Microsoft Office, мобилни комуникационни средства и стандартна офис техника</w:t>
      </w:r>
      <w:r w:rsidRPr="00164A28">
        <w:rPr>
          <w:rFonts w:ascii="Cambria" w:eastAsia="Calibri" w:hAnsi="Cambria"/>
          <w:sz w:val="22"/>
          <w:szCs w:val="22"/>
          <w:lang w:val="bg-BG"/>
        </w:rPr>
        <w:t xml:space="preserve">; </w:t>
      </w:r>
    </w:p>
    <w:p w:rsidR="004542E7" w:rsidRPr="00164A28" w:rsidRDefault="004542E7" w:rsidP="004542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 xml:space="preserve">Да не страдат от хронично психическо заболяване съгласно чл. 27, ал. 2, т.1 във </w:t>
      </w:r>
      <w:proofErr w:type="spellStart"/>
      <w:r w:rsidRPr="00164A28">
        <w:rPr>
          <w:rFonts w:ascii="Cambria" w:eastAsia="Calibri" w:hAnsi="Cambria"/>
          <w:sz w:val="22"/>
          <w:szCs w:val="22"/>
          <w:lang w:val="bg-BG"/>
        </w:rPr>
        <w:t>вр</w:t>
      </w:r>
      <w:proofErr w:type="spellEnd"/>
      <w:r w:rsidRPr="00164A28">
        <w:rPr>
          <w:rFonts w:ascii="Cambria" w:eastAsia="Calibri" w:hAnsi="Cambria"/>
          <w:sz w:val="22"/>
          <w:szCs w:val="22"/>
          <w:lang w:val="bg-BG"/>
        </w:rPr>
        <w:t>. с ал. 1, т. 5 от Закона за дипломатическата служба;</w:t>
      </w:r>
    </w:p>
    <w:p w:rsidR="004542E7" w:rsidRPr="00164A28" w:rsidRDefault="004542E7" w:rsidP="004542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Да притежават минимален професионален опит – 4 години, или минимален ранг за държавен служител – III младши;</w:t>
      </w:r>
    </w:p>
    <w:p w:rsidR="004542E7" w:rsidRPr="00164A28" w:rsidRDefault="004542E7" w:rsidP="004542E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Да отговарят на другите изисквания за заемане на държавна служба по чл. 7, ал. 1 и ал. 2 от Закона за държавния слу</w:t>
      </w:r>
      <w:bookmarkStart w:id="0" w:name="_GoBack"/>
      <w:bookmarkEnd w:id="0"/>
      <w:r w:rsidRPr="00164A28">
        <w:rPr>
          <w:rFonts w:ascii="Cambria" w:eastAsia="Calibri" w:hAnsi="Cambria"/>
          <w:sz w:val="22"/>
          <w:szCs w:val="22"/>
          <w:lang w:val="bg-BG"/>
        </w:rPr>
        <w:t>жител.</w:t>
      </w:r>
    </w:p>
    <w:p w:rsidR="009A642C" w:rsidRPr="00164A28" w:rsidRDefault="009A642C" w:rsidP="009A642C">
      <w:pPr>
        <w:widowControl w:val="0"/>
        <w:autoSpaceDE w:val="0"/>
        <w:autoSpaceDN w:val="0"/>
        <w:adjustRightInd w:val="0"/>
        <w:spacing w:after="160" w:line="259" w:lineRule="auto"/>
        <w:ind w:right="1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</w:p>
    <w:p w:rsidR="009A642C" w:rsidRPr="00164A28" w:rsidRDefault="009A642C" w:rsidP="009A642C">
      <w:pPr>
        <w:widowControl w:val="0"/>
        <w:autoSpaceDE w:val="0"/>
        <w:autoSpaceDN w:val="0"/>
        <w:adjustRightInd w:val="0"/>
        <w:spacing w:after="160" w:line="259" w:lineRule="auto"/>
        <w:ind w:left="709" w:right="1"/>
        <w:contextualSpacing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164A28">
        <w:rPr>
          <w:rFonts w:ascii="Cambria" w:eastAsia="Calibri" w:hAnsi="Cambria"/>
          <w:b/>
          <w:sz w:val="22"/>
          <w:szCs w:val="22"/>
          <w:lang w:val="bg-BG"/>
        </w:rPr>
        <w:t>Други специфични за длъжността и за административното звено изисквания:</w:t>
      </w:r>
    </w:p>
    <w:p w:rsidR="009A642C" w:rsidRPr="00164A28" w:rsidRDefault="009A642C" w:rsidP="009A642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 xml:space="preserve">Добро познаване на нормативната уредба, която се ползва в работата на дирекция „Пресцентър“ – Конституция на Република България, Закон за дипломатическата служба, Закон за достъп до обществена информация, Устройствен правилник на МВнР; </w:t>
      </w:r>
    </w:p>
    <w:p w:rsidR="009A642C" w:rsidRPr="00164A28" w:rsidRDefault="009A642C" w:rsidP="009A642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Добро познаване на спецификите на работа с български и чуждестранни медии – препоръчителен професионален опит в сферата на медиите и връзките с обществеността;</w:t>
      </w:r>
    </w:p>
    <w:p w:rsidR="009A642C" w:rsidRPr="00164A28" w:rsidRDefault="009A642C" w:rsidP="009A642C">
      <w:pPr>
        <w:widowControl w:val="0"/>
        <w:numPr>
          <w:ilvl w:val="0"/>
          <w:numId w:val="12"/>
        </w:numPr>
        <w:tabs>
          <w:tab w:val="left" w:pos="9298"/>
        </w:tabs>
        <w:autoSpaceDE w:val="0"/>
        <w:autoSpaceDN w:val="0"/>
        <w:adjustRightInd w:val="0"/>
        <w:spacing w:after="160" w:line="259" w:lineRule="auto"/>
        <w:ind w:left="709" w:right="1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Умения за работа в условия на допълнително натоварване;</w:t>
      </w:r>
    </w:p>
    <w:p w:rsidR="009A642C" w:rsidRPr="00164A28" w:rsidRDefault="009A642C" w:rsidP="009A642C">
      <w:pPr>
        <w:widowControl w:val="0"/>
        <w:numPr>
          <w:ilvl w:val="0"/>
          <w:numId w:val="12"/>
        </w:numPr>
        <w:tabs>
          <w:tab w:val="left" w:pos="9298"/>
        </w:tabs>
        <w:autoSpaceDE w:val="0"/>
        <w:autoSpaceDN w:val="0"/>
        <w:adjustRightInd w:val="0"/>
        <w:spacing w:after="160" w:line="259" w:lineRule="auto"/>
        <w:ind w:left="709" w:right="342" w:hanging="142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  <w:r w:rsidRPr="00164A28">
        <w:rPr>
          <w:rFonts w:ascii="Cambria" w:eastAsia="Calibri" w:hAnsi="Cambria"/>
          <w:sz w:val="22"/>
          <w:szCs w:val="22"/>
          <w:lang w:val="bg-BG"/>
        </w:rPr>
        <w:t>Владеенето на английски език ще се счита за предимство.</w:t>
      </w:r>
    </w:p>
    <w:p w:rsidR="009A642C" w:rsidRPr="00164A28" w:rsidRDefault="009A642C" w:rsidP="009A642C">
      <w:pPr>
        <w:widowControl w:val="0"/>
        <w:autoSpaceDE w:val="0"/>
        <w:autoSpaceDN w:val="0"/>
        <w:adjustRightInd w:val="0"/>
        <w:spacing w:after="160" w:line="259" w:lineRule="auto"/>
        <w:ind w:right="1"/>
        <w:contextualSpacing/>
        <w:jc w:val="both"/>
        <w:rPr>
          <w:rFonts w:ascii="Cambria" w:eastAsia="Calibri" w:hAnsi="Cambria"/>
          <w:sz w:val="22"/>
          <w:szCs w:val="22"/>
          <w:lang w:val="bg-BG"/>
        </w:rPr>
      </w:pPr>
    </w:p>
    <w:p w:rsidR="009F1E46" w:rsidRPr="00164A28" w:rsidRDefault="009F1E46" w:rsidP="004542E7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/>
          <w:b/>
          <w:lang w:val="bg-BG"/>
        </w:rPr>
      </w:pPr>
      <w:r w:rsidRPr="00164A28">
        <w:rPr>
          <w:rFonts w:asciiTheme="majorHAnsi" w:eastAsia="Calibri" w:hAnsiTheme="majorHAnsi"/>
          <w:b/>
          <w:lang w:val="bg-BG"/>
        </w:rPr>
        <w:t>Начин на провеждане на конкурса:</w:t>
      </w:r>
    </w:p>
    <w:p w:rsidR="00E969DA" w:rsidRPr="00CC1B8F" w:rsidRDefault="00E969DA" w:rsidP="00A84245">
      <w:pPr>
        <w:numPr>
          <w:ilvl w:val="0"/>
          <w:numId w:val="1"/>
        </w:numPr>
        <w:spacing w:before="120"/>
        <w:ind w:left="425" w:firstLine="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Първи етап:</w:t>
      </w:r>
    </w:p>
    <w:p w:rsidR="00295A57" w:rsidRPr="00CC1B8F" w:rsidRDefault="00295A57" w:rsidP="004542E7">
      <w:pPr>
        <w:pStyle w:val="ListParagraph"/>
        <w:numPr>
          <w:ilvl w:val="0"/>
          <w:numId w:val="11"/>
        </w:numPr>
        <w:ind w:left="709" w:hanging="283"/>
        <w:rPr>
          <w:rFonts w:asciiTheme="majorHAnsi" w:eastAsia="Times New Roman" w:hAnsiTheme="majorHAnsi" w:cs="Times New Roman"/>
          <w:sz w:val="24"/>
          <w:szCs w:val="24"/>
          <w:lang w:eastAsia="bg-BG"/>
        </w:rPr>
      </w:pPr>
      <w:r w:rsidRPr="00CC1B8F">
        <w:rPr>
          <w:rFonts w:asciiTheme="majorHAnsi" w:eastAsia="Times New Roman" w:hAnsiTheme="majorHAnsi" w:cs="Times New Roman"/>
          <w:sz w:val="24"/>
          <w:szCs w:val="24"/>
          <w:lang w:eastAsia="bg-BG"/>
        </w:rPr>
        <w:t>П</w:t>
      </w:r>
      <w:r w:rsidR="00EA56E5">
        <w:rPr>
          <w:rFonts w:asciiTheme="majorHAnsi" w:eastAsia="Times New Roman" w:hAnsiTheme="majorHAnsi" w:cs="Times New Roman"/>
          <w:sz w:val="24"/>
          <w:szCs w:val="24"/>
          <w:lang w:eastAsia="bg-BG"/>
        </w:rPr>
        <w:t>рактически изпит</w:t>
      </w:r>
      <w:r w:rsidRPr="00CC1B8F">
        <w:rPr>
          <w:rFonts w:asciiTheme="majorHAnsi" w:eastAsia="Times New Roman" w:hAnsiTheme="majorHAnsi" w:cs="Times New Roman"/>
          <w:sz w:val="24"/>
          <w:szCs w:val="24"/>
          <w:lang w:eastAsia="bg-BG"/>
        </w:rPr>
        <w:t>.</w:t>
      </w:r>
    </w:p>
    <w:p w:rsidR="00E969DA" w:rsidRPr="00CC1B8F" w:rsidRDefault="00E969DA" w:rsidP="004542E7">
      <w:pPr>
        <w:numPr>
          <w:ilvl w:val="0"/>
          <w:numId w:val="1"/>
        </w:numPr>
        <w:ind w:left="425" w:firstLine="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>Втори етап:</w:t>
      </w:r>
    </w:p>
    <w:p w:rsidR="00E969DA" w:rsidRPr="004542E7" w:rsidRDefault="00E969DA" w:rsidP="004542E7">
      <w:pPr>
        <w:pStyle w:val="ListParagraph"/>
        <w:numPr>
          <w:ilvl w:val="0"/>
          <w:numId w:val="11"/>
        </w:numPr>
        <w:ind w:left="709" w:hanging="283"/>
        <w:jc w:val="both"/>
        <w:rPr>
          <w:rFonts w:asciiTheme="majorHAnsi" w:eastAsia="Calibri" w:hAnsiTheme="majorHAnsi"/>
        </w:rPr>
      </w:pPr>
      <w:r w:rsidRPr="004542E7">
        <w:rPr>
          <w:rFonts w:asciiTheme="majorHAnsi" w:eastAsia="Calibri" w:hAnsiTheme="majorHAnsi"/>
        </w:rPr>
        <w:t>Интервю.</w:t>
      </w:r>
    </w:p>
    <w:p w:rsidR="009F1E46" w:rsidRPr="00CC1B8F" w:rsidRDefault="009F1E46" w:rsidP="00222B43">
      <w:pPr>
        <w:spacing w:before="120" w:after="120"/>
        <w:jc w:val="both"/>
        <w:rPr>
          <w:rFonts w:asciiTheme="majorHAnsi" w:eastAsia="Calibri" w:hAnsiTheme="majorHAnsi"/>
          <w:b/>
          <w:lang w:val="bg-BG"/>
        </w:rPr>
      </w:pPr>
      <w:r w:rsidRPr="00CC1B8F">
        <w:rPr>
          <w:rFonts w:asciiTheme="majorHAnsi" w:eastAsia="Calibri" w:hAnsiTheme="majorHAnsi"/>
          <w:b/>
          <w:lang w:val="bg-BG"/>
        </w:rPr>
        <w:t xml:space="preserve">      Необходими документи за участие в конкурса: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Копия от документи за придобитата образователно-квалификационна степен, допълнителна квалификация и правоспособност,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(обн. ДВ, бр. 69 от 22.08.2000 г., посл. изм., обн. ДВ, бр.28 от 2019г.); ако дипломата на кандидата за придобито в Република </w:t>
      </w:r>
      <w:r w:rsidRPr="00CC1B8F">
        <w:rPr>
          <w:rFonts w:ascii="Cambria" w:hAnsi="Cambria"/>
          <w:sz w:val="24"/>
          <w:szCs w:val="24"/>
        </w:rPr>
        <w:lastRenderedPageBreak/>
        <w:t>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(обн. ДВ, бр. 92 от 22.10.2013 г.);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 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Копия от документи, удостоверяващи продължителността на професионалния опит;</w:t>
      </w:r>
    </w:p>
    <w:p w:rsidR="00295A57" w:rsidRPr="00CC1B8F" w:rsidRDefault="00295A57" w:rsidP="00295A57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-108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CC1B8F">
        <w:rPr>
          <w:rFonts w:ascii="Cambria" w:hAnsi="Cambria"/>
          <w:sz w:val="24"/>
          <w:szCs w:val="24"/>
        </w:rPr>
        <w:t>Декларация или сертификат за притежавани компютърни умения.</w:t>
      </w:r>
    </w:p>
    <w:p w:rsidR="007955D1" w:rsidRPr="00CC1B8F" w:rsidRDefault="007955D1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lang w:val="bg-BG"/>
        </w:rPr>
        <w:t>Необходимите документи за участие в конкурса</w:t>
      </w:r>
      <w:r w:rsidRPr="00CC1B8F">
        <w:rPr>
          <w:rFonts w:asciiTheme="majorHAnsi" w:eastAsia="Calibri" w:hAnsiTheme="majorHAnsi"/>
          <w:b/>
          <w:lang w:val="bg-BG"/>
        </w:rPr>
        <w:t xml:space="preserve"> </w:t>
      </w:r>
      <w:r w:rsidR="009F1E46" w:rsidRPr="00CC1B8F">
        <w:rPr>
          <w:rFonts w:asciiTheme="majorHAnsi" w:eastAsia="Calibri" w:hAnsiTheme="majorHAnsi"/>
          <w:lang w:val="bg-BG"/>
        </w:rPr>
        <w:t xml:space="preserve">се подават лично или чрез пълномощник в Приемната на  Министерството на външните работи, гр. София, ул. „Александър Жендов” № 2, от </w:t>
      </w:r>
      <w:r w:rsidR="009F1E46" w:rsidRPr="00CC1B8F">
        <w:rPr>
          <w:rFonts w:asciiTheme="majorHAnsi" w:eastAsia="Calibri" w:hAnsiTheme="majorHAnsi"/>
          <w:b/>
          <w:lang w:val="bg-BG"/>
        </w:rPr>
        <w:t>15:30 до 16:30 ч.</w:t>
      </w:r>
      <w:r w:rsidR="009F1E46" w:rsidRPr="00CC1B8F">
        <w:rPr>
          <w:rFonts w:asciiTheme="majorHAnsi" w:eastAsia="Calibri" w:hAnsiTheme="majorHAnsi"/>
          <w:lang w:val="bg-BG"/>
        </w:rPr>
        <w:t xml:space="preserve"> или по електронен път на адрес: </w:t>
      </w:r>
      <w:hyperlink r:id="rId8" w:history="1">
        <w:r w:rsidR="009F1E46" w:rsidRPr="00CC1B8F">
          <w:rPr>
            <w:rFonts w:asciiTheme="majorHAnsi" w:hAnsiTheme="majorHAnsi"/>
            <w:color w:val="0000FF"/>
            <w:u w:val="single"/>
            <w:lang w:val="bg-BG"/>
          </w:rPr>
          <w:t>kariera@mfa.bg</w:t>
        </w:r>
      </w:hyperlink>
      <w:r w:rsidR="009F1E46" w:rsidRPr="00CC1B8F">
        <w:rPr>
          <w:rFonts w:asciiTheme="majorHAnsi" w:eastAsia="Calibri" w:hAnsiTheme="majorHAnsi"/>
          <w:lang w:val="bg-BG"/>
        </w:rPr>
        <w:t xml:space="preserve">, като в този случай заявлението по чл. 17, ал. 2 и декларацията по  т. </w:t>
      </w:r>
      <w:r w:rsidR="00055D34" w:rsidRPr="00CC1B8F">
        <w:rPr>
          <w:rFonts w:asciiTheme="majorHAnsi" w:eastAsia="Calibri" w:hAnsiTheme="majorHAnsi"/>
          <w:lang w:val="bg-BG"/>
        </w:rPr>
        <w:t>2</w:t>
      </w:r>
      <w:r w:rsidR="00804671" w:rsidRPr="00CC1B8F">
        <w:rPr>
          <w:rFonts w:asciiTheme="majorHAnsi" w:hAnsiTheme="majorHAnsi"/>
          <w:lang w:val="bg-BG"/>
        </w:rPr>
        <w:t xml:space="preserve"> от </w:t>
      </w:r>
      <w:r w:rsidR="00055D34" w:rsidRPr="00CC1B8F">
        <w:rPr>
          <w:rFonts w:asciiTheme="majorHAnsi" w:eastAsia="Calibri" w:hAnsiTheme="majorHAnsi"/>
          <w:lang w:val="bg-BG"/>
        </w:rPr>
        <w:t>необходимите документи за участие в конкурса, следва да бъдат подписани от кандидата с електронен подпис.</w:t>
      </w:r>
    </w:p>
    <w:p w:rsidR="005D351E" w:rsidRPr="00CC1B8F" w:rsidRDefault="009F1E46" w:rsidP="00222B43">
      <w:pPr>
        <w:tabs>
          <w:tab w:val="left" w:pos="709"/>
        </w:tabs>
        <w:jc w:val="both"/>
        <w:rPr>
          <w:rFonts w:asciiTheme="majorHAnsi" w:eastAsia="Calibri" w:hAnsiTheme="majorHAnsi"/>
          <w:lang w:val="bg-BG"/>
        </w:rPr>
      </w:pPr>
      <w:r w:rsidRPr="00CC1B8F">
        <w:rPr>
          <w:rFonts w:asciiTheme="majorHAnsi" w:hAnsiTheme="majorHAnsi"/>
          <w:b/>
          <w:color w:val="262626" w:themeColor="text1" w:themeTint="D9"/>
          <w:lang w:val="bg-BG"/>
        </w:rPr>
        <w:t xml:space="preserve"> </w:t>
      </w:r>
    </w:p>
    <w:p w:rsidR="001540FF" w:rsidRPr="00CC1B8F" w:rsidRDefault="008B5B19" w:rsidP="00222B43">
      <w:pPr>
        <w:tabs>
          <w:tab w:val="left" w:pos="709"/>
        </w:tabs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/>
          <w:lang w:val="bg-BG"/>
        </w:rPr>
        <w:t>Документите се подават в 1</w:t>
      </w:r>
      <w:r w:rsidR="00C00802" w:rsidRPr="00CC1B8F">
        <w:rPr>
          <w:rFonts w:asciiTheme="majorHAnsi" w:hAnsiTheme="majorHAnsi"/>
          <w:b/>
          <w:lang w:val="bg-BG"/>
        </w:rPr>
        <w:t>0</w:t>
      </w:r>
      <w:r w:rsidR="005670E5" w:rsidRPr="00CC1B8F">
        <w:rPr>
          <w:rFonts w:asciiTheme="majorHAnsi" w:hAnsiTheme="majorHAnsi"/>
          <w:b/>
          <w:lang w:val="bg-BG"/>
        </w:rPr>
        <w:t>-дневен срок от публикуване на О</w:t>
      </w:r>
      <w:r w:rsidR="001540FF" w:rsidRPr="00CC1B8F">
        <w:rPr>
          <w:rFonts w:asciiTheme="majorHAnsi" w:hAnsiTheme="majorHAnsi"/>
          <w:b/>
          <w:lang w:val="bg-BG"/>
        </w:rPr>
        <w:t xml:space="preserve">бявлението за конкурса. </w:t>
      </w:r>
    </w:p>
    <w:p w:rsidR="00673DF7" w:rsidRPr="00CC1B8F" w:rsidRDefault="00673DF7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Cs/>
          <w:lang w:val="bg-BG" w:eastAsia="bg-BG"/>
        </w:rPr>
      </w:pPr>
      <w:r w:rsidRPr="00CC1B8F">
        <w:rPr>
          <w:rFonts w:asciiTheme="majorHAnsi" w:hAnsiTheme="majorHAnsi"/>
          <w:bCs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CC1B8F" w:rsidRDefault="001540FF" w:rsidP="00222B43">
      <w:pPr>
        <w:tabs>
          <w:tab w:val="left" w:pos="709"/>
        </w:tabs>
        <w:spacing w:before="120"/>
        <w:jc w:val="both"/>
        <w:rPr>
          <w:rFonts w:asciiTheme="majorHAnsi" w:hAnsiTheme="majorHAnsi"/>
          <w:b/>
          <w:lang w:val="bg-BG"/>
        </w:rPr>
      </w:pPr>
      <w:r w:rsidRPr="00CC1B8F">
        <w:rPr>
          <w:rFonts w:asciiTheme="majorHAnsi" w:hAnsiTheme="majorHAnsi"/>
          <w:bCs/>
          <w:lang w:val="bg-BG" w:eastAsia="bg-BG"/>
        </w:rPr>
        <w:t>М</w:t>
      </w:r>
      <w:r w:rsidR="00A60F6D" w:rsidRPr="00CC1B8F">
        <w:rPr>
          <w:rFonts w:asciiTheme="majorHAnsi" w:hAnsiTheme="majorHAnsi"/>
          <w:bCs/>
          <w:lang w:val="bg-BG" w:eastAsia="bg-BG"/>
        </w:rPr>
        <w:t>ясто</w:t>
      </w:r>
      <w:r w:rsidRPr="00CC1B8F">
        <w:rPr>
          <w:rFonts w:asciiTheme="majorHAnsi" w:hAnsiTheme="majorHAnsi"/>
          <w:bCs/>
          <w:lang w:val="bg-BG" w:eastAsia="bg-BG"/>
        </w:rPr>
        <w:t>то за поставяне на обявлението и обявяване на списъците и други съобщения във връзка с конкурса</w:t>
      </w:r>
      <w:r w:rsidR="00970007" w:rsidRPr="00CC1B8F">
        <w:rPr>
          <w:rFonts w:asciiTheme="majorHAnsi" w:hAnsiTheme="majorHAnsi"/>
          <w:bCs/>
          <w:lang w:val="bg-BG" w:eastAsia="bg-BG"/>
        </w:rPr>
        <w:t>,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="003F52C9" w:rsidRPr="00CC1B8F">
        <w:rPr>
          <w:rFonts w:asciiTheme="majorHAnsi" w:hAnsiTheme="majorHAnsi"/>
          <w:bCs/>
          <w:lang w:val="bg-BG" w:eastAsia="bg-BG"/>
        </w:rPr>
        <w:t>е</w:t>
      </w:r>
      <w:r w:rsidRPr="00CC1B8F">
        <w:rPr>
          <w:rFonts w:asciiTheme="majorHAnsi" w:hAnsiTheme="majorHAnsi"/>
          <w:bCs/>
          <w:lang w:val="bg-BG" w:eastAsia="bg-BG"/>
        </w:rPr>
        <w:t xml:space="preserve"> </w:t>
      </w:r>
      <w:r w:rsidRPr="00CC1B8F">
        <w:rPr>
          <w:rFonts w:asciiTheme="majorHAnsi" w:hAnsiTheme="majorHAnsi"/>
          <w:b/>
          <w:bCs/>
          <w:lang w:val="bg-BG" w:eastAsia="bg-BG"/>
        </w:rPr>
        <w:t>Пропускът за посетители</w:t>
      </w:r>
      <w:r w:rsidRPr="00CC1B8F">
        <w:rPr>
          <w:rFonts w:asciiTheme="majorHAnsi" w:hAnsiTheme="majorHAnsi"/>
          <w:bCs/>
          <w:lang w:val="bg-BG" w:eastAsia="bg-BG"/>
        </w:rPr>
        <w:t xml:space="preserve"> на</w:t>
      </w:r>
      <w:r w:rsidR="00A60F6D" w:rsidRPr="00CC1B8F">
        <w:rPr>
          <w:rFonts w:asciiTheme="majorHAnsi" w:hAnsiTheme="majorHAnsi"/>
          <w:bCs/>
          <w:lang w:val="bg-BG" w:eastAsia="bg-BG"/>
        </w:rPr>
        <w:t xml:space="preserve"> Министерството на външните</w:t>
      </w:r>
      <w:r w:rsidR="004D205D" w:rsidRPr="00CC1B8F">
        <w:rPr>
          <w:rFonts w:asciiTheme="majorHAnsi" w:hAnsiTheme="majorHAnsi"/>
          <w:bCs/>
          <w:lang w:val="bg-BG" w:eastAsia="bg-BG"/>
        </w:rPr>
        <w:t xml:space="preserve"> работи</w:t>
      </w:r>
      <w:r w:rsidR="00A60F6D" w:rsidRPr="00CC1B8F">
        <w:rPr>
          <w:rFonts w:asciiTheme="majorHAnsi" w:hAnsiTheme="majorHAnsi"/>
          <w:lang w:val="bg-BG" w:eastAsia="bg-BG"/>
        </w:rPr>
        <w:t>, гр. София, ул. „Александър Жендов” № 2 и</w:t>
      </w:r>
      <w:r w:rsidR="001D4BEE" w:rsidRPr="00CC1B8F">
        <w:rPr>
          <w:rFonts w:asciiTheme="majorHAnsi" w:eastAsia="Calibri" w:hAnsiTheme="majorHAnsi"/>
          <w:b/>
          <w:lang w:val="bg-BG"/>
        </w:rPr>
        <w:t xml:space="preserve"> </w:t>
      </w:r>
      <w:r w:rsidR="001D4BEE" w:rsidRPr="00CC1B8F">
        <w:rPr>
          <w:rFonts w:asciiTheme="majorHAnsi" w:hAnsiTheme="majorHAnsi"/>
          <w:b/>
          <w:lang w:val="bg-BG" w:eastAsia="bg-BG"/>
        </w:rPr>
        <w:t>интернет страницата</w:t>
      </w:r>
      <w:r w:rsidR="001D4BEE" w:rsidRPr="00CC1B8F">
        <w:rPr>
          <w:rFonts w:asciiTheme="majorHAnsi" w:hAnsiTheme="majorHAnsi"/>
          <w:lang w:val="bg-BG" w:eastAsia="bg-BG"/>
        </w:rPr>
        <w:t xml:space="preserve"> на МВнР</w:t>
      </w:r>
      <w:r w:rsidR="00A60F6D" w:rsidRPr="00CC1B8F">
        <w:rPr>
          <w:rFonts w:asciiTheme="majorHAnsi" w:hAnsiTheme="majorHAnsi"/>
          <w:b/>
          <w:lang w:val="bg-BG" w:eastAsia="bg-BG"/>
        </w:rPr>
        <w:t>.</w:t>
      </w:r>
    </w:p>
    <w:p w:rsidR="002C2552" w:rsidRPr="00CC1B8F" w:rsidRDefault="002C2552" w:rsidP="00222B43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Theme="majorHAnsi" w:hAnsiTheme="majorHAnsi"/>
          <w:b/>
          <w:lang w:val="bg-BG"/>
        </w:rPr>
      </w:pPr>
    </w:p>
    <w:sectPr w:rsidR="002C2552" w:rsidRPr="00CC1B8F" w:rsidSect="00A84245">
      <w:headerReference w:type="first" r:id="rId9"/>
      <w:footerReference w:type="first" r:id="rId10"/>
      <w:pgSz w:w="11906" w:h="16838" w:code="9"/>
      <w:pgMar w:top="1440" w:right="1133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C3" w:rsidRDefault="007759C3" w:rsidP="00894A08">
      <w:r>
        <w:separator/>
      </w:r>
    </w:p>
  </w:endnote>
  <w:endnote w:type="continuationSeparator" w:id="0">
    <w:p w:rsidR="007759C3" w:rsidRDefault="007759C3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30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582" w:rsidRDefault="009855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2454" w:rsidRPr="00E00905" w:rsidRDefault="007759C3" w:rsidP="007113CF">
    <w:pPr>
      <w:pStyle w:val="Footer"/>
      <w:spacing w:line="360" w:lineRule="auto"/>
      <w:rPr>
        <w:rFonts w:ascii="Calibri" w:hAnsi="Calibri"/>
        <w:smallCap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C3" w:rsidRDefault="007759C3" w:rsidP="00894A08">
      <w:r>
        <w:separator/>
      </w:r>
    </w:p>
  </w:footnote>
  <w:footnote w:type="continuationSeparator" w:id="0">
    <w:p w:rsidR="007759C3" w:rsidRDefault="007759C3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7655"/>
    </w:tblGrid>
    <w:tr w:rsidR="007113CF" w:rsidTr="009E51F9">
      <w:trPr>
        <w:trHeight w:val="834"/>
      </w:trPr>
      <w:tc>
        <w:tcPr>
          <w:tcW w:w="1609" w:type="dxa"/>
        </w:tcPr>
        <w:p w:rsidR="007113CF" w:rsidRDefault="007113CF" w:rsidP="007113CF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39D3EDE0" wp14:editId="12596E57">
                <wp:extent cx="805180" cy="6604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5180" cy="660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РЕПУБЛИКА БЪЛГАРИЯ</w:t>
          </w:r>
        </w:p>
        <w:p w:rsidR="007113CF" w:rsidRDefault="007113CF" w:rsidP="007113CF">
          <w:pPr>
            <w:pStyle w:val="Subtitle"/>
            <w:jc w:val="left"/>
            <w:rPr>
              <w:rStyle w:val="Strong"/>
            </w:rPr>
          </w:pPr>
          <w:r>
            <w:rPr>
              <w:rStyle w:val="Strong"/>
              <w:sz w:val="22"/>
            </w:rPr>
            <w:t>МИНИСТЕРСТВО НА ВЪНШНИТЕ РАБОТИ</w:t>
          </w:r>
        </w:p>
        <w:p w:rsidR="007113CF" w:rsidRDefault="007113CF" w:rsidP="007113CF">
          <w:pPr>
            <w:pStyle w:val="Subtitle"/>
            <w:tabs>
              <w:tab w:val="left" w:pos="225"/>
            </w:tabs>
            <w:jc w:val="left"/>
            <w:rPr>
              <w:b/>
            </w:rPr>
          </w:pPr>
          <w:r>
            <w:rPr>
              <w:rStyle w:val="Strong"/>
              <w:sz w:val="22"/>
            </w:rPr>
            <w:tab/>
          </w:r>
        </w:p>
      </w:tc>
    </w:tr>
  </w:tbl>
  <w:p w:rsidR="00C76EE2" w:rsidRPr="00F71498" w:rsidRDefault="007759C3" w:rsidP="009C706F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811"/>
    <w:multiLevelType w:val="hybridMultilevel"/>
    <w:tmpl w:val="A3D46B02"/>
    <w:lvl w:ilvl="0" w:tplc="8B9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36409"/>
    <w:multiLevelType w:val="hybridMultilevel"/>
    <w:tmpl w:val="03565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511"/>
    <w:multiLevelType w:val="hybridMultilevel"/>
    <w:tmpl w:val="4014BDEA"/>
    <w:lvl w:ilvl="0" w:tplc="BF86240E">
      <w:start w:val="1"/>
      <w:numFmt w:val="bullet"/>
      <w:lvlText w:val="-"/>
      <w:lvlJc w:val="left"/>
      <w:pPr>
        <w:ind w:left="862" w:hanging="360"/>
      </w:pPr>
      <w:rPr>
        <w:rFonts w:ascii="Sitka Heading" w:hAnsi="Sitka Heading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3C81B2E"/>
    <w:multiLevelType w:val="hybridMultilevel"/>
    <w:tmpl w:val="82881CC0"/>
    <w:lvl w:ilvl="0" w:tplc="8B9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2953A82"/>
    <w:multiLevelType w:val="hybridMultilevel"/>
    <w:tmpl w:val="B260C2F8"/>
    <w:lvl w:ilvl="0" w:tplc="BCFA668E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41EF4"/>
    <w:multiLevelType w:val="hybridMultilevel"/>
    <w:tmpl w:val="4D2AA42A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517D9"/>
    <w:multiLevelType w:val="hybridMultilevel"/>
    <w:tmpl w:val="351E389C"/>
    <w:lvl w:ilvl="0" w:tplc="8B9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FD7ABB"/>
    <w:multiLevelType w:val="hybridMultilevel"/>
    <w:tmpl w:val="F1003822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24E34"/>
    <w:rsid w:val="00025A5D"/>
    <w:rsid w:val="000278AC"/>
    <w:rsid w:val="000333F3"/>
    <w:rsid w:val="00033DF4"/>
    <w:rsid w:val="0003507D"/>
    <w:rsid w:val="00051EB0"/>
    <w:rsid w:val="00055D34"/>
    <w:rsid w:val="00057474"/>
    <w:rsid w:val="000635C8"/>
    <w:rsid w:val="000704AA"/>
    <w:rsid w:val="00085260"/>
    <w:rsid w:val="0008671B"/>
    <w:rsid w:val="000877EE"/>
    <w:rsid w:val="000A20F1"/>
    <w:rsid w:val="000A23A1"/>
    <w:rsid w:val="000A3AF6"/>
    <w:rsid w:val="000B3379"/>
    <w:rsid w:val="000B3961"/>
    <w:rsid w:val="000B6EB0"/>
    <w:rsid w:val="000E2981"/>
    <w:rsid w:val="000F67C6"/>
    <w:rsid w:val="0011643C"/>
    <w:rsid w:val="001375DF"/>
    <w:rsid w:val="00141D1C"/>
    <w:rsid w:val="0014238C"/>
    <w:rsid w:val="00147CB3"/>
    <w:rsid w:val="001540FF"/>
    <w:rsid w:val="001556D2"/>
    <w:rsid w:val="001560CC"/>
    <w:rsid w:val="00156B6D"/>
    <w:rsid w:val="00164A28"/>
    <w:rsid w:val="001746F7"/>
    <w:rsid w:val="001861C5"/>
    <w:rsid w:val="00197C6C"/>
    <w:rsid w:val="001A75CF"/>
    <w:rsid w:val="001B5154"/>
    <w:rsid w:val="001C2A7F"/>
    <w:rsid w:val="001C5BA2"/>
    <w:rsid w:val="001D4BEE"/>
    <w:rsid w:val="001E68BF"/>
    <w:rsid w:val="001F21BD"/>
    <w:rsid w:val="00200DEC"/>
    <w:rsid w:val="002018F2"/>
    <w:rsid w:val="0020302B"/>
    <w:rsid w:val="0020587F"/>
    <w:rsid w:val="002073B9"/>
    <w:rsid w:val="0021471C"/>
    <w:rsid w:val="00222B43"/>
    <w:rsid w:val="00223633"/>
    <w:rsid w:val="00223A09"/>
    <w:rsid w:val="00223B23"/>
    <w:rsid w:val="00242F1D"/>
    <w:rsid w:val="00243A01"/>
    <w:rsid w:val="0025280B"/>
    <w:rsid w:val="002621D5"/>
    <w:rsid w:val="002645F1"/>
    <w:rsid w:val="0026766A"/>
    <w:rsid w:val="002915DF"/>
    <w:rsid w:val="00295A57"/>
    <w:rsid w:val="0029684A"/>
    <w:rsid w:val="002A0D64"/>
    <w:rsid w:val="002B5A23"/>
    <w:rsid w:val="002C2552"/>
    <w:rsid w:val="002D2FC5"/>
    <w:rsid w:val="002E2B14"/>
    <w:rsid w:val="002E76FF"/>
    <w:rsid w:val="002F641D"/>
    <w:rsid w:val="002F734C"/>
    <w:rsid w:val="00306426"/>
    <w:rsid w:val="00315469"/>
    <w:rsid w:val="0032151A"/>
    <w:rsid w:val="003226CB"/>
    <w:rsid w:val="00327ACB"/>
    <w:rsid w:val="003341B4"/>
    <w:rsid w:val="00335BA5"/>
    <w:rsid w:val="0034531B"/>
    <w:rsid w:val="0035128D"/>
    <w:rsid w:val="003524EF"/>
    <w:rsid w:val="00365478"/>
    <w:rsid w:val="003713A7"/>
    <w:rsid w:val="003761DC"/>
    <w:rsid w:val="00387235"/>
    <w:rsid w:val="00390CB7"/>
    <w:rsid w:val="00392D5A"/>
    <w:rsid w:val="003A018A"/>
    <w:rsid w:val="003A3F63"/>
    <w:rsid w:val="003A7B86"/>
    <w:rsid w:val="003B3797"/>
    <w:rsid w:val="003B6E99"/>
    <w:rsid w:val="003C5E98"/>
    <w:rsid w:val="003D7A4F"/>
    <w:rsid w:val="003E7019"/>
    <w:rsid w:val="003F0084"/>
    <w:rsid w:val="003F0FAD"/>
    <w:rsid w:val="003F52C9"/>
    <w:rsid w:val="003F6863"/>
    <w:rsid w:val="004000B1"/>
    <w:rsid w:val="004201EE"/>
    <w:rsid w:val="0042049A"/>
    <w:rsid w:val="00420C7E"/>
    <w:rsid w:val="00421A6E"/>
    <w:rsid w:val="0042384D"/>
    <w:rsid w:val="004303E0"/>
    <w:rsid w:val="004326E7"/>
    <w:rsid w:val="004356C1"/>
    <w:rsid w:val="0044500A"/>
    <w:rsid w:val="00451F03"/>
    <w:rsid w:val="004542E7"/>
    <w:rsid w:val="0046328A"/>
    <w:rsid w:val="00465115"/>
    <w:rsid w:val="004656FC"/>
    <w:rsid w:val="00484ED2"/>
    <w:rsid w:val="004952BB"/>
    <w:rsid w:val="004A68CA"/>
    <w:rsid w:val="004D205D"/>
    <w:rsid w:val="004D4206"/>
    <w:rsid w:val="004E3FEE"/>
    <w:rsid w:val="004E4622"/>
    <w:rsid w:val="004F0C5E"/>
    <w:rsid w:val="00501FAA"/>
    <w:rsid w:val="00507F3E"/>
    <w:rsid w:val="00520AD0"/>
    <w:rsid w:val="00522372"/>
    <w:rsid w:val="00525BC7"/>
    <w:rsid w:val="00527C21"/>
    <w:rsid w:val="00527FE7"/>
    <w:rsid w:val="00547D22"/>
    <w:rsid w:val="00555C80"/>
    <w:rsid w:val="005609EE"/>
    <w:rsid w:val="00564615"/>
    <w:rsid w:val="005670E5"/>
    <w:rsid w:val="0057499E"/>
    <w:rsid w:val="00580C76"/>
    <w:rsid w:val="00582E2D"/>
    <w:rsid w:val="005978D5"/>
    <w:rsid w:val="005B24B5"/>
    <w:rsid w:val="005B576B"/>
    <w:rsid w:val="005C0077"/>
    <w:rsid w:val="005C0EFC"/>
    <w:rsid w:val="005C2E2B"/>
    <w:rsid w:val="005C50E7"/>
    <w:rsid w:val="005D0092"/>
    <w:rsid w:val="005D351E"/>
    <w:rsid w:val="005D37DB"/>
    <w:rsid w:val="005D5683"/>
    <w:rsid w:val="005E3739"/>
    <w:rsid w:val="005E7422"/>
    <w:rsid w:val="005F5769"/>
    <w:rsid w:val="006011B3"/>
    <w:rsid w:val="006043E2"/>
    <w:rsid w:val="00616807"/>
    <w:rsid w:val="00617F89"/>
    <w:rsid w:val="006208C4"/>
    <w:rsid w:val="0062704C"/>
    <w:rsid w:val="00627ABF"/>
    <w:rsid w:val="00630C89"/>
    <w:rsid w:val="006346B8"/>
    <w:rsid w:val="00637628"/>
    <w:rsid w:val="006516D8"/>
    <w:rsid w:val="006529CE"/>
    <w:rsid w:val="006538A1"/>
    <w:rsid w:val="0065512E"/>
    <w:rsid w:val="006646EB"/>
    <w:rsid w:val="0066730F"/>
    <w:rsid w:val="00667801"/>
    <w:rsid w:val="00673DF7"/>
    <w:rsid w:val="00685233"/>
    <w:rsid w:val="00692453"/>
    <w:rsid w:val="006A0E87"/>
    <w:rsid w:val="006B2A43"/>
    <w:rsid w:val="006C3693"/>
    <w:rsid w:val="006C3D92"/>
    <w:rsid w:val="006C4724"/>
    <w:rsid w:val="006D5A2D"/>
    <w:rsid w:val="006D74E1"/>
    <w:rsid w:val="006E5E0B"/>
    <w:rsid w:val="006F10AB"/>
    <w:rsid w:val="006F38C9"/>
    <w:rsid w:val="006F5B99"/>
    <w:rsid w:val="0070328A"/>
    <w:rsid w:val="00710DF9"/>
    <w:rsid w:val="007113CF"/>
    <w:rsid w:val="00716C1E"/>
    <w:rsid w:val="00722A87"/>
    <w:rsid w:val="0072766B"/>
    <w:rsid w:val="0073356E"/>
    <w:rsid w:val="00751CDD"/>
    <w:rsid w:val="00757D76"/>
    <w:rsid w:val="00760EE0"/>
    <w:rsid w:val="00763985"/>
    <w:rsid w:val="007759C3"/>
    <w:rsid w:val="00775F2E"/>
    <w:rsid w:val="00782928"/>
    <w:rsid w:val="00786942"/>
    <w:rsid w:val="00790A71"/>
    <w:rsid w:val="007955D1"/>
    <w:rsid w:val="00797B68"/>
    <w:rsid w:val="007A7989"/>
    <w:rsid w:val="007C16E1"/>
    <w:rsid w:val="007C4E16"/>
    <w:rsid w:val="007D3396"/>
    <w:rsid w:val="007F00EB"/>
    <w:rsid w:val="007F13D8"/>
    <w:rsid w:val="008005D5"/>
    <w:rsid w:val="00802387"/>
    <w:rsid w:val="00804671"/>
    <w:rsid w:val="00807539"/>
    <w:rsid w:val="008121FB"/>
    <w:rsid w:val="00822495"/>
    <w:rsid w:val="00827FD8"/>
    <w:rsid w:val="008324C0"/>
    <w:rsid w:val="008420E7"/>
    <w:rsid w:val="00845883"/>
    <w:rsid w:val="00853E4C"/>
    <w:rsid w:val="0085422B"/>
    <w:rsid w:val="00855110"/>
    <w:rsid w:val="00861449"/>
    <w:rsid w:val="00863F93"/>
    <w:rsid w:val="00867AA5"/>
    <w:rsid w:val="00886D53"/>
    <w:rsid w:val="00894A08"/>
    <w:rsid w:val="00894CA6"/>
    <w:rsid w:val="008977AC"/>
    <w:rsid w:val="008A3309"/>
    <w:rsid w:val="008A49B7"/>
    <w:rsid w:val="008B5B19"/>
    <w:rsid w:val="008B5B75"/>
    <w:rsid w:val="008C70E1"/>
    <w:rsid w:val="008D330B"/>
    <w:rsid w:val="008D6B64"/>
    <w:rsid w:val="008D79F5"/>
    <w:rsid w:val="008E0289"/>
    <w:rsid w:val="008E10A6"/>
    <w:rsid w:val="008E5E1B"/>
    <w:rsid w:val="008F111E"/>
    <w:rsid w:val="00914A7B"/>
    <w:rsid w:val="009304B2"/>
    <w:rsid w:val="00945980"/>
    <w:rsid w:val="00960535"/>
    <w:rsid w:val="00967560"/>
    <w:rsid w:val="00967FBB"/>
    <w:rsid w:val="00970007"/>
    <w:rsid w:val="00985582"/>
    <w:rsid w:val="0099014A"/>
    <w:rsid w:val="00994550"/>
    <w:rsid w:val="0099569B"/>
    <w:rsid w:val="009A2A17"/>
    <w:rsid w:val="009A642C"/>
    <w:rsid w:val="009B039C"/>
    <w:rsid w:val="009B4BC2"/>
    <w:rsid w:val="009C0155"/>
    <w:rsid w:val="009C706F"/>
    <w:rsid w:val="009D3398"/>
    <w:rsid w:val="009D526F"/>
    <w:rsid w:val="009D5509"/>
    <w:rsid w:val="009D732A"/>
    <w:rsid w:val="009E033C"/>
    <w:rsid w:val="009F1E46"/>
    <w:rsid w:val="009F57AE"/>
    <w:rsid w:val="00A002AF"/>
    <w:rsid w:val="00A0295F"/>
    <w:rsid w:val="00A3717F"/>
    <w:rsid w:val="00A444CD"/>
    <w:rsid w:val="00A52B0D"/>
    <w:rsid w:val="00A60F6D"/>
    <w:rsid w:val="00A61461"/>
    <w:rsid w:val="00A72571"/>
    <w:rsid w:val="00A80708"/>
    <w:rsid w:val="00A8356C"/>
    <w:rsid w:val="00A84245"/>
    <w:rsid w:val="00A95551"/>
    <w:rsid w:val="00A97FFE"/>
    <w:rsid w:val="00AA03A5"/>
    <w:rsid w:val="00AA736A"/>
    <w:rsid w:val="00AB5862"/>
    <w:rsid w:val="00AC5433"/>
    <w:rsid w:val="00AD32FA"/>
    <w:rsid w:val="00AD4820"/>
    <w:rsid w:val="00AE1513"/>
    <w:rsid w:val="00AE3F9C"/>
    <w:rsid w:val="00AF6EE6"/>
    <w:rsid w:val="00B01E9F"/>
    <w:rsid w:val="00B22F0A"/>
    <w:rsid w:val="00B26D50"/>
    <w:rsid w:val="00B27160"/>
    <w:rsid w:val="00B320F2"/>
    <w:rsid w:val="00B40684"/>
    <w:rsid w:val="00B408CF"/>
    <w:rsid w:val="00B40F43"/>
    <w:rsid w:val="00B427D2"/>
    <w:rsid w:val="00B4729D"/>
    <w:rsid w:val="00B47405"/>
    <w:rsid w:val="00B51E54"/>
    <w:rsid w:val="00B6142C"/>
    <w:rsid w:val="00B6205B"/>
    <w:rsid w:val="00B71376"/>
    <w:rsid w:val="00B721C6"/>
    <w:rsid w:val="00B7351F"/>
    <w:rsid w:val="00B73891"/>
    <w:rsid w:val="00B81167"/>
    <w:rsid w:val="00B87AEA"/>
    <w:rsid w:val="00B87CCB"/>
    <w:rsid w:val="00B920A9"/>
    <w:rsid w:val="00BA1F56"/>
    <w:rsid w:val="00BB2DA6"/>
    <w:rsid w:val="00BB747E"/>
    <w:rsid w:val="00BE14CA"/>
    <w:rsid w:val="00BE2680"/>
    <w:rsid w:val="00BE4AF2"/>
    <w:rsid w:val="00BE5E52"/>
    <w:rsid w:val="00BF2178"/>
    <w:rsid w:val="00C00802"/>
    <w:rsid w:val="00C030F3"/>
    <w:rsid w:val="00C225BA"/>
    <w:rsid w:val="00C305C8"/>
    <w:rsid w:val="00C34429"/>
    <w:rsid w:val="00C4420C"/>
    <w:rsid w:val="00C46291"/>
    <w:rsid w:val="00C50896"/>
    <w:rsid w:val="00C60E66"/>
    <w:rsid w:val="00C6740A"/>
    <w:rsid w:val="00C760F0"/>
    <w:rsid w:val="00C84EF1"/>
    <w:rsid w:val="00C94D32"/>
    <w:rsid w:val="00C95FAB"/>
    <w:rsid w:val="00CA0CCE"/>
    <w:rsid w:val="00CA1FBC"/>
    <w:rsid w:val="00CA58C1"/>
    <w:rsid w:val="00CB4188"/>
    <w:rsid w:val="00CC1B8F"/>
    <w:rsid w:val="00CD6501"/>
    <w:rsid w:val="00CD6C0A"/>
    <w:rsid w:val="00CE7637"/>
    <w:rsid w:val="00CE7E59"/>
    <w:rsid w:val="00CF735E"/>
    <w:rsid w:val="00D12C4B"/>
    <w:rsid w:val="00D146D6"/>
    <w:rsid w:val="00D20B7D"/>
    <w:rsid w:val="00D211B8"/>
    <w:rsid w:val="00D35AB1"/>
    <w:rsid w:val="00D36418"/>
    <w:rsid w:val="00D54BD1"/>
    <w:rsid w:val="00D7156D"/>
    <w:rsid w:val="00D73A79"/>
    <w:rsid w:val="00D85369"/>
    <w:rsid w:val="00D86960"/>
    <w:rsid w:val="00DA764D"/>
    <w:rsid w:val="00DB6C47"/>
    <w:rsid w:val="00DC42DF"/>
    <w:rsid w:val="00DF4150"/>
    <w:rsid w:val="00E00959"/>
    <w:rsid w:val="00E07861"/>
    <w:rsid w:val="00E145FA"/>
    <w:rsid w:val="00E20EDD"/>
    <w:rsid w:val="00E27C06"/>
    <w:rsid w:val="00E27E1A"/>
    <w:rsid w:val="00E30C15"/>
    <w:rsid w:val="00E41652"/>
    <w:rsid w:val="00E47EFA"/>
    <w:rsid w:val="00E50776"/>
    <w:rsid w:val="00E54B69"/>
    <w:rsid w:val="00E70A9D"/>
    <w:rsid w:val="00E75EEB"/>
    <w:rsid w:val="00E75FA3"/>
    <w:rsid w:val="00E8218F"/>
    <w:rsid w:val="00E966A2"/>
    <w:rsid w:val="00E969DA"/>
    <w:rsid w:val="00E97FC0"/>
    <w:rsid w:val="00EA56E5"/>
    <w:rsid w:val="00EA744B"/>
    <w:rsid w:val="00EB3C3F"/>
    <w:rsid w:val="00EB75A0"/>
    <w:rsid w:val="00EC06DF"/>
    <w:rsid w:val="00EC0E0F"/>
    <w:rsid w:val="00EE0885"/>
    <w:rsid w:val="00EF2D2E"/>
    <w:rsid w:val="00F1770E"/>
    <w:rsid w:val="00F21F6E"/>
    <w:rsid w:val="00F61460"/>
    <w:rsid w:val="00F63418"/>
    <w:rsid w:val="00F73092"/>
    <w:rsid w:val="00F8493B"/>
    <w:rsid w:val="00F8498B"/>
    <w:rsid w:val="00F85461"/>
    <w:rsid w:val="00F86765"/>
    <w:rsid w:val="00F96FA8"/>
    <w:rsid w:val="00FA6DF5"/>
    <w:rsid w:val="00FB095B"/>
    <w:rsid w:val="00FB3CBB"/>
    <w:rsid w:val="00FB536A"/>
    <w:rsid w:val="00FC5400"/>
    <w:rsid w:val="00FD38CB"/>
    <w:rsid w:val="00FD5A28"/>
    <w:rsid w:val="00FD7100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D807E8-BAB7-47CB-8D2C-D13FEF9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semiHidden/>
    <w:unhideWhenUsed/>
    <w:rsid w:val="00D54BD1"/>
    <w:rPr>
      <w:rFonts w:eastAsiaTheme="minorHAnsi"/>
      <w:lang w:val="en-US"/>
    </w:rPr>
  </w:style>
  <w:style w:type="paragraph" w:styleId="Subtitle">
    <w:name w:val="Subtitle"/>
    <w:basedOn w:val="Normal"/>
    <w:next w:val="Normal"/>
    <w:link w:val="SubtitleChar"/>
    <w:qFormat/>
    <w:rsid w:val="007113CF"/>
    <w:pPr>
      <w:spacing w:after="60"/>
      <w:jc w:val="center"/>
      <w:outlineLvl w:val="1"/>
    </w:pPr>
    <w:rPr>
      <w:rFonts w:ascii="Cambria" w:hAnsi="Cambria"/>
      <w:szCs w:val="20"/>
      <w:lang w:val="bg-BG" w:eastAsia="bg-BG"/>
    </w:rPr>
  </w:style>
  <w:style w:type="character" w:customStyle="1" w:styleId="SubtitleChar">
    <w:name w:val="Subtitle Char"/>
    <w:basedOn w:val="DefaultParagraphFont"/>
    <w:link w:val="Subtitle"/>
    <w:rsid w:val="007113CF"/>
    <w:rPr>
      <w:rFonts w:ascii="Cambria" w:eastAsia="Times New Roman" w:hAnsi="Cambria" w:cs="Times New Roman"/>
      <w:sz w:val="24"/>
      <w:szCs w:val="20"/>
      <w:lang w:eastAsia="bg-BG"/>
    </w:rPr>
  </w:style>
  <w:style w:type="character" w:styleId="Strong">
    <w:name w:val="Strong"/>
    <w:qFormat/>
    <w:rsid w:val="007113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91CA-160A-4F77-BB59-E6B84994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rkardjeva</dc:creator>
  <cp:lastModifiedBy>Tanya Vlahova</cp:lastModifiedBy>
  <cp:revision>9</cp:revision>
  <cp:lastPrinted>2017-06-12T09:25:00Z</cp:lastPrinted>
  <dcterms:created xsi:type="dcterms:W3CDTF">2022-01-27T07:48:00Z</dcterms:created>
  <dcterms:modified xsi:type="dcterms:W3CDTF">2022-01-31T08:54:00Z</dcterms:modified>
</cp:coreProperties>
</file>