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442C48"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A5737" w:rsidP="00270486">
            <w:pPr>
              <w:rPr>
                <w:rFonts w:ascii="Times New Roman" w:eastAsia="Times New Roman" w:hAnsi="Times New Roman" w:cs="Times New Roman"/>
                <w:b/>
                <w:sz w:val="24"/>
                <w:szCs w:val="20"/>
                <w:lang w:val="de-DE" w:eastAsia="en-GB"/>
              </w:rPr>
            </w:pPr>
            <w:r w:rsidRPr="008A5737">
              <w:rPr>
                <w:rFonts w:ascii="Times New Roman" w:eastAsia="Times New Roman" w:hAnsi="Times New Roman" w:cs="Times New Roman"/>
                <w:b/>
                <w:sz w:val="24"/>
                <w:szCs w:val="20"/>
                <w:lang w:val="de-DE" w:eastAsia="en-GB"/>
              </w:rPr>
              <w:t>INTPA – DIR C – C2</w:t>
            </w:r>
            <w:r w:rsidR="002E5A87">
              <w:rPr>
                <w:rFonts w:ascii="Times New Roman" w:eastAsia="Times New Roman" w:hAnsi="Times New Roman" w:cs="Times New Roman"/>
                <w:b/>
                <w:sz w:val="24"/>
                <w:szCs w:val="20"/>
                <w:lang w:val="de-DE" w:eastAsia="en-GB"/>
              </w:rPr>
              <w:t xml:space="preserve">_Del </w:t>
            </w:r>
            <w:r w:rsidR="002E5A87" w:rsidRPr="008A5737">
              <w:rPr>
                <w:rFonts w:ascii="Times New Roman" w:hAnsi="Times New Roman" w:cs="Times New Roman"/>
                <w:b/>
                <w:lang w:val="de-DE"/>
              </w:rPr>
              <w:t>Kambodscha</w:t>
            </w:r>
          </w:p>
        </w:tc>
      </w:tr>
      <w:tr w:rsidR="008A5737" w:rsidRPr="006740F2" w:rsidTr="00EC6FF0">
        <w:trPr>
          <w:trHeight w:val="1977"/>
          <w:jc w:val="center"/>
        </w:trPr>
        <w:tc>
          <w:tcPr>
            <w:tcW w:w="4359" w:type="dxa"/>
            <w:tcBorders>
              <w:bottom w:val="nil"/>
            </w:tcBorders>
          </w:tcPr>
          <w:p w:rsidR="008A5737" w:rsidRPr="00950BA5" w:rsidRDefault="008A5737" w:rsidP="008A5737">
            <w:pPr>
              <w:tabs>
                <w:tab w:val="left" w:pos="1697"/>
              </w:tabs>
              <w:ind w:right="-1739"/>
              <w:jc w:val="both"/>
              <w:rPr>
                <w:rFonts w:ascii="Times New Roman" w:eastAsia="Times New Roman" w:hAnsi="Times New Roman" w:cs="Times New Roman"/>
                <w:b/>
                <w:lang w:val="de-DE" w:eastAsia="en-GB"/>
              </w:rPr>
            </w:pPr>
            <w:proofErr w:type="spellStart"/>
            <w:r>
              <w:rPr>
                <w:rFonts w:ascii="Times New Roman" w:eastAsia="Times New Roman" w:hAnsi="Times New Roman" w:cs="Times New Roman"/>
                <w:b/>
                <w:lang w:eastAsia="en-GB"/>
              </w:rPr>
              <w:t>Referatsleiter</w:t>
            </w:r>
            <w:proofErr w:type="spellEnd"/>
            <w:r w:rsidRPr="00950BA5">
              <w:rPr>
                <w:rFonts w:ascii="Times New Roman" w:eastAsia="Times New Roman" w:hAnsi="Times New Roman" w:cs="Times New Roman"/>
                <w:b/>
                <w:lang w:val="de-DE" w:eastAsia="en-GB"/>
              </w:rPr>
              <w:t>:</w:t>
            </w:r>
          </w:p>
          <w:p w:rsidR="008A5737" w:rsidRPr="00950BA5" w:rsidRDefault="008A5737" w:rsidP="008A5737">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8A5737" w:rsidRPr="00950BA5" w:rsidRDefault="008A5737" w:rsidP="008A5737">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8A5737" w:rsidRPr="00950BA5" w:rsidRDefault="008A5737" w:rsidP="008A5737">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8A5737" w:rsidRPr="00950BA5" w:rsidRDefault="008A5737" w:rsidP="008A5737">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8A5737" w:rsidRPr="00950BA5" w:rsidRDefault="008A5737" w:rsidP="008A5737">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8A5737" w:rsidRPr="00950BA5" w:rsidRDefault="008A5737" w:rsidP="008A5737">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8A5737" w:rsidRPr="00950BA5" w:rsidRDefault="008A5737" w:rsidP="008A5737">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A5737" w:rsidRPr="008A5737" w:rsidRDefault="008A5737" w:rsidP="008A5737">
            <w:pPr>
              <w:pStyle w:val="P68B1DB1-Normal1"/>
              <w:rPr>
                <w:b/>
                <w:sz w:val="22"/>
                <w:szCs w:val="22"/>
              </w:rPr>
            </w:pPr>
            <w:r w:rsidRPr="008A5737">
              <w:rPr>
                <w:b/>
                <w:sz w:val="22"/>
                <w:szCs w:val="22"/>
              </w:rPr>
              <w:t xml:space="preserve">Mario </w:t>
            </w:r>
            <w:proofErr w:type="spellStart"/>
            <w:r w:rsidRPr="008A5737">
              <w:rPr>
                <w:b/>
                <w:sz w:val="22"/>
                <w:szCs w:val="22"/>
              </w:rPr>
              <w:t>Ronconi</w:t>
            </w:r>
            <w:proofErr w:type="spellEnd"/>
          </w:p>
          <w:p w:rsidR="008A5737" w:rsidRPr="008A5737" w:rsidRDefault="00442C48" w:rsidP="008A5737">
            <w:pPr>
              <w:pStyle w:val="P68B1DB1-Normal1"/>
              <w:rPr>
                <w:b/>
                <w:sz w:val="22"/>
                <w:szCs w:val="22"/>
              </w:rPr>
            </w:pPr>
            <w:hyperlink r:id="rId8" w:history="1">
              <w:r w:rsidR="008A5737" w:rsidRPr="005D6709">
                <w:rPr>
                  <w:rStyle w:val="Hyperlink"/>
                  <w:b/>
                  <w:sz w:val="22"/>
                  <w:szCs w:val="22"/>
                </w:rPr>
                <w:t>Mario.ronconi@ec.europa.eu</w:t>
              </w:r>
            </w:hyperlink>
            <w:r w:rsidR="008A5737">
              <w:rPr>
                <w:b/>
                <w:sz w:val="22"/>
                <w:szCs w:val="22"/>
              </w:rPr>
              <w:t xml:space="preserve"> </w:t>
            </w:r>
          </w:p>
          <w:p w:rsidR="008A5737" w:rsidRDefault="008A5737" w:rsidP="008A5737">
            <w:pPr>
              <w:pStyle w:val="P68B1DB1-Normal1"/>
              <w:rPr>
                <w:b/>
                <w:sz w:val="22"/>
                <w:szCs w:val="22"/>
                <w:lang w:val="de-DE"/>
              </w:rPr>
            </w:pPr>
            <w:r w:rsidRPr="008A5737">
              <w:rPr>
                <w:b/>
                <w:sz w:val="22"/>
                <w:szCs w:val="22"/>
                <w:lang w:val="de-DE"/>
              </w:rPr>
              <w:t>+32 229-821401</w:t>
            </w:r>
          </w:p>
          <w:p w:rsidR="008A5737" w:rsidRPr="008A5737" w:rsidRDefault="00442C48" w:rsidP="008A5737">
            <w:pPr>
              <w:pStyle w:val="P68B1DB1-Normal1"/>
              <w:rPr>
                <w:b/>
                <w:sz w:val="22"/>
                <w:szCs w:val="22"/>
                <w:lang w:val="de-DE"/>
              </w:rPr>
            </w:pPr>
            <w:r>
              <w:rPr>
                <w:b/>
                <w:sz w:val="22"/>
                <w:szCs w:val="22"/>
                <w:lang w:val="de-DE"/>
              </w:rPr>
              <w:t>1</w:t>
            </w:r>
          </w:p>
          <w:p w:rsidR="008A5737" w:rsidRPr="008A5737" w:rsidRDefault="008A5737" w:rsidP="008A5737">
            <w:pPr>
              <w:pStyle w:val="P68B1DB1-Normal3"/>
              <w:ind w:right="1317"/>
              <w:jc w:val="both"/>
              <w:rPr>
                <w:szCs w:val="22"/>
                <w:lang w:val="de-DE"/>
              </w:rPr>
            </w:pPr>
            <w:r w:rsidRPr="008A5737">
              <w:rPr>
                <w:szCs w:val="22"/>
                <w:lang w:val="de-DE"/>
              </w:rPr>
              <w:t xml:space="preserve">3. Quartal 2021 </w:t>
            </w:r>
            <w:r w:rsidRPr="008A5737">
              <w:rPr>
                <w:szCs w:val="22"/>
              </w:rPr>
              <w:footnoteReference w:id="1"/>
            </w:r>
          </w:p>
          <w:p w:rsidR="008A5737" w:rsidRPr="008A5737" w:rsidRDefault="008A5737" w:rsidP="008A5737">
            <w:pPr>
              <w:pStyle w:val="P68B1DB1-Normal3"/>
              <w:ind w:right="1317"/>
              <w:jc w:val="both"/>
              <w:rPr>
                <w:szCs w:val="22"/>
                <w:lang w:val="de-DE"/>
              </w:rPr>
            </w:pPr>
            <w:r w:rsidRPr="008A5737">
              <w:rPr>
                <w:szCs w:val="22"/>
                <w:lang w:val="de-DE"/>
              </w:rPr>
              <w:t>... Jahr (e</w:t>
            </w:r>
            <w:r w:rsidRPr="008A5737">
              <w:rPr>
                <w:szCs w:val="22"/>
                <w:vertAlign w:val="superscript"/>
                <w:lang w:val="de-DE"/>
              </w:rPr>
              <w:t>) 1</w:t>
            </w:r>
          </w:p>
          <w:p w:rsidR="008A5737" w:rsidRPr="008A5737" w:rsidRDefault="008A5737" w:rsidP="008A5737">
            <w:pPr>
              <w:rPr>
                <w:rFonts w:ascii="Times New Roman" w:eastAsia="Times New Roman" w:hAnsi="Times New Roman" w:cs="Times New Roman"/>
                <w:b/>
                <w:lang w:val="de-DE"/>
              </w:rPr>
            </w:pPr>
            <w:r w:rsidRPr="008A5737">
              <w:rPr>
                <w:rFonts w:ascii="Times New Roman" w:eastAsia="MS Minngs" w:hAnsi="Times New Roman" w:cs="Times New Roman"/>
                <w:b/>
              </w:rPr>
              <w:sym w:font="Wingdings 2" w:char="F0A3"/>
            </w:r>
            <w:r w:rsidRPr="008A5737">
              <w:rPr>
                <w:rFonts w:ascii="Times New Roman" w:eastAsia="Times New Roman" w:hAnsi="Times New Roman" w:cs="Times New Roman"/>
                <w:b/>
                <w:lang w:val="de-DE"/>
              </w:rPr>
              <w:t xml:space="preserve">Brüssel </w:t>
            </w:r>
            <w:r w:rsidRPr="008A5737">
              <w:rPr>
                <w:rFonts w:ascii="Times New Roman" w:eastAsia="MS Minngs" w:hAnsi="Times New Roman" w:cs="Times New Roman"/>
                <w:b/>
              </w:rPr>
              <w:sym w:font="Wingdings 2" w:char="F0A3"/>
            </w:r>
            <w:r w:rsidRPr="008A5737">
              <w:rPr>
                <w:rFonts w:ascii="Times New Roman" w:eastAsia="MS Minngs" w:hAnsi="Times New Roman" w:cs="Times New Roman"/>
                <w:b/>
                <w:lang w:val="de-DE"/>
              </w:rPr>
              <w:t xml:space="preserve"> </w:t>
            </w:r>
            <w:r w:rsidRPr="008A5737">
              <w:rPr>
                <w:rFonts w:ascii="Times New Roman" w:eastAsia="Times New Roman" w:hAnsi="Times New Roman" w:cs="Times New Roman"/>
                <w:b/>
                <w:lang w:val="de-DE"/>
              </w:rPr>
              <w:t xml:space="preserve">Luxemburg </w:t>
            </w:r>
            <w:r w:rsidRPr="008A5737">
              <w:rPr>
                <w:rFonts w:ascii="Times New Roman" w:eastAsia="MS Minngs" w:hAnsi="Times New Roman" w:cs="Times New Roman"/>
                <w:b/>
              </w:rPr>
              <w:sym w:font="Wingdings 2" w:char="F0CE"/>
            </w:r>
            <w:r w:rsidRPr="008A5737">
              <w:rPr>
                <w:rFonts w:ascii="Times New Roman" w:eastAsia="MS Minngs" w:hAnsi="Times New Roman" w:cs="Times New Roman"/>
                <w:b/>
                <w:lang w:val="de-DE"/>
              </w:rPr>
              <w:t xml:space="preserve"> </w:t>
            </w:r>
            <w:r w:rsidRPr="008A5737">
              <w:rPr>
                <w:rFonts w:ascii="Times New Roman" w:hAnsi="Times New Roman" w:cs="Times New Roman"/>
                <w:b/>
                <w:lang w:val="de-DE"/>
              </w:rPr>
              <w:t>Sonstiger Dienstort: Delegation der Europäischen Union im Königreich Kambodscha</w:t>
            </w:r>
          </w:p>
        </w:tc>
      </w:tr>
      <w:tr w:rsidR="008A5737"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8A5737" w:rsidRPr="00950BA5" w:rsidRDefault="008A5737" w:rsidP="008A5737">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8A5737" w:rsidRPr="006740F2" w:rsidRDefault="008A5737" w:rsidP="008A5737">
            <w:pPr>
              <w:rPr>
                <w:rFonts w:ascii="Times New Roman" w:eastAsia="Times New Roman" w:hAnsi="Times New Roman" w:cs="Times New Roman"/>
                <w:sz w:val="24"/>
                <w:szCs w:val="20"/>
                <w:lang w:val="de-DE" w:eastAsia="en-GB"/>
              </w:rPr>
            </w:pPr>
            <w:r>
              <w:rPr>
                <w:rFonts w:ascii="Times New Roman" w:eastAsia="MS Minngs" w:hAnsi="Times New Roman" w:cs="Times New Roman"/>
              </w:rPr>
              <w:sym w:font="Wingdings 2" w:char="F0A3"/>
            </w:r>
            <w:r>
              <w:rPr>
                <w:rFonts w:ascii="Times New Roman" w:eastAsia="Times New Roman" w:hAnsi="Times New Roman" w:cs="Times New Roman"/>
                <w:b/>
              </w:rPr>
              <w:t xml:space="preserve">Mit </w:t>
            </w:r>
            <w:proofErr w:type="spellStart"/>
            <w:r>
              <w:rPr>
                <w:rFonts w:ascii="Times New Roman" w:eastAsia="Times New Roman" w:hAnsi="Times New Roman" w:cs="Times New Roman"/>
                <w:b/>
              </w:rPr>
              <w:t>Vergütungen</w:t>
            </w:r>
            <w:proofErr w:type="spellEnd"/>
            <w:r>
              <w:rPr>
                <w:rFonts w:ascii="Times New Roman" w:eastAsia="Times New Roman" w:hAnsi="Times New Roman" w:cs="Times New Roman"/>
                <w:b/>
              </w:rPr>
              <w:t xml:space="preserve"> </w:t>
            </w:r>
            <w:r>
              <w:rPr>
                <w:rFonts w:ascii="Times New Roman" w:eastAsia="MS Minngs" w:hAnsi="Times New Roman" w:cs="Times New Roman"/>
              </w:rPr>
              <w:sym w:font="Wingdings 2" w:char="F0CE"/>
            </w:r>
            <w:r>
              <w:rPr>
                <w:rFonts w:ascii="Times New Roman" w:eastAsia="MS Minngs" w:hAnsi="Times New Roman" w:cs="Times New Roman"/>
              </w:rPr>
              <w:t xml:space="preserve"> </w:t>
            </w:r>
            <w:r>
              <w:rPr>
                <w:rFonts w:ascii="Times New Roman" w:eastAsia="Times New Roman" w:hAnsi="Times New Roman" w:cs="Times New Roman"/>
                <w:b/>
              </w:rPr>
              <w:t xml:space="preserve"> </w:t>
            </w:r>
            <w:r>
              <w:rPr>
                <w:rFonts w:ascii="Times New Roman" w:eastAsia="MS Minngs" w:hAnsi="Times New Roman" w:cs="Times New Roman"/>
              </w:rPr>
              <w:t xml:space="preserve"> </w:t>
            </w:r>
            <w:proofErr w:type="spellStart"/>
            <w:r>
              <w:rPr>
                <w:rFonts w:ascii="Times New Roman" w:eastAsia="Times New Roman" w:hAnsi="Times New Roman" w:cs="Times New Roman"/>
                <w:b/>
              </w:rPr>
              <w:t>Unentgeltlich</w:t>
            </w:r>
            <w:proofErr w:type="spellEnd"/>
          </w:p>
        </w:tc>
      </w:tr>
      <w:tr w:rsidR="008A5737"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8A5737" w:rsidRPr="00950BA5" w:rsidRDefault="008A5737" w:rsidP="008A5737">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A5737" w:rsidRPr="00950BA5" w:rsidRDefault="008A5737" w:rsidP="008A5737">
            <w:pPr>
              <w:rPr>
                <w:rFonts w:ascii="Times New Roman" w:eastAsia="Times New Roman" w:hAnsi="Times New Roman" w:cs="Times New Roman"/>
                <w:b/>
                <w:lang w:val="de-DE" w:eastAsia="en-GB"/>
              </w:rPr>
            </w:pPr>
          </w:p>
          <w:p w:rsidR="008A5737" w:rsidRPr="00950BA5" w:rsidRDefault="008A5737" w:rsidP="008A5737">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8A5737" w:rsidRPr="00950BA5" w:rsidRDefault="008A5737" w:rsidP="008A5737">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A5737" w:rsidRPr="00950BA5" w:rsidRDefault="008A5737" w:rsidP="008A5737">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8A5737" w:rsidRPr="008A5737" w:rsidRDefault="008A5737" w:rsidP="008A5737">
      <w:pPr>
        <w:spacing w:after="0" w:line="240" w:lineRule="auto"/>
        <w:jc w:val="both"/>
        <w:rPr>
          <w:rFonts w:ascii="Times New Roman" w:eastAsia="Times New Roman" w:hAnsi="Times New Roman" w:cs="Times New Roman"/>
          <w:lang w:val="de-DE"/>
        </w:rPr>
      </w:pPr>
      <w:bookmarkStart w:id="0" w:name="_GoBack"/>
      <w:r w:rsidRPr="008A5737">
        <w:rPr>
          <w:rFonts w:ascii="Times New Roman" w:hAnsi="Times New Roman" w:cs="Times New Roman"/>
          <w:lang w:val="de-DE"/>
        </w:rPr>
        <w:t xml:space="preserve">Die Delegation der </w:t>
      </w:r>
      <w:r w:rsidRPr="008A5737">
        <w:rPr>
          <w:rFonts w:ascii="Times New Roman" w:eastAsia="Times New Roman" w:hAnsi="Times New Roman" w:cs="Times New Roman"/>
          <w:lang w:val="de-DE"/>
        </w:rPr>
        <w:t>Europäischen Union im Königreich Kambodscha hat den Status einer diplomatischen Mission und vertritt die Europäische Union in Kambodscha offiziell. Die EU arbeitet mit Kambodscha in einer starken Partnerschaft, die auf gemeinsamen</w:t>
      </w:r>
      <w:r w:rsidRPr="008A5737">
        <w:rPr>
          <w:rFonts w:ascii="Times New Roman" w:hAnsi="Times New Roman" w:cs="Times New Roman"/>
          <w:lang w:val="de-DE"/>
        </w:rPr>
        <w:t xml:space="preserve"> </w:t>
      </w:r>
      <w:r w:rsidRPr="008A5737">
        <w:rPr>
          <w:rFonts w:ascii="Times New Roman" w:eastAsia="Times New Roman" w:hAnsi="Times New Roman" w:cs="Times New Roman"/>
          <w:lang w:val="de-DE"/>
        </w:rPr>
        <w:t xml:space="preserve">Interessen und Werten, Rechenschaftspflicht und Transparenz beruht und auf der Konvergenz der Prioritäten Kambodschas und der EU aufbaut. Die EU arbeitet mit Kambodscha bei ihren Bemühungen zusammen, sich von der COVID-19-Pandemie zu erholen, die Ziele für nachhaltige Entwicklung zu erreichen und bis 2030 zu einem Land mit mittlerem Einkommen (obere Einkommenskategorie) und bis 2050 zu einem Land mit hohem Einkommen zu werden. </w:t>
      </w:r>
    </w:p>
    <w:p w:rsidR="008A5737" w:rsidRPr="008A5737" w:rsidRDefault="008A5737" w:rsidP="008A5737">
      <w:pPr>
        <w:spacing w:after="0" w:line="240" w:lineRule="auto"/>
        <w:jc w:val="both"/>
        <w:rPr>
          <w:rFonts w:ascii="Times New Roman" w:eastAsia="Times New Roman" w:hAnsi="Times New Roman" w:cs="Times New Roman"/>
          <w:lang w:val="de-DE"/>
        </w:rPr>
      </w:pPr>
    </w:p>
    <w:p w:rsidR="008A5737" w:rsidRPr="008A5737" w:rsidRDefault="008A5737" w:rsidP="008A5737">
      <w:pPr>
        <w:spacing w:after="0" w:line="240" w:lineRule="auto"/>
        <w:jc w:val="both"/>
        <w:rPr>
          <w:rFonts w:ascii="Times New Roman" w:eastAsia="Times New Roman" w:hAnsi="Times New Roman" w:cs="Times New Roman"/>
          <w:lang w:val="de-DE"/>
        </w:rPr>
      </w:pPr>
      <w:r w:rsidRPr="008A5737">
        <w:rPr>
          <w:rFonts w:ascii="Times New Roman" w:hAnsi="Times New Roman" w:cs="Times New Roman"/>
          <w:lang w:val="de-DE"/>
        </w:rPr>
        <w:t xml:space="preserve">Die Partnerschaft der </w:t>
      </w:r>
      <w:r w:rsidRPr="008A5737">
        <w:rPr>
          <w:rFonts w:ascii="Times New Roman" w:eastAsia="Times New Roman" w:hAnsi="Times New Roman" w:cs="Times New Roman"/>
          <w:lang w:val="de-DE"/>
        </w:rPr>
        <w:t xml:space="preserve">EU mit Kambodscha baut auf öffentlicher und wirtschaftlicher Diplomatie und einem starken politischen Dialog zur gegenseitigen Rechenschaftspflicht auf. Wir schließen derzeit ein neues Mehrjahresrichtprogramm 2021-2027 für die Partnerschaft EU-Kambodscha ab, das auf die Entwicklungsagenda der kambodschanischen Regierung abgestimmt ist. Sie zielt darauf ab, auf die Auswirkungen der COVID-19-Pandemie zu reagieren und mit Kambodscha zusammenzuarbeiten, um seine Konnektivität mit dem ASEAN und seine Integration in den ASEAN zu stärken, um eine nachhaltige, inklusive und klimaneutrale sozioökonomische Erholung zu erreichen, und zwar nach den Grundsätzen </w:t>
      </w:r>
      <w:proofErr w:type="gramStart"/>
      <w:r w:rsidRPr="008A5737">
        <w:rPr>
          <w:rFonts w:ascii="Times New Roman" w:eastAsia="Times New Roman" w:hAnsi="Times New Roman" w:cs="Times New Roman"/>
          <w:lang w:val="de-DE"/>
        </w:rPr>
        <w:t xml:space="preserve">„ </w:t>
      </w:r>
      <w:proofErr w:type="spellStart"/>
      <w:r w:rsidRPr="008A5737">
        <w:rPr>
          <w:rFonts w:ascii="Times New Roman" w:eastAsia="Times New Roman" w:hAnsi="Times New Roman" w:cs="Times New Roman"/>
          <w:lang w:val="de-DE"/>
        </w:rPr>
        <w:t>Build</w:t>
      </w:r>
      <w:proofErr w:type="spellEnd"/>
      <w:proofErr w:type="gramEnd"/>
      <w:r w:rsidRPr="008A5737">
        <w:rPr>
          <w:rFonts w:ascii="Times New Roman" w:eastAsia="Times New Roman" w:hAnsi="Times New Roman" w:cs="Times New Roman"/>
          <w:lang w:val="de-DE"/>
        </w:rPr>
        <w:t xml:space="preserve"> Back </w:t>
      </w:r>
      <w:proofErr w:type="spellStart"/>
      <w:r w:rsidRPr="008A5737">
        <w:rPr>
          <w:rFonts w:ascii="Times New Roman" w:eastAsia="Times New Roman" w:hAnsi="Times New Roman" w:cs="Times New Roman"/>
          <w:lang w:val="de-DE"/>
        </w:rPr>
        <w:t>better</w:t>
      </w:r>
      <w:proofErr w:type="spellEnd"/>
      <w:r w:rsidRPr="008A5737">
        <w:rPr>
          <w:rFonts w:ascii="Times New Roman" w:eastAsia="Times New Roman" w:hAnsi="Times New Roman" w:cs="Times New Roman"/>
          <w:lang w:val="de-DE"/>
        </w:rPr>
        <w:t xml:space="preserve">“ und „do </w:t>
      </w:r>
      <w:proofErr w:type="spellStart"/>
      <w:r w:rsidRPr="008A5737">
        <w:rPr>
          <w:rFonts w:ascii="Times New Roman" w:eastAsia="Times New Roman" w:hAnsi="Times New Roman" w:cs="Times New Roman"/>
          <w:lang w:val="de-DE"/>
        </w:rPr>
        <w:t>no</w:t>
      </w:r>
      <w:proofErr w:type="spellEnd"/>
      <w:r w:rsidRPr="008A5737">
        <w:rPr>
          <w:rFonts w:ascii="Times New Roman" w:eastAsia="Times New Roman" w:hAnsi="Times New Roman" w:cs="Times New Roman"/>
          <w:lang w:val="de-DE"/>
        </w:rPr>
        <w:t xml:space="preserve"> </w:t>
      </w:r>
      <w:proofErr w:type="spellStart"/>
      <w:r w:rsidRPr="008A5737">
        <w:rPr>
          <w:rFonts w:ascii="Times New Roman" w:eastAsia="Times New Roman" w:hAnsi="Times New Roman" w:cs="Times New Roman"/>
          <w:lang w:val="de-DE"/>
        </w:rPr>
        <w:t>harm</w:t>
      </w:r>
      <w:proofErr w:type="spellEnd"/>
      <w:r w:rsidRPr="008A5737">
        <w:rPr>
          <w:rFonts w:ascii="Times New Roman" w:eastAsia="Times New Roman" w:hAnsi="Times New Roman" w:cs="Times New Roman"/>
          <w:lang w:val="de-DE"/>
        </w:rPr>
        <w:t>“.</w:t>
      </w:r>
      <w:r w:rsidRPr="008A5737">
        <w:rPr>
          <w:rFonts w:ascii="Times New Roman" w:hAnsi="Times New Roman" w:cs="Times New Roman"/>
          <w:lang w:val="de-DE"/>
        </w:rPr>
        <w:t xml:space="preserve"> </w:t>
      </w:r>
      <w:r w:rsidRPr="008A5737">
        <w:rPr>
          <w:rFonts w:ascii="Times New Roman" w:eastAsia="Times New Roman" w:hAnsi="Times New Roman" w:cs="Times New Roman"/>
          <w:lang w:val="de-DE"/>
        </w:rPr>
        <w:t>Die Strategie wird den Schwerpunkt auf die menschliche Entwicklung, die Menschenrechte und die Demokratie legen, die wesentliche Bausteine der Ziele für nachhaltige Entwicklung sind, und den Multilateralismus und die regelbasierte Weltordnung unterstützen.</w:t>
      </w:r>
    </w:p>
    <w:p w:rsidR="008A5737" w:rsidRPr="008A5737" w:rsidRDefault="008A5737" w:rsidP="008A5737">
      <w:pPr>
        <w:spacing w:after="0" w:line="240" w:lineRule="auto"/>
        <w:jc w:val="both"/>
        <w:rPr>
          <w:rFonts w:ascii="Times New Roman" w:eastAsia="Times New Roman" w:hAnsi="Times New Roman" w:cs="Times New Roman"/>
          <w:lang w:val="de-DE"/>
        </w:rPr>
      </w:pPr>
    </w:p>
    <w:p w:rsidR="008A5737" w:rsidRPr="008A5737" w:rsidRDefault="008A5737" w:rsidP="008A5737">
      <w:pPr>
        <w:spacing w:after="0" w:line="240" w:lineRule="auto"/>
        <w:jc w:val="both"/>
        <w:rPr>
          <w:rFonts w:ascii="Times New Roman" w:eastAsia="Times New Roman" w:hAnsi="Times New Roman" w:cs="Times New Roman"/>
          <w:lang w:val="de-DE"/>
        </w:rPr>
      </w:pPr>
      <w:r w:rsidRPr="008A5737">
        <w:rPr>
          <w:rFonts w:ascii="Times New Roman" w:eastAsia="Times New Roman" w:hAnsi="Times New Roman" w:cs="Times New Roman"/>
          <w:lang w:val="de-DE"/>
        </w:rPr>
        <w:t xml:space="preserve">Um eine größere Wirkung ihrer Partnerschaft mit Kambodscha zu gewährleisten, arbeitet die EU-Delegation eng mit den im Land vertretenen EU-Mitgliedstaaten zusammen, entweder durch die Präsenz nationaler </w:t>
      </w:r>
      <w:r w:rsidRPr="008A5737">
        <w:rPr>
          <w:rFonts w:ascii="Times New Roman" w:eastAsia="Times New Roman" w:hAnsi="Times New Roman" w:cs="Times New Roman"/>
          <w:lang w:val="de-DE"/>
        </w:rPr>
        <w:lastRenderedPageBreak/>
        <w:t>Botschaften/Büros oder durch Projekte der Entwicklungszusammenarbeit (unter Beteiligung Belgiens, der Tschechischen Republik, der EU, der Europäischen Investitionsbank, Frankreichs (mit AFD), Deutschlands (mit GIZ und KfW), Ungarns, Irlands, Schwedens und der Schweiz). Wir haben gemeinsam ein mehrjähriges Programmierungsdokument erstellt, in dem unsere gemeinsame Partnerschaft mit Kambodscha festgelegt wird, die sogenannte „Gemeinsame europäische Strategie 2021-2027“. Das übergeordnete Ziel der gemeinsamen Programmplanung und der Gemeinsamen Strategie besteht darin, die Kohärenz der europäischen Politik zu fördern, die Sichtbarkeit und das Verständnis gemeinsamer europäischer Verpflichtungen zu erhöhen. Wie beim MIP verfolgt die Strategie einen rechtebasierten Ansatz für die Menschen, zielt darauf ab, die Armut zu verringern und Inklusion, Gerechtigkeit, Gleichheit und Resilienz unter uneingeschränkter Achtung der Grundsätze der Wirksamkeit der Entwicklungszusammenarbeit zu fördern.</w:t>
      </w:r>
      <w:r w:rsidRPr="008A5737">
        <w:rPr>
          <w:rFonts w:ascii="Times New Roman" w:hAnsi="Times New Roman" w:cs="Times New Roman"/>
          <w:lang w:val="de-DE"/>
        </w:rPr>
        <w:t xml:space="preserve"> </w:t>
      </w:r>
    </w:p>
    <w:p w:rsidR="008A5737" w:rsidRPr="008A5737" w:rsidRDefault="008A5737" w:rsidP="008A5737">
      <w:pPr>
        <w:spacing w:after="0" w:line="240" w:lineRule="auto"/>
        <w:jc w:val="both"/>
        <w:rPr>
          <w:rFonts w:ascii="Times New Roman" w:eastAsia="Times New Roman" w:hAnsi="Times New Roman" w:cs="Times New Roman"/>
          <w:lang w:val="de-DE"/>
        </w:rPr>
      </w:pPr>
    </w:p>
    <w:p w:rsidR="008A5737" w:rsidRPr="008A5737" w:rsidRDefault="008A5737" w:rsidP="008A5737">
      <w:pPr>
        <w:spacing w:after="0" w:line="240" w:lineRule="auto"/>
        <w:jc w:val="both"/>
        <w:rPr>
          <w:rFonts w:ascii="Times New Roman" w:hAnsi="Times New Roman" w:cs="Times New Roman"/>
          <w:lang w:val="de-DE"/>
        </w:rPr>
      </w:pPr>
      <w:r w:rsidRPr="008A5737">
        <w:rPr>
          <w:rFonts w:ascii="Times New Roman" w:eastAsia="Times New Roman" w:hAnsi="Times New Roman" w:cs="Times New Roman"/>
          <w:lang w:val="de-DE"/>
        </w:rPr>
        <w:t xml:space="preserve">Um die Koordinierung, Kohärenz und Komplementarität der Maßnahmen zur Stärkung der europäischen Wirkung und zur Stärkung Europas als Referenzpartner zu stärken, bereiten die EU und die ermittelten Mitgliedstaaten (einschließlich einiger europäischer Finanzinstitutionen) zwei Initiativen von Team Europe (TEI) vor: </w:t>
      </w:r>
      <w:r w:rsidRPr="008A5737">
        <w:rPr>
          <w:rFonts w:ascii="Times New Roman" w:eastAsia="Times New Roman" w:hAnsi="Times New Roman" w:cs="Times New Roman"/>
          <w:i/>
          <w:lang w:val="de-DE"/>
        </w:rPr>
        <w:t>Nachhaltige Landschaften, Wälder und Landwirtschaft</w:t>
      </w:r>
      <w:r w:rsidRPr="008A5737">
        <w:rPr>
          <w:rFonts w:ascii="Times New Roman" w:eastAsia="Times New Roman" w:hAnsi="Times New Roman" w:cs="Times New Roman"/>
          <w:lang w:val="de-DE"/>
        </w:rPr>
        <w:t xml:space="preserve">“ (TEI 1) und „Building </w:t>
      </w:r>
      <w:r w:rsidRPr="008A5737">
        <w:rPr>
          <w:rFonts w:ascii="Times New Roman" w:eastAsia="Times New Roman" w:hAnsi="Times New Roman" w:cs="Times New Roman"/>
          <w:i/>
          <w:lang w:val="de-DE"/>
        </w:rPr>
        <w:t xml:space="preserve">back </w:t>
      </w:r>
      <w:proofErr w:type="spellStart"/>
      <w:r w:rsidRPr="008A5737">
        <w:rPr>
          <w:rFonts w:ascii="Times New Roman" w:eastAsia="Times New Roman" w:hAnsi="Times New Roman" w:cs="Times New Roman"/>
          <w:i/>
          <w:lang w:val="de-DE"/>
        </w:rPr>
        <w:t>better</w:t>
      </w:r>
      <w:proofErr w:type="spellEnd"/>
      <w:r w:rsidRPr="008A5737">
        <w:rPr>
          <w:rFonts w:ascii="Times New Roman" w:eastAsia="Times New Roman" w:hAnsi="Times New Roman" w:cs="Times New Roman"/>
          <w:i/>
          <w:lang w:val="de-DE"/>
        </w:rPr>
        <w:t xml:space="preserve"> – </w:t>
      </w:r>
      <w:proofErr w:type="spellStart"/>
      <w:r w:rsidRPr="008A5737">
        <w:rPr>
          <w:rFonts w:ascii="Times New Roman" w:eastAsia="Times New Roman" w:hAnsi="Times New Roman" w:cs="Times New Roman"/>
          <w:i/>
          <w:lang w:val="de-DE"/>
        </w:rPr>
        <w:t>green</w:t>
      </w:r>
      <w:proofErr w:type="spellEnd"/>
      <w:r w:rsidRPr="008A5737">
        <w:rPr>
          <w:rFonts w:ascii="Times New Roman" w:eastAsia="Times New Roman" w:hAnsi="Times New Roman" w:cs="Times New Roman"/>
          <w:i/>
          <w:lang w:val="de-DE"/>
        </w:rPr>
        <w:t xml:space="preserve"> </w:t>
      </w:r>
      <w:proofErr w:type="spellStart"/>
      <w:r w:rsidRPr="008A5737">
        <w:rPr>
          <w:rFonts w:ascii="Times New Roman" w:eastAsia="Times New Roman" w:hAnsi="Times New Roman" w:cs="Times New Roman"/>
          <w:i/>
          <w:lang w:val="de-DE"/>
        </w:rPr>
        <w:t>energy</w:t>
      </w:r>
      <w:proofErr w:type="spellEnd"/>
      <w:r w:rsidRPr="008A5737">
        <w:rPr>
          <w:rFonts w:ascii="Times New Roman" w:eastAsia="Times New Roman" w:hAnsi="Times New Roman" w:cs="Times New Roman"/>
          <w:i/>
          <w:lang w:val="de-DE"/>
        </w:rPr>
        <w:t xml:space="preserve"> </w:t>
      </w:r>
      <w:proofErr w:type="spellStart"/>
      <w:r w:rsidRPr="008A5737">
        <w:rPr>
          <w:rFonts w:ascii="Times New Roman" w:eastAsia="Times New Roman" w:hAnsi="Times New Roman" w:cs="Times New Roman"/>
          <w:i/>
          <w:lang w:val="de-DE"/>
        </w:rPr>
        <w:t>and</w:t>
      </w:r>
      <w:proofErr w:type="spellEnd"/>
      <w:r w:rsidRPr="008A5737">
        <w:rPr>
          <w:rFonts w:ascii="Times New Roman" w:eastAsia="Times New Roman" w:hAnsi="Times New Roman" w:cs="Times New Roman"/>
          <w:i/>
          <w:lang w:val="de-DE"/>
        </w:rPr>
        <w:t xml:space="preserve"> </w:t>
      </w:r>
      <w:proofErr w:type="spellStart"/>
      <w:r w:rsidRPr="008A5737">
        <w:rPr>
          <w:rFonts w:ascii="Times New Roman" w:eastAsia="Times New Roman" w:hAnsi="Times New Roman" w:cs="Times New Roman"/>
          <w:i/>
          <w:lang w:val="de-DE"/>
        </w:rPr>
        <w:t>industrial</w:t>
      </w:r>
      <w:proofErr w:type="spellEnd"/>
      <w:r w:rsidRPr="008A5737">
        <w:rPr>
          <w:rFonts w:ascii="Times New Roman" w:eastAsia="Times New Roman" w:hAnsi="Times New Roman" w:cs="Times New Roman"/>
          <w:i/>
          <w:lang w:val="de-DE"/>
        </w:rPr>
        <w:t xml:space="preserve"> </w:t>
      </w:r>
      <w:proofErr w:type="spellStart"/>
      <w:r w:rsidRPr="008A5737">
        <w:rPr>
          <w:rFonts w:ascii="Times New Roman" w:eastAsia="Times New Roman" w:hAnsi="Times New Roman" w:cs="Times New Roman"/>
          <w:i/>
          <w:lang w:val="de-DE"/>
        </w:rPr>
        <w:t>value</w:t>
      </w:r>
      <w:proofErr w:type="spellEnd"/>
      <w:r w:rsidRPr="008A5737">
        <w:rPr>
          <w:rFonts w:ascii="Times New Roman" w:eastAsia="Times New Roman" w:hAnsi="Times New Roman" w:cs="Times New Roman"/>
          <w:i/>
          <w:lang w:val="de-DE"/>
        </w:rPr>
        <w:t xml:space="preserve"> </w:t>
      </w:r>
      <w:proofErr w:type="spellStart"/>
      <w:r w:rsidRPr="008A5737">
        <w:rPr>
          <w:rFonts w:ascii="Times New Roman" w:eastAsia="Times New Roman" w:hAnsi="Times New Roman" w:cs="Times New Roman"/>
          <w:i/>
          <w:lang w:val="de-DE"/>
        </w:rPr>
        <w:t>chains</w:t>
      </w:r>
      <w:proofErr w:type="spellEnd"/>
      <w:r w:rsidRPr="008A5737">
        <w:rPr>
          <w:rFonts w:ascii="Times New Roman" w:eastAsia="Times New Roman" w:hAnsi="Times New Roman" w:cs="Times New Roman"/>
          <w:i/>
          <w:lang w:val="de-DE"/>
        </w:rPr>
        <w:t>“</w:t>
      </w:r>
      <w:r w:rsidRPr="008A5737">
        <w:rPr>
          <w:rFonts w:ascii="Times New Roman" w:eastAsia="Times New Roman" w:hAnsi="Times New Roman" w:cs="Times New Roman"/>
          <w:lang w:val="de-DE"/>
        </w:rPr>
        <w:t xml:space="preserve"> (TEI 2). Diese Leitinitiativen werden einen starken integrierten Ansatz mit einer geografischen Konzentration verfolgen, um eine wirkliche transformative Wirkung zu erzielen, wobei auf europäischer Ebene Fachwissen, Instrumente, Darlehen und Zuschüsse in koordinierter Weise genutzt werden. </w:t>
      </w:r>
      <w:r w:rsidRPr="008A5737">
        <w:rPr>
          <w:rFonts w:ascii="Times New Roman" w:hAnsi="Times New Roman" w:cs="Times New Roman"/>
          <w:lang w:val="de-DE"/>
        </w:rPr>
        <w:t xml:space="preserve"> </w:t>
      </w:r>
    </w:p>
    <w:p w:rsidR="008A5737" w:rsidRPr="008A5737" w:rsidRDefault="008A5737" w:rsidP="008A5737">
      <w:pPr>
        <w:spacing w:after="0" w:line="240" w:lineRule="auto"/>
        <w:rPr>
          <w:rFonts w:ascii="Times New Roman" w:eastAsia="Times New Roman" w:hAnsi="Times New Roman" w:cs="Times New Roman"/>
          <w:lang w:val="de-DE"/>
        </w:rPr>
      </w:pPr>
    </w:p>
    <w:p w:rsidR="008A5737" w:rsidRPr="008A5737" w:rsidRDefault="008A5737" w:rsidP="008A5737">
      <w:pPr>
        <w:pStyle w:val="P68B1DB1-Default4"/>
        <w:jc w:val="both"/>
        <w:rPr>
          <w:color w:val="auto"/>
          <w:lang w:val="de-DE"/>
        </w:rPr>
      </w:pPr>
      <w:r w:rsidRPr="008A5737">
        <w:rPr>
          <w:color w:val="auto"/>
          <w:lang w:val="de-DE"/>
        </w:rPr>
        <w:t xml:space="preserve">Die Aufgaben des ausgewählten Bewerbers bestehen darin, die Koordinierung und Umsetzung des Konzepts der gemeinsamen Programmplanung und der TEI sowie die Konzeption und Umsetzung des Entwicklungsportfolios der EU-Delegation für die Zusammenarbeit zu unterstützen und dabei einen rechtebasierten Ansatz zu gewährleisten. Es wird eine Kombination aus Beratungs- und operativen Aufgaben globalen Charakters geben, um sicherzustellen, dass die Menschenrechte und die Gleichstellung der Geschlechter bei der Umsetzung des MRP durchgängig im Mittelpunkt stehen. Die Stelle ist sowohl politikorientiert, erfordert ein hohes Maß an strategischem Denken und Vernetzung sowie erforderlichenfalls auch operative und vertragliche Aufgaben. Im Einzelnen: </w:t>
      </w:r>
    </w:p>
    <w:p w:rsidR="008A5737" w:rsidRPr="008A5737" w:rsidRDefault="008A5737" w:rsidP="008A5737">
      <w:pPr>
        <w:pStyle w:val="Default"/>
        <w:jc w:val="both"/>
        <w:rPr>
          <w:rFonts w:eastAsia="Times New Roman"/>
          <w:color w:val="auto"/>
          <w:sz w:val="22"/>
          <w:lang w:val="de-DE"/>
        </w:rPr>
      </w:pPr>
    </w:p>
    <w:p w:rsidR="008A5737" w:rsidRPr="008A5737" w:rsidRDefault="008A5737" w:rsidP="008A5737">
      <w:pPr>
        <w:pStyle w:val="P68B1DB1-Default5"/>
        <w:jc w:val="both"/>
        <w:rPr>
          <w:lang w:val="de-DE"/>
        </w:rPr>
      </w:pPr>
      <w:r w:rsidRPr="008A5737">
        <w:rPr>
          <w:lang w:val="de-DE"/>
        </w:rPr>
        <w:t>Unterstützung der EU-Delegation in Kambodscha unter der Aufsicht des Leiters der Delegation und des Leiters der Zusammenarbeit bei der Koordinierung, Umsetzung und Berichterstattung im Rahmen der Gemeinsamen Europäischen Strategie (JES) und der Initiativen „Team Europa“ unter Gewährleistung eines rechtebasierten Ansatzes.</w:t>
      </w:r>
    </w:p>
    <w:p w:rsidR="008A5737" w:rsidRPr="008A5737" w:rsidRDefault="008A5737" w:rsidP="008A5737">
      <w:pPr>
        <w:pStyle w:val="P68B1DB1-Default5"/>
        <w:jc w:val="both"/>
        <w:rPr>
          <w:lang w:val="de-DE"/>
        </w:rPr>
      </w:pPr>
      <w:r w:rsidRPr="008A5737">
        <w:rPr>
          <w:lang w:val="de-DE"/>
        </w:rPr>
        <w:t xml:space="preserve">Unterstützung der Koordinierung mit den Mitgliedstaaten im Hinblick auf den gemeinsamen politischen Dialog und die gemeinsame Analyse, den Informationsaustausch, gemeinsame Programme und gemeinsame Kommunikations- und Sichtbarkeitsmaßnahmen im Rahmen der Gemeinsamen Strategie. </w:t>
      </w:r>
    </w:p>
    <w:p w:rsidR="008A5737" w:rsidRPr="008A5737" w:rsidRDefault="008A5737" w:rsidP="008A5737">
      <w:pPr>
        <w:pStyle w:val="P68B1DB1-Default5"/>
        <w:jc w:val="both"/>
        <w:rPr>
          <w:lang w:val="de-DE"/>
        </w:rPr>
      </w:pPr>
      <w:r w:rsidRPr="008A5737">
        <w:rPr>
          <w:lang w:val="de-DE"/>
        </w:rPr>
        <w:t>— Beitrag zu politischen Analysen zu Menschenrechten, zivilem und demokratischem Raum sowie Gleichstellungsfragen.</w:t>
      </w:r>
    </w:p>
    <w:p w:rsidR="008A5737" w:rsidRPr="008A5737" w:rsidRDefault="008A5737" w:rsidP="008A5737">
      <w:pPr>
        <w:pStyle w:val="P68B1DB1-Default5"/>
        <w:jc w:val="both"/>
        <w:rPr>
          <w:lang w:val="de-DE"/>
        </w:rPr>
      </w:pPr>
      <w:r w:rsidRPr="008A5737">
        <w:rPr>
          <w:lang w:val="de-DE"/>
        </w:rPr>
        <w:t xml:space="preserve">Beitrag zu einer verstärkten Zusammenarbeit und einem verstärkten Dialog mit den nationalen und lokalen Behörden, den einschlägigen Büros der Vereinten Nationen und Organisationen der Zivilgesellschaft in den Bereichen Menschenrechte, ziviler und demokratischer Raum sowie Gleichstellungsfragen. </w:t>
      </w:r>
    </w:p>
    <w:p w:rsidR="008A5737" w:rsidRPr="008A5737" w:rsidRDefault="008A5737" w:rsidP="008A5737">
      <w:pPr>
        <w:pStyle w:val="P68B1DB1-Default4"/>
        <w:jc w:val="both"/>
        <w:rPr>
          <w:color w:val="auto"/>
          <w:lang w:val="de-DE"/>
        </w:rPr>
      </w:pPr>
      <w:r w:rsidRPr="008A5737">
        <w:rPr>
          <w:color w:val="auto"/>
          <w:lang w:val="de-DE"/>
        </w:rPr>
        <w:t>Gewährleistung einer strategischen und wirksamen Umsetzung des Fahrplans für die Zusammenarbeit mit der Zivilgesellschaft und des Aktionsplans für die Gleichstellung III (einschließlich des zugehörigen Durchführungsplans) für Kambodscha und Angleichung ihrer Umsetzung an das MRP.</w:t>
      </w:r>
    </w:p>
    <w:p w:rsidR="008A5737" w:rsidRPr="008A5737" w:rsidRDefault="008A5737" w:rsidP="008A5737">
      <w:pPr>
        <w:pStyle w:val="P68B1DB1-Default4"/>
        <w:jc w:val="both"/>
        <w:rPr>
          <w:color w:val="auto"/>
          <w:lang w:val="de-DE"/>
        </w:rPr>
      </w:pPr>
      <w:r w:rsidRPr="008A5737">
        <w:rPr>
          <w:color w:val="auto"/>
          <w:lang w:val="de-DE"/>
        </w:rPr>
        <w:t xml:space="preserve">— Beratung der Kollegen und Gewährleistung eines rechtebasierten Ansatzes unter gebührender Berücksichtigung der Gleichstellung der Geschlechter und der Stärkung der Rolle der Frau bei der Konzeption und Durchführung von Projekten und Programmen, die in den Bereich der Zusammenarbeit fallen. </w:t>
      </w:r>
    </w:p>
    <w:p w:rsidR="008A5737" w:rsidRPr="008A5737" w:rsidRDefault="008A5737" w:rsidP="008A5737">
      <w:pPr>
        <w:pStyle w:val="P68B1DB1-Default5"/>
        <w:jc w:val="both"/>
        <w:rPr>
          <w:lang w:val="de-DE"/>
        </w:rPr>
      </w:pPr>
      <w:r w:rsidRPr="008A5737">
        <w:rPr>
          <w:lang w:val="de-DE"/>
        </w:rPr>
        <w:t xml:space="preserve">— Beitrag zur allgemeinen politischen Analyse und Berichterstattung über prioritäre Sektoren, insbesondere in den Bereichen Menschenrechte, Zivilgesellschaft und Gleichstellung der Geschlechter. </w:t>
      </w:r>
    </w:p>
    <w:p w:rsidR="008A5737" w:rsidRPr="008A5737" w:rsidRDefault="008A5737" w:rsidP="008A5737">
      <w:pPr>
        <w:pStyle w:val="P68B1DB1-Default5"/>
        <w:jc w:val="both"/>
        <w:rPr>
          <w:lang w:val="de-DE"/>
        </w:rPr>
      </w:pPr>
      <w:r w:rsidRPr="008A5737">
        <w:rPr>
          <w:lang w:val="de-DE"/>
        </w:rPr>
        <w:t>— Beitrag zur Ermittlung, Formulierung, Durchführung, Überwachung und Evaluierung der Programme.</w:t>
      </w:r>
    </w:p>
    <w:p w:rsidR="008A5737" w:rsidRPr="008A5737" w:rsidRDefault="008A5737" w:rsidP="008A5737">
      <w:pPr>
        <w:pStyle w:val="P68B1DB1-Default5"/>
        <w:jc w:val="both"/>
        <w:rPr>
          <w:lang w:val="de-DE"/>
        </w:rPr>
      </w:pPr>
      <w:r w:rsidRPr="008A5737">
        <w:rPr>
          <w:lang w:val="de-DE"/>
        </w:rPr>
        <w:t>— Mitwirkung an allen Aspekten des Vergabeverfahrens (Ausarbeitung von Musterzulassungen, Einleitung von Ausschreibungen usw.).</w:t>
      </w:r>
    </w:p>
    <w:p w:rsidR="002E5A87" w:rsidRDefault="008A5737" w:rsidP="008A5737">
      <w:pPr>
        <w:pStyle w:val="P68B1DB1-Default4"/>
        <w:jc w:val="both"/>
        <w:rPr>
          <w:color w:val="auto"/>
          <w:lang w:val="de-DE"/>
        </w:rPr>
      </w:pPr>
      <w:r w:rsidRPr="008A5737">
        <w:rPr>
          <w:color w:val="auto"/>
          <w:lang w:val="de-DE"/>
        </w:rPr>
        <w:t>Überwachung der Umsetzung der einschlägigen Projekte und Überwachung der vertraglichen Verpflichtungen (durch regelmäßige Überprüfungen, Veranstaltungen, Workshops, Rechnungsprüfungen, Berichterstattung und Unterstützung usw.) und Sammlung und Umgang mit externem Fachwissen, insbesondere in Bezug auf JES und MRP in den Bereichen Menschenrechte, Geschlechtergleichstellung und Zivilgesellschaft.</w:t>
      </w:r>
    </w:p>
    <w:p w:rsidR="008A5737" w:rsidRPr="008A5737" w:rsidRDefault="008A5737" w:rsidP="008A5737">
      <w:pPr>
        <w:pStyle w:val="P68B1DB1-Default4"/>
        <w:jc w:val="both"/>
        <w:rPr>
          <w:color w:val="auto"/>
          <w:lang w:val="de-DE"/>
        </w:rPr>
      </w:pPr>
      <w:r w:rsidRPr="008A5737">
        <w:rPr>
          <w:color w:val="auto"/>
          <w:lang w:val="de-DE"/>
        </w:rPr>
        <w:lastRenderedPageBreak/>
        <w:t>Beitrag zu den Kommunikations- und Sichtbarkeitsaktivitäten der EU-Delegation und Gewährleistung, dass diese Tätigkeiten im Einklang mit unserem rechtebasierten Ansatz stehen und den Aspekten der Gleichstellung der Geschlechter und der Stärkung der Rolle der Frau jederzeit Rechnung tragen.</w:t>
      </w:r>
    </w:p>
    <w:bookmarkEnd w:id="0"/>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A5737" w:rsidRDefault="00950BA5" w:rsidP="00950BA5">
      <w:pPr>
        <w:tabs>
          <w:tab w:val="left" w:pos="709"/>
        </w:tabs>
        <w:spacing w:after="0" w:line="240" w:lineRule="auto"/>
        <w:ind w:left="709" w:right="60"/>
        <w:jc w:val="both"/>
        <w:rPr>
          <w:lang w:val="de-DE"/>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1F5BFB" w:rsidRPr="008A5737">
        <w:rPr>
          <w:lang w:val="de-DE"/>
        </w:rPr>
        <w:t xml:space="preserve"> </w:t>
      </w:r>
    </w:p>
    <w:p w:rsidR="008A5737" w:rsidRDefault="008A5737" w:rsidP="008A5737">
      <w:pPr>
        <w:pStyle w:val="P68B1DB1-ListParagraph7"/>
        <w:numPr>
          <w:ilvl w:val="0"/>
          <w:numId w:val="29"/>
        </w:numPr>
        <w:tabs>
          <w:tab w:val="left" w:pos="709"/>
        </w:tabs>
        <w:spacing w:after="0" w:line="240" w:lineRule="auto"/>
        <w:ind w:right="60"/>
        <w:jc w:val="both"/>
      </w:pPr>
      <w:proofErr w:type="spellStart"/>
      <w:r>
        <w:t>Rechts</w:t>
      </w:r>
      <w:proofErr w:type="spellEnd"/>
      <w:r>
        <w:t xml:space="preserve">-, </w:t>
      </w:r>
      <w:proofErr w:type="spellStart"/>
      <w:r>
        <w:t>Sozial</w:t>
      </w:r>
      <w:proofErr w:type="spellEnd"/>
      <w:r>
        <w:t xml:space="preserve">- und </w:t>
      </w:r>
      <w:proofErr w:type="spellStart"/>
      <w:r>
        <w:t>Politikwissenschaften</w:t>
      </w:r>
      <w:proofErr w:type="spellEnd"/>
    </w:p>
    <w:p w:rsidR="008A5737" w:rsidRDefault="008A5737" w:rsidP="008A5737">
      <w:pPr>
        <w:pStyle w:val="P68B1DB1-ListParagraph7"/>
        <w:numPr>
          <w:ilvl w:val="0"/>
          <w:numId w:val="29"/>
        </w:numPr>
        <w:tabs>
          <w:tab w:val="left" w:pos="709"/>
        </w:tabs>
        <w:spacing w:after="0" w:line="240" w:lineRule="auto"/>
        <w:ind w:right="60"/>
        <w:jc w:val="both"/>
      </w:pPr>
      <w:r>
        <w:t xml:space="preserve">Internationale </w:t>
      </w:r>
      <w:proofErr w:type="spellStart"/>
      <w:r>
        <w:t>Beziehungen</w:t>
      </w:r>
      <w:proofErr w:type="spellEnd"/>
    </w:p>
    <w:p w:rsidR="008A5737" w:rsidRPr="008A5737" w:rsidRDefault="008A5737" w:rsidP="008A5737">
      <w:pPr>
        <w:pStyle w:val="P68B1DB1-ListParagraph7"/>
        <w:numPr>
          <w:ilvl w:val="0"/>
          <w:numId w:val="29"/>
        </w:numPr>
        <w:tabs>
          <w:tab w:val="left" w:pos="709"/>
        </w:tabs>
        <w:spacing w:after="0" w:line="240" w:lineRule="auto"/>
        <w:ind w:right="60"/>
        <w:jc w:val="both"/>
      </w:pPr>
      <w:proofErr w:type="spellStart"/>
      <w:r>
        <w:t>Entwicklungszusammenarbeit</w:t>
      </w:r>
      <w:proofErr w:type="spellEnd"/>
      <w:r>
        <w:t xml:space="preserve"> </w:t>
      </w:r>
    </w:p>
    <w:p w:rsidR="008A5737" w:rsidRDefault="008A5737" w:rsidP="00950BA5">
      <w:pPr>
        <w:tabs>
          <w:tab w:val="left" w:pos="709"/>
        </w:tabs>
        <w:spacing w:after="0" w:line="240" w:lineRule="auto"/>
        <w:ind w:left="709" w:right="60"/>
        <w:jc w:val="both"/>
        <w:rPr>
          <w:lang w:val="de-DE"/>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8F473A">
      <w:pPr>
        <w:tabs>
          <w:tab w:val="left" w:pos="1843"/>
        </w:tabs>
        <w:spacing w:after="0" w:line="240" w:lineRule="auto"/>
        <w:ind w:left="851" w:right="60" w:firstLine="142"/>
        <w:jc w:val="both"/>
        <w:rPr>
          <w:rFonts w:ascii="Times New Roman" w:eastAsia="Times New Roman" w:hAnsi="Times New Roman" w:cs="Times New Roman"/>
          <w:u w:val="single"/>
          <w:lang w:val="de-DE" w:eastAsia="en-GB"/>
        </w:rPr>
      </w:pPr>
    </w:p>
    <w:p w:rsidR="008A5737" w:rsidRDefault="008A5737" w:rsidP="008A5737">
      <w:pPr>
        <w:pStyle w:val="P68B1DB1-ListParagraph7"/>
        <w:numPr>
          <w:ilvl w:val="0"/>
          <w:numId w:val="29"/>
        </w:numPr>
        <w:tabs>
          <w:tab w:val="left" w:pos="709"/>
        </w:tabs>
        <w:spacing w:after="0" w:line="240" w:lineRule="auto"/>
        <w:ind w:right="60"/>
        <w:jc w:val="both"/>
      </w:pPr>
      <w:proofErr w:type="spellStart"/>
      <w:r>
        <w:t>Gute</w:t>
      </w:r>
      <w:proofErr w:type="spellEnd"/>
      <w:r>
        <w:t xml:space="preserve"> </w:t>
      </w:r>
      <w:proofErr w:type="spellStart"/>
      <w:r>
        <w:t>Staatsführung</w:t>
      </w:r>
      <w:proofErr w:type="spellEnd"/>
      <w:r>
        <w:t xml:space="preserve"> und </w:t>
      </w:r>
      <w:proofErr w:type="spellStart"/>
      <w:r>
        <w:t>Menschenrechte</w:t>
      </w:r>
      <w:proofErr w:type="spellEnd"/>
    </w:p>
    <w:p w:rsidR="008A5737" w:rsidRDefault="008A5737" w:rsidP="008A5737">
      <w:pPr>
        <w:pStyle w:val="P68B1DB1-ListParagraph7"/>
        <w:numPr>
          <w:ilvl w:val="0"/>
          <w:numId w:val="29"/>
        </w:numPr>
        <w:tabs>
          <w:tab w:val="left" w:pos="709"/>
        </w:tabs>
        <w:spacing w:after="0" w:line="240" w:lineRule="auto"/>
        <w:ind w:right="60"/>
        <w:jc w:val="both"/>
      </w:pPr>
      <w:proofErr w:type="spellStart"/>
      <w:r>
        <w:t>Stärkung</w:t>
      </w:r>
      <w:proofErr w:type="spellEnd"/>
      <w:r>
        <w:t xml:space="preserve"> der </w:t>
      </w:r>
      <w:proofErr w:type="spellStart"/>
      <w:r>
        <w:t>Zivilgesellschaft</w:t>
      </w:r>
      <w:proofErr w:type="spellEnd"/>
    </w:p>
    <w:p w:rsidR="008A5737" w:rsidRDefault="008A5737" w:rsidP="008A5737">
      <w:pPr>
        <w:pStyle w:val="P68B1DB1-ListParagraph7"/>
        <w:numPr>
          <w:ilvl w:val="0"/>
          <w:numId w:val="29"/>
        </w:numPr>
        <w:tabs>
          <w:tab w:val="left" w:pos="709"/>
        </w:tabs>
        <w:spacing w:after="0" w:line="240" w:lineRule="auto"/>
        <w:ind w:right="60"/>
        <w:jc w:val="both"/>
      </w:pPr>
      <w:proofErr w:type="spellStart"/>
      <w:r>
        <w:t>Demokratisierung</w:t>
      </w:r>
      <w:proofErr w:type="spellEnd"/>
    </w:p>
    <w:p w:rsidR="008A5737" w:rsidRDefault="008A5737" w:rsidP="008A5737">
      <w:pPr>
        <w:pStyle w:val="P68B1DB1-ListParagraph7"/>
        <w:numPr>
          <w:ilvl w:val="0"/>
          <w:numId w:val="29"/>
        </w:numPr>
        <w:tabs>
          <w:tab w:val="left" w:pos="709"/>
        </w:tabs>
        <w:spacing w:after="0" w:line="240" w:lineRule="auto"/>
        <w:ind w:right="60"/>
        <w:jc w:val="both"/>
      </w:pPr>
      <w:proofErr w:type="spellStart"/>
      <w:r>
        <w:t>Gleichstellung</w:t>
      </w:r>
      <w:proofErr w:type="spellEnd"/>
      <w:r>
        <w:t xml:space="preserve"> der </w:t>
      </w:r>
      <w:proofErr w:type="spellStart"/>
      <w:r>
        <w:t>Geschlechter</w:t>
      </w:r>
      <w:proofErr w:type="spellEnd"/>
    </w:p>
    <w:p w:rsidR="008A5737" w:rsidRPr="00D7172D" w:rsidRDefault="008A5737"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8A5737"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8A5737" w:rsidRPr="008A5737" w:rsidRDefault="008A5737" w:rsidP="008A5737">
      <w:pPr>
        <w:pStyle w:val="P68B1DB1-Normal8"/>
        <w:tabs>
          <w:tab w:val="left" w:pos="709"/>
        </w:tabs>
        <w:spacing w:after="0" w:line="240" w:lineRule="auto"/>
        <w:ind w:left="709" w:right="60"/>
        <w:jc w:val="both"/>
        <w:rPr>
          <w:u w:val="none"/>
          <w:lang w:val="de-DE"/>
        </w:rPr>
      </w:pPr>
      <w:r w:rsidRPr="008A5737">
        <w:rPr>
          <w:u w:val="none"/>
          <w:lang w:val="de-DE"/>
        </w:rPr>
        <w:t>Englisch</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 xml:space="preserve">Der Lebenslauf muss das Geburtsdatum und die Staatsangehörigkeit des </w:t>
      </w:r>
      <w:r w:rsidRPr="00950BA5">
        <w:rPr>
          <w:rFonts w:ascii="Times New Roman" w:eastAsia="Times New Roman" w:hAnsi="Times New Roman" w:cs="Times New Roman"/>
          <w:lang w:val="de-DE" w:eastAsia="en-GB"/>
        </w:rPr>
        <w:lastRenderedPageBreak/>
        <w:t>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10F50" w:rsidRDefault="00950BA5" w:rsidP="002E5A8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10F50" w:rsidRDefault="00910F50"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42C4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A5737" w:rsidRPr="00B34365" w:rsidRDefault="008A5737">
      <w:pPr>
        <w:pStyle w:val="FootnoteText"/>
        <w:ind w:right="1175"/>
        <w:jc w:val="both"/>
        <w:rPr>
          <w:lang w:val="de-DE"/>
        </w:rPr>
      </w:pPr>
      <w:r>
        <w:rPr>
          <w:rStyle w:val="FootnoteReference"/>
        </w:rPr>
        <w:footnoteRef/>
      </w:r>
      <w:r w:rsidRPr="00B34365">
        <w:rPr>
          <w:lang w:val="de-DE"/>
        </w:rPr>
        <w:t xml:space="preserve"> Die Angaben zum Datum des Dienstantritts und zur Dauer der Abordnung sind vorläufig (Art. 4 des Beschlusses über abgeordnete nationale Sachverständige (ANS)).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1AC308C"/>
    <w:multiLevelType w:val="hybridMultilevel"/>
    <w:tmpl w:val="3DDC86A8"/>
    <w:lvl w:ilvl="0" w:tplc="21785350">
      <w:start w:val="1"/>
      <w:numFmt w:val="bullet"/>
      <w:lvlText w:val="-"/>
      <w:lvlJc w:val="left"/>
      <w:pPr>
        <w:ind w:left="1080" w:hanging="360"/>
      </w:pPr>
      <w:rPr>
        <w:rFonts w:ascii="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821B46"/>
    <w:multiLevelType w:val="hybridMultilevel"/>
    <w:tmpl w:val="1DEEB128"/>
    <w:lvl w:ilvl="0" w:tplc="3052307A">
      <w:numFmt w:val="bullet"/>
      <w:lvlText w:val="•"/>
      <w:lvlJc w:val="left"/>
      <w:pPr>
        <w:ind w:left="720" w:hanging="360"/>
      </w:pPr>
      <w:rPr>
        <w:rFonts w:ascii="Times New Roman" w:eastAsiaTheme="minorHAnsi" w:hAnsi="Times New Roman" w:cs="Times New Roman" w:hint="default"/>
      </w:rPr>
    </w:lvl>
    <w:lvl w:ilvl="1" w:tplc="EE9687B2">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983EF4"/>
    <w:multiLevelType w:val="hybridMultilevel"/>
    <w:tmpl w:val="192C3526"/>
    <w:lvl w:ilvl="0" w:tplc="75D6EC8A">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E434B6D"/>
    <w:multiLevelType w:val="hybridMultilevel"/>
    <w:tmpl w:val="3B1280BC"/>
    <w:lvl w:ilvl="0" w:tplc="49047176">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E8D616C"/>
    <w:multiLevelType w:val="hybridMultilevel"/>
    <w:tmpl w:val="4D5E6A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451A9D"/>
    <w:multiLevelType w:val="hybridMultilevel"/>
    <w:tmpl w:val="E2684D5A"/>
    <w:lvl w:ilvl="0" w:tplc="42062F6E">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BFD6CAD"/>
    <w:multiLevelType w:val="hybridMultilevel"/>
    <w:tmpl w:val="E86072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E17409"/>
    <w:multiLevelType w:val="hybridMultilevel"/>
    <w:tmpl w:val="7A00D51C"/>
    <w:lvl w:ilvl="0" w:tplc="7D7EB6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967DEE"/>
    <w:multiLevelType w:val="hybridMultilevel"/>
    <w:tmpl w:val="C64A9AAE"/>
    <w:lvl w:ilvl="0" w:tplc="21785350">
      <w:start w:val="1"/>
      <w:numFmt w:val="bullet"/>
      <w:lvlText w:val="-"/>
      <w:lvlJc w:val="left"/>
      <w:pPr>
        <w:ind w:left="1080" w:hanging="360"/>
      </w:pPr>
      <w:rPr>
        <w:rFonts w:ascii="Times New Roman" w:hAnsi="Times New Roman" w:cs="Times New Roman" w:hint="default"/>
      </w:rPr>
    </w:lvl>
    <w:lvl w:ilvl="1" w:tplc="21785350">
      <w:start w:val="1"/>
      <w:numFmt w:val="bullet"/>
      <w:lvlText w:val="-"/>
      <w:lvlJc w:val="left"/>
      <w:pPr>
        <w:ind w:left="1800" w:hanging="360"/>
      </w:pPr>
      <w:rPr>
        <w:rFonts w:ascii="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1D7537C"/>
    <w:multiLevelType w:val="hybridMultilevel"/>
    <w:tmpl w:val="076AD1A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76E2469"/>
    <w:multiLevelType w:val="hybridMultilevel"/>
    <w:tmpl w:val="CBAC24D6"/>
    <w:lvl w:ilvl="0" w:tplc="403A67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1267DFD"/>
    <w:multiLevelType w:val="hybridMultilevel"/>
    <w:tmpl w:val="35C67A1E"/>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13"/>
  </w:num>
  <w:num w:numId="4">
    <w:abstractNumId w:val="0"/>
  </w:num>
  <w:num w:numId="5">
    <w:abstractNumId w:val="9"/>
  </w:num>
  <w:num w:numId="6">
    <w:abstractNumId w:val="5"/>
  </w:num>
  <w:num w:numId="7">
    <w:abstractNumId w:val="24"/>
  </w:num>
  <w:num w:numId="8">
    <w:abstractNumId w:val="8"/>
  </w:num>
  <w:num w:numId="9">
    <w:abstractNumId w:val="3"/>
  </w:num>
  <w:num w:numId="10">
    <w:abstractNumId w:val="6"/>
  </w:num>
  <w:num w:numId="11">
    <w:abstractNumId w:val="4"/>
  </w:num>
  <w:num w:numId="12">
    <w:abstractNumId w:val="27"/>
  </w:num>
  <w:num w:numId="13">
    <w:abstractNumId w:val="2"/>
  </w:num>
  <w:num w:numId="14">
    <w:abstractNumId w:val="12"/>
  </w:num>
  <w:num w:numId="15">
    <w:abstractNumId w:val="17"/>
  </w:num>
  <w:num w:numId="16">
    <w:abstractNumId w:val="15"/>
  </w:num>
  <w:num w:numId="17">
    <w:abstractNumId w:val="23"/>
  </w:num>
  <w:num w:numId="18">
    <w:abstractNumId w:val="25"/>
  </w:num>
  <w:num w:numId="19">
    <w:abstractNumId w:val="22"/>
  </w:num>
  <w:num w:numId="20">
    <w:abstractNumId w:val="11"/>
  </w:num>
  <w:num w:numId="21">
    <w:abstractNumId w:val="18"/>
  </w:num>
  <w:num w:numId="22">
    <w:abstractNumId w:val="20"/>
  </w:num>
  <w:num w:numId="23">
    <w:abstractNumId w:val="14"/>
  </w:num>
  <w:num w:numId="24">
    <w:abstractNumId w:val="19"/>
  </w:num>
  <w:num w:numId="25">
    <w:abstractNumId w:val="28"/>
  </w:num>
  <w:num w:numId="26">
    <w:abstractNumId w:val="1"/>
  </w:num>
  <w:num w:numId="27">
    <w:abstractNumId w:val="10"/>
  </w:num>
  <w:num w:numId="28">
    <w:abstractNumId w:val="21"/>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03EAB"/>
    <w:rsid w:val="000B3F03"/>
    <w:rsid w:val="001409DC"/>
    <w:rsid w:val="001561A4"/>
    <w:rsid w:val="00176BD6"/>
    <w:rsid w:val="0019598C"/>
    <w:rsid w:val="001D08E6"/>
    <w:rsid w:val="001E0FBD"/>
    <w:rsid w:val="001F5BFB"/>
    <w:rsid w:val="002133CC"/>
    <w:rsid w:val="00270486"/>
    <w:rsid w:val="002E5A87"/>
    <w:rsid w:val="00321B82"/>
    <w:rsid w:val="00370EFD"/>
    <w:rsid w:val="003E6C65"/>
    <w:rsid w:val="00442C48"/>
    <w:rsid w:val="004A4D7D"/>
    <w:rsid w:val="00526441"/>
    <w:rsid w:val="00534042"/>
    <w:rsid w:val="00550A94"/>
    <w:rsid w:val="005648F5"/>
    <w:rsid w:val="005D37D0"/>
    <w:rsid w:val="005D46C8"/>
    <w:rsid w:val="006740F2"/>
    <w:rsid w:val="00696BC0"/>
    <w:rsid w:val="006F30A1"/>
    <w:rsid w:val="00797D80"/>
    <w:rsid w:val="007C0DB9"/>
    <w:rsid w:val="007E099F"/>
    <w:rsid w:val="008A5737"/>
    <w:rsid w:val="008F473A"/>
    <w:rsid w:val="00910F50"/>
    <w:rsid w:val="00950BA5"/>
    <w:rsid w:val="009A6CD3"/>
    <w:rsid w:val="009D2FB1"/>
    <w:rsid w:val="009E23E4"/>
    <w:rsid w:val="00A0673A"/>
    <w:rsid w:val="00AC518C"/>
    <w:rsid w:val="00AF16BD"/>
    <w:rsid w:val="00B3328C"/>
    <w:rsid w:val="00B8217B"/>
    <w:rsid w:val="00B91189"/>
    <w:rsid w:val="00BC14A5"/>
    <w:rsid w:val="00BD26AA"/>
    <w:rsid w:val="00C20A11"/>
    <w:rsid w:val="00C24618"/>
    <w:rsid w:val="00C6293F"/>
    <w:rsid w:val="00C91101"/>
    <w:rsid w:val="00CF677F"/>
    <w:rsid w:val="00D13332"/>
    <w:rsid w:val="00D321F9"/>
    <w:rsid w:val="00D4449A"/>
    <w:rsid w:val="00D64903"/>
    <w:rsid w:val="00D7172D"/>
    <w:rsid w:val="00E21280"/>
    <w:rsid w:val="00E40791"/>
    <w:rsid w:val="00E44EF3"/>
    <w:rsid w:val="00F20B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C141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8A5737"/>
    <w:rPr>
      <w:rFonts w:ascii="Times New Roman" w:eastAsia="Times New Roman" w:hAnsi="Times New Roman" w:cs="Times New Roman"/>
      <w:sz w:val="24"/>
      <w:szCs w:val="20"/>
      <w:lang w:val="en-GB" w:eastAsia="en-GB"/>
    </w:rPr>
  </w:style>
  <w:style w:type="paragraph" w:customStyle="1" w:styleId="P68B1DB1-Normal3">
    <w:name w:val="P68B1DB1-Normal3"/>
    <w:basedOn w:val="Normal"/>
    <w:rsid w:val="008A5737"/>
    <w:rPr>
      <w:rFonts w:ascii="Times New Roman" w:eastAsia="Times New Roman" w:hAnsi="Times New Roman" w:cs="Times New Roman"/>
      <w:b/>
      <w:szCs w:val="20"/>
      <w:lang w:val="en-GB" w:eastAsia="en-GB"/>
    </w:rPr>
  </w:style>
  <w:style w:type="paragraph" w:customStyle="1" w:styleId="Default">
    <w:name w:val="Default"/>
    <w:rsid w:val="008A5737"/>
    <w:pPr>
      <w:autoSpaceDE w:val="0"/>
      <w:autoSpaceDN w:val="0"/>
      <w:adjustRightInd w:val="0"/>
      <w:spacing w:after="0" w:line="240" w:lineRule="auto"/>
    </w:pPr>
    <w:rPr>
      <w:rFonts w:ascii="Times New Roman" w:hAnsi="Times New Roman" w:cs="Times New Roman"/>
      <w:color w:val="000000"/>
      <w:sz w:val="24"/>
      <w:szCs w:val="20"/>
      <w:lang w:val="en-GB" w:eastAsia="en-GB"/>
    </w:rPr>
  </w:style>
  <w:style w:type="paragraph" w:customStyle="1" w:styleId="P68B1DB1-Default4">
    <w:name w:val="P68B1DB1-Default4"/>
    <w:basedOn w:val="Default"/>
    <w:rsid w:val="008A5737"/>
    <w:rPr>
      <w:rFonts w:eastAsia="Times New Roman"/>
      <w:sz w:val="22"/>
    </w:rPr>
  </w:style>
  <w:style w:type="paragraph" w:customStyle="1" w:styleId="P68B1DB1-Default5">
    <w:name w:val="P68B1DB1-Default5"/>
    <w:basedOn w:val="Default"/>
    <w:rsid w:val="008A5737"/>
    <w:rPr>
      <w:rFonts w:eastAsia="Times New Roman"/>
      <w:color w:val="auto"/>
      <w:sz w:val="22"/>
    </w:rPr>
  </w:style>
  <w:style w:type="paragraph" w:customStyle="1" w:styleId="P68B1DB1-ListParagraph7">
    <w:name w:val="P68B1DB1-ListParagraph7"/>
    <w:basedOn w:val="ListParagraph"/>
    <w:rsid w:val="008A5737"/>
    <w:rPr>
      <w:rFonts w:ascii="Times New Roman" w:eastAsia="Times New Roman" w:hAnsi="Times New Roman" w:cs="Times New Roman"/>
      <w:szCs w:val="20"/>
      <w:lang w:val="en-GB" w:eastAsia="en-GB"/>
    </w:rPr>
  </w:style>
  <w:style w:type="paragraph" w:customStyle="1" w:styleId="P68B1DB1-Normal8">
    <w:name w:val="P68B1DB1-Normal8"/>
    <w:basedOn w:val="Normal"/>
    <w:rsid w:val="008A5737"/>
    <w:rPr>
      <w:rFonts w:ascii="Times New Roman" w:eastAsia="Times New Roman" w:hAnsi="Times New Roman" w:cs="Times New Roman"/>
      <w:szCs w:val="20"/>
      <w:u w:val="single"/>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o.ronco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2274</Words>
  <Characters>12672</Characters>
  <Application>Microsoft Office Word</Application>
  <DocSecurity>0</DocSecurity>
  <Lines>243</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6</cp:revision>
  <dcterms:created xsi:type="dcterms:W3CDTF">2021-12-14T11:56:00Z</dcterms:created>
  <dcterms:modified xsi:type="dcterms:W3CDTF">2022-01-07T08:05:00Z</dcterms:modified>
</cp:coreProperties>
</file>