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931DA"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ENER-B</w:t>
            </w:r>
            <w:r w:rsidR="00E77525">
              <w:rPr>
                <w:rFonts w:ascii="Times New Roman" w:eastAsia="Times New Roman" w:hAnsi="Times New Roman" w:cs="Times New Roman"/>
                <w:b/>
                <w:sz w:val="24"/>
                <w:szCs w:val="20"/>
                <w:lang w:val="de-DE" w:eastAsia="en-GB"/>
              </w:rPr>
              <w:t>-1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931DA" w:rsidRPr="00B931DA" w:rsidRDefault="00B931DA" w:rsidP="00B931DA">
            <w:pPr>
              <w:rPr>
                <w:rFonts w:ascii="Times New Roman" w:hAnsi="Times New Roman" w:cs="Times New Roman"/>
                <w:b/>
                <w:lang w:val="en-GB"/>
              </w:rPr>
            </w:pPr>
            <w:r w:rsidRPr="00B931DA">
              <w:rPr>
                <w:rFonts w:ascii="Times New Roman" w:hAnsi="Times New Roman" w:cs="Times New Roman"/>
                <w:b/>
                <w:lang w:val="en-GB"/>
              </w:rPr>
              <w:t>Adela TESAROVA</w:t>
            </w:r>
          </w:p>
          <w:p w:rsidR="00B931DA" w:rsidRPr="00B931DA" w:rsidRDefault="00B931DA" w:rsidP="00B931DA">
            <w:pPr>
              <w:rPr>
                <w:rFonts w:ascii="Times New Roman" w:hAnsi="Times New Roman" w:cs="Times New Roman"/>
                <w:b/>
                <w:lang w:val="en-GB"/>
              </w:rPr>
            </w:pPr>
            <w:hyperlink r:id="rId8" w:history="1">
              <w:r w:rsidRPr="00B931DA">
                <w:rPr>
                  <w:rFonts w:ascii="Times New Roman" w:hAnsi="Times New Roman" w:cs="Times New Roman"/>
                  <w:b/>
                  <w:color w:val="0000FF" w:themeColor="hyperlink"/>
                  <w:u w:val="single"/>
                  <w:lang w:val="en-GB"/>
                </w:rPr>
                <w:t>Adela.Tesarova@ec.europa.eu</w:t>
              </w:r>
            </w:hyperlink>
            <w:r w:rsidRPr="00B931DA">
              <w:rPr>
                <w:rFonts w:ascii="Times New Roman" w:hAnsi="Times New Roman" w:cs="Times New Roman"/>
                <w:b/>
                <w:lang w:val="en-GB"/>
              </w:rPr>
              <w:t xml:space="preserve">  </w:t>
            </w:r>
          </w:p>
          <w:p w:rsidR="009F5B63" w:rsidRPr="00613992" w:rsidRDefault="00B931DA" w:rsidP="00B931DA">
            <w:pPr>
              <w:ind w:left="34" w:right="1317"/>
              <w:jc w:val="both"/>
              <w:rPr>
                <w:rFonts w:ascii="Times New Roman" w:hAnsi="Times New Roman" w:cs="Times New Roman"/>
                <w:b/>
              </w:rPr>
            </w:pPr>
            <w:r w:rsidRPr="00B931DA">
              <w:rPr>
                <w:rFonts w:ascii="Times New Roman" w:hAnsi="Times New Roman" w:cs="Times New Roman"/>
                <w:b/>
                <w:lang w:val="en-GB"/>
              </w:rPr>
              <w:t>+32 229-80031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931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B931DA" w:rsidRDefault="00B931DA" w:rsidP="00B931DA">
      <w:pPr>
        <w:pStyle w:val="P68B1DB1-Normal1"/>
        <w:spacing w:after="0" w:line="240" w:lineRule="auto"/>
        <w:ind w:left="426"/>
        <w:jc w:val="both"/>
        <w:rPr>
          <w:lang w:val="de-DE"/>
        </w:rPr>
      </w:pPr>
      <w:r>
        <w:rPr>
          <w:lang w:val="de-DE"/>
        </w:rPr>
        <w:t xml:space="preserve">Das Referat ENER.B.1 „Verbraucher, lokale Initiativen, gerechter Übergang“ ist dafür zuständig, die Verbraucher in den Mittelpunkt einer sauberen und gerechten Energiewende zu stellen. Dies gelingt unter anderem durch die Stärkung der Bürgerbeteiligung und einen starken Verbraucherschutz sowie durch die Vernetzung der Verbraucher mit dem Energiemarkt durch digitale Technologien. Darüber hinaus ist das Referat für einen gerechten Übergang im weiteren Sinne zuständig, von Einzelpersonen, die von Energiearmut betroffen sind, bis hin zu Kohle-, Torf- und Ölschieferregionen im Wandel. Ein weiterer Schwerpunkt der Arbeit des Referats sind mehrere lokale und regionale Initiativen im Energiebereich, die Städte, Energiegemeinschaften, Unternehmen und andere Interessenträger in den Wandel einbinden. </w:t>
      </w:r>
    </w:p>
    <w:p w:rsidR="00B931DA" w:rsidRDefault="00B931DA" w:rsidP="00B931DA">
      <w:pPr>
        <w:tabs>
          <w:tab w:val="left" w:pos="709"/>
        </w:tabs>
        <w:spacing w:after="0" w:line="240" w:lineRule="auto"/>
        <w:ind w:left="426"/>
        <w:jc w:val="both"/>
        <w:rPr>
          <w:rFonts w:ascii="Times New Roman" w:eastAsia="Times New Roman" w:hAnsi="Times New Roman" w:cs="Times New Roman"/>
          <w:lang w:val="de-DE" w:eastAsia="en-GB"/>
        </w:rPr>
      </w:pPr>
    </w:p>
    <w:p w:rsidR="00B931DA" w:rsidRDefault="00B931DA" w:rsidP="00B931DA">
      <w:pPr>
        <w:pStyle w:val="P68B1DB1-Normal1"/>
        <w:spacing w:after="0" w:line="240" w:lineRule="auto"/>
        <w:ind w:left="426"/>
        <w:jc w:val="both"/>
        <w:rPr>
          <w:rFonts w:eastAsia="Times New Roman"/>
          <w:lang w:val="de-DE"/>
        </w:rPr>
      </w:pPr>
      <w:r>
        <w:rPr>
          <w:lang w:val="de-DE"/>
        </w:rPr>
        <w:t xml:space="preserve">Im breiteren Kontext der Verbraucherpolitik erarbeitet das Referat ENER.B.1 auch Strategien und Umsetzungsmaßnahmen für intelligente Netze, Daten und Interoperabilität, die Energieangebot und -nachfrage miteinander verbinden und eine aktive Beteiligung und Teilhabe der Verbraucher an der grünen Energiewende ermöglichen. Dies trägt dazu bei, das volle Potenzial flexibler Energiemärkte freizusetzen und die politischen Prioritäten der EU effizient und wirksam zu verwirklichen. Der abgeordnete nationale Sachverständige wird Teil eines aktiven Teams sein, das sich mit dieser Arbeit sowie der Stärkung der Position und dem Schutz der Verbraucher auf den Energiemärkten und der Digitalisierung im weiteren Sinne befasst.  </w:t>
      </w:r>
    </w:p>
    <w:p w:rsidR="00B931DA" w:rsidRDefault="00B931DA" w:rsidP="00B931DA">
      <w:pPr>
        <w:tabs>
          <w:tab w:val="left" w:pos="709"/>
        </w:tabs>
        <w:spacing w:after="0" w:line="240" w:lineRule="auto"/>
        <w:ind w:left="426"/>
        <w:jc w:val="both"/>
        <w:rPr>
          <w:rFonts w:ascii="Times New Roman" w:eastAsia="Times New Roman" w:hAnsi="Times New Roman" w:cs="Times New Roman"/>
          <w:lang w:val="de-DE" w:eastAsia="en-GB"/>
        </w:rPr>
      </w:pPr>
    </w:p>
    <w:p w:rsidR="00B931DA" w:rsidRDefault="00B931DA" w:rsidP="00B931DA">
      <w:pPr>
        <w:pStyle w:val="P68B1DB1-Normal2"/>
        <w:spacing w:after="0" w:line="240" w:lineRule="auto"/>
        <w:ind w:left="426"/>
        <w:jc w:val="both"/>
        <w:rPr>
          <w:lang w:val="de-DE"/>
        </w:rPr>
      </w:pPr>
      <w:r>
        <w:rPr>
          <w:lang w:val="de-DE"/>
        </w:rPr>
        <w:t xml:space="preserve">Die Aufgaben des </w:t>
      </w:r>
      <w:proofErr w:type="spellStart"/>
      <w:r>
        <w:rPr>
          <w:lang w:val="de-DE"/>
        </w:rPr>
        <w:t>abgeordneten</w:t>
      </w:r>
      <w:proofErr w:type="spellEnd"/>
      <w:r>
        <w:rPr>
          <w:lang w:val="de-DE"/>
        </w:rPr>
        <w:t xml:space="preserve"> nationalen Sachverständigen können insbesondere folgende Aufgaben umfassen: </w:t>
      </w:r>
    </w:p>
    <w:p w:rsidR="00B931DA" w:rsidRDefault="00B931DA" w:rsidP="00B931DA">
      <w:pPr>
        <w:tabs>
          <w:tab w:val="left" w:pos="709"/>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p>
    <w:p w:rsidR="00B931DA" w:rsidRDefault="00B931DA" w:rsidP="00B931DA">
      <w:pPr>
        <w:tabs>
          <w:tab w:val="left" w:pos="709"/>
        </w:tabs>
        <w:spacing w:after="0" w:line="240" w:lineRule="auto"/>
        <w:ind w:left="426"/>
        <w:jc w:val="both"/>
        <w:rPr>
          <w:lang w:val="de-DE"/>
        </w:rPr>
      </w:pPr>
      <w:r>
        <w:rPr>
          <w:rFonts w:ascii="Times New Roman" w:eastAsia="Times New Roman" w:hAnsi="Times New Roman" w:cs="Times New Roman"/>
          <w:u w:val="single"/>
          <w:lang w:val="de-DE" w:eastAsia="en-GB"/>
        </w:rPr>
        <w:t>Festlegung der Politik</w:t>
      </w:r>
      <w:r>
        <w:rPr>
          <w:rFonts w:ascii="Times New Roman" w:eastAsia="Times New Roman" w:hAnsi="Times New Roman" w:cs="Times New Roman"/>
          <w:lang w:val="de-DE" w:eastAsia="en-GB"/>
        </w:rPr>
        <w:t xml:space="preserve">: </w:t>
      </w:r>
    </w:p>
    <w:p w:rsidR="00B931DA" w:rsidRDefault="00B931DA" w:rsidP="00B931DA">
      <w:pPr>
        <w:pStyle w:val="P68B1DB1-ListParagraph3"/>
        <w:numPr>
          <w:ilvl w:val="0"/>
          <w:numId w:val="22"/>
        </w:numPr>
        <w:spacing w:after="0" w:line="240" w:lineRule="auto"/>
        <w:ind w:left="709" w:hanging="283"/>
        <w:jc w:val="both"/>
        <w:rPr>
          <w:lang w:val="de-DE"/>
        </w:rPr>
      </w:pPr>
      <w:r>
        <w:rPr>
          <w:lang w:val="de-DE"/>
        </w:rPr>
        <w:lastRenderedPageBreak/>
        <w:t>Beitrag zu konzeptuellen Überlegungen und zur Festlegung neuer politischer Maßnahmen und Initiativen, die auf Folgendes abzielen:</w:t>
      </w:r>
    </w:p>
    <w:p w:rsidR="00B931DA" w:rsidRDefault="00B931DA" w:rsidP="00B931DA">
      <w:pPr>
        <w:pStyle w:val="P68B1DB1-ListParagraph3"/>
        <w:numPr>
          <w:ilvl w:val="1"/>
          <w:numId w:val="22"/>
        </w:numPr>
        <w:spacing w:after="0" w:line="240" w:lineRule="auto"/>
        <w:ind w:left="426" w:firstLine="283"/>
        <w:jc w:val="both"/>
        <w:rPr>
          <w:lang w:val="de-DE"/>
        </w:rPr>
      </w:pPr>
      <w:r>
        <w:rPr>
          <w:lang w:val="de-DE"/>
        </w:rPr>
        <w:t>Demonstration und Umsetzung intelligenter Messsysteme, Daten und Interoperabilität in der EU,</w:t>
      </w:r>
    </w:p>
    <w:p w:rsidR="00B931DA" w:rsidRDefault="00B931DA" w:rsidP="00B931DA">
      <w:pPr>
        <w:pStyle w:val="P68B1DB1-ListParagraph3"/>
        <w:numPr>
          <w:ilvl w:val="1"/>
          <w:numId w:val="22"/>
        </w:numPr>
        <w:spacing w:after="0" w:line="240" w:lineRule="auto"/>
        <w:ind w:left="426" w:firstLine="283"/>
        <w:jc w:val="both"/>
        <w:rPr>
          <w:lang w:val="de-DE"/>
        </w:rPr>
      </w:pPr>
      <w:r>
        <w:rPr>
          <w:lang w:val="de-DE"/>
        </w:rPr>
        <w:t>Sowie Stärkung der Position und Schutz der Verbraucher.</w:t>
      </w:r>
    </w:p>
    <w:p w:rsidR="00B931DA" w:rsidRDefault="00B931DA" w:rsidP="00B931DA">
      <w:pPr>
        <w:pStyle w:val="P68B1DB1-ListParagraph3"/>
        <w:numPr>
          <w:ilvl w:val="0"/>
          <w:numId w:val="22"/>
        </w:numPr>
        <w:spacing w:after="0" w:line="240" w:lineRule="auto"/>
        <w:ind w:left="709" w:hanging="283"/>
        <w:jc w:val="both"/>
        <w:rPr>
          <w:lang w:val="de-DE"/>
        </w:rPr>
      </w:pPr>
      <w:bookmarkStart w:id="0" w:name="bookmark7"/>
      <w:bookmarkEnd w:id="0"/>
      <w:r>
        <w:rPr>
          <w:lang w:val="de-DE"/>
        </w:rPr>
        <w:t>Beitrag zur Umsetzung und zur Operationalisierung des Rechtsrahmens in Bezug auf intelligente Verbrauchsmessung, Daten und Interoperabilität sowie Stärkung und Schutz der Verbraucher</w:t>
      </w:r>
    </w:p>
    <w:p w:rsidR="00B931DA" w:rsidRDefault="00B931DA" w:rsidP="00B931DA">
      <w:pPr>
        <w:pStyle w:val="P68B1DB1-ListParagraph3"/>
        <w:numPr>
          <w:ilvl w:val="0"/>
          <w:numId w:val="22"/>
        </w:numPr>
        <w:spacing w:after="0" w:line="240" w:lineRule="auto"/>
        <w:ind w:left="709" w:hanging="283"/>
        <w:jc w:val="both"/>
        <w:rPr>
          <w:lang w:val="de-DE"/>
        </w:rPr>
      </w:pPr>
      <w:bookmarkStart w:id="1" w:name="bookmark8"/>
      <w:bookmarkEnd w:id="1"/>
      <w:r>
        <w:rPr>
          <w:lang w:val="de-DE"/>
        </w:rPr>
        <w:t>Technisch-Fachliche Beratung und sonstige Beiträge zur Bewertung des Beitrags von Maßnahmen in einzelnen Mitgliedstaaten im Zusammenhang mit intelligenten Netzen, der Stärkung der Position und dem Schutz der Verbraucher.</w:t>
      </w:r>
    </w:p>
    <w:p w:rsidR="00B931DA" w:rsidRDefault="00B931DA" w:rsidP="00B931DA">
      <w:pPr>
        <w:pStyle w:val="P68B1DB1-ListParagraph3"/>
        <w:numPr>
          <w:ilvl w:val="0"/>
          <w:numId w:val="22"/>
        </w:numPr>
        <w:spacing w:after="0" w:line="240" w:lineRule="auto"/>
        <w:ind w:left="709" w:hanging="283"/>
        <w:jc w:val="both"/>
        <w:rPr>
          <w:lang w:val="de-DE"/>
        </w:rPr>
      </w:pPr>
      <w:bookmarkStart w:id="2" w:name="bookmark9"/>
      <w:bookmarkEnd w:id="2"/>
      <w:r>
        <w:rPr>
          <w:lang w:val="de-DE"/>
        </w:rPr>
        <w:t>Analyse von Daten und Fakten zur Entwicklung von angebots- und nachfrageseitigen Managementsystemen der Strom- und Gasmärkte sowie der technischen und regulatorischen Rahmenbedingungen für deren weitere Verbesserung und die Beteiligung/Einbindung aktiver Kunden.</w:t>
      </w:r>
    </w:p>
    <w:p w:rsidR="00B931DA" w:rsidRDefault="00B931DA" w:rsidP="00B931DA">
      <w:pPr>
        <w:tabs>
          <w:tab w:val="left" w:pos="709"/>
        </w:tabs>
        <w:spacing w:after="0" w:line="240" w:lineRule="auto"/>
        <w:ind w:left="426"/>
        <w:jc w:val="both"/>
        <w:rPr>
          <w:rFonts w:ascii="Times New Roman" w:eastAsia="Times New Roman" w:hAnsi="Times New Roman" w:cs="Times New Roman"/>
          <w:lang w:val="de-DE" w:eastAsia="en-GB"/>
        </w:rPr>
      </w:pPr>
    </w:p>
    <w:p w:rsidR="00B931DA" w:rsidRDefault="00B931DA" w:rsidP="00B931DA">
      <w:pPr>
        <w:pStyle w:val="P68B1DB1-Normal4"/>
        <w:spacing w:after="0" w:line="240" w:lineRule="auto"/>
        <w:ind w:left="426"/>
        <w:jc w:val="both"/>
      </w:pPr>
      <w:r>
        <w:t xml:space="preserve">Legislative </w:t>
      </w:r>
      <w:r>
        <w:rPr>
          <w:lang w:val="de-DE"/>
        </w:rPr>
        <w:t>Arbeit</w:t>
      </w:r>
    </w:p>
    <w:p w:rsidR="00B931DA" w:rsidRDefault="00B931DA" w:rsidP="00B931DA">
      <w:pPr>
        <w:pStyle w:val="P68B1DB1-Bodytext105"/>
        <w:numPr>
          <w:ilvl w:val="0"/>
          <w:numId w:val="23"/>
        </w:numPr>
        <w:tabs>
          <w:tab w:val="left" w:pos="823"/>
        </w:tabs>
        <w:ind w:left="709" w:hanging="283"/>
        <w:rPr>
          <w:lang w:val="de-DE"/>
        </w:rPr>
      </w:pPr>
      <w:bookmarkStart w:id="3" w:name="bookmark10"/>
      <w:bookmarkEnd w:id="3"/>
      <w:r>
        <w:rPr>
          <w:lang w:val="de-DE"/>
        </w:rPr>
        <w:t>Mitwirkung an vorbereitenden Arbeiten (Betreuung von Studien), Ausarbeitung neuer und/oder Änderungen bestehender Rechtsvorschriften und Durchführungsrechtsakte.</w:t>
      </w:r>
    </w:p>
    <w:p w:rsidR="00B931DA" w:rsidRDefault="00B931DA" w:rsidP="00B931DA">
      <w:pPr>
        <w:pStyle w:val="P68B1DB1-Bodytext105"/>
        <w:numPr>
          <w:ilvl w:val="0"/>
          <w:numId w:val="23"/>
        </w:numPr>
        <w:tabs>
          <w:tab w:val="left" w:pos="823"/>
        </w:tabs>
        <w:ind w:left="709" w:hanging="283"/>
        <w:rPr>
          <w:lang w:val="de-DE"/>
        </w:rPr>
      </w:pPr>
      <w:bookmarkStart w:id="4" w:name="bookmark11"/>
      <w:bookmarkEnd w:id="4"/>
      <w:r>
        <w:rPr>
          <w:lang w:val="de-DE"/>
        </w:rPr>
        <w:t>Beitrag zur Arbeit von Ausschüssen und Sachverständigengruppen.</w:t>
      </w:r>
    </w:p>
    <w:p w:rsidR="00B931DA" w:rsidRDefault="00B931DA" w:rsidP="00B931DA">
      <w:pPr>
        <w:tabs>
          <w:tab w:val="left" w:pos="709"/>
        </w:tabs>
        <w:spacing w:after="0" w:line="240" w:lineRule="auto"/>
        <w:ind w:left="426"/>
        <w:jc w:val="both"/>
        <w:rPr>
          <w:rFonts w:ascii="Times New Roman" w:eastAsia="Times New Roman" w:hAnsi="Times New Roman" w:cs="Times New Roman"/>
          <w:lang w:val="de-DE" w:eastAsia="en-GB"/>
        </w:rPr>
      </w:pPr>
    </w:p>
    <w:p w:rsidR="00B931DA" w:rsidRDefault="00B931DA" w:rsidP="00B931DA">
      <w:pPr>
        <w:tabs>
          <w:tab w:val="left" w:pos="709"/>
        </w:tabs>
        <w:spacing w:after="0" w:line="240" w:lineRule="auto"/>
        <w:ind w:left="426"/>
        <w:jc w:val="both"/>
        <w:rPr>
          <w:lang w:val="de-DE"/>
        </w:rPr>
      </w:pPr>
      <w:r>
        <w:rPr>
          <w:rFonts w:ascii="Times New Roman" w:eastAsia="Times New Roman" w:hAnsi="Times New Roman" w:cs="Times New Roman"/>
          <w:u w:val="single"/>
          <w:lang w:val="de-DE" w:eastAsia="en-GB"/>
        </w:rPr>
        <w:t>Kommunikation und Analyse</w:t>
      </w:r>
    </w:p>
    <w:p w:rsidR="00B931DA" w:rsidRDefault="00B931DA" w:rsidP="00B931DA">
      <w:pPr>
        <w:pStyle w:val="P68B1DB1-ListParagraph6"/>
        <w:numPr>
          <w:ilvl w:val="0"/>
          <w:numId w:val="24"/>
        </w:numPr>
        <w:spacing w:after="0" w:line="240" w:lineRule="auto"/>
        <w:ind w:left="709" w:hanging="283"/>
        <w:jc w:val="both"/>
        <w:rPr>
          <w:lang w:val="de-DE"/>
        </w:rPr>
      </w:pPr>
      <w:r>
        <w:rPr>
          <w:lang w:val="de-DE"/>
        </w:rPr>
        <w:t>Unterstützung bei der Präsentation, Vertretung und Erläuterung von Maßnahmen und Initiativen der Generaldirektion Energie bei verschiedenen Zielgruppen.</w:t>
      </w:r>
    </w:p>
    <w:p w:rsidR="00B931DA" w:rsidRDefault="00B931DA" w:rsidP="00B931DA">
      <w:pPr>
        <w:pStyle w:val="P68B1DB1-ListParagraph6"/>
        <w:numPr>
          <w:ilvl w:val="0"/>
          <w:numId w:val="24"/>
        </w:numPr>
        <w:spacing w:after="0" w:line="240" w:lineRule="auto"/>
        <w:ind w:left="709" w:hanging="283"/>
        <w:jc w:val="both"/>
        <w:rPr>
          <w:lang w:val="de-DE"/>
        </w:rPr>
      </w:pPr>
      <w:r>
        <w:rPr>
          <w:lang w:val="de-DE"/>
        </w:rPr>
        <w:t>Unterstützung bei der Organisation von Arbeitsgruppen, Sitzungen, Veranstaltungen und Konsultationen der Interessenträger und Berücksichtigung ihrer Ergebnisse bei der Politikgestaltung.</w:t>
      </w:r>
    </w:p>
    <w:p w:rsidR="00B931DA" w:rsidRDefault="00B931DA" w:rsidP="00B931DA">
      <w:pPr>
        <w:pStyle w:val="P68B1DB1-ListParagraph6"/>
        <w:numPr>
          <w:ilvl w:val="0"/>
          <w:numId w:val="24"/>
        </w:numPr>
        <w:spacing w:after="0" w:line="240" w:lineRule="auto"/>
        <w:ind w:left="709" w:hanging="283"/>
        <w:jc w:val="both"/>
        <w:rPr>
          <w:lang w:val="de-DE"/>
        </w:rPr>
      </w:pPr>
      <w:r>
        <w:rPr>
          <w:lang w:val="de-DE"/>
        </w:rPr>
        <w:t>Beobachtung sozioökonomischer Berichte und Prognosen und Ermittlung von Trends in Bezug auf intelligente Verbrauchsmessung, Zugang zu Daten und Dateninteroperabilität in einem Umfeld intelligenter Energienetze sowie die Stärkung der Position und dem Schutz der Verbraucher zur Unterstützung der Erörterung und Analyse von politischen Instrumenten.</w:t>
      </w:r>
    </w:p>
    <w:p w:rsidR="00B931DA" w:rsidRDefault="00B931DA" w:rsidP="00B931DA">
      <w:pPr>
        <w:pStyle w:val="P68B1DB1-ListParagraph6"/>
        <w:numPr>
          <w:ilvl w:val="0"/>
          <w:numId w:val="24"/>
        </w:numPr>
        <w:spacing w:after="0" w:line="240" w:lineRule="auto"/>
        <w:ind w:left="709" w:hanging="283"/>
        <w:jc w:val="both"/>
        <w:rPr>
          <w:lang w:val="de-DE"/>
        </w:rPr>
      </w:pPr>
      <w:r>
        <w:rPr>
          <w:lang w:val="de-DE"/>
        </w:rPr>
        <w:t xml:space="preserve">Erstellung von Berichten, Briefings, Präsentationen, Reden und Sprechzetteln. </w:t>
      </w:r>
    </w:p>
    <w:p w:rsidR="00B931DA" w:rsidRDefault="00B931DA" w:rsidP="00B931DA">
      <w:pPr>
        <w:tabs>
          <w:tab w:val="left" w:pos="709"/>
        </w:tabs>
        <w:spacing w:after="0" w:line="240" w:lineRule="auto"/>
        <w:ind w:left="426"/>
        <w:jc w:val="both"/>
        <w:rPr>
          <w:rFonts w:ascii="Times New Roman" w:eastAsia="Times New Roman" w:hAnsi="Times New Roman" w:cs="Times New Roman"/>
          <w:lang w:val="de-DE" w:eastAsia="en-GB"/>
        </w:rPr>
      </w:pPr>
    </w:p>
    <w:p w:rsidR="00B931DA" w:rsidRDefault="00B931DA" w:rsidP="00B931DA">
      <w:pPr>
        <w:tabs>
          <w:tab w:val="left" w:pos="709"/>
        </w:tabs>
        <w:spacing w:after="0" w:line="240" w:lineRule="auto"/>
        <w:ind w:left="426"/>
        <w:jc w:val="both"/>
        <w:rPr>
          <w:lang w:val="de-DE"/>
        </w:rPr>
      </w:pPr>
      <w:r>
        <w:rPr>
          <w:rFonts w:ascii="Times New Roman" w:eastAsia="Times New Roman" w:hAnsi="Times New Roman" w:cs="Times New Roman"/>
          <w:u w:val="single"/>
          <w:lang w:val="de-DE" w:eastAsia="en-GB"/>
        </w:rPr>
        <w:t>Zusammenarbeit mit den Mitgliedstaaten und der Zivilgesellschaft</w:t>
      </w:r>
    </w:p>
    <w:p w:rsidR="00B931DA" w:rsidRPr="00B931DA" w:rsidRDefault="00B931DA" w:rsidP="00B931DA">
      <w:pPr>
        <w:pStyle w:val="P68B1DB1-ListParagraph6"/>
        <w:numPr>
          <w:ilvl w:val="0"/>
          <w:numId w:val="24"/>
        </w:numPr>
        <w:spacing w:after="0" w:line="240" w:lineRule="auto"/>
        <w:ind w:left="709" w:hanging="283"/>
        <w:jc w:val="both"/>
        <w:rPr>
          <w:lang w:val="de-DE"/>
        </w:rPr>
      </w:pPr>
      <w:r w:rsidRPr="00B931DA">
        <w:rPr>
          <w:lang w:val="de-DE"/>
        </w:rPr>
        <w:t>Analyse der Lage der Energieendkundenmärkte und deren Liberalisierung in den Mitgliedstaaten.</w:t>
      </w:r>
    </w:p>
    <w:p w:rsidR="00B931DA" w:rsidRPr="00B931DA" w:rsidRDefault="00B931DA" w:rsidP="00B931DA">
      <w:pPr>
        <w:pStyle w:val="P68B1DB1-ListParagraph6"/>
        <w:numPr>
          <w:ilvl w:val="0"/>
          <w:numId w:val="24"/>
        </w:numPr>
        <w:spacing w:after="0" w:line="240" w:lineRule="auto"/>
        <w:ind w:left="709" w:hanging="283"/>
        <w:jc w:val="both"/>
        <w:rPr>
          <w:lang w:val="de-DE"/>
        </w:rPr>
      </w:pPr>
      <w:r w:rsidRPr="00B931DA">
        <w:rPr>
          <w:lang w:val="de-DE"/>
        </w:rPr>
        <w:t>Unterstützung bei der Bewertung der Umsetzung der EU-Rechtsvorschriften zu Endkundenmärkten für Energie (Strom und Gas) und abgeleiteter Rechtsakte durch die Mitgliedstaaten.</w:t>
      </w:r>
    </w:p>
    <w:p w:rsidR="00613992" w:rsidRPr="00B931DA" w:rsidRDefault="00B931DA" w:rsidP="00B931DA">
      <w:pPr>
        <w:pStyle w:val="ListParagraph"/>
        <w:numPr>
          <w:ilvl w:val="0"/>
          <w:numId w:val="21"/>
        </w:numPr>
        <w:spacing w:after="0" w:line="240" w:lineRule="auto"/>
        <w:ind w:left="709" w:hanging="283"/>
        <w:jc w:val="both"/>
        <w:rPr>
          <w:rFonts w:ascii="Times New Roman" w:hAnsi="Times New Roman" w:cs="Times New Roman"/>
          <w:lang w:val="de-DE"/>
        </w:rPr>
      </w:pPr>
      <w:r w:rsidRPr="00B931DA">
        <w:rPr>
          <w:rFonts w:ascii="Times New Roman" w:hAnsi="Times New Roman" w:cs="Times New Roman"/>
          <w:lang w:val="de-DE"/>
        </w:rPr>
        <w:t>Mitwirkung an der Erstellung von Dokumenten und sonstigen Beiträgen für den internen Gebrauch und/oder die öffentliche Verbreitung zur Förderung der ordnungsgemäßen Umsetzung der EU-Rechtsvorschriften in den Mitgliedstaaten.</w:t>
      </w:r>
    </w:p>
    <w:p w:rsidR="005A3CBF" w:rsidRPr="0030670B" w:rsidRDefault="005A3CBF" w:rsidP="005A3CBF">
      <w:pPr>
        <w:spacing w:after="0" w:line="240" w:lineRule="auto"/>
        <w:ind w:left="426"/>
        <w:jc w:val="both"/>
        <w:rPr>
          <w:rFonts w:ascii="Times New Roman"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w:t>
      </w:r>
      <w:r w:rsidRPr="00950BA5">
        <w:rPr>
          <w:rFonts w:ascii="Times New Roman" w:eastAsia="Times New Roman" w:hAnsi="Times New Roman" w:cs="Times New Roman"/>
          <w:lang w:val="de-DE" w:eastAsia="en-GB"/>
        </w:rPr>
        <w:lastRenderedPageBreak/>
        <w:t>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B931DA" w:rsidRPr="00B931DA">
        <w:rPr>
          <w:rFonts w:ascii="Times New Roman" w:eastAsia="Times New Roman" w:hAnsi="Times New Roman" w:cs="Times New Roman"/>
          <w:lang w:val="de-DE" w:eastAsia="en-GB"/>
        </w:rPr>
        <w:t>VWL/BWL, Ingenieurwesen, Energiepolitik und Energie-Technologie, Informations- und Kommunikationstechnologie, Recht, oder andere relevante Disziplinen.</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Der abgeordnete nationale Sachverständige sollte </w:t>
      </w:r>
    </w:p>
    <w:p w:rsidR="00B931DA" w:rsidRPr="00B931DA" w:rsidRDefault="00B931DA" w:rsidP="00B931DA">
      <w:p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w:t>
      </w:r>
      <w:r w:rsidRPr="00B931DA">
        <w:rPr>
          <w:rFonts w:ascii="Times New Roman" w:eastAsia="Times New Roman" w:hAnsi="Times New Roman" w:cs="Times New Roman"/>
          <w:lang w:val="de-DE" w:eastAsia="en-GB"/>
        </w:rPr>
        <w:tab/>
        <w:t>Erfahrung in der Arbeit an Plänen oder Strategien mit Bezug zur Digitalisierung des Energiesektors oder der Einführung von Technologie-Lösungen zur Unterstützung der Energiewende haben. ODER</w:t>
      </w:r>
    </w:p>
    <w:p w:rsidR="00B931DA" w:rsidRPr="00B931DA" w:rsidRDefault="00B931DA" w:rsidP="00B931DA">
      <w:p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w:t>
      </w:r>
      <w:r w:rsidRPr="00B931DA">
        <w:rPr>
          <w:rFonts w:ascii="Times New Roman" w:eastAsia="Times New Roman" w:hAnsi="Times New Roman" w:cs="Times New Roman"/>
          <w:lang w:val="de-DE" w:eastAsia="en-GB"/>
        </w:rPr>
        <w:tab/>
        <w:t xml:space="preserve">Erfahrung in der Zusammenarbeit mit Interessengruppen haben, die sich mit Energie, Klimawandel oder damit zusammenhängenden verbraucherpolitischen Fragen befassen. </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und</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Erfahrung mit der Überwachung der Arbeit von Auftragnehmern oder Dienstleistungserbringern verfügen.</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Fähigkeit zur Konzeption von Problemen, zur Ermittlung und Umsetzung von Lösungen,</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Fähigkeit Informationen zu analysieren und zu strukturieren,</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Fähigkeit zu verstehen und verstanden zu werden,</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Fähigkeit zur Übermittlung technischer oder spezialisierter Informationen,</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Schriftliche und redaktionelle Ausdrucksfähigkeit,</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Verhandlungsgeschick,</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Fähigkeit proaktiv und selbstständig zu arbeiten,</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Flexibilität (Offenheit gegenüber neuen Anforderungen usw.),</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Fähigkeit, in strukturierter Weise Ergebnisse zu erbringen,</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Stressresistenz,</w:t>
      </w:r>
    </w:p>
    <w:p w:rsidR="00B931DA"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Eigeninitiative,</w:t>
      </w:r>
    </w:p>
    <w:p w:rsidR="009F5B63" w:rsidRPr="00B931DA" w:rsidRDefault="00B931DA" w:rsidP="00B931DA">
      <w:pPr>
        <w:pStyle w:val="ListParagraph"/>
        <w:numPr>
          <w:ilvl w:val="0"/>
          <w:numId w:val="21"/>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Guter Teamgeist.</w:t>
      </w:r>
    </w:p>
    <w:p w:rsidR="008B1A4F" w:rsidRPr="007628D6" w:rsidRDefault="008B1A4F"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B931DA"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Gute Englischkenntnisse sind Voraussetzung. Französischkenntnisse gelten als Vorteil.</w:t>
      </w:r>
      <w:bookmarkStart w:id="5" w:name="_GoBack"/>
      <w:bookmarkEnd w:id="5"/>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B931D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8"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20"/>
  </w:num>
  <w:num w:numId="6">
    <w:abstractNumId w:val="19"/>
  </w:num>
  <w:num w:numId="7">
    <w:abstractNumId w:val="21"/>
  </w:num>
  <w:num w:numId="8">
    <w:abstractNumId w:val="15"/>
  </w:num>
  <w:num w:numId="9">
    <w:abstractNumId w:val="12"/>
  </w:num>
  <w:num w:numId="10">
    <w:abstractNumId w:val="3"/>
  </w:num>
  <w:num w:numId="11">
    <w:abstractNumId w:val="16"/>
  </w:num>
  <w:num w:numId="12">
    <w:abstractNumId w:val="10"/>
  </w:num>
  <w:num w:numId="13">
    <w:abstractNumId w:val="6"/>
  </w:num>
  <w:num w:numId="14">
    <w:abstractNumId w:val="4"/>
  </w:num>
  <w:num w:numId="15">
    <w:abstractNumId w:val="7"/>
  </w:num>
  <w:num w:numId="16">
    <w:abstractNumId w:val="23"/>
  </w:num>
  <w:num w:numId="17">
    <w:abstractNumId w:val="14"/>
  </w:num>
  <w:num w:numId="18">
    <w:abstractNumId w:val="18"/>
  </w:num>
  <w:num w:numId="19">
    <w:abstractNumId w:val="9"/>
  </w:num>
  <w:num w:numId="20">
    <w:abstractNumId w:val="22"/>
  </w:num>
  <w:num w:numId="21">
    <w:abstractNumId w:val="8"/>
  </w:num>
  <w:num w:numId="22">
    <w:abstractNumId w:val="11"/>
  </w:num>
  <w:num w:numId="23">
    <w:abstractNumId w:val="13"/>
  </w:num>
  <w:num w:numId="24">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91101"/>
    <w:rsid w:val="00CA2A4D"/>
    <w:rsid w:val="00CA497A"/>
    <w:rsid w:val="00CC14A9"/>
    <w:rsid w:val="00CC43DA"/>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la.Tesar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1601</Words>
  <Characters>11528</Characters>
  <Application>Microsoft Office Word</Application>
  <DocSecurity>0</DocSecurity>
  <Lines>240</Lines>
  <Paragraphs>119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2021-12-09T16:34:00Z</dcterms:created>
  <dcterms:modified xsi:type="dcterms:W3CDTF">2021-12-09T16:34:00Z</dcterms:modified>
</cp:coreProperties>
</file>