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723"/>
      </w:tblGrid>
      <w:tr w:rsidR="00950BA5" w:rsidRPr="006740F2" w:rsidTr="00D671E2">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23" w:type="dxa"/>
            <w:vAlign w:val="center"/>
          </w:tcPr>
          <w:p w:rsidR="00950BA5" w:rsidRPr="006740F2" w:rsidRDefault="00D671E2" w:rsidP="00CC4C27">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ENER-B-1</w:t>
            </w:r>
          </w:p>
        </w:tc>
      </w:tr>
      <w:tr w:rsidR="00950BA5" w:rsidRPr="006740F2" w:rsidTr="00D671E2">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23" w:type="dxa"/>
          </w:tcPr>
          <w:p w:rsidR="00D671E2" w:rsidRPr="00D671E2" w:rsidRDefault="00D671E2" w:rsidP="00D671E2">
            <w:pPr>
              <w:rPr>
                <w:rFonts w:ascii="Times New Roman" w:hAnsi="Times New Roman" w:cs="Times New Roman"/>
                <w:b/>
                <w:lang w:val="en-GB"/>
              </w:rPr>
            </w:pPr>
            <w:r w:rsidRPr="00D671E2">
              <w:rPr>
                <w:rFonts w:ascii="Times New Roman" w:hAnsi="Times New Roman" w:cs="Times New Roman"/>
                <w:b/>
                <w:lang w:val="en-GB"/>
              </w:rPr>
              <w:t xml:space="preserve">Joachim </w:t>
            </w:r>
            <w:proofErr w:type="spellStart"/>
            <w:r w:rsidRPr="00D671E2">
              <w:rPr>
                <w:rFonts w:ascii="Times New Roman" w:hAnsi="Times New Roman" w:cs="Times New Roman"/>
                <w:b/>
                <w:lang w:val="en-GB"/>
              </w:rPr>
              <w:t>Balke</w:t>
            </w:r>
            <w:proofErr w:type="spellEnd"/>
          </w:p>
          <w:p w:rsidR="00D671E2" w:rsidRPr="00D671E2" w:rsidRDefault="00D671E2" w:rsidP="00D671E2">
            <w:pPr>
              <w:rPr>
                <w:rFonts w:ascii="Times New Roman" w:hAnsi="Times New Roman" w:cs="Times New Roman"/>
                <w:b/>
                <w:lang w:val="en-GB"/>
              </w:rPr>
            </w:pPr>
            <w:hyperlink r:id="rId8" w:history="1">
              <w:r w:rsidRPr="00D671E2">
                <w:rPr>
                  <w:rFonts w:ascii="Times New Roman" w:hAnsi="Times New Roman" w:cs="Times New Roman"/>
                  <w:b/>
                  <w:color w:val="0000FF" w:themeColor="hyperlink"/>
                  <w:u w:val="single"/>
                  <w:lang w:val="en-GB"/>
                </w:rPr>
                <w:t>Joachim.balke@ec.europa.eu</w:t>
              </w:r>
            </w:hyperlink>
            <w:r w:rsidRPr="00D671E2">
              <w:rPr>
                <w:rFonts w:ascii="Times New Roman" w:hAnsi="Times New Roman" w:cs="Times New Roman"/>
                <w:b/>
                <w:lang w:val="en-GB"/>
              </w:rPr>
              <w:t xml:space="preserve"> </w:t>
            </w:r>
          </w:p>
          <w:p w:rsidR="00E21280" w:rsidRPr="00E21280" w:rsidRDefault="00D671E2" w:rsidP="00D671E2">
            <w:pPr>
              <w:ind w:right="1317"/>
              <w:jc w:val="both"/>
              <w:rPr>
                <w:rFonts w:ascii="Times New Roman" w:hAnsi="Times New Roman" w:cs="Times New Roman"/>
                <w:b/>
                <w:lang w:val="de-DE"/>
              </w:rPr>
            </w:pPr>
            <w:r w:rsidRPr="00D671E2">
              <w:rPr>
                <w:rFonts w:ascii="Times New Roman" w:hAnsi="Times New Roman" w:cs="Times New Roman"/>
                <w:b/>
                <w:lang w:val="en-GB"/>
              </w:rPr>
              <w:t>+32.2.296.23.69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8162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D671E2">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23"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671E2" w:rsidTr="00D671E2">
        <w:trPr>
          <w:trHeight w:val="2112"/>
          <w:jc w:val="center"/>
        </w:trPr>
        <w:tc>
          <w:tcPr>
            <w:tcW w:w="10082"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671E2"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D671E2" w:rsidRDefault="00CC4C27" w:rsidP="00E30BD2">
            <w:pPr>
              <w:rPr>
                <w:rFonts w:ascii="Times New Roman" w:eastAsia="Times New Roman" w:hAnsi="Times New Roman" w:cs="Times New Roman"/>
                <w:lang w:val="en-GB"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w:t>
            </w:r>
            <w:bookmarkStart w:id="0" w:name="_GoBack"/>
            <w:bookmarkEnd w:id="0"/>
            <w:r w:rsidR="00D671E2" w:rsidRPr="00D671E2">
              <w:rPr>
                <w:rFonts w:ascii="Times New Roman" w:eastAsia="Times New Roman" w:hAnsi="Times New Roman" w:cs="Times New Roman"/>
                <w:b/>
                <w:bCs/>
                <w:lang w:val="en-GB" w:eastAsia="en-GB"/>
              </w:rPr>
              <w:t>World Bank, IMF, EBRD</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 xml:space="preserve">Das Referat ENER.B1 (Netze und Regionale Initiativen) entwickelt Politikmaßnahmen auf dem Gebiet der transeuropäischen Energieinfrastruktur und setzt diese um. Darüber hinaus ist es verantwortlich für den Energiesektor der </w:t>
      </w:r>
      <w:proofErr w:type="spellStart"/>
      <w:r w:rsidRPr="00D671E2">
        <w:rPr>
          <w:rFonts w:ascii="Times New Roman" w:eastAsia="Times New Roman" w:hAnsi="Times New Roman" w:cs="Times New Roman"/>
          <w:lang w:val="de-DE" w:eastAsia="en-GB"/>
        </w:rPr>
        <w:t>Connecting</w:t>
      </w:r>
      <w:proofErr w:type="spellEnd"/>
      <w:r w:rsidRPr="00D671E2">
        <w:rPr>
          <w:rFonts w:ascii="Times New Roman" w:eastAsia="Times New Roman" w:hAnsi="Times New Roman" w:cs="Times New Roman"/>
          <w:lang w:val="de-DE" w:eastAsia="en-GB"/>
        </w:rPr>
        <w:t xml:space="preserve"> Europe Fazilität (CEF), ein </w:t>
      </w:r>
      <w:proofErr w:type="spellStart"/>
      <w:r w:rsidRPr="00D671E2">
        <w:rPr>
          <w:rFonts w:ascii="Times New Roman" w:eastAsia="Times New Roman" w:hAnsi="Times New Roman" w:cs="Times New Roman"/>
          <w:lang w:val="de-DE" w:eastAsia="en-GB"/>
        </w:rPr>
        <w:t>sektorübergreifendes</w:t>
      </w:r>
      <w:proofErr w:type="spellEnd"/>
      <w:r w:rsidRPr="00D671E2">
        <w:rPr>
          <w:rFonts w:ascii="Times New Roman" w:eastAsia="Times New Roman" w:hAnsi="Times New Roman" w:cs="Times New Roman"/>
          <w:lang w:val="de-DE" w:eastAsia="en-GB"/>
        </w:rPr>
        <w:t xml:space="preserve"> Finanzierungsprogramm, welches zur Unterstützung der Entwicklung transeuropäischer Netze für Verkehr, Telekommunikation und Energie geschaffen wurde. Während der Großteil der unter CEF zur Verfügung stehenden Mittel für Finanzhilfen an Vorhaben gemeinsamen Interesses (PCI) vorgesehen ist, ist ein kleinerer Anteil für Finanzierungsinstrumente für PCI vorgesehen, welche derzeit aus einem Instrument für Darlehen und Bürgschaften besteht, das durch die Europäische Investitionsbank (EIB) verwaltet wird.</w:t>
      </w: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Darüber hinaus spielt das Referat eine Schlüsselrolle bei der Zusammenarbeit mit Mitgliedstaaten, PCI-Projektträgern und der Exekutivagentur für Netzwerk und Innovation (INEA), indem es den Projektfortschritt überwacht und mit ihnen interagiert, sowie auch mit IFIs; darüber hinaus leistet das Referat einen Beitrag zu Querschnittstätigkeiten wie der EU-Taxonomie für nachhaltige Finanzen, dem Modernisierungs- und Innovationsfonds (zuständige GD Klima) und der „</w:t>
      </w:r>
      <w:proofErr w:type="spellStart"/>
      <w:r w:rsidRPr="00D671E2">
        <w:rPr>
          <w:rFonts w:ascii="Times New Roman" w:eastAsia="Times New Roman" w:hAnsi="Times New Roman" w:cs="Times New Roman"/>
          <w:lang w:val="de-DE" w:eastAsia="en-GB"/>
        </w:rPr>
        <w:t>green</w:t>
      </w:r>
      <w:proofErr w:type="spellEnd"/>
      <w:r w:rsidRPr="00D671E2">
        <w:rPr>
          <w:rFonts w:ascii="Times New Roman" w:eastAsia="Times New Roman" w:hAnsi="Times New Roman" w:cs="Times New Roman"/>
          <w:lang w:val="de-DE" w:eastAsia="en-GB"/>
        </w:rPr>
        <w:t xml:space="preserve"> </w:t>
      </w:r>
      <w:proofErr w:type="spellStart"/>
      <w:r w:rsidRPr="00D671E2">
        <w:rPr>
          <w:rFonts w:ascii="Times New Roman" w:eastAsia="Times New Roman" w:hAnsi="Times New Roman" w:cs="Times New Roman"/>
          <w:lang w:val="de-DE" w:eastAsia="en-GB"/>
        </w:rPr>
        <w:t>recovery</w:t>
      </w:r>
      <w:proofErr w:type="spellEnd"/>
      <w:r w:rsidRPr="00D671E2">
        <w:rPr>
          <w:rFonts w:ascii="Times New Roman" w:eastAsia="Times New Roman" w:hAnsi="Times New Roman" w:cs="Times New Roman"/>
          <w:lang w:val="de-DE" w:eastAsia="en-GB"/>
        </w:rPr>
        <w:t>“.</w:t>
      </w: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Im Rahmen der Fertigstellung des mehrjährigen Finanzrahmens (MFR) der EU für 2021-2027 ist es Aufgabe des Referats, die Auswirkungen auf die Finanzierung und Umsetzung von PCIs und anderen relevanten Projekten zu analysieren.</w:t>
      </w: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Diese Analyse sollte allerdings auch andere Bereiche der Energiepolitik berücksichtigen, wie etwa Energieeffizienz, Erneuerbare Energien, Wasserstoff, CCS und Verteilernetze.</w:t>
      </w: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lastRenderedPageBreak/>
        <w:t>Die Tätigkeit schließt ein:</w:t>
      </w: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p>
    <w:p w:rsidR="00D671E2" w:rsidRPr="00D671E2" w:rsidRDefault="00D671E2" w:rsidP="00D671E2">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Die Mitwirkung (innerhalb eines Teams) an einem Entwurf zur Revision der TEN-E Verordnung (einschließlich der notwendigen Folgenabschätzung), der sowohl flexibel als auch zukunftssicher sein sollte. Der Hauptansatzpunkt der Analyse sollte eine ökonomische Sichtweise auf die Förderpolitik sein. Gleichzeitig sollte die Rolle der Finanzierungsinstrumente als Hebel für öffentliche Finanzhilfen und Anreiz für private Investitionen sorgfältig untersucht werden.</w:t>
      </w:r>
    </w:p>
    <w:p w:rsidR="00D671E2" w:rsidRPr="00D671E2" w:rsidRDefault="00D671E2" w:rsidP="00D671E2">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Durchführung einer Kosten-Nutzen-Analyse zu den PCI, sowohl auf Projekt- als auch auf grenzüberschreitender Ebene. Mitwirkung bei der Identifizierung von robusten Finanzierungslösungen für Schlüsselvorhaben. Kontaktstelle zu den zuständigen Organisationen, besonders der EIB, für die Unterstützung durch EFSI und Standard-Darlehen, anderen internationalen Finanzinstituten und Geschäftsbanken sowie der Exekutivagentur für Innovation und Netze für Finanzhilfen;</w:t>
      </w:r>
    </w:p>
    <w:p w:rsidR="00D671E2" w:rsidRPr="00D671E2" w:rsidRDefault="00D671E2" w:rsidP="00D671E2">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Finanzstrukturen und -instrumente für PCI entwerfen, unter dem kommenden MFR und diese auf ihre Machbarkeit hin untersuchen;</w:t>
      </w:r>
    </w:p>
    <w:p w:rsidR="00D671E2" w:rsidRPr="00D671E2" w:rsidRDefault="00D671E2" w:rsidP="00D671E2">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Vorbereitung und Leitung von Studien, welche die Kommission an externe Auftragnehmer vergibt;</w:t>
      </w:r>
    </w:p>
    <w:p w:rsidR="00D671E2" w:rsidRPr="00D671E2" w:rsidRDefault="00D671E2" w:rsidP="00D671E2">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 xml:space="preserve">Für die restlichen Jahre des aktuellen Finanzrahmens, Sicherstellung einer angemessenen Berücksichtigung von PCI bei der Vergabe der zur Verfügung stehenden Finanzmittel, auch aus Programmen jenseits von CEF; </w:t>
      </w:r>
    </w:p>
    <w:p w:rsidR="00D671E2" w:rsidRPr="00D671E2" w:rsidRDefault="00D671E2" w:rsidP="00D671E2">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 xml:space="preserve">Einen Beitrag leisten zu den Überlegungen zur zukünftigen strategischen Ausrichtung, zu horizontalen und </w:t>
      </w:r>
      <w:proofErr w:type="spellStart"/>
      <w:r w:rsidRPr="00D671E2">
        <w:rPr>
          <w:rFonts w:ascii="Times New Roman" w:eastAsia="Times New Roman" w:hAnsi="Times New Roman" w:cs="Times New Roman"/>
          <w:lang w:val="de-DE" w:eastAsia="en-GB"/>
        </w:rPr>
        <w:t>sektorübergreifenden</w:t>
      </w:r>
      <w:proofErr w:type="spellEnd"/>
      <w:r w:rsidRPr="00D671E2">
        <w:rPr>
          <w:rFonts w:ascii="Times New Roman" w:eastAsia="Times New Roman" w:hAnsi="Times New Roman" w:cs="Times New Roman"/>
          <w:lang w:val="de-DE" w:eastAsia="en-GB"/>
        </w:rPr>
        <w:t xml:space="preserve"> Fragen transeuropäischer Infrastruktur, vor allem im Rahmen der Vorbereitungen zum neuen mehrjährigen EU-Finanzrahmen;</w:t>
      </w:r>
    </w:p>
    <w:p w:rsidR="00D671E2" w:rsidRPr="00D671E2" w:rsidRDefault="00D671E2" w:rsidP="00D671E2">
      <w:pPr>
        <w:spacing w:after="0" w:line="240" w:lineRule="auto"/>
        <w:ind w:left="709" w:hanging="283"/>
        <w:jc w:val="both"/>
        <w:rPr>
          <w:rFonts w:ascii="Times New Roman" w:eastAsia="Times New Roman" w:hAnsi="Times New Roman" w:cs="Times New Roman"/>
          <w:lang w:val="de-DE" w:eastAsia="en-GB"/>
        </w:rPr>
      </w:pPr>
    </w:p>
    <w:p w:rsidR="00D671E2" w:rsidRPr="00D671E2" w:rsidRDefault="00D671E2" w:rsidP="00D671E2">
      <w:pPr>
        <w:spacing w:after="0" w:line="240" w:lineRule="auto"/>
        <w:ind w:left="709"/>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 xml:space="preserve">Dazu gehören u.a. EU-Taxonomie für nachhaltige Finanzen, Green </w:t>
      </w:r>
      <w:proofErr w:type="spellStart"/>
      <w:r w:rsidRPr="00D671E2">
        <w:rPr>
          <w:rFonts w:ascii="Times New Roman" w:eastAsia="Times New Roman" w:hAnsi="Times New Roman" w:cs="Times New Roman"/>
          <w:lang w:val="de-DE" w:eastAsia="en-GB"/>
        </w:rPr>
        <w:t>Recovery</w:t>
      </w:r>
      <w:proofErr w:type="spellEnd"/>
      <w:r w:rsidRPr="00D671E2">
        <w:rPr>
          <w:rFonts w:ascii="Times New Roman" w:eastAsia="Times New Roman" w:hAnsi="Times New Roman" w:cs="Times New Roman"/>
          <w:lang w:val="de-DE" w:eastAsia="en-GB"/>
        </w:rPr>
        <w:t>, Modernisierungs- / Innovationsfonds;</w:t>
      </w: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p>
    <w:p w:rsidR="00D671E2" w:rsidRDefault="00D671E2" w:rsidP="00D671E2">
      <w:pPr>
        <w:spacing w:after="0" w:line="240" w:lineRule="auto"/>
        <w:ind w:left="426"/>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Wir suchen eine Kollegin/einen Kollegen:</w:t>
      </w:r>
    </w:p>
    <w:p w:rsidR="00D671E2" w:rsidRPr="00D671E2" w:rsidRDefault="00D671E2" w:rsidP="00D671E2">
      <w:pPr>
        <w:spacing w:after="0" w:line="240" w:lineRule="auto"/>
        <w:ind w:left="426"/>
        <w:jc w:val="both"/>
        <w:rPr>
          <w:rFonts w:ascii="Times New Roman" w:eastAsia="Times New Roman" w:hAnsi="Times New Roman" w:cs="Times New Roman"/>
          <w:lang w:val="de-DE" w:eastAsia="en-GB"/>
        </w:rPr>
      </w:pPr>
    </w:p>
    <w:p w:rsidR="00D671E2" w:rsidRPr="00D671E2" w:rsidRDefault="00D671E2" w:rsidP="00D671E2">
      <w:pPr>
        <w:pStyle w:val="ListParagraph"/>
        <w:numPr>
          <w:ilvl w:val="0"/>
          <w:numId w:val="24"/>
        </w:numPr>
        <w:spacing w:after="0" w:line="240" w:lineRule="auto"/>
        <w:ind w:left="709" w:hanging="295"/>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Mit guten Fähigkeiten, Probleme zu identifizieren, Lösungen zu entwickeln und zeitnah Resultate von hoher Qualität zu liefern;</w:t>
      </w:r>
    </w:p>
    <w:p w:rsidR="00D671E2" w:rsidRPr="00D671E2" w:rsidRDefault="00D671E2" w:rsidP="00D671E2">
      <w:pPr>
        <w:pStyle w:val="ListParagraph"/>
        <w:numPr>
          <w:ilvl w:val="0"/>
          <w:numId w:val="24"/>
        </w:numPr>
        <w:spacing w:after="0" w:line="240" w:lineRule="auto"/>
        <w:ind w:left="709" w:hanging="295"/>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Kenntnisse oder Erfahrung im gesamten Projektzyklus und in der Finanzierung von Infrastrukturvorhaben – vor allem durch finanzielle Strukturierung – im Energiebereich wäre von Vorteil;</w:t>
      </w:r>
    </w:p>
    <w:p w:rsidR="00950BA5" w:rsidRPr="00D671E2" w:rsidRDefault="00D671E2" w:rsidP="00D671E2">
      <w:pPr>
        <w:pStyle w:val="ListParagraph"/>
        <w:numPr>
          <w:ilvl w:val="0"/>
          <w:numId w:val="24"/>
        </w:numPr>
        <w:spacing w:after="0" w:line="240" w:lineRule="auto"/>
        <w:ind w:left="709" w:hanging="295"/>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Sehr gute Fähigkeiten in Organisation und Kommunikation. Der Kollege/die Kollegin sollte nachweisliche Fähigkeiten als Team Player haben, Initiative ergreifen und – wann immer erforderlich – selbstständig arbeiten können. Gleichfalls sollte er/sie die Fähigkeit haben, rasch neue Kompetenzen zu erwerben.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D671E2" w:rsidRPr="00D671E2">
        <w:rPr>
          <w:rFonts w:ascii="Times New Roman" w:eastAsia="Times New Roman" w:hAnsi="Times New Roman" w:cs="Times New Roman"/>
          <w:lang w:val="de-DE" w:eastAsia="en-GB"/>
        </w:rPr>
        <w:t>Wirtschaftswissenschaften, Betriebswirtschaftslehre, Ingenieurwesen, Finanz- oder Rechtswissenschaften</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Pr="00D671E2" w:rsidRDefault="00D671E2" w:rsidP="00D671E2">
      <w:pPr>
        <w:tabs>
          <w:tab w:val="left" w:pos="1560"/>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N</w:t>
      </w:r>
      <w:r w:rsidRPr="00D671E2">
        <w:rPr>
          <w:rFonts w:ascii="Times New Roman" w:eastAsia="Times New Roman" w:hAnsi="Times New Roman" w:cs="Times New Roman"/>
          <w:lang w:val="de-DE" w:eastAsia="en-GB"/>
        </w:rPr>
        <w:t xml:space="preserve">achweisliche Erfahrung in Unterstützung von Projektvorbereitung und/oder Due Diligence und Überwachung von Großprojekten, bevorzugt im Energiebereich in mehreren Mitgliedstaaten </w:t>
      </w:r>
      <w:r w:rsidR="00CC4C27" w:rsidRPr="00D671E2">
        <w:rPr>
          <w:rFonts w:ascii="Times New Roman" w:eastAsia="Times New Roman" w:hAnsi="Times New Roman" w:cs="Times New Roman"/>
          <w:lang w:val="de-DE" w:eastAsia="en-GB"/>
        </w:rPr>
        <w:t>berufliche Kompetenz, sind von Vorteil.</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D671E2"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D671E2">
        <w:rPr>
          <w:rFonts w:ascii="Times New Roman" w:eastAsia="Times New Roman" w:hAnsi="Times New Roman" w:cs="Times New Roman"/>
          <w:lang w:val="de-DE" w:eastAsia="en-GB"/>
        </w:rPr>
        <w:t>Sehr gute Englischkenntnisse und die Fähigkeit, klar strukturierte und überzeugende Entwürfe politischen oder technischen Inhalts zu verfassen. Kenntnis anderer EU-Sprachen wäre von Vorteil</w:t>
      </w:r>
      <w:r>
        <w:rPr>
          <w:rFonts w:ascii="Times New Roman" w:eastAsia="Times New Roman" w:hAnsi="Times New Roman" w:cs="Times New Roman"/>
          <w:lang w:val="de-DE" w:eastAsia="en-GB"/>
        </w:rPr>
        <w:t>.</w:t>
      </w:r>
    </w:p>
    <w:p w:rsidR="00D671E2" w:rsidRDefault="00D671E2" w:rsidP="00E40791">
      <w:pPr>
        <w:tabs>
          <w:tab w:val="left" w:pos="709"/>
        </w:tabs>
        <w:spacing w:after="0" w:line="240" w:lineRule="auto"/>
        <w:ind w:left="709" w:right="60"/>
        <w:jc w:val="both"/>
        <w:rPr>
          <w:rFonts w:ascii="Times New Roman" w:eastAsia="Times New Roman" w:hAnsi="Times New Roman" w:cs="Times New Roman"/>
          <w:lang w:val="de-DE" w:eastAsia="en-GB"/>
        </w:rPr>
      </w:pPr>
    </w:p>
    <w:p w:rsidR="00D671E2" w:rsidRPr="001E0FBD" w:rsidRDefault="00D671E2" w:rsidP="00E40791">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C4C27" w:rsidRDefault="00CC4C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30BD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883"/>
    <w:multiLevelType w:val="hybridMultilevel"/>
    <w:tmpl w:val="449C94E8"/>
    <w:lvl w:ilvl="0" w:tplc="F8741CF4">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3686959"/>
    <w:multiLevelType w:val="hybridMultilevel"/>
    <w:tmpl w:val="710A2F12"/>
    <w:lvl w:ilvl="0" w:tplc="A3CC5D10">
      <w:start w:val="1"/>
      <w:numFmt w:val="bullet"/>
      <w:lvlText w:val="-"/>
      <w:lvlJc w:val="left"/>
      <w:pPr>
        <w:ind w:left="2869" w:hanging="360"/>
      </w:pPr>
      <w:rPr>
        <w:rFonts w:ascii="Times New Roman" w:hAnsi="Times New Roman" w:hint="default"/>
        <w:sz w:val="22"/>
      </w:rPr>
    </w:lvl>
    <w:lvl w:ilvl="1" w:tplc="08090003" w:tentative="1">
      <w:start w:val="1"/>
      <w:numFmt w:val="bullet"/>
      <w:lvlText w:val="o"/>
      <w:lvlJc w:val="left"/>
      <w:pPr>
        <w:ind w:left="3589" w:hanging="360"/>
      </w:pPr>
      <w:rPr>
        <w:rFonts w:ascii="Courier New" w:hAnsi="Courier New" w:cs="Courier New" w:hint="default"/>
      </w:rPr>
    </w:lvl>
    <w:lvl w:ilvl="2" w:tplc="08090005" w:tentative="1">
      <w:start w:val="1"/>
      <w:numFmt w:val="bullet"/>
      <w:lvlText w:val=""/>
      <w:lvlJc w:val="left"/>
      <w:pPr>
        <w:ind w:left="4309" w:hanging="360"/>
      </w:pPr>
      <w:rPr>
        <w:rFonts w:ascii="Wingdings" w:hAnsi="Wingdings" w:hint="default"/>
      </w:rPr>
    </w:lvl>
    <w:lvl w:ilvl="3" w:tplc="08090001" w:tentative="1">
      <w:start w:val="1"/>
      <w:numFmt w:val="bullet"/>
      <w:lvlText w:val=""/>
      <w:lvlJc w:val="left"/>
      <w:pPr>
        <w:ind w:left="5029" w:hanging="360"/>
      </w:pPr>
      <w:rPr>
        <w:rFonts w:ascii="Symbol" w:hAnsi="Symbol" w:hint="default"/>
      </w:rPr>
    </w:lvl>
    <w:lvl w:ilvl="4" w:tplc="08090003" w:tentative="1">
      <w:start w:val="1"/>
      <w:numFmt w:val="bullet"/>
      <w:lvlText w:val="o"/>
      <w:lvlJc w:val="left"/>
      <w:pPr>
        <w:ind w:left="5749" w:hanging="360"/>
      </w:pPr>
      <w:rPr>
        <w:rFonts w:ascii="Courier New" w:hAnsi="Courier New" w:cs="Courier New" w:hint="default"/>
      </w:rPr>
    </w:lvl>
    <w:lvl w:ilvl="5" w:tplc="08090005" w:tentative="1">
      <w:start w:val="1"/>
      <w:numFmt w:val="bullet"/>
      <w:lvlText w:val=""/>
      <w:lvlJc w:val="left"/>
      <w:pPr>
        <w:ind w:left="6469" w:hanging="360"/>
      </w:pPr>
      <w:rPr>
        <w:rFonts w:ascii="Wingdings" w:hAnsi="Wingdings" w:hint="default"/>
      </w:rPr>
    </w:lvl>
    <w:lvl w:ilvl="6" w:tplc="08090001" w:tentative="1">
      <w:start w:val="1"/>
      <w:numFmt w:val="bullet"/>
      <w:lvlText w:val=""/>
      <w:lvlJc w:val="left"/>
      <w:pPr>
        <w:ind w:left="7189" w:hanging="360"/>
      </w:pPr>
      <w:rPr>
        <w:rFonts w:ascii="Symbol" w:hAnsi="Symbol" w:hint="default"/>
      </w:rPr>
    </w:lvl>
    <w:lvl w:ilvl="7" w:tplc="08090003" w:tentative="1">
      <w:start w:val="1"/>
      <w:numFmt w:val="bullet"/>
      <w:lvlText w:val="o"/>
      <w:lvlJc w:val="left"/>
      <w:pPr>
        <w:ind w:left="7909" w:hanging="360"/>
      </w:pPr>
      <w:rPr>
        <w:rFonts w:ascii="Courier New" w:hAnsi="Courier New" w:cs="Courier New" w:hint="default"/>
      </w:rPr>
    </w:lvl>
    <w:lvl w:ilvl="8" w:tplc="08090005" w:tentative="1">
      <w:start w:val="1"/>
      <w:numFmt w:val="bullet"/>
      <w:lvlText w:val=""/>
      <w:lvlJc w:val="left"/>
      <w:pPr>
        <w:ind w:left="862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BD088F"/>
    <w:multiLevelType w:val="hybridMultilevel"/>
    <w:tmpl w:val="10F855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ECE79C9"/>
    <w:multiLevelType w:val="hybridMultilevel"/>
    <w:tmpl w:val="DC08C2D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FE957C8"/>
    <w:multiLevelType w:val="hybridMultilevel"/>
    <w:tmpl w:val="9B00B4B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FEA7CF8"/>
    <w:multiLevelType w:val="hybridMultilevel"/>
    <w:tmpl w:val="EEDAB4D8"/>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74D4AA9"/>
    <w:multiLevelType w:val="hybridMultilevel"/>
    <w:tmpl w:val="707CACB6"/>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CA36F84"/>
    <w:multiLevelType w:val="hybridMultilevel"/>
    <w:tmpl w:val="9DF415BA"/>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CA533AC"/>
    <w:multiLevelType w:val="hybridMultilevel"/>
    <w:tmpl w:val="141E2A7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46134FC"/>
    <w:multiLevelType w:val="hybridMultilevel"/>
    <w:tmpl w:val="B7D6292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FE2716"/>
    <w:multiLevelType w:val="hybridMultilevel"/>
    <w:tmpl w:val="4636DD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0EE2894"/>
    <w:multiLevelType w:val="hybridMultilevel"/>
    <w:tmpl w:val="B628C07C"/>
    <w:lvl w:ilvl="0" w:tplc="A3CC5D10">
      <w:start w:val="1"/>
      <w:numFmt w:val="bullet"/>
      <w:lvlText w:val="-"/>
      <w:lvlJc w:val="left"/>
      <w:pPr>
        <w:ind w:left="1429" w:hanging="360"/>
      </w:pPr>
      <w:rPr>
        <w:rFonts w:ascii="Times New Roman" w:hAnsi="Times New Roman" w:hint="default"/>
        <w:sz w:val="22"/>
      </w:rPr>
    </w:lvl>
    <w:lvl w:ilvl="1" w:tplc="D1BA539A">
      <w:numFmt w:val="bullet"/>
      <w:lvlText w:val=""/>
      <w:lvlJc w:val="left"/>
      <w:pPr>
        <w:ind w:left="2149" w:hanging="360"/>
      </w:pPr>
      <w:rPr>
        <w:rFonts w:ascii="Symbol" w:eastAsia="Times New Roman" w:hAnsi="Symbol"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2"/>
  </w:num>
  <w:num w:numId="3">
    <w:abstractNumId w:val="15"/>
  </w:num>
  <w:num w:numId="4">
    <w:abstractNumId w:val="2"/>
  </w:num>
  <w:num w:numId="5">
    <w:abstractNumId w:val="13"/>
  </w:num>
  <w:num w:numId="6">
    <w:abstractNumId w:val="5"/>
  </w:num>
  <w:num w:numId="7">
    <w:abstractNumId w:val="20"/>
  </w:num>
  <w:num w:numId="8">
    <w:abstractNumId w:val="12"/>
  </w:num>
  <w:num w:numId="9">
    <w:abstractNumId w:val="3"/>
  </w:num>
  <w:num w:numId="10">
    <w:abstractNumId w:val="10"/>
  </w:num>
  <w:num w:numId="11">
    <w:abstractNumId w:val="4"/>
  </w:num>
  <w:num w:numId="12">
    <w:abstractNumId w:val="23"/>
  </w:num>
  <w:num w:numId="13">
    <w:abstractNumId w:val="18"/>
  </w:num>
  <w:num w:numId="14">
    <w:abstractNumId w:val="16"/>
  </w:num>
  <w:num w:numId="15">
    <w:abstractNumId w:val="17"/>
  </w:num>
  <w:num w:numId="16">
    <w:abstractNumId w:val="0"/>
  </w:num>
  <w:num w:numId="17">
    <w:abstractNumId w:val="21"/>
  </w:num>
  <w:num w:numId="18">
    <w:abstractNumId w:val="1"/>
  </w:num>
  <w:num w:numId="19">
    <w:abstractNumId w:val="19"/>
  </w:num>
  <w:num w:numId="20">
    <w:abstractNumId w:val="14"/>
  </w:num>
  <w:num w:numId="21">
    <w:abstractNumId w:val="8"/>
  </w:num>
  <w:num w:numId="22">
    <w:abstractNumId w:val="9"/>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381621"/>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C4C27"/>
    <w:rsid w:val="00CF677F"/>
    <w:rsid w:val="00D4449A"/>
    <w:rsid w:val="00D64903"/>
    <w:rsid w:val="00D671E2"/>
    <w:rsid w:val="00E21280"/>
    <w:rsid w:val="00E30BD2"/>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E7B4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chim.balk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1311</Words>
  <Characters>9496</Characters>
  <Application>Microsoft Office Word</Application>
  <DocSecurity>0</DocSecurity>
  <Lines>202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2020-10-12T10:24:00Z</dcterms:created>
  <dcterms:modified xsi:type="dcterms:W3CDTF">2020-10-12T10:26:00Z</dcterms:modified>
</cp:coreProperties>
</file>