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15194"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15194" w:rsidRPr="00A15194" w:rsidRDefault="00A15194" w:rsidP="00A15194">
            <w:pPr>
              <w:rPr>
                <w:rFonts w:ascii="Times New Roman" w:hAnsi="Times New Roman" w:cs="Times New Roman"/>
                <w:b/>
              </w:rPr>
            </w:pPr>
            <w:r w:rsidRPr="00A15194">
              <w:rPr>
                <w:rFonts w:ascii="Times New Roman" w:hAnsi="Times New Roman" w:cs="Times New Roman"/>
                <w:b/>
              </w:rPr>
              <w:t>Fotini IOANNIDOU</w:t>
            </w:r>
          </w:p>
          <w:p w:rsidR="00A15194" w:rsidRPr="00A15194" w:rsidRDefault="00A15194" w:rsidP="00A15194">
            <w:pPr>
              <w:rPr>
                <w:rFonts w:ascii="Times New Roman" w:hAnsi="Times New Roman" w:cs="Times New Roman"/>
                <w:b/>
              </w:rPr>
            </w:pPr>
            <w:hyperlink r:id="rId8" w:history="1">
              <w:r w:rsidRPr="001C4F70">
                <w:rPr>
                  <w:rStyle w:val="Hyperlink"/>
                  <w:rFonts w:ascii="Times New Roman" w:hAnsi="Times New Roman" w:cs="Times New Roman"/>
                  <w:b/>
                </w:rPr>
                <w:t>fotini.ioannidou@ec.europa.eu</w:t>
              </w:r>
            </w:hyperlink>
            <w:r>
              <w:rPr>
                <w:rFonts w:ascii="Times New Roman" w:hAnsi="Times New Roman" w:cs="Times New Roman"/>
                <w:b/>
              </w:rPr>
              <w:t xml:space="preserve"> </w:t>
            </w:r>
          </w:p>
          <w:p w:rsidR="00381739" w:rsidRDefault="00A15194" w:rsidP="00A15194">
            <w:pPr>
              <w:rPr>
                <w:rFonts w:ascii="Times New Roman" w:hAnsi="Times New Roman" w:cs="Times New Roman"/>
                <w:b/>
              </w:rPr>
            </w:pPr>
            <w:r w:rsidRPr="00A15194">
              <w:rPr>
                <w:rFonts w:ascii="Times New Roman" w:hAnsi="Times New Roman" w:cs="Times New Roman"/>
                <w:b/>
                <w:lang w:val="en-GB"/>
              </w:rPr>
              <w:t>+32 295 5548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A151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15194" w:rsidRDefault="00A15194" w:rsidP="00A15194">
      <w:pPr>
        <w:spacing w:after="0" w:line="240" w:lineRule="auto"/>
        <w:ind w:left="426"/>
        <w:contextualSpacing/>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La direction générale de la mobilité et des transports (DG MOVE) est chargée d'élaborer et de mettre en œuvre les politiques européennes dans le domaine des transports. Au sein de la DG MOVE, la direction C couvre le</w:t>
      </w:r>
      <w:proofErr w:type="gramStart"/>
      <w:r w:rsidRPr="00A15194">
        <w:rPr>
          <w:rFonts w:ascii="Times New Roman" w:eastAsia="Times New Roman" w:hAnsi="Times New Roman" w:cs="Times New Roman"/>
          <w:lang w:eastAsia="en-GB"/>
        </w:rPr>
        <w:t xml:space="preserve"> «Transport</w:t>
      </w:r>
      <w:proofErr w:type="gramEnd"/>
      <w:r w:rsidRPr="00A15194">
        <w:rPr>
          <w:rFonts w:ascii="Times New Roman" w:eastAsia="Times New Roman" w:hAnsi="Times New Roman" w:cs="Times New Roman"/>
          <w:lang w:eastAsia="en-GB"/>
        </w:rPr>
        <w:t xml:space="preserve"> terrestre», englobant les domaines routier, de sécurité routière et ferroviaire. L'unité C2 est responsable de la politique de sécurité routière. Les principales tâches de l'unité sont:</w:t>
      </w: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p>
    <w:p w:rsidR="00A15194" w:rsidRPr="00A15194" w:rsidRDefault="00A15194" w:rsidP="00A15194">
      <w:pPr>
        <w:pStyle w:val="ListParagraph"/>
        <w:numPr>
          <w:ilvl w:val="0"/>
          <w:numId w:val="13"/>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Développement de politiques, en particulier le travail sur l’objectif et les mesures concrètes pour le plan Vision Zéro (zéro décès sur les routes européennes d'ici 2050);</w:t>
      </w:r>
    </w:p>
    <w:p w:rsidR="00A15194" w:rsidRPr="00A15194" w:rsidRDefault="00A15194" w:rsidP="00A15194">
      <w:pPr>
        <w:pStyle w:val="ListParagraph"/>
        <w:numPr>
          <w:ilvl w:val="0"/>
          <w:numId w:val="13"/>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 développement de mesures législatives et non législatives sur la base des orientations politiques en matière de sécurité routière 2001-2020 et 2021-2030;</w:t>
      </w:r>
    </w:p>
    <w:p w:rsidR="00A15194" w:rsidRPr="00A15194" w:rsidRDefault="00A15194" w:rsidP="00A15194">
      <w:pPr>
        <w:pStyle w:val="ListParagraph"/>
        <w:numPr>
          <w:ilvl w:val="0"/>
          <w:numId w:val="13"/>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 contrôle de l'application de la législation européenne en matière de sécurité routière par les États membres; et</w:t>
      </w:r>
    </w:p>
    <w:p w:rsidR="00A15194" w:rsidRPr="00A15194" w:rsidRDefault="00A15194" w:rsidP="00A15194">
      <w:pPr>
        <w:pStyle w:val="ListParagraph"/>
        <w:numPr>
          <w:ilvl w:val="0"/>
          <w:numId w:val="13"/>
        </w:num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O</w:t>
      </w:r>
      <w:r w:rsidRPr="00A15194">
        <w:rPr>
          <w:rFonts w:ascii="Times New Roman" w:eastAsia="Times New Roman" w:hAnsi="Times New Roman" w:cs="Times New Roman"/>
          <w:lang w:eastAsia="en-GB"/>
        </w:rPr>
        <w:t>rganis</w:t>
      </w:r>
      <w:r>
        <w:rPr>
          <w:rFonts w:ascii="Times New Roman" w:eastAsia="Times New Roman" w:hAnsi="Times New Roman" w:cs="Times New Roman"/>
          <w:lang w:eastAsia="en-GB"/>
        </w:rPr>
        <w:t>ation</w:t>
      </w:r>
      <w:r w:rsidRPr="00A15194">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d</w:t>
      </w:r>
      <w:r w:rsidRPr="00A15194">
        <w:rPr>
          <w:rFonts w:ascii="Times New Roman" w:eastAsia="Times New Roman" w:hAnsi="Times New Roman" w:cs="Times New Roman"/>
          <w:lang w:eastAsia="en-GB"/>
        </w:rPr>
        <w:t>es activités de promotion et de sensibilisation dans le domaine de la sécurité routière.</w:t>
      </w: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 xml:space="preserve">L'END participera activement aux tâches de l'unité consistant à concevoir, développer, mettre en œuvre et contrôler les politiques européennes et les activités connexes dans le domaine de la sécurité routière, en coopération avec le Parlement européen, les États membres et les parties prenantes. Il / elle contribuera spécifiquement, sous la supervision d’un administrateur senior, à la gestion du paquet contrôle technique et des 3 Directives qui en découlent, sur les documents d'immatriculation des véhicules (directive 2014/46/UE), le contrôle technique périodique (directive 2014/45/UE) et le contrôle technique routier des véhicules utilitaires (directive 2014/47/UE). </w:t>
      </w: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En particulier, il/elle devra contribuer, sous la supervision d’un administrateur senior, à la mise en œuvre et à la révision éventuelle du paquet Contrôle technique, qui comprend:</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lastRenderedPageBreak/>
        <w:t>L’achèvement du contrôle de transposition et le lancement des infractions potentielles si nécessaire.</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La contribution à la préparation des comités et groupes d'experts pertinents</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 lancement des travaux préparatoires (par exemple des études) et la préparation des actes délégués pour adapter la loi au progrès technique (par exemple pour l'inclusion d'</w:t>
      </w:r>
      <w:proofErr w:type="spellStart"/>
      <w:r w:rsidRPr="00A15194">
        <w:rPr>
          <w:rFonts w:ascii="Times New Roman" w:eastAsia="Times New Roman" w:hAnsi="Times New Roman" w:cs="Times New Roman"/>
          <w:lang w:eastAsia="en-GB"/>
        </w:rPr>
        <w:t>eCall</w:t>
      </w:r>
      <w:proofErr w:type="spellEnd"/>
      <w:r w:rsidRPr="00A15194">
        <w:rPr>
          <w:rFonts w:ascii="Times New Roman" w:eastAsia="Times New Roman" w:hAnsi="Times New Roman" w:cs="Times New Roman"/>
          <w:lang w:eastAsia="en-GB"/>
        </w:rPr>
        <w:t xml:space="preserve"> ou d'autres systèmes dans les contrôles techniques périodiques)</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La préparation des rapports au Conseil et au Parlement conformément aux directives</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 Lancement de l'évaluation ex post des trois directives pour préparer une éventuelle révision de la législation</w:t>
      </w:r>
    </w:p>
    <w:p w:rsidR="00A15194" w:rsidRPr="00A15194" w:rsidRDefault="00A15194" w:rsidP="00A15194">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Les travaux préparatoires sur l’odomètre, suite au rapport d'initiative du Parlement européen sur la fraude au compteur kilométrique (kilométrage), adopté en mai 2018, qui demande à la Commission de proposer une révision de la législation sur le contrôle technique afin de rendre obligatoire l'échange électronique des données kilométriques entre administrations.</w:t>
      </w:r>
    </w:p>
    <w:p w:rsidR="00A15194" w:rsidRPr="00A15194" w:rsidRDefault="00A15194" w:rsidP="00A15194">
      <w:pPr>
        <w:spacing w:after="0" w:line="240" w:lineRule="auto"/>
        <w:ind w:left="426"/>
        <w:contextualSpacing/>
        <w:jc w:val="both"/>
        <w:rPr>
          <w:rFonts w:ascii="Times New Roman" w:eastAsia="Times New Roman" w:hAnsi="Times New Roman" w:cs="Times New Roman"/>
          <w:lang w:eastAsia="en-GB"/>
        </w:rPr>
      </w:pPr>
    </w:p>
    <w:p w:rsidR="001F18BF" w:rsidRPr="001F18BF" w:rsidRDefault="00A15194" w:rsidP="00A15194">
      <w:pPr>
        <w:spacing w:after="0" w:line="240" w:lineRule="auto"/>
        <w:ind w:left="426"/>
        <w:contextualSpacing/>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Les tâches de l'END comprennent également le contrôle de la mise en œuvre de la législation actuelle et des contributions à la rédaction de notes d'orientation politique et de briefings, de documents d'information, de textes juridiques, de réponses à des correspondances ainsi qu’à des questions parlementaires et des consultations interservices, etc</w:t>
      </w:r>
      <w:r>
        <w:rPr>
          <w:rFonts w:ascii="Times New Roman" w:eastAsia="Times New Roman" w:hAnsi="Times New Roman" w:cs="Times New Roman"/>
          <w:lang w:eastAsia="en-GB"/>
        </w:rPr>
        <w:t>.</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A15194">
        <w:rPr>
          <w:rFonts w:ascii="Times New Roman" w:eastAsia="Times New Roman" w:hAnsi="Times New Roman" w:cs="Times New Roman"/>
          <w:lang w:eastAsia="en-GB"/>
        </w:rPr>
        <w:t>é</w:t>
      </w:r>
      <w:r w:rsidR="00A15194" w:rsidRPr="00A15194">
        <w:rPr>
          <w:rFonts w:ascii="Times New Roman" w:eastAsia="Times New Roman" w:hAnsi="Times New Roman" w:cs="Times New Roman"/>
          <w:lang w:eastAsia="en-GB"/>
        </w:rPr>
        <w:t>conomie, administration publique, droit ou ingénierie</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15194" w:rsidRPr="00A15194" w:rsidRDefault="00A15194" w:rsidP="00A15194">
      <w:pPr>
        <w:pStyle w:val="ListParagraph"/>
        <w:numPr>
          <w:ilvl w:val="0"/>
          <w:numId w:val="17"/>
        </w:numPr>
        <w:tabs>
          <w:tab w:val="left" w:pos="1276"/>
        </w:tabs>
        <w:spacing w:after="0" w:line="240" w:lineRule="auto"/>
        <w:ind w:left="993" w:right="60" w:hanging="284"/>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Au moins 3 ans d'expérience de travail dans un environnement administratif couvrant un domaine lié à la politique des transports;</w:t>
      </w:r>
    </w:p>
    <w:p w:rsidR="00A15194" w:rsidRPr="00A15194" w:rsidRDefault="00A15194" w:rsidP="00A15194">
      <w:pPr>
        <w:pStyle w:val="ListParagraph"/>
        <w:numPr>
          <w:ilvl w:val="0"/>
          <w:numId w:val="17"/>
        </w:numPr>
        <w:tabs>
          <w:tab w:val="left" w:pos="1276"/>
        </w:tabs>
        <w:spacing w:after="0" w:line="240" w:lineRule="auto"/>
        <w:ind w:left="993" w:right="60" w:hanging="284"/>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Une expérience dans le domaine du contrôle technique est exigée, un profile de juriste serait un avantage;</w:t>
      </w:r>
    </w:p>
    <w:p w:rsidR="00803AF5" w:rsidRPr="00F42D24" w:rsidRDefault="00A15194" w:rsidP="00A15194">
      <w:pPr>
        <w:pStyle w:val="ListParagraph"/>
        <w:numPr>
          <w:ilvl w:val="0"/>
          <w:numId w:val="17"/>
        </w:numPr>
        <w:tabs>
          <w:tab w:val="left" w:pos="1276"/>
        </w:tabs>
        <w:spacing w:after="0" w:line="240" w:lineRule="auto"/>
        <w:ind w:left="993" w:right="60" w:hanging="284"/>
        <w:jc w:val="both"/>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Connaissance des procédures législatives de l'UE et de la politique générale sur la sécurité routière serait un avantage</w:t>
      </w:r>
      <w:r w:rsidR="00892A2B" w:rsidRPr="00892A2B">
        <w:rPr>
          <w:rFonts w:ascii="Times New Roman" w:eastAsia="Times New Roman" w:hAnsi="Times New Roman" w:cs="Times New Roman"/>
          <w:lang w:eastAsia="en-GB"/>
        </w:rPr>
        <w:t>.</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A15194" w:rsidP="001F18BF">
      <w:pPr>
        <w:spacing w:after="0" w:line="240" w:lineRule="auto"/>
        <w:ind w:left="709"/>
        <w:rPr>
          <w:rFonts w:ascii="Times New Roman" w:eastAsia="Times New Roman" w:hAnsi="Times New Roman" w:cs="Times New Roman"/>
          <w:lang w:eastAsia="en-GB"/>
        </w:rPr>
      </w:pPr>
      <w:r w:rsidRPr="00A15194">
        <w:rPr>
          <w:rFonts w:ascii="Times New Roman" w:eastAsia="Times New Roman" w:hAnsi="Times New Roman" w:cs="Times New Roman"/>
          <w:lang w:eastAsia="en-GB"/>
        </w:rPr>
        <w:t xml:space="preserve">Une très bonne connaissance de la langue anglaise y compris sur le plan rédactionnel est un </w:t>
      </w:r>
      <w:proofErr w:type="spellStart"/>
      <w:r w:rsidRPr="00A15194">
        <w:rPr>
          <w:rFonts w:ascii="Times New Roman" w:eastAsia="Times New Roman" w:hAnsi="Times New Roman" w:cs="Times New Roman"/>
          <w:lang w:eastAsia="en-GB"/>
        </w:rPr>
        <w:t>pré-</w:t>
      </w:r>
      <w:r>
        <w:rPr>
          <w:rFonts w:ascii="Times New Roman" w:eastAsia="Times New Roman" w:hAnsi="Times New Roman" w:cs="Times New Roman"/>
          <w:lang w:eastAsia="en-GB"/>
        </w:rPr>
        <w:t>requis</w:t>
      </w:r>
      <w:proofErr w:type="spellEnd"/>
      <w:r w:rsidRPr="00A15194">
        <w:rPr>
          <w:rFonts w:ascii="Times New Roman" w:eastAsia="Times New Roman" w:hAnsi="Times New Roman" w:cs="Times New Roman"/>
          <w:lang w:eastAsia="en-GB"/>
        </w:rPr>
        <w:t>. La connaissance satisfaisante d'autres langues communautaires est un plus.</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bookmarkStart w:id="0" w:name="_GoBack"/>
      <w:bookmarkEnd w:id="0"/>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1519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81B12EC"/>
    <w:multiLevelType w:val="hybridMultilevel"/>
    <w:tmpl w:val="4F341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C9363F"/>
    <w:multiLevelType w:val="hybridMultilevel"/>
    <w:tmpl w:val="66900DA8"/>
    <w:lvl w:ilvl="0" w:tplc="66DC95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613F092F"/>
    <w:multiLevelType w:val="hybridMultilevel"/>
    <w:tmpl w:val="1DF80A2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670E56C6"/>
    <w:multiLevelType w:val="hybridMultilevel"/>
    <w:tmpl w:val="797E76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650AA2"/>
    <w:multiLevelType w:val="hybridMultilevel"/>
    <w:tmpl w:val="F118D87E"/>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7"/>
  </w:num>
  <w:num w:numId="2">
    <w:abstractNumId w:val="3"/>
  </w:num>
  <w:num w:numId="3">
    <w:abstractNumId w:val="15"/>
  </w:num>
  <w:num w:numId="4">
    <w:abstractNumId w:val="8"/>
  </w:num>
  <w:num w:numId="5">
    <w:abstractNumId w:val="5"/>
  </w:num>
  <w:num w:numId="6">
    <w:abstractNumId w:val="1"/>
  </w:num>
  <w:num w:numId="7">
    <w:abstractNumId w:val="10"/>
  </w:num>
  <w:num w:numId="8">
    <w:abstractNumId w:val="6"/>
  </w:num>
  <w:num w:numId="9">
    <w:abstractNumId w:val="11"/>
  </w:num>
  <w:num w:numId="10">
    <w:abstractNumId w:val="2"/>
  </w:num>
  <w:num w:numId="11">
    <w:abstractNumId w:val="0"/>
  </w:num>
  <w:num w:numId="12">
    <w:abstractNumId w:val="14"/>
  </w:num>
  <w:num w:numId="13">
    <w:abstractNumId w:val="13"/>
  </w:num>
  <w:num w:numId="14">
    <w:abstractNumId w:val="9"/>
  </w:num>
  <w:num w:numId="15">
    <w:abstractNumId w:val="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902804"/>
    <w:rsid w:val="00A1519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5E7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1631</Words>
  <Characters>9479</Characters>
  <Application>Microsoft Office Word</Application>
  <DocSecurity>0</DocSecurity>
  <Lines>197</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2020-09-11T09:30:00Z</dcterms:created>
  <dcterms:modified xsi:type="dcterms:W3CDTF">2020-09-11T09:30:00Z</dcterms:modified>
</cp:coreProperties>
</file>