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F18BF"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F18BF" w:rsidRPr="001F18BF" w:rsidRDefault="001F18BF" w:rsidP="001F18BF">
            <w:pPr>
              <w:rPr>
                <w:rFonts w:ascii="Times New Roman" w:hAnsi="Times New Roman" w:cs="Times New Roman"/>
                <w:b/>
                <w:lang w:val="en-GB"/>
              </w:rPr>
            </w:pPr>
            <w:r w:rsidRPr="001F18BF">
              <w:rPr>
                <w:rFonts w:ascii="Times New Roman" w:hAnsi="Times New Roman" w:cs="Times New Roman"/>
                <w:b/>
                <w:lang w:val="en-GB"/>
              </w:rPr>
              <w:t>Reinhard BIEBEL</w:t>
            </w:r>
          </w:p>
          <w:p w:rsidR="001F18BF" w:rsidRPr="001F18BF" w:rsidRDefault="00B97A57" w:rsidP="001F18BF">
            <w:pPr>
              <w:rPr>
                <w:rFonts w:ascii="Times New Roman" w:hAnsi="Times New Roman" w:cs="Times New Roman"/>
                <w:b/>
                <w:lang w:val="en-GB"/>
              </w:rPr>
            </w:pPr>
            <w:hyperlink r:id="rId8" w:history="1">
              <w:r w:rsidR="001F18BF" w:rsidRPr="00067194">
                <w:rPr>
                  <w:rStyle w:val="Hyperlink"/>
                  <w:rFonts w:ascii="Times New Roman" w:hAnsi="Times New Roman" w:cs="Times New Roman"/>
                  <w:b/>
                  <w:lang w:val="en-GB"/>
                </w:rPr>
                <w:t>Reinhard.Biebel@ec.europa.eu</w:t>
              </w:r>
            </w:hyperlink>
            <w:r w:rsidR="001F18BF">
              <w:rPr>
                <w:rFonts w:ascii="Times New Roman" w:hAnsi="Times New Roman" w:cs="Times New Roman"/>
                <w:b/>
                <w:lang w:val="en-GB"/>
              </w:rPr>
              <w:t xml:space="preserve"> </w:t>
            </w:r>
          </w:p>
          <w:p w:rsidR="00381739" w:rsidRDefault="001F18BF" w:rsidP="001F18BF">
            <w:pPr>
              <w:rPr>
                <w:rFonts w:ascii="Times New Roman" w:hAnsi="Times New Roman" w:cs="Times New Roman"/>
                <w:b/>
              </w:rPr>
            </w:pPr>
            <w:r w:rsidRPr="00B97A57">
              <w:rPr>
                <w:rFonts w:ascii="Times New Roman" w:hAnsi="Times New Roman" w:cs="Times New Roman"/>
                <w:b/>
              </w:rPr>
              <w:t>+32 2 2955480</w:t>
            </w:r>
          </w:p>
          <w:p w:rsidR="00804B2F" w:rsidRPr="00381739" w:rsidRDefault="00B97A57" w:rsidP="00804B2F">
            <w:pPr>
              <w:rPr>
                <w:rFonts w:ascii="Times New Roman" w:hAnsi="Times New Roman" w:cs="Times New Roman"/>
                <w:b/>
              </w:rPr>
            </w:pPr>
            <w:r>
              <w:rPr>
                <w:rFonts w:ascii="Times New Roman" w:hAnsi="Times New Roman" w:cs="Times New Roman"/>
                <w:b/>
              </w:rPr>
              <w:t>2</w:t>
            </w:r>
            <w:bookmarkStart w:id="0" w:name="_GoBack"/>
            <w:bookmarkEnd w:id="0"/>
          </w:p>
          <w:p w:rsidR="00381739" w:rsidRPr="00381739" w:rsidRDefault="001F18BF"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1F18BF">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F18BF" w:rsidRPr="001F18BF" w:rsidRDefault="001F18BF" w:rsidP="001F18BF">
      <w:pPr>
        <w:spacing w:after="0" w:line="240" w:lineRule="auto"/>
        <w:ind w:left="426"/>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 xml:space="preserve">En tant que membre de notre unité, vous contribuez à définir diverses politiques et programmes en matière de fiscalité directe à l’intérieur et à l’extérieur de la Commission. Notre équipe est active dans plusieurs dossiers internationaux en matière de fiscalité directe, notamment la fiscalité des entreprises, la coopération administrative, l’échange d’informations, les audits conjoints, le règlement des litiges, les conventions fiscales, la fixation des prix de transfert, l’identification et la conformité des contribuables. </w:t>
      </w:r>
    </w:p>
    <w:p w:rsidR="001F18BF" w:rsidRPr="001F18BF" w:rsidRDefault="001F18BF" w:rsidP="001F18BF">
      <w:pPr>
        <w:spacing w:after="0" w:line="240" w:lineRule="auto"/>
        <w:ind w:left="426"/>
        <w:contextualSpacing/>
        <w:jc w:val="both"/>
        <w:rPr>
          <w:rFonts w:ascii="Times New Roman" w:eastAsia="Times New Roman" w:hAnsi="Times New Roman" w:cs="Times New Roman"/>
          <w:lang w:eastAsia="en-GB"/>
        </w:rPr>
      </w:pPr>
    </w:p>
    <w:p w:rsidR="001F18BF" w:rsidRPr="001F18BF" w:rsidRDefault="001F18BF" w:rsidP="001F18BF">
      <w:pPr>
        <w:spacing w:after="0" w:line="240" w:lineRule="auto"/>
        <w:ind w:left="426"/>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Ce rôle exige une expérience professionnelle au sein du gouvernement, de l’administration ou d’une agence de régulation, ainsi qu’une aptitude à saisir des défis techniques et politiques complexes.</w:t>
      </w:r>
    </w:p>
    <w:p w:rsidR="001F18BF" w:rsidRPr="001F18BF" w:rsidRDefault="001F18BF" w:rsidP="001F18BF">
      <w:pPr>
        <w:spacing w:after="0" w:line="240" w:lineRule="auto"/>
        <w:ind w:left="426"/>
        <w:contextualSpacing/>
        <w:jc w:val="both"/>
        <w:rPr>
          <w:rFonts w:ascii="Times New Roman" w:eastAsia="Times New Roman" w:hAnsi="Times New Roman" w:cs="Times New Roman"/>
          <w:lang w:eastAsia="en-GB"/>
        </w:rPr>
      </w:pPr>
    </w:p>
    <w:p w:rsidR="001F18BF" w:rsidRDefault="001F18BF" w:rsidP="001F18BF">
      <w:pPr>
        <w:spacing w:after="0" w:line="240" w:lineRule="auto"/>
        <w:ind w:left="426"/>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Les responsabilités peuvent varier en fonction de votre profil spécifique, mais, d’une manière générale, vous travaillerez</w:t>
      </w:r>
      <w:r>
        <w:rPr>
          <w:rFonts w:ascii="Times New Roman" w:eastAsia="Times New Roman" w:hAnsi="Times New Roman" w:cs="Times New Roman"/>
          <w:lang w:eastAsia="en-GB"/>
        </w:rPr>
        <w:t xml:space="preserve"> à</w:t>
      </w:r>
      <w:r w:rsidRPr="001F18BF">
        <w:rPr>
          <w:rFonts w:ascii="Times New Roman" w:eastAsia="Times New Roman" w:hAnsi="Times New Roman" w:cs="Times New Roman"/>
          <w:lang w:eastAsia="en-GB"/>
        </w:rPr>
        <w:t>:</w:t>
      </w:r>
    </w:p>
    <w:p w:rsidR="001F18BF" w:rsidRPr="001F18BF" w:rsidRDefault="001F18BF" w:rsidP="001F18BF">
      <w:pPr>
        <w:spacing w:after="0" w:line="240" w:lineRule="auto"/>
        <w:ind w:left="426"/>
        <w:contextualSpacing/>
        <w:jc w:val="both"/>
        <w:rPr>
          <w:rFonts w:ascii="Times New Roman" w:eastAsia="Times New Roman" w:hAnsi="Times New Roman" w:cs="Times New Roman"/>
          <w:lang w:eastAsia="en-GB"/>
        </w:rPr>
      </w:pPr>
    </w:p>
    <w:p w:rsidR="001F18BF" w:rsidRPr="001F18BF" w:rsidRDefault="001F18BF" w:rsidP="001F18BF">
      <w:pPr>
        <w:spacing w:after="0" w:line="240" w:lineRule="auto"/>
        <w:ind w:left="709" w:hanging="283"/>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w:t>
      </w:r>
      <w:r w:rsidRPr="001F18BF">
        <w:rPr>
          <w:rFonts w:ascii="Times New Roman" w:eastAsia="Times New Roman" w:hAnsi="Times New Roman" w:cs="Times New Roman"/>
          <w:lang w:eastAsia="en-GB"/>
        </w:rPr>
        <w:tab/>
        <w:t>Élaborer et suivre des dossiers de politique fiscale directe dans toute la gamme des domaines dans lesquels notre unité est active dans les domaines suivants: coopération administrative, échange d’informations, audits conjoints, règlement des litiges, conventions fiscales, identification et conformité des contribuables transfrontaliers, fiscalité des entreprises.</w:t>
      </w:r>
    </w:p>
    <w:p w:rsidR="001F18BF" w:rsidRPr="001F18BF" w:rsidRDefault="001F18BF" w:rsidP="001F18BF">
      <w:pPr>
        <w:spacing w:after="0" w:line="240" w:lineRule="auto"/>
        <w:ind w:left="709" w:hanging="283"/>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w:t>
      </w:r>
      <w:r w:rsidRPr="001F18BF">
        <w:rPr>
          <w:rFonts w:ascii="Times New Roman" w:eastAsia="Times New Roman" w:hAnsi="Times New Roman" w:cs="Times New Roman"/>
          <w:lang w:eastAsia="en-GB"/>
        </w:rPr>
        <w:tab/>
        <w:t>Nouer un dialogue direct avec les responsables politiques des États membres, de la Commission et d’autres organisations (principalement l’OCDE) et d’autres parties prenantes  sur les défis qui se posent.</w:t>
      </w:r>
    </w:p>
    <w:p w:rsidR="001F18BF" w:rsidRPr="001F18BF" w:rsidRDefault="001F18BF" w:rsidP="001F18BF">
      <w:pPr>
        <w:spacing w:after="0" w:line="240" w:lineRule="auto"/>
        <w:ind w:left="709" w:hanging="283"/>
        <w:contextualSpacing/>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w:t>
      </w:r>
      <w:r w:rsidRPr="001F18BF">
        <w:rPr>
          <w:rFonts w:ascii="Times New Roman" w:eastAsia="Times New Roman" w:hAnsi="Times New Roman" w:cs="Times New Roman"/>
          <w:lang w:eastAsia="en-GB"/>
        </w:rPr>
        <w:tab/>
        <w:t>Collaborer en tant que membre d’équipes interservices sur l’élaboration et la mise en œuvre d’autres projets importants pour la DG TAXUD et la Commission (par</w:t>
      </w:r>
      <w:r>
        <w:rPr>
          <w:rFonts w:ascii="Times New Roman" w:eastAsia="Times New Roman" w:hAnsi="Times New Roman" w:cs="Times New Roman"/>
          <w:lang w:eastAsia="en-GB"/>
        </w:rPr>
        <w:t xml:space="preserve"> exemple, le semestre européen).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1F18BF" w:rsidRPr="001F18BF">
        <w:rPr>
          <w:rFonts w:ascii="Times New Roman" w:hAnsi="Times New Roman" w:cs="Times New Roman"/>
        </w:rPr>
        <w:t>taxation.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Pr="001F18BF" w:rsidRDefault="001F18BF" w:rsidP="001F18BF">
      <w:pPr>
        <w:tabs>
          <w:tab w:val="left" w:pos="709"/>
        </w:tabs>
        <w:spacing w:after="0" w:line="240" w:lineRule="auto"/>
        <w:ind w:left="709" w:right="60"/>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Au moins 3 années d’expérience dans le domaine de la politique de fiscalité directe, dans un ou plusieurs des domaines suivants dans lesquels l’unité est active: la fiscalité des entreprises, la coopération administrative, l’échange d’informations, les audits conjoints, le règlement des différends, les conventions fiscales, la fixation des prix de transfert, l’identification et la conformité des contribuables, les politiques des contribuables en matière de protection des données, de fiscalité et de lutte co</w:t>
      </w:r>
      <w:r>
        <w:rPr>
          <w:rFonts w:ascii="Times New Roman" w:eastAsia="Times New Roman" w:hAnsi="Times New Roman" w:cs="Times New Roman"/>
          <w:lang w:eastAsia="en-GB"/>
        </w:rPr>
        <w:t>ntre le blanchiment de capitaux.</w:t>
      </w:r>
    </w:p>
    <w:p w:rsidR="001F18BF" w:rsidRPr="001F18BF" w:rsidRDefault="001F18BF" w:rsidP="001F18BF">
      <w:pPr>
        <w:tabs>
          <w:tab w:val="left" w:pos="709"/>
        </w:tabs>
        <w:spacing w:after="0" w:line="240" w:lineRule="auto"/>
        <w:ind w:left="709" w:right="60"/>
        <w:jc w:val="both"/>
        <w:rPr>
          <w:rFonts w:ascii="Times New Roman" w:eastAsia="Times New Roman" w:hAnsi="Times New Roman" w:cs="Times New Roman"/>
          <w:lang w:eastAsia="en-GB"/>
        </w:rPr>
      </w:pPr>
    </w:p>
    <w:p w:rsidR="001F18BF" w:rsidRDefault="001F18BF" w:rsidP="001F18BF">
      <w:pPr>
        <w:tabs>
          <w:tab w:val="left" w:pos="709"/>
        </w:tabs>
        <w:spacing w:after="0" w:line="240" w:lineRule="auto"/>
        <w:ind w:left="709" w:right="60"/>
        <w:jc w:val="both"/>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Les candidats retenus feront preuve d’ouverture d’esprit, auront besoin de bonnes capacités d’analyse, d’organisation, de communication et de rédaction en anglais et travailleront dans une équipe pluridisciplinaire. Il doit être capable d’adopter une approche créative pour résoudre les problèmes d’ordre fiscal complexe. Pour de plus amples informations sur le domaine d’activité, les candidats peuvent consulter les pages web de la DG:</w:t>
      </w:r>
    </w:p>
    <w:p w:rsidR="001F18BF" w:rsidRPr="001F18BF" w:rsidRDefault="001F18BF" w:rsidP="001F18BF">
      <w:pPr>
        <w:tabs>
          <w:tab w:val="left" w:pos="709"/>
        </w:tabs>
        <w:spacing w:after="0" w:line="240" w:lineRule="auto"/>
        <w:ind w:left="709" w:right="60"/>
        <w:jc w:val="both"/>
        <w:rPr>
          <w:rFonts w:ascii="Times New Roman" w:eastAsia="Times New Roman" w:hAnsi="Times New Roman" w:cs="Times New Roman"/>
          <w:lang w:eastAsia="en-GB"/>
        </w:rPr>
      </w:pPr>
    </w:p>
    <w:p w:rsidR="001F18BF" w:rsidRPr="001F18BF" w:rsidRDefault="00B97A57" w:rsidP="001F18BF">
      <w:pPr>
        <w:tabs>
          <w:tab w:val="left" w:pos="709"/>
        </w:tabs>
        <w:spacing w:after="0" w:line="240" w:lineRule="auto"/>
        <w:ind w:left="709" w:right="60"/>
        <w:jc w:val="both"/>
        <w:rPr>
          <w:rFonts w:ascii="Times New Roman" w:eastAsia="Times New Roman" w:hAnsi="Times New Roman" w:cs="Times New Roman"/>
          <w:lang w:eastAsia="en-GB"/>
        </w:rPr>
      </w:pPr>
      <w:hyperlink r:id="rId9" w:history="1">
        <w:r w:rsidR="001F18BF" w:rsidRPr="00067194">
          <w:rPr>
            <w:rStyle w:val="Hyperlink"/>
            <w:rFonts w:ascii="Times New Roman" w:eastAsia="Times New Roman" w:hAnsi="Times New Roman" w:cs="Times New Roman"/>
            <w:lang w:eastAsia="en-GB"/>
          </w:rPr>
          <w:t>https://ec.europa.eu/taxation_customs/general-information-taxation/eu-tax-policy-strategy_fr</w:t>
        </w:r>
      </w:hyperlink>
      <w:r w:rsidR="001F18BF">
        <w:rPr>
          <w:rFonts w:ascii="Times New Roman" w:eastAsia="Times New Roman" w:hAnsi="Times New Roman" w:cs="Times New Roman"/>
          <w:lang w:eastAsia="en-GB"/>
        </w:rPr>
        <w:t xml:space="preserve"> </w:t>
      </w:r>
      <w:r w:rsidR="001F18BF" w:rsidRPr="001F18BF">
        <w:rPr>
          <w:rFonts w:ascii="Times New Roman" w:eastAsia="Times New Roman" w:hAnsi="Times New Roman" w:cs="Times New Roman"/>
          <w:lang w:eastAsia="en-GB"/>
        </w:rPr>
        <w:t xml:space="preserve"> </w:t>
      </w:r>
    </w:p>
    <w:p w:rsidR="001F18BF" w:rsidRPr="001F18BF" w:rsidRDefault="00B97A57" w:rsidP="001F18BF">
      <w:pPr>
        <w:tabs>
          <w:tab w:val="left" w:pos="709"/>
        </w:tabs>
        <w:spacing w:after="0" w:line="240" w:lineRule="auto"/>
        <w:ind w:left="709" w:right="60"/>
        <w:jc w:val="both"/>
        <w:rPr>
          <w:rFonts w:ascii="Times New Roman" w:eastAsia="Times New Roman" w:hAnsi="Times New Roman" w:cs="Times New Roman"/>
          <w:lang w:eastAsia="en-GB"/>
        </w:rPr>
      </w:pPr>
      <w:hyperlink r:id="rId10" w:history="1">
        <w:r w:rsidR="001F18BF" w:rsidRPr="00067194">
          <w:rPr>
            <w:rStyle w:val="Hyperlink"/>
            <w:rFonts w:ascii="Times New Roman" w:eastAsia="Times New Roman" w:hAnsi="Times New Roman" w:cs="Times New Roman"/>
            <w:lang w:eastAsia="en-GB"/>
          </w:rPr>
          <w:t>https://ec.europa.eu/taxation_customs/general-information-taxation/eu-tax-policy-strategy/package-fair-and-simple-taxation_fr</w:t>
        </w:r>
      </w:hyperlink>
      <w:r w:rsidR="001F18BF">
        <w:rPr>
          <w:rFonts w:ascii="Times New Roman" w:eastAsia="Times New Roman" w:hAnsi="Times New Roman" w:cs="Times New Roman"/>
          <w:lang w:eastAsia="en-GB"/>
        </w:rPr>
        <w:t xml:space="preserve"> </w:t>
      </w:r>
      <w:r w:rsidR="001F18BF" w:rsidRPr="001F18BF">
        <w:rPr>
          <w:rFonts w:ascii="Times New Roman" w:eastAsia="Times New Roman" w:hAnsi="Times New Roman" w:cs="Times New Roman"/>
          <w:lang w:eastAsia="en-GB"/>
        </w:rPr>
        <w:t xml:space="preserve"> </w:t>
      </w:r>
    </w:p>
    <w:p w:rsidR="00803AF5" w:rsidRPr="00804B2F"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F18BF" w:rsidP="001F18BF">
      <w:pPr>
        <w:spacing w:after="0" w:line="240" w:lineRule="auto"/>
        <w:ind w:left="709"/>
        <w:rPr>
          <w:rFonts w:ascii="Times New Roman" w:eastAsia="Times New Roman" w:hAnsi="Times New Roman" w:cs="Times New Roman"/>
          <w:lang w:eastAsia="en-GB"/>
        </w:rPr>
      </w:pPr>
      <w:r w:rsidRPr="001F18BF">
        <w:rPr>
          <w:rFonts w:ascii="Times New Roman" w:eastAsia="Times New Roman" w:hAnsi="Times New Roman" w:cs="Times New Roman"/>
          <w:lang w:eastAsia="en-GB"/>
        </w:rPr>
        <w:t>Une excellente connaissance de l’anglais est requise, écrite et orale, et la connaissance du français et/ou de l’allemand serait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1"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3"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97A57"/>
    <w:sectPr w:rsidR="00AC55B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2"/>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902804"/>
    <w:rsid w:val="00B36D07"/>
    <w:rsid w:val="00B97A5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0091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Biebe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taxation_customs/general-information-taxation/eu-tax-policy-strategy/package-fair-and-simple-taxation_fr" TargetMode="External"/><Relationship Id="rId4" Type="http://schemas.openxmlformats.org/officeDocument/2006/relationships/webSettings" Target="webSettings.xml"/><Relationship Id="rId9" Type="http://schemas.openxmlformats.org/officeDocument/2006/relationships/hyperlink" Target="https://ec.europa.eu/taxation_customs/general-information-taxation/eu-tax-policy-strategy_fr"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1519</Words>
  <Characters>9073</Characters>
  <Application>Microsoft Office Word</Application>
  <DocSecurity>0</DocSecurity>
  <Lines>193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2020-09-09T14:23:00Z</dcterms:created>
  <dcterms:modified xsi:type="dcterms:W3CDTF">2020-09-09T14:49:00Z</dcterms:modified>
</cp:coreProperties>
</file>