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27FFD" w:rsidP="00FC10C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7FFD" w:rsidRPr="008D29DA" w:rsidRDefault="00C27FFD" w:rsidP="00C27FFD">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C27FFD" w:rsidRPr="008D29DA" w:rsidRDefault="00C27FFD" w:rsidP="00C27FFD">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EF38F0" w:rsidRPr="000C7A4D" w:rsidRDefault="00C27FFD" w:rsidP="00C27FFD">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C27FF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352079">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352079">
              <w:rPr>
                <w:rFonts w:ascii="Times New Roman" w:eastAsia="Times New Roman" w:hAnsi="Times New Roman" w:cs="Times New Roman"/>
                <w:b/>
                <w:lang w:val="de-DE" w:eastAsia="en-GB"/>
              </w:rPr>
              <w:t>Sudan</w:t>
            </w:r>
            <w:bookmarkStart w:id="0" w:name="_GoBack"/>
            <w:bookmarkEnd w:id="0"/>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872D5" w:rsidRDefault="001872D5" w:rsidP="001872D5">
      <w:pPr>
        <w:spacing w:after="0" w:line="240" w:lineRule="auto"/>
        <w:ind w:left="426"/>
        <w:jc w:val="both"/>
        <w:rPr>
          <w:rFonts w:ascii="Times New Roman" w:hAnsi="Times New Roman" w:cs="Times New Roman"/>
          <w:lang w:val="de-DE"/>
        </w:rPr>
      </w:pPr>
      <w:r>
        <w:rPr>
          <w:rFonts w:ascii="Times New Roman" w:hAnsi="Times New Roman" w:cs="Times New Roman"/>
          <w:lang w:val="de-DE"/>
        </w:rPr>
        <w:t>D</w:t>
      </w:r>
      <w:r w:rsidRPr="001872D5">
        <w:rPr>
          <w:rFonts w:ascii="Times New Roman" w:hAnsi="Times New Roman" w:cs="Times New Roman"/>
          <w:lang w:val="de-DE"/>
        </w:rPr>
        <w:t xml:space="preserve">ie Koordinierung zu intensivieren, um die Wirkung der EU-Maßnahmen auf die Migration in Drittländern zu maximieren und das Engagement der wichtigsten Herkunfts- und Transitländer für das gesamte Spektrum der Migrationsangelegenheiten zu verbessern. Erstens werden EMLO (europäischer </w:t>
      </w:r>
      <w:proofErr w:type="spellStart"/>
      <w:r w:rsidRPr="001872D5">
        <w:rPr>
          <w:rFonts w:ascii="Times New Roman" w:hAnsi="Times New Roman" w:cs="Times New Roman"/>
          <w:lang w:val="de-DE"/>
        </w:rPr>
        <w:t>Verbindungsbeambter</w:t>
      </w:r>
      <w:proofErr w:type="spellEnd"/>
      <w:r w:rsidRPr="001872D5">
        <w:rPr>
          <w:rFonts w:ascii="Times New Roman" w:hAnsi="Times New Roman" w:cs="Times New Roman"/>
          <w:lang w:val="de-DE"/>
        </w:rPr>
        <w:t xml:space="preserve"> für Migration, „European Migration Liaison Officer“)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r w:rsidR="00352079" w:rsidRPr="00352079">
        <w:rPr>
          <w:rFonts w:ascii="Times New Roman" w:hAnsi="Times New Roman" w:cs="Times New Roman"/>
          <w:lang w:val="de-DE"/>
        </w:rPr>
        <w:t>Dieser Posten hat ein regionales Mandat für den Sudan und den Tschad.</w:t>
      </w:r>
    </w:p>
    <w:p w:rsidR="001872D5" w:rsidRP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w:t>
      </w:r>
    </w:p>
    <w:p w:rsid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Funktionen und Aufgaben: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lastRenderedPageBreak/>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 xml:space="preserve"> entwickelte Risikoanalyse und die von Europol unterstützten Ermittlungen auf EU-Ebene.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den auch Analysen und Empfehlungen liefern und zur Berichterstattung der betreffenden EU-Delegationen beitragen.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wird eng mit den Kommissionsbeamten für Migration und Inneres in der EU-Delegation und dem künftigen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-Verbindungsbeamten zusammenarbeiten.</w:t>
      </w:r>
    </w:p>
    <w:p w:rsidR="00C27FFD" w:rsidRPr="00950BA5" w:rsidRDefault="00C27FFD"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27FFD" w:rsidRPr="00C27FFD">
        <w:rPr>
          <w:rFonts w:ascii="Times New Roman" w:eastAsia="Times New Roman" w:hAnsi="Times New Roman" w:cs="Times New Roman"/>
          <w:lang w:val="de-DE" w:eastAsia="en-GB"/>
        </w:rPr>
        <w:t>Jura, Politikwissenschaft, Wirtschaft, Betriebswirtschaftslehre oder sonstiger verwandter Bereiche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Zwingend</w:t>
      </w:r>
      <w:r w:rsidRPr="00C27FFD">
        <w:rPr>
          <w:rFonts w:ascii="Times New Roman" w:eastAsia="Times New Roman" w:hAnsi="Times New Roman" w:cs="Times New Roman"/>
          <w:lang w:val="de-DE" w:eastAsia="en-GB"/>
        </w:rPr>
        <w:t>: Ein solider Migrationshintergrund und besondere Erfahrung in den Beziehungen zu Drittländern in Migrationsfragen; Fähigkeit zur Erfassung und strategischen Analyse von Informationen über Migrationsfragen; gute Verhandlungsfähigkeiten.</w:t>
      </w: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0C7A4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Erwünscht</w:t>
      </w:r>
      <w:r w:rsidRPr="00C27FFD">
        <w:rPr>
          <w:rFonts w:ascii="Times New Roman" w:eastAsia="Times New Roman" w:hAnsi="Times New Roman" w:cs="Times New Roman"/>
          <w:lang w:val="de-DE" w:eastAsia="en-GB"/>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27FF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FC10CC" w:rsidRPr="00EF38F0"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5207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116"/>
    <w:multiLevelType w:val="hybridMultilevel"/>
    <w:tmpl w:val="AB4C1ACC"/>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7156D"/>
    <w:multiLevelType w:val="hybridMultilevel"/>
    <w:tmpl w:val="3114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85F2440"/>
    <w:multiLevelType w:val="hybridMultilevel"/>
    <w:tmpl w:val="EBDCEAE6"/>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C03977"/>
    <w:multiLevelType w:val="hybridMultilevel"/>
    <w:tmpl w:val="3EF8FCCA"/>
    <w:lvl w:ilvl="0" w:tplc="42B22238">
      <w:start w:val="1"/>
      <w:numFmt w:val="bullet"/>
      <w:lvlText w:val="-"/>
      <w:lvlJc w:val="left"/>
      <w:pPr>
        <w:ind w:left="720" w:hanging="360"/>
      </w:pPr>
      <w:rPr>
        <w:rFonts w:ascii="Courier New" w:hAnsi="Courier New" w:hint="default"/>
      </w:rPr>
    </w:lvl>
    <w:lvl w:ilvl="1" w:tplc="8F9E476C">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E96CD0"/>
    <w:multiLevelType w:val="hybridMultilevel"/>
    <w:tmpl w:val="59081AA8"/>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A9772E4"/>
    <w:multiLevelType w:val="hybridMultilevel"/>
    <w:tmpl w:val="AA9CBED4"/>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E4748CA"/>
    <w:multiLevelType w:val="hybridMultilevel"/>
    <w:tmpl w:val="6B24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075E9D"/>
    <w:multiLevelType w:val="hybridMultilevel"/>
    <w:tmpl w:val="CF908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DB275D3"/>
    <w:multiLevelType w:val="hybridMultilevel"/>
    <w:tmpl w:val="CD98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8"/>
  </w:num>
  <w:num w:numId="5">
    <w:abstractNumId w:val="9"/>
  </w:num>
  <w:num w:numId="6">
    <w:abstractNumId w:val="12"/>
  </w:num>
  <w:num w:numId="7">
    <w:abstractNumId w:val="1"/>
  </w:num>
  <w:num w:numId="8">
    <w:abstractNumId w:val="3"/>
  </w:num>
  <w:num w:numId="9">
    <w:abstractNumId w:val="4"/>
  </w:num>
  <w:num w:numId="10">
    <w:abstractNumId w:val="0"/>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872D5"/>
    <w:rsid w:val="0019598C"/>
    <w:rsid w:val="00352079"/>
    <w:rsid w:val="00534042"/>
    <w:rsid w:val="00745176"/>
    <w:rsid w:val="008E5668"/>
    <w:rsid w:val="00950BA5"/>
    <w:rsid w:val="00A87268"/>
    <w:rsid w:val="00BC14A5"/>
    <w:rsid w:val="00C27FFD"/>
    <w:rsid w:val="00CF677F"/>
    <w:rsid w:val="00EF38F0"/>
    <w:rsid w:val="00F97324"/>
    <w:rsid w:val="00FC10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E1E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paragraph" w:styleId="CommentText">
    <w:name w:val="annotation text"/>
    <w:basedOn w:val="Normal"/>
    <w:link w:val="CommentTextChar"/>
    <w:uiPriority w:val="99"/>
    <w:semiHidden/>
    <w:unhideWhenUsed/>
    <w:rsid w:val="00FC10CC"/>
    <w:pPr>
      <w:spacing w:line="240" w:lineRule="auto"/>
    </w:pPr>
    <w:rPr>
      <w:sz w:val="20"/>
      <w:szCs w:val="20"/>
    </w:rPr>
  </w:style>
  <w:style w:type="character" w:customStyle="1" w:styleId="CommentTextChar">
    <w:name w:val="Comment Text Char"/>
    <w:basedOn w:val="DefaultParagraphFont"/>
    <w:link w:val="CommentText"/>
    <w:uiPriority w:val="99"/>
    <w:semiHidden/>
    <w:rsid w:val="00FC10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2245</Words>
  <Characters>12578</Characters>
  <Application>Microsoft Office Word</Application>
  <DocSecurity>0</DocSecurity>
  <Lines>246</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2020-09-09T16:12:00Z</dcterms:created>
  <dcterms:modified xsi:type="dcterms:W3CDTF">2020-09-09T16:12:00Z</dcterms:modified>
</cp:coreProperties>
</file>