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50390" w:rsidP="00CC4C27">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DEVCO-C-2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50390" w:rsidRPr="00250390" w:rsidRDefault="00250390" w:rsidP="00250390">
            <w:pPr>
              <w:rPr>
                <w:rFonts w:ascii="Times New Roman" w:hAnsi="Times New Roman" w:cs="Times New Roman"/>
                <w:b/>
              </w:rPr>
            </w:pPr>
            <w:r w:rsidRPr="00250390">
              <w:rPr>
                <w:rFonts w:ascii="Times New Roman" w:hAnsi="Times New Roman" w:cs="Times New Roman"/>
                <w:b/>
              </w:rPr>
              <w:t>Chantal MARIJNISSEN</w:t>
            </w:r>
          </w:p>
          <w:p w:rsidR="00250390" w:rsidRPr="00250390" w:rsidRDefault="00E759F6" w:rsidP="00250390">
            <w:pPr>
              <w:rPr>
                <w:rFonts w:ascii="Times New Roman" w:hAnsi="Times New Roman" w:cs="Times New Roman"/>
                <w:b/>
              </w:rPr>
            </w:pPr>
            <w:hyperlink r:id="rId8" w:history="1">
              <w:r w:rsidR="00250390" w:rsidRPr="00250390">
                <w:rPr>
                  <w:rFonts w:ascii="Times New Roman" w:hAnsi="Times New Roman" w:cs="Times New Roman"/>
                  <w:b/>
                  <w:color w:val="0000FF" w:themeColor="hyperlink"/>
                  <w:u w:val="single"/>
                </w:rPr>
                <w:t>Chantal.Marijnissen@ec.europa.eu</w:t>
              </w:r>
            </w:hyperlink>
            <w:r w:rsidR="00250390" w:rsidRPr="00250390">
              <w:rPr>
                <w:rFonts w:ascii="Times New Roman" w:hAnsi="Times New Roman" w:cs="Times New Roman"/>
                <w:b/>
              </w:rPr>
              <w:t xml:space="preserve">  </w:t>
            </w:r>
          </w:p>
          <w:p w:rsidR="00E21280" w:rsidRPr="00E21280" w:rsidRDefault="00250390" w:rsidP="00250390">
            <w:pPr>
              <w:ind w:right="1317"/>
              <w:jc w:val="both"/>
              <w:rPr>
                <w:rFonts w:ascii="Times New Roman" w:hAnsi="Times New Roman" w:cs="Times New Roman"/>
                <w:b/>
                <w:lang w:val="de-DE"/>
              </w:rPr>
            </w:pPr>
            <w:r w:rsidRPr="00250390">
              <w:rPr>
                <w:rFonts w:ascii="Times New Roman" w:hAnsi="Times New Roman" w:cs="Times New Roman"/>
                <w:b/>
                <w:lang w:val="en-GB"/>
              </w:rPr>
              <w:t>+32 2 29-86565</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5039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25039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C4C27" w:rsidP="00950BA5">
            <w:pPr>
              <w:tabs>
                <w:tab w:val="left" w:pos="459"/>
              </w:tabs>
              <w:rPr>
                <w:rFonts w:ascii="Times New Roman" w:eastAsia="Times New Roman" w:hAnsi="Times New Roman" w:cs="Times New Roman"/>
                <w:b/>
                <w:bCs/>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bookmarkStart w:id="0" w:name="_GoBack"/>
            <w:bookmarkEnd w:id="0"/>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E759F6"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250390" w:rsidP="00250390">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CC4C27">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Das Referat C2 — Umwelt, natürliche Ressourcen und Wasser — bietet eine Stelle für eine(n) nationale(n) abgeordnete(n) Sachverständige(n) an, der/die dem Referatsleiter unterstellt ist.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Mit der neuen Kommission, dem neuen und ehrgeizigen Grünen Deal für Europa, einem neuen mehrjährigen Finanzrahmen sowie der Programmierung und Umsetzung im Bereich der Zusammenarbeit für den Zeitraum 2021-2027 befindet sich die EU in einer entscheidenden Phase.</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Die Aufgabe des Referats C2 besteht darin, die Entwicklungsländer bei der Bewältigung der Herausforderungen im Zusammenhang mit der Umwelt, den Wäldern (nachhaltige Bewirtschaftung und Nutzung, Biodiversität, Klimawandel), dem Wasser und der grünen Wirtschaft zu unterstützen.  Zu diesem Zweck ist das Referat C2 in drei großen Aufgabenbereichen tätig: Erarbeitung </w:t>
      </w:r>
      <w:proofErr w:type="spellStart"/>
      <w:r w:rsidRPr="00250390">
        <w:rPr>
          <w:rFonts w:ascii="Times New Roman" w:eastAsia="Times New Roman" w:hAnsi="Times New Roman" w:cs="Times New Roman"/>
          <w:lang w:val="de-DE" w:eastAsia="en-GB"/>
        </w:rPr>
        <w:t>sektorspezifischer</w:t>
      </w:r>
      <w:proofErr w:type="spellEnd"/>
      <w:r w:rsidRPr="00250390">
        <w:rPr>
          <w:rFonts w:ascii="Times New Roman" w:eastAsia="Times New Roman" w:hAnsi="Times New Roman" w:cs="Times New Roman"/>
          <w:lang w:val="de-DE" w:eastAsia="en-GB"/>
        </w:rPr>
        <w:t xml:space="preserve"> Maßnahmen, thematische und methodologische Unterstützung der Delegationen und Partner sowie Planung und Umsetzung von Projekten und Programmen. Dies umfasst auch die Betreuung von Netzwerken, den Aufbau von Partnerschaften sowie den Erfahrungs- und Informationsaustausch.</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Das Referat C2 fördert damit den Entwurf und die Umsetzung der externen Dimension des europäischen Grünen Deals. Um die Wälder wirksamer zu schützen und in effizienter Weise zur Umsetzung des Grünen Deals beizutragen, schlägt das Referat C2 vor, mit Partnerländern oder -regionen nach dem Grundsatz „Team Europa“ europäische Partnerschaften für die Wälder aufzubauen. Durch diesen neuen globalen und integrierten Ansatz kann die EU ihren Verpflichtungen insbesondere beim Klima- und Biodiversitätsschutz nachkommen und gleichzeitig ihre Partner in die Lage versetzen, durch den Übergang auf eine umweltfreundlichere Wirtschaft ihre Ziele der sozioökonomischen Entwicklung zu erreichen.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Den umfassenden Handlungsrahmen für die Politik der EU im Bereich der Waldpolitik unter der Verantwortung des Referats C2 werden die Waldpartnerschaften bilden, insbesondere der Aktionsplan FLEGT (Rechtsdurchsetzung, Politikgestaltung und Handel im Forstsektor) und die Mitteilung COM/2019/352 „Intensivierung der EU-Maßnahmen zum Schutz und zur Wiederherstellung der Wälder in der Welt“ sowie die Förderung von Investitionen des Privatsektors über nachhaltige forstwirtschaftliche Wertschöpfungsketten. Außerdem wird das Referat C2 dazu beitragen, der Entwaldung und Schädigung der Wälder in den Partnerländern entgegenzutreten, indem insbesondere die Mechanismen REDD+ und die Landwirtschaftsprogramme ohne Entwaldung sowie der Entwurf und die Umsetzung von Biodiversitätsprogrammen gefördert werden.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Im Rahmen des Grünen Deals ist das Referat C2 außerdem mitzuständig für die Erarbeitung der externen Dimension der neuen EU-Waldstrategie.</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u w:val="single"/>
          <w:lang w:val="de-DE" w:eastAsia="en-GB"/>
        </w:rPr>
      </w:pPr>
      <w:r w:rsidRPr="00250390">
        <w:rPr>
          <w:rFonts w:ascii="Times New Roman" w:eastAsia="Times New Roman" w:hAnsi="Times New Roman" w:cs="Times New Roman"/>
          <w:u w:val="single"/>
          <w:lang w:val="de-DE" w:eastAsia="en-GB"/>
        </w:rPr>
        <w:t xml:space="preserve">Stellenbeschreibung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Der/die erfolgreiche Bewerber/in wird unter der Verantwortung des Referatsleiters die Arbeit der GD DEVCO im Bereich der nachhaltigen Waldbewirtschaftung unterstützen. Die Arbeit betrifft insbesondere die folgenden geografischen Gebiete: Südostasien, Pazifikraum sowie Süd- und Zentralamerika.</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Hierbei hat der/die erfolgreiche Bewerber/in insbesondere folgende Aufgaben:</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Mitarbeit bei der Erstellung künftiger nationaler und regionaler EU-Programme, unter besonderer Berücksichtigung der externen Dimension des Grünen Deals sowie des Aufbaus und der Umsetzung von EU-Waldpartnerschaften, vom politischen Dialog bis hin zu den Programmen;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Mitwirkung bei der analytischen Arbeit und beim Aufbau von Wissen, der Entwicklung von Instrumenten und Konzepten im Zusammenhang mit den Politiken, Strategien und Methoden zur nachhaltigen Waldbewirtschaftung und zum Kampf gegen Entwaldung;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Analyse, Entwicklung und Förderung dauerhafter forst- und landwirtschaftlicher Wertschöpfungsketten, die nicht zur Entwaldung beitragen;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Unterstützung von Investitionsmaßnahmen (Mischfinanzierung, Garantien), öffentlich-privaten Partnerschaften und der Einbeziehung des Privatsektors in die nachhaltige Bewirtschaftung der Wälder und die Wiederaufforstung, einschließlich der Bewaldung und der Wiederherstellung von Waldökosystemen;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Mitarbeit bei der Einbeziehung des Klimawandels in das gesamte Waldressort, d. h. 30 % klimafreundliche Maßnahmen entsprechend dem Vorschlag der Kommission zum neuen Finanzrahmen 2021-2027;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Verstärkung der personellen Kapazitäten der EU im Waldsektor, insbesondere in den Bereichen Biodiversität, Energie, Klimawandel und Kreislaufwirtschaft;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Durchführung von Unterstützungsmissionen in den Partnerländern zur Bereitstellung von politischer und fachliche Unterstützung in den Bereichen grüne Wirtschaft/Kreislaufwirtschaft, Umweltschutz und </w:t>
      </w:r>
      <w:proofErr w:type="spellStart"/>
      <w:r w:rsidRPr="00250390">
        <w:rPr>
          <w:rFonts w:ascii="Times New Roman" w:eastAsia="Times New Roman" w:hAnsi="Times New Roman" w:cs="Times New Roman"/>
          <w:lang w:val="de-DE" w:eastAsia="en-GB"/>
        </w:rPr>
        <w:t>Ökologisierung</w:t>
      </w:r>
      <w:proofErr w:type="spellEnd"/>
      <w:r w:rsidRPr="00250390">
        <w:rPr>
          <w:rFonts w:ascii="Times New Roman" w:eastAsia="Times New Roman" w:hAnsi="Times New Roman" w:cs="Times New Roman"/>
          <w:lang w:val="de-DE" w:eastAsia="en-GB"/>
        </w:rPr>
        <w:t xml:space="preserve"> von Politiken, Programmen und Investitionen zur Entwicklungshilfe;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technische Unterstützung unserer Kollegen in der GD DEVCO und in den EU-Delegationen in den Bereichen nachhaltige Waldbewirtschaftung und gegebenenfalls Umweltschutz;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Teilnahme an </w:t>
      </w:r>
      <w:proofErr w:type="spellStart"/>
      <w:r w:rsidRPr="00250390">
        <w:rPr>
          <w:rFonts w:ascii="Times New Roman" w:eastAsia="Times New Roman" w:hAnsi="Times New Roman" w:cs="Times New Roman"/>
          <w:lang w:val="de-DE" w:eastAsia="en-GB"/>
        </w:rPr>
        <w:t>sektorspezifischen</w:t>
      </w:r>
      <w:proofErr w:type="spellEnd"/>
      <w:r w:rsidRPr="00250390">
        <w:rPr>
          <w:rFonts w:ascii="Times New Roman" w:eastAsia="Times New Roman" w:hAnsi="Times New Roman" w:cs="Times New Roman"/>
          <w:lang w:val="de-DE" w:eastAsia="en-GB"/>
        </w:rPr>
        <w:t xml:space="preserve"> und thematischen Arbeitsgruppen im Rahmen der Kommission und anderer EU-Organe, der Mitgliedstaaten und anderer Akteure; </w:t>
      </w:r>
    </w:p>
    <w:p w:rsidR="00250390" w:rsidRPr="00250390" w:rsidRDefault="00250390" w:rsidP="00250390">
      <w:pPr>
        <w:pStyle w:val="ListParagraph"/>
        <w:numPr>
          <w:ilvl w:val="0"/>
          <w:numId w:val="23"/>
        </w:numPr>
        <w:spacing w:after="0" w:line="240" w:lineRule="auto"/>
        <w:ind w:left="851" w:hanging="425"/>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Mitarbeit bei der Festlegung und Formulierung von Programmen zum Waldsektor und bei der Durchführung damit zusammenhängender Analysen, Bereitstellung thematischer Leitlinien, Durchführung von Schulungen und Weitergabe von Wissen.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 </w:t>
      </w:r>
    </w:p>
    <w:p w:rsidR="00250390" w:rsidRPr="00250390" w:rsidRDefault="00250390" w:rsidP="00250390">
      <w:pPr>
        <w:spacing w:after="0" w:line="240" w:lineRule="auto"/>
        <w:ind w:left="426"/>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Der/die abgeordnete nationale Sachverständige übernimmt auch alle anderen ihm/ihr vom Referatsleiter übertragenen Aufgaben und kann gegebenenfalls zur Mitarbeit in anderen Arbeitsbereichen herangezogen werden, wie z. B. beim bodenbasierten Ansatz in der Forstwirtschaft und Agrarpolitik, nachhaltigen Finanzierungsmechanismen für die Waldökosysteme, einschließlich REDD+ und (LULUCF), und trägt allgemein zur Umweltdimension der Arbeit der GD DEVCO bei.</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250390" w:rsidRPr="00950BA5" w:rsidRDefault="0025039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lastRenderedPageBreak/>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250390">
        <w:rPr>
          <w:lang w:val="de-DE"/>
        </w:rPr>
        <w:t xml:space="preserve"> </w:t>
      </w:r>
      <w:r w:rsidR="00250390" w:rsidRPr="00250390">
        <w:rPr>
          <w:rFonts w:ascii="Times New Roman" w:eastAsia="Times New Roman" w:hAnsi="Times New Roman" w:cs="Times New Roman"/>
          <w:lang w:val="de-DE" w:eastAsia="en-GB"/>
        </w:rPr>
        <w:t>Umwelt, Ökologie, Landwirtschaft, Forstwirtschaft oder einem verwandten Gebiet.</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Mindestens fünf Jahre nachweisliche Berufserfahrung in Vollzeittätigkeit in Bereichen, die für die nachhaltige Waldbewirtschaftung maßgeblich sind, insbesondere in der Erarbeitung von </w:t>
      </w:r>
      <w:proofErr w:type="spellStart"/>
      <w:r w:rsidRPr="00250390">
        <w:rPr>
          <w:rFonts w:ascii="Times New Roman" w:eastAsia="Times New Roman" w:hAnsi="Times New Roman" w:cs="Times New Roman"/>
          <w:lang w:val="de-DE" w:eastAsia="en-GB"/>
        </w:rPr>
        <w:t>sektorspezifischen</w:t>
      </w:r>
      <w:proofErr w:type="spellEnd"/>
      <w:r w:rsidRPr="00250390">
        <w:rPr>
          <w:rFonts w:ascii="Times New Roman" w:eastAsia="Times New Roman" w:hAnsi="Times New Roman" w:cs="Times New Roman"/>
          <w:lang w:val="de-DE" w:eastAsia="en-GB"/>
        </w:rPr>
        <w:t xml:space="preserve"> Strategien/Politikmaßnahmen und/oder Projekten/Programmen.</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 </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Erfahrung im Bereich der Mechanismen der nachhaltigen Finanzierung von Wäldern (Mischfinanzierung, Treuhandfonds, Zahlung für Ökosystemleistungen) ist erwünscht,</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Erfahrung in der Analyse und Entwicklung </w:t>
      </w:r>
      <w:proofErr w:type="spellStart"/>
      <w:r w:rsidRPr="00250390">
        <w:rPr>
          <w:rFonts w:ascii="Times New Roman" w:eastAsia="Times New Roman" w:hAnsi="Times New Roman" w:cs="Times New Roman"/>
          <w:lang w:val="de-DE" w:eastAsia="en-GB"/>
        </w:rPr>
        <w:t>sektorspezifischer</w:t>
      </w:r>
      <w:proofErr w:type="spellEnd"/>
      <w:r w:rsidRPr="00250390">
        <w:rPr>
          <w:rFonts w:ascii="Times New Roman" w:eastAsia="Times New Roman" w:hAnsi="Times New Roman" w:cs="Times New Roman"/>
          <w:lang w:val="de-DE" w:eastAsia="en-GB"/>
        </w:rPr>
        <w:t xml:space="preserve"> Wertschöpfungsketten, auch unter Einbeziehung des Privatsektors, ist von Vorteil,</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ebenso wie Berufserfahrung in der Arbeit vor Ort in Afrika und Südamerika.</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Außerdem von Vorteil ist Erfahrung in Fragen internationaler Übereinkünfte zu den Themen Biodiversität, Klimawandel und Wald. </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 xml:space="preserve">Der/die erfolgreiche Bewerber/in kann komplexe Vorgänge bearbeiten, verfügt über große Eigeninitiative und ist in der Lage, im Team in einem multidisziplinären Umfeld zu arbeiten. </w:t>
      </w:r>
    </w:p>
    <w:p w:rsidR="00250390"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p>
    <w:p w:rsidR="00AF16BD" w:rsidRPr="00250390" w:rsidRDefault="00250390" w:rsidP="00250390">
      <w:pPr>
        <w:tabs>
          <w:tab w:val="left" w:pos="1560"/>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Außerdem von Vorteil ist die nachweisliche Fähigkeit, Berichte zu analysieren und zusammenzufassen, Empfehlungen auszuarbeiten und Verhandlungen zu führen.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250390"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250390">
        <w:rPr>
          <w:rFonts w:ascii="Times New Roman" w:eastAsia="Times New Roman" w:hAnsi="Times New Roman" w:cs="Times New Roman"/>
          <w:lang w:val="de-DE" w:eastAsia="en-GB"/>
        </w:rPr>
        <w:t>Hervorragende Kenntnisse des Englischen und/oder Französischen in Wort und Schrift. Spanische Sprachkenntnisse sind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C4C27" w:rsidRDefault="00CC4C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759F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883"/>
    <w:multiLevelType w:val="hybridMultilevel"/>
    <w:tmpl w:val="449C94E8"/>
    <w:lvl w:ilvl="0" w:tplc="F8741CF4">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3686959"/>
    <w:multiLevelType w:val="hybridMultilevel"/>
    <w:tmpl w:val="710A2F12"/>
    <w:lvl w:ilvl="0" w:tplc="A3CC5D10">
      <w:start w:val="1"/>
      <w:numFmt w:val="bullet"/>
      <w:lvlText w:val="-"/>
      <w:lvlJc w:val="left"/>
      <w:pPr>
        <w:ind w:left="2869" w:hanging="360"/>
      </w:pPr>
      <w:rPr>
        <w:rFonts w:ascii="Times New Roman" w:hAnsi="Times New Roman" w:hint="default"/>
        <w:sz w:val="22"/>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FE957C8"/>
    <w:multiLevelType w:val="hybridMultilevel"/>
    <w:tmpl w:val="9B00B4B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FEA7CF8"/>
    <w:multiLevelType w:val="hybridMultilevel"/>
    <w:tmpl w:val="EEDAB4D8"/>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74D4AA9"/>
    <w:multiLevelType w:val="hybridMultilevel"/>
    <w:tmpl w:val="707CACB6"/>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A36F84"/>
    <w:multiLevelType w:val="hybridMultilevel"/>
    <w:tmpl w:val="9DF415BA"/>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A533AC"/>
    <w:multiLevelType w:val="hybridMultilevel"/>
    <w:tmpl w:val="141E2A7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4AC0A1E"/>
    <w:multiLevelType w:val="hybridMultilevel"/>
    <w:tmpl w:val="8BBAFBE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646134FC"/>
    <w:multiLevelType w:val="hybridMultilevel"/>
    <w:tmpl w:val="B7D6292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4FE2716"/>
    <w:multiLevelType w:val="hybridMultilevel"/>
    <w:tmpl w:val="4636DD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70EE2894"/>
    <w:multiLevelType w:val="hybridMultilevel"/>
    <w:tmpl w:val="B628C07C"/>
    <w:lvl w:ilvl="0" w:tplc="A3CC5D10">
      <w:start w:val="1"/>
      <w:numFmt w:val="bullet"/>
      <w:lvlText w:val="-"/>
      <w:lvlJc w:val="left"/>
      <w:pPr>
        <w:ind w:left="1429" w:hanging="360"/>
      </w:pPr>
      <w:rPr>
        <w:rFonts w:ascii="Times New Roman" w:hAnsi="Times New Roman" w:hint="default"/>
        <w:sz w:val="22"/>
      </w:rPr>
    </w:lvl>
    <w:lvl w:ilvl="1" w:tplc="D1BA539A">
      <w:numFmt w:val="bullet"/>
      <w:lvlText w:val=""/>
      <w:lvlJc w:val="left"/>
      <w:pPr>
        <w:ind w:left="2149" w:hanging="360"/>
      </w:pPr>
      <w:rPr>
        <w:rFonts w:ascii="Symbol" w:eastAsia="Times New Roman" w:hAnsi="Symbol"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1"/>
  </w:num>
  <w:num w:numId="3">
    <w:abstractNumId w:val="13"/>
  </w:num>
  <w:num w:numId="4">
    <w:abstractNumId w:val="2"/>
  </w:num>
  <w:num w:numId="5">
    <w:abstractNumId w:val="11"/>
  </w:num>
  <w:num w:numId="6">
    <w:abstractNumId w:val="5"/>
  </w:num>
  <w:num w:numId="7">
    <w:abstractNumId w:val="19"/>
  </w:num>
  <w:num w:numId="8">
    <w:abstractNumId w:val="10"/>
  </w:num>
  <w:num w:numId="9">
    <w:abstractNumId w:val="3"/>
  </w:num>
  <w:num w:numId="10">
    <w:abstractNumId w:val="8"/>
  </w:num>
  <w:num w:numId="11">
    <w:abstractNumId w:val="4"/>
  </w:num>
  <w:num w:numId="12">
    <w:abstractNumId w:val="22"/>
  </w:num>
  <w:num w:numId="13">
    <w:abstractNumId w:val="17"/>
  </w:num>
  <w:num w:numId="14">
    <w:abstractNumId w:val="14"/>
  </w:num>
  <w:num w:numId="15">
    <w:abstractNumId w:val="15"/>
  </w:num>
  <w:num w:numId="16">
    <w:abstractNumId w:val="0"/>
  </w:num>
  <w:num w:numId="17">
    <w:abstractNumId w:val="20"/>
  </w:num>
  <w:num w:numId="18">
    <w:abstractNumId w:val="1"/>
  </w:num>
  <w:num w:numId="19">
    <w:abstractNumId w:val="18"/>
  </w:num>
  <w:num w:numId="20">
    <w:abstractNumId w:val="12"/>
  </w:num>
  <w:num w:numId="21">
    <w:abstractNumId w:val="6"/>
  </w:num>
  <w:num w:numId="22">
    <w:abstractNumId w:val="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0390"/>
    <w:rsid w:val="00370EFD"/>
    <w:rsid w:val="00381621"/>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C4C27"/>
    <w:rsid w:val="00CF677F"/>
    <w:rsid w:val="00D4449A"/>
    <w:rsid w:val="00D64903"/>
    <w:rsid w:val="00E21280"/>
    <w:rsid w:val="00E40791"/>
    <w:rsid w:val="00E759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ntal.Marijniss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1623</Words>
  <Characters>11642</Characters>
  <Application>Microsoft Office Word</Application>
  <DocSecurity>0</DocSecurity>
  <Lines>237</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2020-09-14T10:21:00Z</dcterms:created>
  <dcterms:modified xsi:type="dcterms:W3CDTF">2020-09-15T08:54:00Z</dcterms:modified>
</cp:coreProperties>
</file>