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37960" w:rsidP="00122B6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w:t>
            </w:r>
            <w:r w:rsidR="00122B61">
              <w:rPr>
                <w:rFonts w:ascii="Times New Roman" w:eastAsia="Times New Roman" w:hAnsi="Times New Roman" w:cs="Times New Roman"/>
                <w:b/>
                <w:sz w:val="24"/>
                <w:szCs w:val="20"/>
                <w:lang w:eastAsia="en-GB"/>
              </w:rPr>
              <w:t>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22B61" w:rsidRPr="00122B61" w:rsidRDefault="00122B61" w:rsidP="00122B61">
            <w:pPr>
              <w:ind w:right="1317"/>
              <w:jc w:val="both"/>
              <w:rPr>
                <w:rFonts w:ascii="Times New Roman" w:eastAsia="Times New Roman" w:hAnsi="Times New Roman" w:cs="Times New Roman"/>
                <w:b/>
                <w:lang w:val="de-DE" w:eastAsia="en-GB"/>
              </w:rPr>
            </w:pPr>
            <w:r w:rsidRPr="00122B61">
              <w:rPr>
                <w:rFonts w:ascii="Times New Roman" w:eastAsia="Times New Roman" w:hAnsi="Times New Roman" w:cs="Times New Roman"/>
                <w:b/>
                <w:lang w:val="de-DE" w:eastAsia="en-GB"/>
              </w:rPr>
              <w:t xml:space="preserve">Ulrich </w:t>
            </w:r>
            <w:proofErr w:type="spellStart"/>
            <w:r w:rsidRPr="00122B61">
              <w:rPr>
                <w:rFonts w:ascii="Times New Roman" w:eastAsia="Times New Roman" w:hAnsi="Times New Roman" w:cs="Times New Roman"/>
                <w:b/>
                <w:lang w:val="de-DE" w:eastAsia="en-GB"/>
              </w:rPr>
              <w:t>Eidmann</w:t>
            </w:r>
            <w:proofErr w:type="spellEnd"/>
          </w:p>
          <w:p w:rsidR="00122B61" w:rsidRPr="00122B61" w:rsidRDefault="00122B61" w:rsidP="00122B61">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ulrich.eidmann@ec.europa.eu</w:t>
              </w:r>
            </w:hyperlink>
            <w:r>
              <w:rPr>
                <w:rFonts w:ascii="Times New Roman" w:eastAsia="Times New Roman" w:hAnsi="Times New Roman" w:cs="Times New Roman"/>
                <w:b/>
                <w:lang w:val="de-DE" w:eastAsia="en-GB"/>
              </w:rPr>
              <w:t xml:space="preserve"> </w:t>
            </w:r>
          </w:p>
          <w:p w:rsidR="00151501" w:rsidRPr="00151501" w:rsidRDefault="00122B61" w:rsidP="00122B61">
            <w:pPr>
              <w:ind w:right="1317"/>
              <w:jc w:val="both"/>
              <w:rPr>
                <w:rFonts w:ascii="Times New Roman" w:eastAsia="Times New Roman" w:hAnsi="Times New Roman" w:cs="Times New Roman"/>
                <w:b/>
                <w:lang w:val="de-DE" w:eastAsia="en-GB"/>
              </w:rPr>
            </w:pPr>
            <w:r w:rsidRPr="00122B61">
              <w:rPr>
                <w:rFonts w:ascii="Times New Roman" w:eastAsia="Times New Roman" w:hAnsi="Times New Roman" w:cs="Times New Roman"/>
                <w:b/>
                <w:lang w:val="de-DE" w:eastAsia="en-GB"/>
              </w:rPr>
              <w:t>+352 4301 35444</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D1EAC"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1er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r w:rsidRPr="00122B61">
        <w:rPr>
          <w:rFonts w:ascii="Times New Roman" w:eastAsia="Times New Roman" w:hAnsi="Times New Roman" w:cs="Times New Roman"/>
          <w:lang w:val="fr-FR" w:eastAsia="en-GB"/>
        </w:rPr>
        <w:t>L</w:t>
      </w:r>
      <w:r w:rsidRPr="00122B61">
        <w:rPr>
          <w:rFonts w:ascii="Times New Roman" w:eastAsia="Times New Roman" w:hAnsi="Times New Roman" w:cs="Times New Roman"/>
          <w:lang w:val="fr-FR" w:eastAsia="en-GB"/>
        </w:rPr>
        <w:t>’unité G5 d’Eurostat a pour mission d’être le principal fournisseur d’informations statistiques de haute qualité en ce qui concerne le commerce international de biens de l’Europe.</w:t>
      </w: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r w:rsidRPr="00122B61">
        <w:rPr>
          <w:rFonts w:ascii="Times New Roman" w:eastAsia="Times New Roman" w:hAnsi="Times New Roman" w:cs="Times New Roman"/>
          <w:lang w:val="fr-FR" w:eastAsia="en-GB"/>
        </w:rPr>
        <w:t>Dans les années à venir, le principal défi de l’unité sera lié à la mise en œuvre du règlement relatif aux statistiques européennes d’entreprises dans le domaine des statistiques du commerce intra et extra-UE de biens. L’unité G5 sera notamment chargée de la mise en œuvre de l’échange de micro</w:t>
      </w:r>
      <w:r w:rsidRPr="00122B61">
        <w:rPr>
          <w:rFonts w:ascii="Times New Roman" w:eastAsia="Times New Roman" w:hAnsi="Times New Roman" w:cs="Times New Roman"/>
          <w:lang w:val="fr-FR" w:eastAsia="en-GB"/>
        </w:rPr>
        <w:t>-</w:t>
      </w:r>
      <w:r w:rsidRPr="00122B61">
        <w:rPr>
          <w:rFonts w:ascii="Times New Roman" w:eastAsia="Times New Roman" w:hAnsi="Times New Roman" w:cs="Times New Roman"/>
          <w:lang w:val="fr-FR" w:eastAsia="en-GB"/>
        </w:rPr>
        <w:t>données (EMD) dans les statistiques du commerce intra-UE de biens et de l’échange de données douanières (EDD) dans les statistiques du commerce extra-UE de biens, qui deviendront obligatoires à partir de janvier 2022. Dans ce contexte, l’unité G5 devra assurer la mise en œuvre effective de l’échange de données, y compris les orientations méthodologiques sur l’établissement des statistiques du commerce intra et extra-UE de biens.</w:t>
      </w:r>
    </w:p>
    <w:p w:rsidR="00122B61" w:rsidRPr="00122B61" w:rsidRDefault="00122B61" w:rsidP="00122B61">
      <w:pPr>
        <w:spacing w:after="0" w:line="240" w:lineRule="auto"/>
        <w:ind w:left="426" w:right="-14"/>
        <w:jc w:val="both"/>
        <w:rPr>
          <w:rFonts w:ascii="Times New Roman" w:hAnsi="Times New Roman" w:cs="Times New Roman"/>
        </w:rPr>
      </w:pP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r w:rsidRPr="00122B61">
        <w:rPr>
          <w:rFonts w:ascii="Times New Roman" w:eastAsia="Times New Roman" w:hAnsi="Times New Roman" w:cs="Times New Roman"/>
          <w:lang w:val="fr-FR" w:eastAsia="en-GB"/>
        </w:rPr>
        <w:t xml:space="preserve">L’expert travaillera donc à l’orientation méthodologique et à la poursuite du développement de l’EMD et de l’EDD. Il/elle participera à la mise à jour et au développement du ITGS </w:t>
      </w:r>
      <w:proofErr w:type="spellStart"/>
      <w:r w:rsidRPr="00122B61">
        <w:rPr>
          <w:rFonts w:ascii="Times New Roman" w:eastAsia="Times New Roman" w:hAnsi="Times New Roman" w:cs="Times New Roman"/>
          <w:lang w:val="fr-FR" w:eastAsia="en-GB"/>
        </w:rPr>
        <w:t>Compilers</w:t>
      </w:r>
      <w:proofErr w:type="spellEnd"/>
      <w:r w:rsidRPr="00122B61">
        <w:rPr>
          <w:rFonts w:ascii="Times New Roman" w:eastAsia="Times New Roman" w:hAnsi="Times New Roman" w:cs="Times New Roman"/>
          <w:lang w:val="fr-FR" w:eastAsia="en-GB"/>
        </w:rPr>
        <w:t xml:space="preserve"> Guide (guide pour l’établissement des statistiques du commerce international de biens) et des manuels sur l’EMD et l’EDD. Ses tâches consisteront à:</w:t>
      </w:r>
    </w:p>
    <w:p w:rsidR="00122B61" w:rsidRPr="00122B61" w:rsidRDefault="00122B61" w:rsidP="00122B61">
      <w:pPr>
        <w:pStyle w:val="ListParagraph"/>
        <w:numPr>
          <w:ilvl w:val="0"/>
          <w:numId w:val="40"/>
        </w:numPr>
        <w:spacing w:after="0" w:line="240" w:lineRule="auto"/>
        <w:ind w:right="-14"/>
        <w:jc w:val="both"/>
        <w:rPr>
          <w:rFonts w:ascii="Times New Roman" w:hAnsi="Times New Roman" w:cs="Times New Roman"/>
          <w:lang w:val="fr-FR"/>
        </w:rPr>
      </w:pPr>
      <w:proofErr w:type="gramStart"/>
      <w:r w:rsidRPr="00122B61">
        <w:rPr>
          <w:rFonts w:ascii="Times New Roman" w:hAnsi="Times New Roman" w:cs="Times New Roman"/>
          <w:lang w:val="fr-FR"/>
        </w:rPr>
        <w:t>fournir</w:t>
      </w:r>
      <w:proofErr w:type="gramEnd"/>
      <w:r w:rsidRPr="00122B61">
        <w:rPr>
          <w:rFonts w:ascii="Times New Roman" w:hAnsi="Times New Roman" w:cs="Times New Roman"/>
          <w:lang w:val="fr-FR"/>
        </w:rPr>
        <w:t xml:space="preserve"> </w:t>
      </w:r>
      <w:r w:rsidRPr="00122B61">
        <w:rPr>
          <w:rFonts w:ascii="Times New Roman" w:eastAsia="Times New Roman" w:hAnsi="Times New Roman" w:cs="Times New Roman"/>
          <w:lang w:val="fr-FR" w:eastAsia="en-GB"/>
        </w:rPr>
        <w:t>une</w:t>
      </w:r>
      <w:r w:rsidRPr="00122B61">
        <w:rPr>
          <w:rFonts w:ascii="Times New Roman" w:hAnsi="Times New Roman" w:cs="Times New Roman"/>
          <w:lang w:val="fr-FR"/>
        </w:rPr>
        <w:t xml:space="preserve"> </w:t>
      </w:r>
      <w:r w:rsidRPr="00122B61">
        <w:rPr>
          <w:rFonts w:ascii="Times New Roman" w:eastAsia="Times New Roman" w:hAnsi="Times New Roman" w:cs="Times New Roman"/>
          <w:lang w:val="fr-FR" w:eastAsia="en-GB"/>
        </w:rPr>
        <w:t>expertise</w:t>
      </w:r>
      <w:r w:rsidRPr="00122B61">
        <w:rPr>
          <w:rFonts w:ascii="Times New Roman" w:hAnsi="Times New Roman" w:cs="Times New Roman"/>
          <w:lang w:val="fr-FR"/>
        </w:rPr>
        <w:t xml:space="preserve"> pour la mise en œuvre et le développement de l’EMD et de l’EDD;</w:t>
      </w:r>
    </w:p>
    <w:p w:rsidR="00122B61" w:rsidRPr="00122B61" w:rsidRDefault="00122B61" w:rsidP="00122B61">
      <w:pPr>
        <w:pStyle w:val="ListParagraph"/>
        <w:numPr>
          <w:ilvl w:val="0"/>
          <w:numId w:val="40"/>
        </w:numPr>
        <w:spacing w:after="0" w:line="240" w:lineRule="auto"/>
        <w:ind w:right="-14"/>
        <w:jc w:val="both"/>
        <w:rPr>
          <w:rFonts w:ascii="Times New Roman" w:hAnsi="Times New Roman" w:cs="Times New Roman"/>
          <w:lang w:val="fr-FR"/>
        </w:rPr>
      </w:pPr>
      <w:proofErr w:type="gramStart"/>
      <w:r w:rsidRPr="00122B61">
        <w:rPr>
          <w:rFonts w:ascii="Times New Roman" w:eastAsia="Times New Roman" w:hAnsi="Times New Roman" w:cs="Times New Roman"/>
          <w:lang w:val="fr-FR" w:eastAsia="en-GB"/>
        </w:rPr>
        <w:t>assister</w:t>
      </w:r>
      <w:proofErr w:type="gramEnd"/>
      <w:r w:rsidRPr="00122B61">
        <w:rPr>
          <w:rFonts w:ascii="Times New Roman" w:hAnsi="Times New Roman" w:cs="Times New Roman"/>
          <w:lang w:val="fr-FR"/>
        </w:rPr>
        <w:t xml:space="preserve"> les États membres pour la mise en œuvre correcte de la méthodologie des statistiques du commerce international de biens;</w:t>
      </w:r>
    </w:p>
    <w:p w:rsidR="00122B61" w:rsidRPr="00122B61" w:rsidRDefault="00122B61" w:rsidP="00122B61">
      <w:pPr>
        <w:pStyle w:val="ListParagraph"/>
        <w:numPr>
          <w:ilvl w:val="0"/>
          <w:numId w:val="40"/>
        </w:numPr>
        <w:spacing w:after="0" w:line="240" w:lineRule="auto"/>
        <w:ind w:right="-14"/>
        <w:jc w:val="both"/>
        <w:rPr>
          <w:rFonts w:ascii="Times New Roman" w:hAnsi="Times New Roman" w:cs="Times New Roman"/>
          <w:lang w:val="fr-FR"/>
        </w:rPr>
      </w:pPr>
      <w:proofErr w:type="gramStart"/>
      <w:r w:rsidRPr="00122B61">
        <w:rPr>
          <w:rFonts w:ascii="Times New Roman" w:hAnsi="Times New Roman" w:cs="Times New Roman"/>
          <w:lang w:val="fr-FR"/>
        </w:rPr>
        <w:t>contribuer</w:t>
      </w:r>
      <w:proofErr w:type="gramEnd"/>
      <w:r w:rsidRPr="00122B61">
        <w:rPr>
          <w:rFonts w:ascii="Times New Roman" w:hAnsi="Times New Roman" w:cs="Times New Roman"/>
          <w:lang w:val="fr-FR"/>
        </w:rPr>
        <w:t xml:space="preserve"> aux différentes réunions d’experts dans ce domaine de travail;</w:t>
      </w:r>
    </w:p>
    <w:p w:rsidR="00122B61" w:rsidRPr="00122B61" w:rsidRDefault="00122B61" w:rsidP="00122B61">
      <w:pPr>
        <w:pStyle w:val="ListParagraph"/>
        <w:numPr>
          <w:ilvl w:val="0"/>
          <w:numId w:val="40"/>
        </w:numPr>
        <w:spacing w:after="0" w:line="240" w:lineRule="auto"/>
        <w:ind w:right="-14"/>
        <w:jc w:val="both"/>
        <w:rPr>
          <w:rFonts w:ascii="Times New Roman" w:hAnsi="Times New Roman" w:cs="Times New Roman"/>
        </w:rPr>
      </w:pPr>
      <w:proofErr w:type="gramStart"/>
      <w:r w:rsidRPr="00122B61">
        <w:rPr>
          <w:rFonts w:ascii="Times New Roman" w:hAnsi="Times New Roman" w:cs="Times New Roman"/>
          <w:lang w:val="fr-FR"/>
        </w:rPr>
        <w:t>contribuer</w:t>
      </w:r>
      <w:proofErr w:type="gramEnd"/>
      <w:r w:rsidRPr="00122B61">
        <w:rPr>
          <w:rFonts w:ascii="Times New Roman" w:hAnsi="Times New Roman" w:cs="Times New Roman"/>
        </w:rPr>
        <w:t xml:space="preserve"> aux </w:t>
      </w:r>
      <w:r w:rsidRPr="00122B61">
        <w:rPr>
          <w:rFonts w:ascii="Times New Roman" w:hAnsi="Times New Roman" w:cs="Times New Roman"/>
          <w:lang w:val="fr-FR"/>
        </w:rPr>
        <w:t>différentes</w:t>
      </w:r>
      <w:r w:rsidRPr="00122B61">
        <w:rPr>
          <w:rFonts w:ascii="Times New Roman" w:hAnsi="Times New Roman" w:cs="Times New Roman"/>
        </w:rPr>
        <w:t xml:space="preserve"> tâches de l’unité en fonction des domaines d’expertise spécifiques.</w:t>
      </w:r>
    </w:p>
    <w:p w:rsidR="00122B61" w:rsidRPr="00122B61" w:rsidRDefault="00122B61" w:rsidP="00122B61">
      <w:pPr>
        <w:ind w:left="426"/>
        <w:rPr>
          <w:rFonts w:ascii="Times New Roman" w:hAnsi="Times New Roman" w:cs="Times New Roman"/>
        </w:rPr>
      </w:pP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r w:rsidRPr="00122B61">
        <w:rPr>
          <w:rFonts w:ascii="Times New Roman" w:eastAsia="Times New Roman" w:hAnsi="Times New Roman" w:cs="Times New Roman"/>
          <w:lang w:val="fr-FR" w:eastAsia="en-GB"/>
        </w:rPr>
        <w:lastRenderedPageBreak/>
        <w:t>Le poste implique une coopération étroite avec les collègues d’Eurostat, les États membres de l’UE, les pays de l’AELE et les pays candidats ainsi que des organisations internationales.</w:t>
      </w: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p>
    <w:p w:rsidR="00122B61" w:rsidRPr="00122B61" w:rsidRDefault="00122B61" w:rsidP="00122B61">
      <w:pPr>
        <w:spacing w:after="0" w:line="240" w:lineRule="auto"/>
        <w:ind w:left="426" w:right="-14"/>
        <w:jc w:val="both"/>
        <w:rPr>
          <w:rFonts w:ascii="Times New Roman" w:eastAsia="Times New Roman" w:hAnsi="Times New Roman" w:cs="Times New Roman"/>
          <w:lang w:val="fr-FR" w:eastAsia="en-GB"/>
        </w:rPr>
      </w:pPr>
      <w:r w:rsidRPr="00122B61">
        <w:rPr>
          <w:rFonts w:ascii="Times New Roman" w:eastAsia="Times New Roman" w:hAnsi="Times New Roman" w:cs="Times New Roman"/>
          <w:lang w:val="fr-FR" w:eastAsia="en-GB"/>
        </w:rPr>
        <w:t>L’expert doit posséder les compétences et aptitudes suivantes:</w:t>
      </w:r>
    </w:p>
    <w:p w:rsidR="00122B61" w:rsidRPr="00122B61" w:rsidRDefault="00122B61" w:rsidP="00122B61">
      <w:pPr>
        <w:pStyle w:val="ListParagraph"/>
        <w:numPr>
          <w:ilvl w:val="0"/>
          <w:numId w:val="41"/>
        </w:numPr>
        <w:spacing w:after="0" w:line="240" w:lineRule="auto"/>
        <w:ind w:right="-14"/>
        <w:jc w:val="both"/>
        <w:rPr>
          <w:rFonts w:ascii="Times New Roman" w:hAnsi="Times New Roman" w:cs="Times New Roman"/>
          <w:lang w:val="fr-FR"/>
        </w:rPr>
      </w:pPr>
      <w:proofErr w:type="gramStart"/>
      <w:r w:rsidRPr="00122B61">
        <w:rPr>
          <w:rFonts w:ascii="Times New Roman" w:hAnsi="Times New Roman" w:cs="Times New Roman"/>
          <w:lang w:val="fr-FR"/>
        </w:rPr>
        <w:t>excellente</w:t>
      </w:r>
      <w:proofErr w:type="gramEnd"/>
      <w:r w:rsidRPr="00122B61">
        <w:rPr>
          <w:rFonts w:ascii="Times New Roman" w:hAnsi="Times New Roman" w:cs="Times New Roman"/>
          <w:lang w:val="fr-FR"/>
        </w:rPr>
        <w:t xml:space="preserve"> </w:t>
      </w:r>
      <w:r w:rsidRPr="00122B61">
        <w:rPr>
          <w:rFonts w:ascii="Times New Roman" w:eastAsia="Times New Roman" w:hAnsi="Times New Roman" w:cs="Times New Roman"/>
          <w:lang w:val="fr-FR" w:eastAsia="en-GB"/>
        </w:rPr>
        <w:t>connaissance</w:t>
      </w:r>
      <w:r w:rsidRPr="00122B61">
        <w:rPr>
          <w:rFonts w:ascii="Times New Roman" w:hAnsi="Times New Roman" w:cs="Times New Roman"/>
          <w:lang w:val="fr-FR"/>
        </w:rPr>
        <w:t xml:space="preserve"> des statistiques du commerce international de biens;</w:t>
      </w:r>
    </w:p>
    <w:p w:rsidR="00122B61" w:rsidRPr="00122B61" w:rsidRDefault="00122B61" w:rsidP="00122B61">
      <w:pPr>
        <w:pStyle w:val="ListParagraph"/>
        <w:numPr>
          <w:ilvl w:val="0"/>
          <w:numId w:val="41"/>
        </w:numPr>
        <w:spacing w:after="0" w:line="240" w:lineRule="auto"/>
        <w:ind w:right="-14"/>
        <w:jc w:val="both"/>
        <w:rPr>
          <w:rFonts w:ascii="Times New Roman" w:hAnsi="Times New Roman" w:cs="Times New Roman"/>
          <w:lang w:val="fr-FR"/>
        </w:rPr>
      </w:pPr>
      <w:proofErr w:type="gramStart"/>
      <w:r w:rsidRPr="00122B61">
        <w:rPr>
          <w:rFonts w:ascii="Times New Roman" w:hAnsi="Times New Roman" w:cs="Times New Roman"/>
          <w:lang w:val="fr-FR"/>
        </w:rPr>
        <w:t>bonnes</w:t>
      </w:r>
      <w:proofErr w:type="gramEnd"/>
      <w:r w:rsidRPr="00122B61">
        <w:rPr>
          <w:rFonts w:ascii="Times New Roman" w:hAnsi="Times New Roman" w:cs="Times New Roman"/>
          <w:lang w:val="fr-FR"/>
        </w:rPr>
        <w:t xml:space="preserve"> </w:t>
      </w:r>
      <w:r w:rsidRPr="00122B61">
        <w:rPr>
          <w:rFonts w:ascii="Times New Roman" w:eastAsia="Times New Roman" w:hAnsi="Times New Roman" w:cs="Times New Roman"/>
          <w:lang w:val="fr-FR" w:eastAsia="en-GB"/>
        </w:rPr>
        <w:t>capacités</w:t>
      </w:r>
      <w:r w:rsidRPr="00122B61">
        <w:rPr>
          <w:rFonts w:ascii="Times New Roman" w:hAnsi="Times New Roman" w:cs="Times New Roman"/>
          <w:lang w:val="fr-FR"/>
        </w:rPr>
        <w:t xml:space="preserve"> et intérêt pour la réalisation d’une série de tâches telles que des enquêtes et des analyses;</w:t>
      </w:r>
    </w:p>
    <w:p w:rsidR="00122B61" w:rsidRPr="00122B61" w:rsidRDefault="00122B61" w:rsidP="00122B61">
      <w:pPr>
        <w:pStyle w:val="ListParagraph"/>
        <w:numPr>
          <w:ilvl w:val="0"/>
          <w:numId w:val="41"/>
        </w:numPr>
        <w:spacing w:after="0" w:line="240" w:lineRule="auto"/>
        <w:ind w:right="-14"/>
        <w:jc w:val="both"/>
        <w:rPr>
          <w:rFonts w:ascii="Times New Roman" w:hAnsi="Times New Roman" w:cs="Times New Roman"/>
        </w:rPr>
      </w:pPr>
      <w:proofErr w:type="gramStart"/>
      <w:r w:rsidRPr="00122B61">
        <w:rPr>
          <w:rFonts w:ascii="Times New Roman" w:hAnsi="Times New Roman" w:cs="Times New Roman"/>
          <w:lang w:val="fr-FR"/>
        </w:rPr>
        <w:t>bonnes</w:t>
      </w:r>
      <w:proofErr w:type="gramEnd"/>
      <w:r w:rsidRPr="00122B61">
        <w:rPr>
          <w:rFonts w:ascii="Times New Roman" w:hAnsi="Times New Roman" w:cs="Times New Roman"/>
          <w:lang w:val="fr-FR"/>
        </w:rPr>
        <w:t xml:space="preserve"> </w:t>
      </w:r>
      <w:r w:rsidRPr="00122B61">
        <w:rPr>
          <w:rFonts w:ascii="Times New Roman" w:eastAsia="Times New Roman" w:hAnsi="Times New Roman" w:cs="Times New Roman"/>
          <w:lang w:val="fr-FR" w:eastAsia="en-GB"/>
        </w:rPr>
        <w:t>capacités</w:t>
      </w:r>
      <w:r w:rsidRPr="00122B61">
        <w:rPr>
          <w:rFonts w:ascii="Times New Roman" w:hAnsi="Times New Roman" w:cs="Times New Roman"/>
          <w:lang w:val="fr-FR"/>
        </w:rPr>
        <w:t xml:space="preserve"> rédactionnelles</w:t>
      </w:r>
      <w:r w:rsidRPr="00122B61">
        <w:rPr>
          <w:rFonts w:ascii="Times New Roman" w:hAnsi="Times New Roman" w:cs="Times New Roman"/>
        </w:rPr>
        <w:t xml:space="preserve"> et de communication;</w:t>
      </w:r>
    </w:p>
    <w:p w:rsidR="00122B61" w:rsidRPr="00122B61" w:rsidRDefault="00122B61" w:rsidP="00122B61">
      <w:pPr>
        <w:pStyle w:val="ListParagraph"/>
        <w:numPr>
          <w:ilvl w:val="0"/>
          <w:numId w:val="41"/>
        </w:numPr>
        <w:spacing w:after="0" w:line="240" w:lineRule="auto"/>
        <w:ind w:right="-14"/>
        <w:jc w:val="both"/>
        <w:rPr>
          <w:rFonts w:ascii="Times New Roman" w:hAnsi="Times New Roman" w:cs="Times New Roman"/>
        </w:rPr>
      </w:pPr>
      <w:proofErr w:type="gramStart"/>
      <w:r w:rsidRPr="00122B61">
        <w:rPr>
          <w:rFonts w:ascii="Times New Roman" w:hAnsi="Times New Roman" w:cs="Times New Roman"/>
        </w:rPr>
        <w:t>capacité</w:t>
      </w:r>
      <w:proofErr w:type="gramEnd"/>
      <w:r w:rsidRPr="00122B61">
        <w:rPr>
          <w:rFonts w:ascii="Times New Roman" w:hAnsi="Times New Roman" w:cs="Times New Roman"/>
        </w:rPr>
        <w:t xml:space="preserve"> à agir sur les </w:t>
      </w:r>
      <w:r w:rsidRPr="00122B61">
        <w:rPr>
          <w:rFonts w:ascii="Times New Roman" w:hAnsi="Times New Roman" w:cs="Times New Roman"/>
          <w:lang w:val="fr-FR"/>
        </w:rPr>
        <w:t>problèmes</w:t>
      </w:r>
      <w:r w:rsidRPr="00122B61">
        <w:rPr>
          <w:rFonts w:ascii="Times New Roman" w:hAnsi="Times New Roman" w:cs="Times New Roman"/>
        </w:rPr>
        <w:t xml:space="preserve"> et à travailler de manière proactive et autonome;</w:t>
      </w:r>
    </w:p>
    <w:p w:rsidR="00122B61" w:rsidRPr="00122B61" w:rsidRDefault="00122B61" w:rsidP="00122B61">
      <w:pPr>
        <w:pStyle w:val="ListParagraph"/>
        <w:numPr>
          <w:ilvl w:val="0"/>
          <w:numId w:val="41"/>
        </w:numPr>
        <w:spacing w:after="0" w:line="240" w:lineRule="auto"/>
        <w:ind w:right="-14"/>
        <w:jc w:val="both"/>
        <w:rPr>
          <w:rFonts w:ascii="Times New Roman" w:hAnsi="Times New Roman" w:cs="Times New Roman"/>
          <w:lang w:val="fr-FR"/>
        </w:rPr>
      </w:pPr>
      <w:proofErr w:type="gramStart"/>
      <w:r w:rsidRPr="00122B61">
        <w:rPr>
          <w:rFonts w:ascii="Times New Roman" w:hAnsi="Times New Roman" w:cs="Times New Roman"/>
        </w:rPr>
        <w:t>capacité</w:t>
      </w:r>
      <w:proofErr w:type="gramEnd"/>
      <w:r w:rsidRPr="00122B61">
        <w:rPr>
          <w:rFonts w:ascii="Times New Roman" w:hAnsi="Times New Roman" w:cs="Times New Roman"/>
        </w:rPr>
        <w:t xml:space="preserve"> à </w:t>
      </w:r>
      <w:r w:rsidRPr="00122B61">
        <w:rPr>
          <w:rFonts w:ascii="Times New Roman" w:hAnsi="Times New Roman" w:cs="Times New Roman"/>
          <w:lang w:val="fr-FR"/>
        </w:rPr>
        <w:t>travailler à la fois de manière indépendante et en équipe, avec un niveau élevé de responsabilité, de motivation et un esprit d’équipe positif;</w:t>
      </w:r>
    </w:p>
    <w:p w:rsidR="00BB4B2C" w:rsidRPr="00122B61" w:rsidRDefault="00122B61" w:rsidP="00122B61">
      <w:pPr>
        <w:pStyle w:val="ListParagraph"/>
        <w:numPr>
          <w:ilvl w:val="0"/>
          <w:numId w:val="41"/>
        </w:numPr>
        <w:spacing w:after="0" w:line="240" w:lineRule="auto"/>
        <w:jc w:val="both"/>
        <w:rPr>
          <w:rFonts w:ascii="Times New Roman" w:eastAsia="Times New Roman" w:hAnsi="Times New Roman" w:cs="Times New Roman"/>
          <w:lang w:eastAsia="en-GB"/>
        </w:rPr>
      </w:pPr>
      <w:proofErr w:type="gramStart"/>
      <w:r w:rsidRPr="00122B61">
        <w:rPr>
          <w:rFonts w:ascii="Times New Roman" w:hAnsi="Times New Roman" w:cs="Times New Roman"/>
          <w:lang w:val="fr-FR"/>
        </w:rPr>
        <w:t>capacité</w:t>
      </w:r>
      <w:proofErr w:type="gramEnd"/>
      <w:r w:rsidRPr="00122B61">
        <w:rPr>
          <w:rFonts w:ascii="Times New Roman" w:hAnsi="Times New Roman" w:cs="Times New Roman"/>
          <w:lang w:val="fr-FR"/>
        </w:rPr>
        <w:t xml:space="preserve"> de </w:t>
      </w:r>
      <w:r w:rsidRPr="00122B61">
        <w:rPr>
          <w:rFonts w:ascii="Times New Roman" w:eastAsia="Times New Roman" w:hAnsi="Times New Roman" w:cs="Times New Roman"/>
          <w:lang w:val="fr-FR" w:eastAsia="en-GB"/>
        </w:rPr>
        <w:t>travailler</w:t>
      </w:r>
      <w:r w:rsidRPr="00122B61">
        <w:rPr>
          <w:rFonts w:ascii="Times New Roman" w:hAnsi="Times New Roman" w:cs="Times New Roman"/>
        </w:rPr>
        <w:t xml:space="preserve"> en respectant des délais serrés.</w:t>
      </w:r>
    </w:p>
    <w:p w:rsidR="00396AB0" w:rsidRPr="00BC57BB" w:rsidRDefault="00396AB0" w:rsidP="00122B6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w:t>
      </w:r>
      <w:r w:rsidR="00122B61">
        <w:rPr>
          <w:rFonts w:ascii="Times New Roman" w:eastAsia="Times New Roman" w:hAnsi="Times New Roman" w:cs="Times New Roman"/>
          <w:lang w:eastAsia="en-GB"/>
        </w:rPr>
        <w:t>ine(s) : statistique ou économi</w:t>
      </w:r>
      <w:r w:rsidR="00D37960">
        <w:rPr>
          <w:rFonts w:ascii="Times New Roman" w:eastAsia="Times New Roman" w:hAnsi="Times New Roman" w:cs="Times New Roman"/>
          <w:lang w:eastAsia="en-GB"/>
        </w:rPr>
        <w:t>e</w:t>
      </w:r>
      <w:r w:rsidR="00122B61">
        <w:rPr>
          <w:rFonts w:ascii="Times New Roman" w:eastAsia="Times New Roman" w:hAnsi="Times New Roman" w:cs="Times New Roman"/>
          <w:lang w:eastAsia="en-GB"/>
        </w:rPr>
        <w:t xml:space="preserve"> ou domaine connexe</w:t>
      </w:r>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122B61" w:rsidP="00271D80">
      <w:pPr>
        <w:tabs>
          <w:tab w:val="left" w:pos="709"/>
        </w:tabs>
        <w:spacing w:after="0" w:line="240" w:lineRule="auto"/>
        <w:ind w:left="709" w:right="62"/>
        <w:jc w:val="both"/>
        <w:rPr>
          <w:rFonts w:ascii="Times New Roman" w:eastAsia="Times New Roman" w:hAnsi="Times New Roman" w:cs="Times New Roman"/>
          <w:lang w:eastAsia="en-GB"/>
        </w:rPr>
      </w:pPr>
      <w:r w:rsidRPr="00122B61">
        <w:rPr>
          <w:rFonts w:ascii="Times New Roman" w:hAnsi="Times New Roman" w:cs="Times New Roman"/>
        </w:rPr>
        <w:t>Une connaissance approfondie de la méthodologie des statistiques du commerce international de biens et plusieurs années d’expérience en matière de processus de collecte et d’élaboration des statistiques du commerce intra et extra-UE de biens sont requises.</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122B61" w:rsidP="00AF75CA">
      <w:pPr>
        <w:tabs>
          <w:tab w:val="left" w:pos="709"/>
        </w:tabs>
        <w:spacing w:after="0" w:line="240" w:lineRule="auto"/>
        <w:ind w:left="709" w:right="60"/>
        <w:jc w:val="both"/>
        <w:rPr>
          <w:rFonts w:ascii="Times New Roman" w:eastAsia="Times New Roman" w:hAnsi="Times New Roman" w:cs="Times New Roman"/>
          <w:lang w:eastAsia="en-GB"/>
        </w:rPr>
      </w:pPr>
      <w:r w:rsidRPr="00122B61">
        <w:rPr>
          <w:rFonts w:ascii="Times New Roman" w:eastAsia="Times New Roman" w:hAnsi="Times New Roman" w:cs="Times New Roman"/>
          <w:lang w:eastAsia="en-GB"/>
        </w:rPr>
        <w:t>La langue de travail de l’unité est l’anglais.</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22B6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7"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8"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9"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1"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4"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5"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1"/>
  </w:num>
  <w:num w:numId="4">
    <w:abstractNumId w:val="13"/>
  </w:num>
  <w:num w:numId="5">
    <w:abstractNumId w:val="33"/>
  </w:num>
  <w:num w:numId="6">
    <w:abstractNumId w:val="32"/>
  </w:num>
  <w:num w:numId="7">
    <w:abstractNumId w:val="29"/>
  </w:num>
  <w:num w:numId="8">
    <w:abstractNumId w:val="6"/>
  </w:num>
  <w:num w:numId="9">
    <w:abstractNumId w:val="35"/>
  </w:num>
  <w:num w:numId="10">
    <w:abstractNumId w:val="18"/>
  </w:num>
  <w:num w:numId="11">
    <w:abstractNumId w:val="23"/>
  </w:num>
  <w:num w:numId="12">
    <w:abstractNumId w:val="19"/>
  </w:num>
  <w:num w:numId="13">
    <w:abstractNumId w:val="0"/>
  </w:num>
  <w:num w:numId="14">
    <w:abstractNumId w:val="25"/>
  </w:num>
  <w:num w:numId="15">
    <w:abstractNumId w:val="34"/>
  </w:num>
  <w:num w:numId="16">
    <w:abstractNumId w:val="20"/>
  </w:num>
  <w:num w:numId="17">
    <w:abstractNumId w:val="36"/>
  </w:num>
  <w:num w:numId="18">
    <w:abstractNumId w:val="40"/>
  </w:num>
  <w:num w:numId="19">
    <w:abstractNumId w:val="10"/>
  </w:num>
  <w:num w:numId="20">
    <w:abstractNumId w:val="2"/>
  </w:num>
  <w:num w:numId="21">
    <w:abstractNumId w:val="28"/>
  </w:num>
  <w:num w:numId="22">
    <w:abstractNumId w:val="24"/>
  </w:num>
  <w:num w:numId="23">
    <w:abstractNumId w:val="31"/>
  </w:num>
  <w:num w:numId="24">
    <w:abstractNumId w:val="4"/>
  </w:num>
  <w:num w:numId="25">
    <w:abstractNumId w:val="21"/>
  </w:num>
  <w:num w:numId="26">
    <w:abstractNumId w:val="17"/>
  </w:num>
  <w:num w:numId="27">
    <w:abstractNumId w:val="30"/>
  </w:num>
  <w:num w:numId="28">
    <w:abstractNumId w:val="1"/>
  </w:num>
  <w:num w:numId="29">
    <w:abstractNumId w:val="3"/>
  </w:num>
  <w:num w:numId="30">
    <w:abstractNumId w:val="14"/>
  </w:num>
  <w:num w:numId="31">
    <w:abstractNumId w:val="7"/>
  </w:num>
  <w:num w:numId="32">
    <w:abstractNumId w:val="26"/>
  </w:num>
  <w:num w:numId="33">
    <w:abstractNumId w:val="12"/>
  </w:num>
  <w:num w:numId="34">
    <w:abstractNumId w:val="9"/>
  </w:num>
  <w:num w:numId="35">
    <w:abstractNumId w:val="15"/>
  </w:num>
  <w:num w:numId="36">
    <w:abstractNumId w:val="38"/>
  </w:num>
  <w:num w:numId="37">
    <w:abstractNumId w:val="37"/>
  </w:num>
  <w:num w:numId="38">
    <w:abstractNumId w:val="8"/>
  </w:num>
  <w:num w:numId="39">
    <w:abstractNumId w:val="5"/>
  </w:num>
  <w:num w:numId="40">
    <w:abstractNumId w:val="39"/>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22B61"/>
    <w:rsid w:val="00151501"/>
    <w:rsid w:val="0019598C"/>
    <w:rsid w:val="00220C9B"/>
    <w:rsid w:val="00271D80"/>
    <w:rsid w:val="00396AB0"/>
    <w:rsid w:val="004845C3"/>
    <w:rsid w:val="00534042"/>
    <w:rsid w:val="00550A67"/>
    <w:rsid w:val="00572675"/>
    <w:rsid w:val="005C6DFC"/>
    <w:rsid w:val="005F03BC"/>
    <w:rsid w:val="00745B97"/>
    <w:rsid w:val="00770821"/>
    <w:rsid w:val="008D1EAC"/>
    <w:rsid w:val="008E4F22"/>
    <w:rsid w:val="00967BD2"/>
    <w:rsid w:val="00AF75CA"/>
    <w:rsid w:val="00B36D07"/>
    <w:rsid w:val="00BB4B2C"/>
    <w:rsid w:val="00BC14A5"/>
    <w:rsid w:val="00BC57BB"/>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ch.eid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1520</Words>
  <Characters>8605</Characters>
  <Application>Microsoft Office Word</Application>
  <DocSecurity>0</DocSecurity>
  <Lines>179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2020-07-14T13:37:00Z</dcterms:created>
  <dcterms:modified xsi:type="dcterms:W3CDTF">2020-07-14T13:37:00Z</dcterms:modified>
</cp:coreProperties>
</file>