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52D58" w:rsidP="001E2E8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w:t>
            </w:r>
            <w:r w:rsidR="001E2E87">
              <w:rPr>
                <w:rFonts w:ascii="Times New Roman" w:eastAsia="Times New Roman" w:hAnsi="Times New Roman" w:cs="Times New Roman"/>
                <w:b/>
                <w:sz w:val="24"/>
                <w:szCs w:val="20"/>
                <w:lang w:eastAsia="en-GB"/>
              </w:rPr>
              <w:t>F-1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E2E87" w:rsidRPr="001E2E87" w:rsidRDefault="001E2E87" w:rsidP="001E2E87">
            <w:pPr>
              <w:rPr>
                <w:rFonts w:ascii="Times New Roman" w:hAnsi="Times New Roman" w:cs="Times New Roman"/>
                <w:b/>
              </w:rPr>
            </w:pPr>
            <w:r w:rsidRPr="001E2E87">
              <w:rPr>
                <w:rFonts w:ascii="Times New Roman" w:hAnsi="Times New Roman" w:cs="Times New Roman"/>
                <w:b/>
              </w:rPr>
              <w:t xml:space="preserve">Astrid </w:t>
            </w:r>
            <w:proofErr w:type="spellStart"/>
            <w:r w:rsidRPr="001E2E87">
              <w:rPr>
                <w:rFonts w:ascii="Times New Roman" w:hAnsi="Times New Roman" w:cs="Times New Roman"/>
                <w:b/>
              </w:rPr>
              <w:t>Ladefoged</w:t>
            </w:r>
            <w:proofErr w:type="spellEnd"/>
          </w:p>
          <w:p w:rsidR="001E2E87" w:rsidRPr="001E2E87" w:rsidRDefault="001E2E87" w:rsidP="001E2E87">
            <w:pPr>
              <w:rPr>
                <w:rFonts w:ascii="Times New Roman" w:hAnsi="Times New Roman" w:cs="Times New Roman"/>
                <w:b/>
              </w:rPr>
            </w:pPr>
            <w:hyperlink r:id="rId8" w:history="1">
              <w:r w:rsidRPr="00EC3EBB">
                <w:rPr>
                  <w:rStyle w:val="Hyperlink"/>
                  <w:rFonts w:ascii="Times New Roman" w:hAnsi="Times New Roman" w:cs="Times New Roman"/>
                  <w:b/>
                </w:rPr>
                <w:t>astrid.ladefoged@ec.europa.eu</w:t>
              </w:r>
            </w:hyperlink>
            <w:r>
              <w:rPr>
                <w:rFonts w:ascii="Times New Roman" w:hAnsi="Times New Roman" w:cs="Times New Roman"/>
                <w:b/>
              </w:rPr>
              <w:t xml:space="preserve"> </w:t>
            </w:r>
          </w:p>
          <w:p w:rsidR="00381739" w:rsidRDefault="001E2E87" w:rsidP="001E2E87">
            <w:pPr>
              <w:rPr>
                <w:rFonts w:ascii="Times New Roman" w:hAnsi="Times New Roman" w:cs="Times New Roman"/>
                <w:b/>
              </w:rPr>
            </w:pPr>
            <w:r w:rsidRPr="001E2E87">
              <w:rPr>
                <w:rFonts w:ascii="Times New Roman" w:hAnsi="Times New Roman" w:cs="Times New Roman"/>
                <w:b/>
              </w:rPr>
              <w:t>+3222956019</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1E2E87"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381739" w:rsidRPr="00381739">
              <w:rPr>
                <w:rFonts w:ascii="Times New Roman" w:hAnsi="Times New Roman" w:cs="Times New Roman"/>
                <w:b/>
                <w:vertAlign w:val="superscript"/>
              </w:rPr>
              <w:t>ème</w:t>
            </w:r>
            <w:r w:rsidR="00381739">
              <w:rPr>
                <w:rFonts w:ascii="Times New Roman" w:hAnsi="Times New Roman" w:cs="Times New Roman"/>
                <w:b/>
              </w:rPr>
              <w:t xml:space="preserve"> </w:t>
            </w:r>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9C158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E2E87" w:rsidRPr="001E2E87" w:rsidRDefault="001E2E87" w:rsidP="001E2E87">
      <w:pPr>
        <w:spacing w:after="0" w:line="240" w:lineRule="auto"/>
        <w:ind w:left="426"/>
        <w:jc w:val="both"/>
        <w:rPr>
          <w:rFonts w:ascii="Times New Roman" w:hAnsi="Times New Roman" w:cs="Times New Roman"/>
        </w:rPr>
      </w:pPr>
      <w:r w:rsidRPr="001E2E87">
        <w:rPr>
          <w:rFonts w:ascii="Times New Roman" w:hAnsi="Times New Roman" w:cs="Times New Roman"/>
        </w:rPr>
        <w:t>L’</w:t>
      </w:r>
      <w:r>
        <w:rPr>
          <w:rFonts w:ascii="Times New Roman" w:hAnsi="Times New Roman" w:cs="Times New Roman"/>
        </w:rPr>
        <w:t>u</w:t>
      </w:r>
      <w:r w:rsidRPr="001E2E87">
        <w:rPr>
          <w:rFonts w:ascii="Times New Roman" w:hAnsi="Times New Roman" w:cs="Times New Roman"/>
        </w:rPr>
        <w:t>nité Objectifs de Développement Durable, Finance Verte et Analyse Economique est responsable à la DG Environnement d’une série de stratégies-clé, de la mise en œuvre des objectifs de développement durable des Nations Unies , les Programmes d’action environnementaux, et la coordination de la préparation du prochain cadre financier pluriannuel de l’UE au sein de la DG.</w:t>
      </w:r>
    </w:p>
    <w:p w:rsidR="001E2E87" w:rsidRPr="001E2E87" w:rsidRDefault="001E2E87" w:rsidP="001E2E87">
      <w:pPr>
        <w:spacing w:after="0" w:line="240" w:lineRule="auto"/>
        <w:ind w:left="426"/>
        <w:jc w:val="both"/>
        <w:rPr>
          <w:rFonts w:ascii="Times New Roman" w:hAnsi="Times New Roman" w:cs="Times New Roman"/>
        </w:rPr>
      </w:pPr>
    </w:p>
    <w:p w:rsidR="001E2E87" w:rsidRPr="001E2E87" w:rsidRDefault="001E2E87" w:rsidP="001E2E87">
      <w:pPr>
        <w:spacing w:after="0" w:line="240" w:lineRule="auto"/>
        <w:ind w:left="426"/>
        <w:jc w:val="both"/>
        <w:rPr>
          <w:rFonts w:ascii="Times New Roman" w:hAnsi="Times New Roman" w:cs="Times New Roman"/>
        </w:rPr>
      </w:pPr>
      <w:r>
        <w:rPr>
          <w:rFonts w:ascii="Times New Roman" w:hAnsi="Times New Roman" w:cs="Times New Roman"/>
        </w:rPr>
        <w:t>L'u</w:t>
      </w:r>
      <w:r w:rsidRPr="001E2E87">
        <w:rPr>
          <w:rFonts w:ascii="Times New Roman" w:hAnsi="Times New Roman" w:cs="Times New Roman"/>
        </w:rPr>
        <w:t>nité est également chargée d'apporter une contribution substantielle à la mise en œuvre du plan d'action de la Commission pour le financement durable, notamment en suivant le groupe d'experts techniques sur le financement durable ainsi que d'autres groupes.</w:t>
      </w:r>
    </w:p>
    <w:p w:rsidR="001E2E87" w:rsidRPr="001E2E87" w:rsidRDefault="001E2E87" w:rsidP="001E2E87">
      <w:pPr>
        <w:spacing w:after="0" w:line="240" w:lineRule="auto"/>
        <w:ind w:left="426"/>
        <w:jc w:val="both"/>
        <w:rPr>
          <w:rFonts w:ascii="Times New Roman" w:hAnsi="Times New Roman" w:cs="Times New Roman"/>
        </w:rPr>
      </w:pPr>
    </w:p>
    <w:p w:rsidR="001E2E87" w:rsidRPr="001E2E87" w:rsidRDefault="001E2E87" w:rsidP="001E2E87">
      <w:pPr>
        <w:spacing w:after="0" w:line="240" w:lineRule="auto"/>
        <w:ind w:left="426"/>
        <w:jc w:val="both"/>
        <w:rPr>
          <w:rFonts w:ascii="Times New Roman" w:hAnsi="Times New Roman" w:cs="Times New Roman"/>
        </w:rPr>
      </w:pPr>
      <w:r w:rsidRPr="001E2E87">
        <w:rPr>
          <w:rFonts w:ascii="Times New Roman" w:hAnsi="Times New Roman" w:cs="Times New Roman"/>
        </w:rPr>
        <w:t>Nous proposons un poste motivant destiné à soutenir le travail et les objectifs de l'unité dans le domaine de la finance durable.</w:t>
      </w:r>
    </w:p>
    <w:p w:rsidR="001E2E87" w:rsidRPr="001E2E87" w:rsidRDefault="001E2E87" w:rsidP="001E2E87">
      <w:pPr>
        <w:spacing w:after="0" w:line="240" w:lineRule="auto"/>
        <w:ind w:left="426"/>
        <w:jc w:val="both"/>
        <w:rPr>
          <w:rFonts w:ascii="Times New Roman" w:hAnsi="Times New Roman" w:cs="Times New Roman"/>
        </w:rPr>
      </w:pPr>
    </w:p>
    <w:p w:rsidR="001E2E87" w:rsidRPr="001E2E87" w:rsidRDefault="001E2E87" w:rsidP="001E2E87">
      <w:pPr>
        <w:spacing w:after="0" w:line="240" w:lineRule="auto"/>
        <w:ind w:left="426"/>
        <w:jc w:val="both"/>
        <w:rPr>
          <w:rFonts w:ascii="Times New Roman" w:hAnsi="Times New Roman" w:cs="Times New Roman"/>
        </w:rPr>
      </w:pPr>
      <w:r w:rsidRPr="001E2E87">
        <w:rPr>
          <w:rFonts w:ascii="Times New Roman" w:hAnsi="Times New Roman" w:cs="Times New Roman"/>
        </w:rPr>
        <w:t>Les objectifs spécifiques concernés pourraient inclure :</w:t>
      </w:r>
    </w:p>
    <w:p w:rsidR="001E2E87" w:rsidRPr="001E2E87" w:rsidRDefault="001E2E87" w:rsidP="001E2E87">
      <w:pPr>
        <w:pStyle w:val="ListParagraph"/>
        <w:numPr>
          <w:ilvl w:val="0"/>
          <w:numId w:val="8"/>
        </w:numPr>
        <w:spacing w:after="0" w:line="240" w:lineRule="auto"/>
        <w:ind w:left="709" w:hanging="283"/>
        <w:jc w:val="both"/>
        <w:rPr>
          <w:rFonts w:ascii="Times New Roman" w:hAnsi="Times New Roman" w:cs="Times New Roman"/>
        </w:rPr>
      </w:pPr>
      <w:r w:rsidRPr="001E2E87">
        <w:rPr>
          <w:rFonts w:ascii="Times New Roman" w:hAnsi="Times New Roman" w:cs="Times New Roman"/>
        </w:rPr>
        <w:t>de travailler à l'élaboration d'une politique en matière de relance verte et de finance durable en étroite collaboration avec d'autres directions générales de la Commission européenne ;</w:t>
      </w:r>
    </w:p>
    <w:p w:rsidR="001E2E87" w:rsidRPr="001E2E87" w:rsidRDefault="001E2E87" w:rsidP="001E2E87">
      <w:pPr>
        <w:pStyle w:val="ListParagraph"/>
        <w:numPr>
          <w:ilvl w:val="0"/>
          <w:numId w:val="8"/>
        </w:numPr>
        <w:spacing w:after="0" w:line="240" w:lineRule="auto"/>
        <w:ind w:left="709" w:hanging="283"/>
        <w:jc w:val="both"/>
        <w:rPr>
          <w:rFonts w:ascii="Times New Roman" w:hAnsi="Times New Roman" w:cs="Times New Roman"/>
        </w:rPr>
      </w:pPr>
      <w:r w:rsidRPr="001E2E87">
        <w:rPr>
          <w:rFonts w:ascii="Times New Roman" w:hAnsi="Times New Roman" w:cs="Times New Roman"/>
        </w:rPr>
        <w:t>le développement d’une taxonomie durable de l’UE (un système de classification pour les investissements durables) ;</w:t>
      </w:r>
    </w:p>
    <w:p w:rsidR="001E2E87" w:rsidRPr="001E2E87" w:rsidRDefault="001E2E87" w:rsidP="001E2E87">
      <w:pPr>
        <w:pStyle w:val="ListParagraph"/>
        <w:numPr>
          <w:ilvl w:val="0"/>
          <w:numId w:val="8"/>
        </w:numPr>
        <w:spacing w:after="0" w:line="240" w:lineRule="auto"/>
        <w:ind w:left="709" w:hanging="283"/>
        <w:jc w:val="both"/>
        <w:rPr>
          <w:rFonts w:ascii="Times New Roman" w:hAnsi="Times New Roman" w:cs="Times New Roman"/>
        </w:rPr>
      </w:pPr>
      <w:r w:rsidRPr="001E2E87">
        <w:rPr>
          <w:rFonts w:ascii="Times New Roman" w:hAnsi="Times New Roman" w:cs="Times New Roman"/>
        </w:rPr>
        <w:t>de promouvoir la prise en compte des facteurs ESG (environnementaux, sociaux et de gouvernance) dans les obligations fiduciaires;</w:t>
      </w:r>
    </w:p>
    <w:p w:rsidR="001E2E87" w:rsidRPr="001E2E87" w:rsidRDefault="001E2E87" w:rsidP="001E2E87">
      <w:pPr>
        <w:pStyle w:val="ListParagraph"/>
        <w:numPr>
          <w:ilvl w:val="0"/>
          <w:numId w:val="8"/>
        </w:numPr>
        <w:spacing w:after="0" w:line="240" w:lineRule="auto"/>
        <w:ind w:left="709" w:hanging="283"/>
        <w:jc w:val="both"/>
        <w:rPr>
          <w:rFonts w:ascii="Times New Roman" w:hAnsi="Times New Roman" w:cs="Times New Roman"/>
        </w:rPr>
      </w:pPr>
      <w:r w:rsidRPr="001E2E87">
        <w:rPr>
          <w:rFonts w:ascii="Times New Roman" w:hAnsi="Times New Roman" w:cs="Times New Roman"/>
        </w:rPr>
        <w:t>la promotion de la comptabilité environnementale, et</w:t>
      </w:r>
    </w:p>
    <w:p w:rsidR="001E2E87" w:rsidRPr="001E2E87" w:rsidRDefault="001E2E87" w:rsidP="001E2E87">
      <w:pPr>
        <w:pStyle w:val="ListParagraph"/>
        <w:numPr>
          <w:ilvl w:val="0"/>
          <w:numId w:val="8"/>
        </w:numPr>
        <w:spacing w:after="0" w:line="240" w:lineRule="auto"/>
        <w:ind w:left="709" w:hanging="283"/>
        <w:jc w:val="both"/>
        <w:rPr>
          <w:rFonts w:ascii="Times New Roman" w:hAnsi="Times New Roman" w:cs="Times New Roman"/>
        </w:rPr>
      </w:pPr>
      <w:r w:rsidRPr="001E2E87">
        <w:rPr>
          <w:rFonts w:ascii="Times New Roman" w:hAnsi="Times New Roman" w:cs="Times New Roman"/>
        </w:rPr>
        <w:t>l’utilisation de statistiques, de recherches, de résultats d’études et d’autre informations pour l’élaboration de propositions politiques et le soutien de l’argumentation économique.</w:t>
      </w:r>
    </w:p>
    <w:p w:rsidR="001E2E87" w:rsidRPr="001E2E87" w:rsidRDefault="001E2E87" w:rsidP="001E2E87">
      <w:pPr>
        <w:spacing w:after="0" w:line="240" w:lineRule="auto"/>
        <w:ind w:left="426"/>
        <w:jc w:val="both"/>
        <w:rPr>
          <w:rFonts w:ascii="Times New Roman" w:hAnsi="Times New Roman" w:cs="Times New Roman"/>
        </w:rPr>
      </w:pPr>
    </w:p>
    <w:p w:rsidR="00052D58" w:rsidRPr="00052D58" w:rsidRDefault="001E2E87" w:rsidP="001E2E87">
      <w:pPr>
        <w:spacing w:after="0" w:line="240" w:lineRule="auto"/>
        <w:ind w:left="426"/>
        <w:jc w:val="both"/>
        <w:rPr>
          <w:rFonts w:ascii="Times New Roman" w:hAnsi="Times New Roman" w:cs="Times New Roman"/>
        </w:rPr>
      </w:pPr>
      <w:r w:rsidRPr="001E2E87">
        <w:rPr>
          <w:rFonts w:ascii="Times New Roman" w:hAnsi="Times New Roman" w:cs="Times New Roman"/>
        </w:rPr>
        <w:lastRenderedPageBreak/>
        <w:t>Le poste implique des contacts fréquents avec d’autres unités de la DG Environnement, d’autres services de la Commission, les autorités des États membres et les parties prenantes, ainsi que les pays tiers</w:t>
      </w:r>
      <w:r w:rsidR="00052D58" w:rsidRPr="00052D58">
        <w:rPr>
          <w:rFonts w:ascii="Times New Roman" w:hAnsi="Times New Roman" w:cs="Times New Roman"/>
        </w:rPr>
        <w:t xml:space="preserve">. </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1E2E87" w:rsidRPr="001E2E87">
        <w:rPr>
          <w:rFonts w:ascii="Times New Roman" w:eastAsia="Times New Roman" w:hAnsi="Times New Roman" w:cs="Times New Roman"/>
          <w:lang w:eastAsia="en-GB"/>
        </w:rPr>
        <w:t>finance et/ou économie. D’autres filières seront prises en considération si le</w:t>
      </w:r>
      <w:r w:rsidR="001E2E87">
        <w:rPr>
          <w:rFonts w:ascii="Times New Roman" w:eastAsia="Times New Roman" w:hAnsi="Times New Roman" w:cs="Times New Roman"/>
          <w:lang w:eastAsia="en-GB"/>
        </w:rPr>
        <w:t>/la</w:t>
      </w:r>
      <w:r w:rsidR="001E2E87" w:rsidRPr="001E2E87">
        <w:rPr>
          <w:rFonts w:ascii="Times New Roman" w:eastAsia="Times New Roman" w:hAnsi="Times New Roman" w:cs="Times New Roman"/>
          <w:lang w:eastAsia="en-GB"/>
        </w:rPr>
        <w:t xml:space="preserve"> candidat</w:t>
      </w:r>
      <w:r w:rsidR="001E2E87">
        <w:rPr>
          <w:rFonts w:ascii="Times New Roman" w:eastAsia="Times New Roman" w:hAnsi="Times New Roman" w:cs="Times New Roman"/>
          <w:lang w:eastAsia="en-GB"/>
        </w:rPr>
        <w:t>/e</w:t>
      </w:r>
      <w:r w:rsidR="001E2E87" w:rsidRPr="001E2E87">
        <w:rPr>
          <w:rFonts w:ascii="Times New Roman" w:eastAsia="Times New Roman" w:hAnsi="Times New Roman" w:cs="Times New Roman"/>
          <w:lang w:eastAsia="en-GB"/>
        </w:rPr>
        <w:t xml:space="preserve"> dispose d’une expérience professionnelle pertinente dans le domaine</w:t>
      </w:r>
      <w:r w:rsidR="00052D58" w:rsidRPr="00052D58">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bookmarkStart w:id="0" w:name="_GoBack"/>
      <w:bookmarkEnd w:id="0"/>
    </w:p>
    <w:p w:rsidR="00745B97" w:rsidRPr="00745B97" w:rsidRDefault="001E2E87" w:rsidP="00804B2F">
      <w:pPr>
        <w:tabs>
          <w:tab w:val="left" w:pos="709"/>
        </w:tabs>
        <w:spacing w:after="0" w:line="240" w:lineRule="auto"/>
        <w:ind w:left="709" w:right="60"/>
        <w:jc w:val="both"/>
        <w:rPr>
          <w:rFonts w:ascii="Times New Roman" w:eastAsia="Times New Roman" w:hAnsi="Times New Roman" w:cs="Times New Roman"/>
          <w:u w:val="single"/>
          <w:lang w:eastAsia="en-GB"/>
        </w:rPr>
      </w:pPr>
      <w:r w:rsidRPr="001E2E87">
        <w:rPr>
          <w:rFonts w:ascii="Times New Roman" w:eastAsia="Times New Roman" w:hAnsi="Times New Roman" w:cs="Times New Roman"/>
          <w:lang w:eastAsia="en-GB"/>
        </w:rPr>
        <w:t>Le (la) candidat(e) idéal(e) dispose d’une expérience dans le secteur de la finance durable ou des marchés financiers ou de l’économie. Nous recherchons un</w:t>
      </w:r>
      <w:r>
        <w:rPr>
          <w:rFonts w:ascii="Times New Roman" w:eastAsia="Times New Roman" w:hAnsi="Times New Roman" w:cs="Times New Roman"/>
          <w:lang w:eastAsia="en-GB"/>
        </w:rPr>
        <w:t>/e</w:t>
      </w:r>
      <w:r w:rsidRPr="001E2E87">
        <w:rPr>
          <w:rFonts w:ascii="Times New Roman" w:eastAsia="Times New Roman" w:hAnsi="Times New Roman" w:cs="Times New Roman"/>
          <w:lang w:eastAsia="en-GB"/>
        </w:rPr>
        <w:t xml:space="preserve"> candidat</w:t>
      </w:r>
      <w:r>
        <w:rPr>
          <w:rFonts w:ascii="Times New Roman" w:eastAsia="Times New Roman" w:hAnsi="Times New Roman" w:cs="Times New Roman"/>
          <w:lang w:eastAsia="en-GB"/>
        </w:rPr>
        <w:t>/e</w:t>
      </w:r>
      <w:r w:rsidRPr="001E2E87">
        <w:rPr>
          <w:rFonts w:ascii="Times New Roman" w:eastAsia="Times New Roman" w:hAnsi="Times New Roman" w:cs="Times New Roman"/>
          <w:lang w:eastAsia="en-GB"/>
        </w:rPr>
        <w:t xml:space="preserve"> ayant le sens de l’organisation, de l’initiative, disposant d’excellentes compétences en communication écrite et orale, de bonnes compétences techniques et capable de travailler en équipe</w:t>
      </w:r>
      <w:r w:rsidR="00052D58">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1E2E87" w:rsidP="001E2E87">
      <w:pPr>
        <w:spacing w:after="0"/>
        <w:ind w:left="709"/>
        <w:jc w:val="both"/>
        <w:rPr>
          <w:rFonts w:ascii="Times New Roman" w:eastAsia="Times New Roman" w:hAnsi="Times New Roman" w:cs="Times New Roman"/>
          <w:lang w:eastAsia="en-GB"/>
        </w:rPr>
      </w:pPr>
      <w:r w:rsidRPr="001E2E87">
        <w:rPr>
          <w:rFonts w:ascii="Times New Roman" w:eastAsia="Times New Roman" w:hAnsi="Times New Roman" w:cs="Times New Roman"/>
          <w:lang w:eastAsia="en-GB"/>
        </w:rPr>
        <w:t>Tandis que la pri</w:t>
      </w:r>
      <w:r>
        <w:rPr>
          <w:rFonts w:ascii="Times New Roman" w:eastAsia="Times New Roman" w:hAnsi="Times New Roman" w:cs="Times New Roman"/>
          <w:lang w:eastAsia="en-GB"/>
        </w:rPr>
        <w:t>ncipale langue de travail de l'u</w:t>
      </w:r>
      <w:r w:rsidRPr="001E2E87">
        <w:rPr>
          <w:rFonts w:ascii="Times New Roman" w:eastAsia="Times New Roman" w:hAnsi="Times New Roman" w:cs="Times New Roman"/>
          <w:lang w:eastAsia="en-GB"/>
        </w:rPr>
        <w:t>nité est l'anglais, dont une excellente connaissance est exigée, une bonne connaissance d'autres langues de l'UE ou des Nations Unies constituerait un avantage.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E2E8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0D5B"/>
    <w:multiLevelType w:val="hybridMultilevel"/>
    <w:tmpl w:val="2C88AFC8"/>
    <w:lvl w:ilvl="0" w:tplc="34EEFC9A">
      <w:start w:val="1"/>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8A71C8"/>
    <w:multiLevelType w:val="hybridMultilevel"/>
    <w:tmpl w:val="942CC4E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2A6D5EAD"/>
    <w:multiLevelType w:val="hybridMultilevel"/>
    <w:tmpl w:val="C754772A"/>
    <w:lvl w:ilvl="0" w:tplc="B1687EB8">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3F6265D0"/>
    <w:multiLevelType w:val="hybridMultilevel"/>
    <w:tmpl w:val="92123F22"/>
    <w:lvl w:ilvl="0" w:tplc="CB9CC93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20C0D3B"/>
    <w:multiLevelType w:val="hybridMultilevel"/>
    <w:tmpl w:val="5FE09CB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5"/>
  </w:num>
  <w:num w:numId="2">
    <w:abstractNumId w:val="4"/>
  </w:num>
  <w:num w:numId="3">
    <w:abstractNumId w:val="8"/>
  </w:num>
  <w:num w:numId="4">
    <w:abstractNumId w:val="1"/>
  </w:num>
  <w:num w:numId="5">
    <w:abstractNumId w:val="7"/>
  </w:num>
  <w:num w:numId="6">
    <w:abstractNumId w:val="6"/>
  </w:num>
  <w:num w:numId="7">
    <w:abstractNumId w:val="0"/>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52D58"/>
    <w:rsid w:val="0019598C"/>
    <w:rsid w:val="001E2E87"/>
    <w:rsid w:val="002A3536"/>
    <w:rsid w:val="003445AE"/>
    <w:rsid w:val="00381739"/>
    <w:rsid w:val="00534042"/>
    <w:rsid w:val="00745B97"/>
    <w:rsid w:val="00785800"/>
    <w:rsid w:val="00804B2F"/>
    <w:rsid w:val="009C158C"/>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34A4A"/>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rid.ladefoge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1447</Words>
  <Characters>8338</Characters>
  <Application>Microsoft Office Word</Application>
  <DocSecurity>0</DocSecurity>
  <Lines>213</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2020-06-09T09:41:00Z</dcterms:created>
  <dcterms:modified xsi:type="dcterms:W3CDTF">2020-06-09T09:41:00Z</dcterms:modified>
</cp:coreProperties>
</file>