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E1C91"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ENV-C-2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E1C91" w:rsidRPr="001E1C91" w:rsidRDefault="001E1C91" w:rsidP="001E1C91">
            <w:pPr>
              <w:rPr>
                <w:rFonts w:ascii="Times New Roman" w:hAnsi="Times New Roman" w:cs="Times New Roman"/>
                <w:b/>
              </w:rPr>
            </w:pPr>
            <w:r w:rsidRPr="001E1C91">
              <w:rPr>
                <w:rFonts w:ascii="Times New Roman" w:hAnsi="Times New Roman" w:cs="Times New Roman"/>
                <w:b/>
              </w:rPr>
              <w:t>Michel SPONAR</w:t>
            </w:r>
          </w:p>
          <w:p w:rsidR="001E1C91" w:rsidRPr="001E1C91" w:rsidRDefault="001E1C91" w:rsidP="001E1C91">
            <w:pPr>
              <w:rPr>
                <w:rFonts w:ascii="Times New Roman" w:hAnsi="Times New Roman" w:cs="Times New Roman"/>
                <w:b/>
              </w:rPr>
            </w:pPr>
            <w:hyperlink r:id="rId8" w:history="1">
              <w:r w:rsidRPr="001E1C91">
                <w:rPr>
                  <w:rFonts w:ascii="Times New Roman" w:hAnsi="Times New Roman" w:cs="Times New Roman"/>
                  <w:b/>
                  <w:color w:val="0000FF" w:themeColor="hyperlink"/>
                  <w:u w:val="single"/>
                </w:rPr>
                <w:t>michel.sponar@ec.europa.eu</w:t>
              </w:r>
            </w:hyperlink>
            <w:r w:rsidRPr="001E1C91">
              <w:rPr>
                <w:rFonts w:ascii="Times New Roman" w:hAnsi="Times New Roman" w:cs="Times New Roman"/>
                <w:b/>
              </w:rPr>
              <w:t xml:space="preserve">  </w:t>
            </w:r>
          </w:p>
          <w:p w:rsidR="00E21280" w:rsidRPr="00E21280" w:rsidRDefault="001E1C91" w:rsidP="001E1C91">
            <w:pPr>
              <w:ind w:right="1317"/>
              <w:jc w:val="both"/>
              <w:rPr>
                <w:rFonts w:ascii="Times New Roman" w:hAnsi="Times New Roman" w:cs="Times New Roman"/>
                <w:b/>
                <w:lang w:val="de-DE"/>
              </w:rPr>
            </w:pPr>
            <w:r w:rsidRPr="001E1C91">
              <w:rPr>
                <w:rFonts w:ascii="Times New Roman" w:hAnsi="Times New Roman" w:cs="Times New Roman"/>
                <w:b/>
              </w:rPr>
              <w:t>+32 2 298.50.79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E1C9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503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Der/die Experte/in wird in dem für Meeresumwelt und Wasserwirtschaft (betreffend Kommunalabwasserrichtlinie 91/271/EEC, Trinkwasserrichtlinie 98/83/EC sowie Badegewässerrichtlinie 2006/7/EC) zuständigen Referat tätig sein. </w:t>
      </w: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Aufgabe des Referates sind die Verbesserung der Lebensqualität und von Ökosystemen durch die Weiterentwicklung, Umsetzung und Durchführung der relevanten EU Meeres- und Wasserwirtschaftsrichtlinien. </w:t>
      </w: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Das Referat ist in zwei Teams organisiert, die jeweils die Meeres- und Küstenfragen bzw. die Wasserwirtschaft betreffen. Der gesuchte Experte bzw. die Expertin wird im Wasserwirtschafts-Team eingesetzt.</w:t>
      </w: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Unsere Aufgabe beinhaltet Arbeiten zur Bereitstellung von reinem und genusstauglichem Trinkwasser, einer guten Badegewässerqualität, und dem Schutz der Umwelt vor schädlichen Abwassereinleitungen. Dies geschieht durch die Förderung der Einhaltung der Trinkwasser-, Badegewässer- und Kommunalabwasser-Richtlinien.</w:t>
      </w: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Hauptaufgabe des/r Experte/in sind „Materialien in Kontakt mit Trinkwasser“. Der/die Experte/in wird zu Tätigkeiten im Zusammenhang mit der Umsetzung einer Bestimmung der neuen Trinkwasserrichtlinie beitragen, die Hygieneanforderungen für Materialien in Kontakt mit Trinkwasser festlegt. Nach dieser Bestimmung muss die Kommission in den kommenden 3-4 Jahren im Wege mittels delegierter Rechtsakte oder Durchführungsrechtsakte insbesondere Folgendes festlegen:</w:t>
      </w:r>
    </w:p>
    <w:p w:rsidR="001E1C91" w:rsidRPr="001E1C91" w:rsidRDefault="001E1C91" w:rsidP="001E1C91">
      <w:pPr>
        <w:numPr>
          <w:ilvl w:val="0"/>
          <w:numId w:val="4"/>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lastRenderedPageBreak/>
        <w:t>Positivlisten von Substanzen, die in solchen Materialien verwendet werden können;</w:t>
      </w:r>
    </w:p>
    <w:p w:rsidR="001E1C91" w:rsidRPr="001E1C91" w:rsidRDefault="001E1C91" w:rsidP="001E1C91">
      <w:pPr>
        <w:numPr>
          <w:ilvl w:val="0"/>
          <w:numId w:val="4"/>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Methoden für die Prüfung/Billigung von Substanzen, die in die Positivlisten aufgenommen werden sollen; </w:t>
      </w:r>
    </w:p>
    <w:p w:rsidR="001E1C91" w:rsidRPr="001E1C91" w:rsidRDefault="001E1C91" w:rsidP="001E1C91">
      <w:pPr>
        <w:numPr>
          <w:ilvl w:val="0"/>
          <w:numId w:val="4"/>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Methoden für die Prüfung und Zulassung von Materialien und Produkten. </w:t>
      </w:r>
    </w:p>
    <w:p w:rsid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Die Arbeiten können darüber hinaus weitere technische Fragen wie Risikobewertung, Risikomanagement und Priorisierung von Substanzen, technische und analytische Methoden und Normen für die Prüfung von Materialien oder Konformitätsbewertungen umfassen. </w:t>
      </w:r>
    </w:p>
    <w:p w:rsid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Dies erfordert die Zusammenarbeit mit Experten der Mitgliedstaaten, der Europäischen Chemikalienagentur, der Gemeinsamen Forschungsstelle der Kommission, anderen Generaldirektionen wie der GD GROW und der GD SANTE, der Europäischen Behörde für Lebensmittelsicherheit, den europäischen Normungsorganisationen und der Industrie. </w:t>
      </w: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Sie kann je nach den Prioritäten der Kommission und den Kompetenzen des Bewerbers folgende Tätigkeiten umfassen: </w:t>
      </w: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Pr="001E1C91" w:rsidRDefault="001E1C91" w:rsidP="001E1C91">
      <w:pPr>
        <w:numPr>
          <w:ilvl w:val="0"/>
          <w:numId w:val="5"/>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Die Mitgliedstaaten bei der praktischen Umsetzung dieser Bestimmungen zu unterstützen;</w:t>
      </w:r>
    </w:p>
    <w:p w:rsidR="001E1C91" w:rsidRPr="001E1C91" w:rsidRDefault="001E1C91" w:rsidP="001E1C91">
      <w:pPr>
        <w:numPr>
          <w:ilvl w:val="0"/>
          <w:numId w:val="5"/>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Bewertung technischer Fragen im Zusammenhang mit der Umsetzung, Durchführung oder Verstößen; </w:t>
      </w:r>
    </w:p>
    <w:p w:rsidR="001E1C91" w:rsidRPr="001E1C91" w:rsidRDefault="001E1C91" w:rsidP="001E1C91">
      <w:pPr>
        <w:numPr>
          <w:ilvl w:val="0"/>
          <w:numId w:val="5"/>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Bereitstellung weiteren Fachwissens im Zusammenhang mit der Umsetzung der Trinkwasserrichtlinie, insbesondere für die Arbeit der Kommission in Expertengruppen; </w:t>
      </w:r>
    </w:p>
    <w:p w:rsidR="001E1C91" w:rsidRPr="001E1C91" w:rsidRDefault="001E1C91" w:rsidP="001E1C91">
      <w:pPr>
        <w:numPr>
          <w:ilvl w:val="0"/>
          <w:numId w:val="5"/>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 xml:space="preserve">Koordinierung mit anderen verwandten Politikbereichen wie Bauprodukten und Lebensmittelkontaktmaterialien, Chemikalien oder </w:t>
      </w:r>
      <w:proofErr w:type="spellStart"/>
      <w:r w:rsidRPr="001E1C91">
        <w:rPr>
          <w:rFonts w:ascii="Times New Roman" w:eastAsia="Times New Roman" w:hAnsi="Times New Roman" w:cs="Times New Roman"/>
          <w:lang w:val="de-DE" w:eastAsia="en-GB"/>
        </w:rPr>
        <w:t>Bioziden</w:t>
      </w:r>
      <w:proofErr w:type="spellEnd"/>
      <w:r w:rsidRPr="001E1C91">
        <w:rPr>
          <w:rFonts w:ascii="Times New Roman" w:eastAsia="Times New Roman" w:hAnsi="Times New Roman" w:cs="Times New Roman"/>
          <w:lang w:val="de-DE" w:eastAsia="en-GB"/>
        </w:rPr>
        <w:t>;</w:t>
      </w:r>
    </w:p>
    <w:p w:rsidR="001E1C91" w:rsidRPr="001E1C91" w:rsidRDefault="001E1C91" w:rsidP="001E1C91">
      <w:pPr>
        <w:numPr>
          <w:ilvl w:val="0"/>
          <w:numId w:val="5"/>
        </w:numPr>
        <w:spacing w:after="0" w:line="240" w:lineRule="auto"/>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Unterstützung bei der Ausarbeitung und Veröffentlichung von Durchführungsrechtsakten oder delegierten Rechtsakten der Kommission oder anderen damit zusammenhängenden Mitteilungen oder Berichten.</w:t>
      </w:r>
    </w:p>
    <w:p w:rsidR="001E1C91" w:rsidRDefault="001E1C91" w:rsidP="001E1C91">
      <w:pPr>
        <w:spacing w:after="0" w:line="240" w:lineRule="auto"/>
        <w:ind w:left="426"/>
        <w:jc w:val="both"/>
        <w:rPr>
          <w:rFonts w:ascii="Times New Roman" w:eastAsia="Times New Roman" w:hAnsi="Times New Roman" w:cs="Times New Roman"/>
          <w:lang w:val="de-DE" w:eastAsia="en-GB"/>
        </w:rPr>
      </w:pPr>
    </w:p>
    <w:p w:rsidR="001E1C91" w:rsidRPr="001E1C91" w:rsidRDefault="001E1C91" w:rsidP="001E1C91">
      <w:pPr>
        <w:spacing w:after="0" w:line="240" w:lineRule="auto"/>
        <w:ind w:left="426"/>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Der/die Experte/in kann auch zu anderen Aktivitäten unter der Strategie zur schadstofffreien Umwelt, angekündigt im Europäischen Green Deal, beitragen.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1E1C91" w:rsidRPr="001E1C91">
        <w:rPr>
          <w:rFonts w:ascii="Times New Roman" w:eastAsia="Times New Roman" w:hAnsi="Times New Roman" w:cs="Times New Roman"/>
          <w:lang w:val="de-DE" w:eastAsia="en-GB"/>
        </w:rPr>
        <w:t>Wasser, Materialkunde oder Chemikalien, wissenschaftlicher/technischer Hintergrund oder gleichwertige einschlägige Erfahrung</w:t>
      </w:r>
      <w:r w:rsidR="0089503E" w:rsidRPr="0089503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21280" w:rsidRDefault="001E1C91" w:rsidP="0089503E">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Erfahrung in einer nationalen/regionalen oder (großen) lokalen Behörde, Zertifizierungs-/Zulassungsstelle, Prüflabor oder einem anderen für die Regulierung von Stoffen/Materialien/Produkten zuständigen Institut oder in Bereichen der Wasserpolitik</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1E1C9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E1C91">
        <w:rPr>
          <w:rFonts w:ascii="Times New Roman" w:eastAsia="Times New Roman" w:hAnsi="Times New Roman" w:cs="Times New Roman"/>
          <w:lang w:val="de-DE" w:eastAsia="en-GB"/>
        </w:rPr>
        <w:t>E</w:t>
      </w:r>
      <w:r>
        <w:rPr>
          <w:rFonts w:ascii="Times New Roman" w:eastAsia="Times New Roman" w:hAnsi="Times New Roman" w:cs="Times New Roman"/>
          <w:lang w:val="de-DE" w:eastAsia="en-GB"/>
        </w:rPr>
        <w:t>nglisch</w:t>
      </w:r>
      <w:r w:rsidRPr="001E1C91">
        <w:rPr>
          <w:rFonts w:ascii="Times New Roman" w:eastAsia="Times New Roman" w:hAnsi="Times New Roman" w:cs="Times New Roman"/>
          <w:lang w:val="de-DE" w:eastAsia="en-GB"/>
        </w:rPr>
        <w:t xml:space="preserve"> (schriftlich, mündlich), weitere Kenntnisse in einer EU Arbeitssprache (DE/FR; schriftlich, mündlich) und offizieller EU Sprachen wären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E1C9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2254"/>
    <w:multiLevelType w:val="hybridMultilevel"/>
    <w:tmpl w:val="B30C6BF4"/>
    <w:lvl w:ilvl="0" w:tplc="660AE6EE">
      <w:start w:val="7"/>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A54B2"/>
    <w:multiLevelType w:val="hybridMultilevel"/>
    <w:tmpl w:val="E4287452"/>
    <w:lvl w:ilvl="0" w:tplc="660AE6EE">
      <w:start w:val="7"/>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E1C91"/>
    <w:rsid w:val="00370EFD"/>
    <w:rsid w:val="00534042"/>
    <w:rsid w:val="006740F2"/>
    <w:rsid w:val="0089503E"/>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728B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spon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1363</Words>
  <Characters>9952</Characters>
  <Application>Microsoft Office Word</Application>
  <DocSecurity>0</DocSecurity>
  <Lines>195</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2020-06-05T11:16:00Z</dcterms:created>
  <dcterms:modified xsi:type="dcterms:W3CDTF">2020-06-05T11:16:00Z</dcterms:modified>
</cp:coreProperties>
</file>