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60EA0" w:rsidRDefault="00B55B71" w:rsidP="00950BA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TRADE-C-1</w:t>
            </w:r>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B55B71" w:rsidRPr="00076CA7" w:rsidRDefault="00B55B71" w:rsidP="00B55B71">
            <w:pPr>
              <w:rPr>
                <w:rFonts w:ascii="Times New Roman" w:hAnsi="Times New Roman" w:cs="Times New Roman"/>
                <w:b/>
                <w:lang w:val="en-US"/>
              </w:rPr>
            </w:pPr>
            <w:r w:rsidRPr="00076CA7">
              <w:rPr>
                <w:rFonts w:ascii="Times New Roman" w:hAnsi="Times New Roman" w:cs="Times New Roman"/>
                <w:b/>
                <w:lang w:val="en-US"/>
              </w:rPr>
              <w:t>Adeline Hinderer</w:t>
            </w:r>
          </w:p>
          <w:p w:rsidR="00B55B71" w:rsidRPr="00076CA7" w:rsidRDefault="00076CA7" w:rsidP="00B55B71">
            <w:pPr>
              <w:rPr>
                <w:rFonts w:ascii="Times New Roman" w:hAnsi="Times New Roman" w:cs="Times New Roman"/>
                <w:b/>
                <w:lang w:val="en-US"/>
              </w:rPr>
            </w:pPr>
            <w:hyperlink r:id="rId8" w:history="1">
              <w:r w:rsidR="00B55B71" w:rsidRPr="00076CA7">
                <w:rPr>
                  <w:rFonts w:ascii="Times New Roman" w:hAnsi="Times New Roman" w:cs="Times New Roman"/>
                  <w:b/>
                  <w:color w:val="0000FF" w:themeColor="hyperlink"/>
                  <w:u w:val="single"/>
                  <w:lang w:val="en-US"/>
                </w:rPr>
                <w:t>Adeline.HINDERER@ec.europa.eu</w:t>
              </w:r>
            </w:hyperlink>
            <w:r w:rsidR="00B55B71" w:rsidRPr="00076CA7">
              <w:rPr>
                <w:rFonts w:ascii="Times New Roman" w:hAnsi="Times New Roman" w:cs="Times New Roman"/>
                <w:b/>
                <w:lang w:val="en-US"/>
              </w:rPr>
              <w:t xml:space="preserve"> </w:t>
            </w:r>
          </w:p>
          <w:p w:rsidR="00950BA5" w:rsidRPr="00142245" w:rsidRDefault="00B55B71" w:rsidP="00B55B71">
            <w:pPr>
              <w:rPr>
                <w:rFonts w:ascii="Times New Roman" w:eastAsia="Times New Roman" w:hAnsi="Times New Roman" w:cs="Times New Roman"/>
                <w:b/>
                <w:sz w:val="24"/>
                <w:szCs w:val="20"/>
                <w:lang w:val="pt-PT" w:eastAsia="en-GB"/>
              </w:rPr>
            </w:pPr>
            <w:r w:rsidRPr="004027DC">
              <w:rPr>
                <w:rFonts w:ascii="Times New Roman" w:hAnsi="Times New Roman" w:cs="Times New Roman"/>
                <w:b/>
              </w:rPr>
              <w:t>+32 2 2992155</w:t>
            </w:r>
          </w:p>
          <w:p w:rsidR="00A80B19" w:rsidRPr="00142245" w:rsidRDefault="00A80B19" w:rsidP="00A80B19">
            <w:pPr>
              <w:rPr>
                <w:rFonts w:ascii="Times New Roman" w:eastAsia="Times New Roman" w:hAnsi="Times New Roman" w:cs="Times New Roman"/>
                <w:b/>
                <w:lang w:val="pt-PT" w:eastAsia="en-GB"/>
              </w:rPr>
            </w:pPr>
            <w:r w:rsidRPr="00142245">
              <w:rPr>
                <w:rFonts w:ascii="Times New Roman" w:eastAsia="Times New Roman" w:hAnsi="Times New Roman" w:cs="Times New Roman"/>
                <w:b/>
                <w:sz w:val="24"/>
                <w:szCs w:val="20"/>
                <w:lang w:val="pt-PT" w:eastAsia="en-GB"/>
              </w:rPr>
              <w:t>1</w:t>
            </w:r>
          </w:p>
          <w:p w:rsidR="00950BA5" w:rsidRPr="00142245" w:rsidRDefault="00076CA7" w:rsidP="00950BA5">
            <w:pPr>
              <w:ind w:left="34" w:right="1317"/>
              <w:jc w:val="both"/>
              <w:rPr>
                <w:rFonts w:ascii="Times New Roman" w:eastAsia="Times New Roman" w:hAnsi="Times New Roman" w:cs="Times New Roman"/>
                <w:b/>
                <w:lang w:val="pt-PT" w:eastAsia="en-GB"/>
              </w:rPr>
            </w:pPr>
            <w:r>
              <w:rPr>
                <w:rFonts w:ascii="Times New Roman" w:eastAsia="Times New Roman" w:hAnsi="Times New Roman" w:cs="Times New Roman"/>
                <w:b/>
                <w:lang w:val="pt-PT" w:eastAsia="en-GB"/>
              </w:rPr>
              <w:t>3</w:t>
            </w:r>
            <w:bookmarkStart w:id="0" w:name="_GoBack"/>
            <w:bookmarkEnd w:id="0"/>
            <w:r w:rsidR="00360EA0" w:rsidRPr="00142245">
              <w:rPr>
                <w:rFonts w:ascii="Times New Roman" w:eastAsia="Times New Roman" w:hAnsi="Times New Roman" w:cs="Times New Roman"/>
                <w:b/>
                <w:lang w:val="pt-PT" w:eastAsia="en-GB"/>
              </w:rPr>
              <w:t>.</w:t>
            </w:r>
            <w:r w:rsidR="00950BA5" w:rsidRPr="00142245">
              <w:rPr>
                <w:rFonts w:ascii="Times New Roman" w:eastAsia="Times New Roman" w:hAnsi="Times New Roman" w:cs="Times New Roman"/>
                <w:b/>
                <w:lang w:val="pt-PT" w:eastAsia="en-GB"/>
              </w:rPr>
              <w:t xml:space="preserve"> </w:t>
            </w:r>
            <w:proofErr w:type="spellStart"/>
            <w:r w:rsidR="00950BA5" w:rsidRPr="00142245">
              <w:rPr>
                <w:rFonts w:ascii="Times New Roman" w:eastAsia="Times New Roman" w:hAnsi="Times New Roman" w:cs="Times New Roman"/>
                <w:b/>
                <w:lang w:val="pt-PT" w:eastAsia="en-GB"/>
              </w:rPr>
              <w:t>Quartal</w:t>
            </w:r>
            <w:proofErr w:type="spellEnd"/>
            <w:r w:rsidR="00950BA5" w:rsidRPr="00142245">
              <w:rPr>
                <w:rFonts w:ascii="Times New Roman" w:eastAsia="Times New Roman" w:hAnsi="Times New Roman" w:cs="Times New Roman"/>
                <w:b/>
                <w:lang w:val="pt-PT" w:eastAsia="en-GB"/>
              </w:rPr>
              <w:t xml:space="preserve"> 20</w:t>
            </w:r>
            <w:r w:rsidR="00360EA0" w:rsidRPr="00142245">
              <w:rPr>
                <w:rFonts w:ascii="Times New Roman" w:eastAsia="Times New Roman" w:hAnsi="Times New Roman" w:cs="Times New Roman"/>
                <w:b/>
                <w:lang w:val="pt-PT" w:eastAsia="en-GB"/>
              </w:rPr>
              <w:t>20</w:t>
            </w:r>
            <w:r w:rsidR="00950BA5" w:rsidRPr="00360EA0">
              <w:rPr>
                <w:rFonts w:ascii="Times New Roman" w:eastAsia="Times New Roman" w:hAnsi="Times New Roman" w:cs="Times New Roman"/>
                <w:b/>
                <w:vertAlign w:val="superscript"/>
                <w:lang w:val="de-DE" w:eastAsia="en-GB"/>
              </w:rPr>
              <w:footnoteReference w:id="1"/>
            </w:r>
          </w:p>
          <w:p w:rsidR="00950BA5" w:rsidRPr="00142245" w:rsidRDefault="00F92374" w:rsidP="00950BA5">
            <w:pPr>
              <w:ind w:right="1317"/>
              <w:jc w:val="both"/>
              <w:rPr>
                <w:rFonts w:ascii="Times New Roman" w:eastAsia="Times New Roman" w:hAnsi="Times New Roman" w:cs="Times New Roman"/>
                <w:b/>
                <w:lang w:val="pt-PT" w:eastAsia="en-GB"/>
              </w:rPr>
            </w:pPr>
            <w:r>
              <w:rPr>
                <w:rFonts w:ascii="Times New Roman" w:eastAsia="Times New Roman" w:hAnsi="Times New Roman" w:cs="Times New Roman"/>
                <w:b/>
                <w:lang w:val="pt-PT" w:eastAsia="en-GB"/>
              </w:rPr>
              <w:t>2</w:t>
            </w:r>
            <w:r w:rsidR="00950BA5" w:rsidRPr="00142245">
              <w:rPr>
                <w:rFonts w:ascii="Times New Roman" w:eastAsia="Times New Roman" w:hAnsi="Times New Roman" w:cs="Times New Roman"/>
                <w:b/>
                <w:lang w:val="pt-PT" w:eastAsia="en-GB"/>
              </w:rPr>
              <w:t xml:space="preserve"> Jahr</w:t>
            </w:r>
            <w:r>
              <w:rPr>
                <w:rFonts w:ascii="Times New Roman" w:eastAsia="Times New Roman" w:hAnsi="Times New Roman" w:cs="Times New Roman"/>
                <w:b/>
                <w:lang w:val="pt-PT" w:eastAsia="en-GB"/>
              </w:rPr>
              <w:t>e</w:t>
            </w:r>
            <w:r w:rsidR="00950BA5" w:rsidRPr="00142245">
              <w:rPr>
                <w:rFonts w:ascii="Times New Roman" w:eastAsia="Times New Roman" w:hAnsi="Times New Roman" w:cs="Times New Roman"/>
                <w:b/>
                <w:vertAlign w:val="superscript"/>
                <w:lang w:val="pt-PT" w:eastAsia="en-GB"/>
              </w:rPr>
              <w:t>1</w:t>
            </w:r>
          </w:p>
          <w:p w:rsidR="00950BA5" w:rsidRPr="00142245" w:rsidRDefault="00950BA5" w:rsidP="00950BA5">
            <w:pPr>
              <w:ind w:right="1317"/>
              <w:jc w:val="both"/>
              <w:rPr>
                <w:rFonts w:ascii="Times New Roman" w:eastAsia="Times New Roman" w:hAnsi="Times New Roman" w:cs="Times New Roman"/>
                <w:b/>
                <w:lang w:val="pt-PT" w:eastAsia="en-GB"/>
              </w:rPr>
            </w:pPr>
          </w:p>
          <w:p w:rsidR="00950BA5" w:rsidRPr="00360EA0" w:rsidRDefault="00B604B5" w:rsidP="00360EA0">
            <w:pPr>
              <w:rPr>
                <w:rFonts w:ascii="Times New Roman" w:eastAsia="Times New Roman" w:hAnsi="Times New Roman" w:cs="Times New Roman"/>
                <w:b/>
                <w:sz w:val="24"/>
                <w:szCs w:val="20"/>
                <w:lang w:val="de-DE" w:eastAsia="en-GB"/>
              </w:rPr>
            </w:pPr>
            <w:r>
              <w:rPr>
                <w:rFonts w:ascii="Times New Roman" w:eastAsia="MS Minngs" w:hAnsi="Times New Roman" w:cs="Times New Roman"/>
                <w:bCs/>
                <w:lang w:val="fr-FR" w:eastAsia="en-GB"/>
              </w:rPr>
              <w:sym w:font="Wingdings" w:char="F078"/>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B11B14" w:rsidP="00950BA5">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78"/>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360EA0">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360EA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B11B14" w:rsidP="00950BA5">
            <w:pPr>
              <w:tabs>
                <w:tab w:val="left" w:pos="459"/>
              </w:tabs>
              <w:rPr>
                <w:rFonts w:ascii="Times New Roman" w:eastAsia="Times New Roman" w:hAnsi="Times New Roman" w:cs="Times New Roman"/>
                <w:b/>
                <w:bCs/>
                <w:lang w:val="de-DE" w:eastAsia="en-GB"/>
              </w:rPr>
            </w:pPr>
            <w:r w:rsidRPr="00360EA0">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360EA0">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B55B71" w:rsidRPr="00B55B71" w:rsidRDefault="00B55B71" w:rsidP="00B55B71">
      <w:pPr>
        <w:spacing w:after="0" w:line="240" w:lineRule="auto"/>
        <w:ind w:left="426"/>
        <w:jc w:val="both"/>
        <w:rPr>
          <w:rFonts w:ascii="Times New Roman" w:eastAsia="Times New Roman" w:hAnsi="Times New Roman" w:cs="Times New Roman"/>
          <w:lang w:val="de-DE" w:eastAsia="en-GB"/>
        </w:rPr>
      </w:pPr>
      <w:r w:rsidRPr="00B55B71">
        <w:rPr>
          <w:rFonts w:ascii="Times New Roman" w:eastAsia="Times New Roman" w:hAnsi="Times New Roman" w:cs="Times New Roman"/>
          <w:lang w:val="de-DE" w:eastAsia="en-GB"/>
        </w:rPr>
        <w:t>Innerhalb der Europäischen Kommission ist die GD Handel für internationale Handelsverhandlungen, die in die ausschließliche Zuständigkeit der EU fallen, zuständig.</w:t>
      </w:r>
    </w:p>
    <w:p w:rsidR="00B55B71" w:rsidRPr="00B55B71" w:rsidRDefault="00B55B71" w:rsidP="00B55B71">
      <w:pPr>
        <w:spacing w:after="0" w:line="240" w:lineRule="auto"/>
        <w:ind w:left="426"/>
        <w:jc w:val="both"/>
        <w:rPr>
          <w:rFonts w:ascii="Times New Roman" w:eastAsia="Times New Roman" w:hAnsi="Times New Roman" w:cs="Times New Roman"/>
          <w:lang w:val="de-DE" w:eastAsia="en-GB"/>
        </w:rPr>
      </w:pPr>
    </w:p>
    <w:p w:rsidR="00B55B71" w:rsidRPr="00B55B71" w:rsidRDefault="00B55B71" w:rsidP="00B55B71">
      <w:pPr>
        <w:spacing w:after="0" w:line="240" w:lineRule="auto"/>
        <w:ind w:left="426"/>
        <w:jc w:val="both"/>
        <w:rPr>
          <w:rFonts w:ascii="Times New Roman" w:eastAsia="Times New Roman" w:hAnsi="Times New Roman" w:cs="Times New Roman"/>
          <w:lang w:val="de-DE" w:eastAsia="en-GB"/>
        </w:rPr>
      </w:pPr>
      <w:r w:rsidRPr="00B55B71">
        <w:rPr>
          <w:rFonts w:ascii="Times New Roman" w:eastAsia="Times New Roman" w:hAnsi="Times New Roman" w:cs="Times New Roman"/>
          <w:lang w:val="de-DE" w:eastAsia="en-GB"/>
        </w:rPr>
        <w:t>Das Referat FERNOST der GD HANDEL (14 Mitarbeiter in Brüssel, 12 in Seoul, Hongkong und Taiwan die eng mit einem Team von 26 Kollegen in Handelsabteilungen in Peking und Tokio zusammenarbeiten) koordiniert alle Handels- und Investitionsfragen mit Fernost: China, Japan, Korea, Taiwan , Hong Kong, Macao, Mongolei.</w:t>
      </w:r>
    </w:p>
    <w:p w:rsidR="00B55B71" w:rsidRPr="00B55B71" w:rsidRDefault="00B55B71" w:rsidP="00B55B71">
      <w:pPr>
        <w:spacing w:after="0" w:line="240" w:lineRule="auto"/>
        <w:ind w:left="426"/>
        <w:jc w:val="both"/>
        <w:rPr>
          <w:rFonts w:ascii="Times New Roman" w:eastAsia="Times New Roman" w:hAnsi="Times New Roman" w:cs="Times New Roman"/>
          <w:lang w:val="de-DE" w:eastAsia="en-GB"/>
        </w:rPr>
      </w:pPr>
    </w:p>
    <w:p w:rsidR="00B55B71" w:rsidRPr="00B55B71" w:rsidRDefault="00B55B71" w:rsidP="00B55B71">
      <w:pPr>
        <w:spacing w:after="0" w:line="240" w:lineRule="auto"/>
        <w:ind w:left="426"/>
        <w:jc w:val="both"/>
        <w:rPr>
          <w:rFonts w:ascii="Times New Roman" w:eastAsia="Times New Roman" w:hAnsi="Times New Roman" w:cs="Times New Roman"/>
          <w:lang w:val="de-DE" w:eastAsia="en-GB"/>
        </w:rPr>
      </w:pPr>
      <w:r w:rsidRPr="00B55B71">
        <w:rPr>
          <w:rFonts w:ascii="Times New Roman" w:eastAsia="Times New Roman" w:hAnsi="Times New Roman" w:cs="Times New Roman"/>
          <w:lang w:val="de-DE" w:eastAsia="en-GB"/>
        </w:rPr>
        <w:t>Wir sind für das Management aller bilateralen Handels- und Investitionsfragen zwischen der EU und China verantwortlich, insbesondere für die Koordinierung der hochrangigen Kontakte.</w:t>
      </w:r>
    </w:p>
    <w:p w:rsidR="00B55B71" w:rsidRPr="00B55B71" w:rsidRDefault="00B55B71" w:rsidP="00B55B71">
      <w:pPr>
        <w:spacing w:after="0" w:line="240" w:lineRule="auto"/>
        <w:ind w:left="426"/>
        <w:jc w:val="both"/>
        <w:rPr>
          <w:rFonts w:ascii="Times New Roman" w:eastAsia="Times New Roman" w:hAnsi="Times New Roman" w:cs="Times New Roman"/>
          <w:lang w:val="de-DE" w:eastAsia="en-GB"/>
        </w:rPr>
      </w:pPr>
      <w:r w:rsidRPr="00B55B71">
        <w:rPr>
          <w:rFonts w:ascii="Times New Roman" w:eastAsia="Times New Roman" w:hAnsi="Times New Roman" w:cs="Times New Roman"/>
          <w:lang w:val="de-DE" w:eastAsia="en-GB"/>
        </w:rPr>
        <w:t>Unsere Handels- und Wirtschaftsbeziehungen zu China haben eine wichtige strategische Dimension und erfordern enge Beziehungen zu den Mitgliedstaaten, dem Europäischen Parlament und den europäischen Interessengruppen.</w:t>
      </w:r>
    </w:p>
    <w:p w:rsidR="00B55B71" w:rsidRPr="00B55B71" w:rsidRDefault="00B55B71" w:rsidP="00B55B71">
      <w:pPr>
        <w:spacing w:after="0" w:line="240" w:lineRule="auto"/>
        <w:ind w:left="426"/>
        <w:jc w:val="both"/>
        <w:rPr>
          <w:rFonts w:ascii="Times New Roman" w:eastAsia="Times New Roman" w:hAnsi="Times New Roman" w:cs="Times New Roman"/>
          <w:lang w:val="de-DE" w:eastAsia="en-GB"/>
        </w:rPr>
      </w:pPr>
    </w:p>
    <w:p w:rsidR="00B55B71" w:rsidRPr="00B55B71" w:rsidRDefault="00B55B71" w:rsidP="00B55B71">
      <w:pPr>
        <w:spacing w:after="0" w:line="240" w:lineRule="auto"/>
        <w:ind w:left="426"/>
        <w:jc w:val="both"/>
        <w:rPr>
          <w:rFonts w:ascii="Times New Roman" w:eastAsia="Times New Roman" w:hAnsi="Times New Roman" w:cs="Times New Roman"/>
          <w:lang w:val="de-DE" w:eastAsia="en-GB"/>
        </w:rPr>
      </w:pPr>
      <w:r w:rsidRPr="00B55B71">
        <w:rPr>
          <w:rFonts w:ascii="Times New Roman" w:eastAsia="Times New Roman" w:hAnsi="Times New Roman" w:cs="Times New Roman"/>
          <w:lang w:val="de-DE" w:eastAsia="en-GB"/>
        </w:rPr>
        <w:t>Eine spannende Koordinierungsrolle im Großchina-Team (China, Hongkong, Taiwan, Macao, Mongolei).</w:t>
      </w:r>
    </w:p>
    <w:p w:rsidR="00B55B71" w:rsidRPr="00B55B71" w:rsidRDefault="00B55B71" w:rsidP="00B55B71">
      <w:pPr>
        <w:spacing w:after="0" w:line="240" w:lineRule="auto"/>
        <w:ind w:left="426"/>
        <w:jc w:val="both"/>
        <w:rPr>
          <w:rFonts w:ascii="Times New Roman" w:eastAsia="Times New Roman" w:hAnsi="Times New Roman" w:cs="Times New Roman"/>
          <w:lang w:val="de-DE" w:eastAsia="en-GB"/>
        </w:rPr>
      </w:pPr>
    </w:p>
    <w:p w:rsidR="00B55B71" w:rsidRPr="00B55B71" w:rsidRDefault="00B55B71" w:rsidP="00B55B71">
      <w:pPr>
        <w:spacing w:after="0" w:line="240" w:lineRule="auto"/>
        <w:ind w:left="426"/>
        <w:jc w:val="both"/>
        <w:rPr>
          <w:rFonts w:ascii="Times New Roman" w:eastAsia="Times New Roman" w:hAnsi="Times New Roman" w:cs="Times New Roman"/>
          <w:lang w:val="de-DE" w:eastAsia="en-GB"/>
        </w:rPr>
      </w:pPr>
      <w:r w:rsidRPr="00B55B71">
        <w:rPr>
          <w:rFonts w:ascii="Times New Roman" w:eastAsia="Times New Roman" w:hAnsi="Times New Roman" w:cs="Times New Roman"/>
          <w:lang w:val="de-DE" w:eastAsia="en-GB"/>
        </w:rPr>
        <w:t>Der Kandidat sollte bereits über Erfahrungen in China verfügen. Der Kandidat sollte ebenfalls in der Lage sein, einen Überblick über alle wesentlichen und praktischen Fragen zu entwickeln, die China und seine politische / wirtschaftliche Situation betreffen.</w:t>
      </w:r>
    </w:p>
    <w:p w:rsidR="00B55B71" w:rsidRPr="00B55B71" w:rsidRDefault="00B55B71" w:rsidP="00B55B71">
      <w:pPr>
        <w:spacing w:after="0" w:line="240" w:lineRule="auto"/>
        <w:ind w:left="426"/>
        <w:jc w:val="both"/>
        <w:rPr>
          <w:rFonts w:ascii="Times New Roman" w:eastAsia="Times New Roman" w:hAnsi="Times New Roman" w:cs="Times New Roman"/>
          <w:lang w:val="de-DE" w:eastAsia="en-GB"/>
        </w:rPr>
      </w:pPr>
    </w:p>
    <w:p w:rsidR="00B55B71" w:rsidRPr="00B55B71" w:rsidRDefault="00B55B71" w:rsidP="00B55B71">
      <w:pPr>
        <w:spacing w:after="0" w:line="240" w:lineRule="auto"/>
        <w:ind w:left="426"/>
        <w:jc w:val="both"/>
        <w:rPr>
          <w:rFonts w:ascii="Times New Roman" w:eastAsia="Times New Roman" w:hAnsi="Times New Roman" w:cs="Times New Roman"/>
          <w:lang w:val="de-DE" w:eastAsia="en-GB"/>
        </w:rPr>
      </w:pPr>
      <w:r w:rsidRPr="00B55B71">
        <w:rPr>
          <w:rFonts w:ascii="Times New Roman" w:eastAsia="Times New Roman" w:hAnsi="Times New Roman" w:cs="Times New Roman"/>
          <w:lang w:val="de-DE" w:eastAsia="en-GB"/>
        </w:rPr>
        <w:t>Der Kandidat sollte in der Lage sein, gut mit anderen zusammenzuarbeiten, die Situation in China kritisch zu analysieren und kurzfristig erstklassige Berichte / Briefings zu erstellen.</w:t>
      </w:r>
    </w:p>
    <w:p w:rsidR="00B55B71" w:rsidRPr="00B55B71" w:rsidRDefault="00B55B71" w:rsidP="00B55B71">
      <w:pPr>
        <w:spacing w:after="0" w:line="240" w:lineRule="auto"/>
        <w:ind w:left="426"/>
        <w:jc w:val="both"/>
        <w:rPr>
          <w:rFonts w:ascii="Times New Roman" w:eastAsia="Times New Roman" w:hAnsi="Times New Roman" w:cs="Times New Roman"/>
          <w:lang w:val="de-DE" w:eastAsia="en-GB"/>
        </w:rPr>
      </w:pPr>
    </w:p>
    <w:p w:rsidR="00B55B71" w:rsidRPr="00B55B71" w:rsidRDefault="00B55B71" w:rsidP="00B55B71">
      <w:pPr>
        <w:spacing w:after="0" w:line="240" w:lineRule="auto"/>
        <w:ind w:left="426"/>
        <w:jc w:val="both"/>
        <w:rPr>
          <w:rFonts w:ascii="Times New Roman" w:eastAsia="Times New Roman" w:hAnsi="Times New Roman" w:cs="Times New Roman"/>
          <w:lang w:val="de-DE" w:eastAsia="en-GB"/>
        </w:rPr>
      </w:pPr>
      <w:r w:rsidRPr="00B55B71">
        <w:rPr>
          <w:rFonts w:ascii="Times New Roman" w:eastAsia="Times New Roman" w:hAnsi="Times New Roman" w:cs="Times New Roman"/>
          <w:lang w:val="de-DE" w:eastAsia="en-GB"/>
        </w:rPr>
        <w:t>Die Rolle beinhaltet:</w:t>
      </w:r>
    </w:p>
    <w:p w:rsidR="00B55B71" w:rsidRPr="00B55B71" w:rsidRDefault="00B55B71" w:rsidP="00B55B71">
      <w:pPr>
        <w:spacing w:after="0" w:line="240" w:lineRule="auto"/>
        <w:ind w:left="709" w:hanging="283"/>
        <w:jc w:val="both"/>
        <w:rPr>
          <w:rFonts w:ascii="Times New Roman" w:eastAsia="Times New Roman" w:hAnsi="Times New Roman" w:cs="Times New Roman"/>
          <w:lang w:val="de-DE" w:eastAsia="en-GB"/>
        </w:rPr>
      </w:pPr>
      <w:r w:rsidRPr="00B55B71">
        <w:rPr>
          <w:rFonts w:ascii="Times New Roman" w:eastAsia="Times New Roman" w:hAnsi="Times New Roman" w:cs="Times New Roman"/>
          <w:lang w:val="de-DE" w:eastAsia="en-GB"/>
        </w:rPr>
        <w:t>•</w:t>
      </w:r>
      <w:r w:rsidRPr="00B55B71">
        <w:rPr>
          <w:rFonts w:ascii="Times New Roman" w:eastAsia="Times New Roman" w:hAnsi="Times New Roman" w:cs="Times New Roman"/>
          <w:lang w:val="de-DE" w:eastAsia="en-GB"/>
        </w:rPr>
        <w:tab/>
        <w:t>eine Koordinierung mit anderen Kommissionsdienststellen und mit dem Europäischen Auswärtigen Dienst.</w:t>
      </w:r>
    </w:p>
    <w:p w:rsidR="00B55B71" w:rsidRPr="00B55B71" w:rsidRDefault="00B55B71" w:rsidP="00B55B71">
      <w:pPr>
        <w:spacing w:after="0" w:line="240" w:lineRule="auto"/>
        <w:ind w:left="709" w:hanging="283"/>
        <w:jc w:val="both"/>
        <w:rPr>
          <w:rFonts w:ascii="Times New Roman" w:eastAsia="Times New Roman" w:hAnsi="Times New Roman" w:cs="Times New Roman"/>
          <w:lang w:val="de-DE" w:eastAsia="en-GB"/>
        </w:rPr>
      </w:pPr>
      <w:r w:rsidRPr="00B55B71">
        <w:rPr>
          <w:rFonts w:ascii="Times New Roman" w:eastAsia="Times New Roman" w:hAnsi="Times New Roman" w:cs="Times New Roman"/>
          <w:lang w:val="de-DE" w:eastAsia="en-GB"/>
        </w:rPr>
        <w:t>•</w:t>
      </w:r>
      <w:r w:rsidRPr="00B55B71">
        <w:rPr>
          <w:rFonts w:ascii="Times New Roman" w:eastAsia="Times New Roman" w:hAnsi="Times New Roman" w:cs="Times New Roman"/>
          <w:lang w:val="de-DE" w:eastAsia="en-GB"/>
        </w:rPr>
        <w:tab/>
        <w:t>Teilnahme an gelegentlichen Treffen mit dem EU-Kommissar für Handel sowie regelmäßige Treffen mit mittleren / höheren Angestellten der GD Handel.</w:t>
      </w:r>
    </w:p>
    <w:p w:rsidR="00B55B71" w:rsidRPr="00B55B71" w:rsidRDefault="00B55B71" w:rsidP="00B55B71">
      <w:pPr>
        <w:spacing w:after="0" w:line="240" w:lineRule="auto"/>
        <w:ind w:left="709" w:hanging="283"/>
        <w:jc w:val="both"/>
        <w:rPr>
          <w:rFonts w:ascii="Times New Roman" w:eastAsia="Times New Roman" w:hAnsi="Times New Roman" w:cs="Times New Roman"/>
          <w:lang w:val="de-DE" w:eastAsia="en-GB"/>
        </w:rPr>
      </w:pPr>
      <w:r w:rsidRPr="00B55B71">
        <w:rPr>
          <w:rFonts w:ascii="Times New Roman" w:eastAsia="Times New Roman" w:hAnsi="Times New Roman" w:cs="Times New Roman"/>
          <w:lang w:val="de-DE" w:eastAsia="en-GB"/>
        </w:rPr>
        <w:t>•</w:t>
      </w:r>
      <w:r w:rsidRPr="00B55B71">
        <w:rPr>
          <w:rFonts w:ascii="Times New Roman" w:eastAsia="Times New Roman" w:hAnsi="Times New Roman" w:cs="Times New Roman"/>
          <w:lang w:val="de-DE" w:eastAsia="en-GB"/>
        </w:rPr>
        <w:tab/>
        <w:t xml:space="preserve">einen Beitrag zur Vorbereitung von hochrangigen Treffen leisten, mit Briefings und analytischen Aufzeichnungen. </w:t>
      </w:r>
    </w:p>
    <w:p w:rsidR="00B55B71" w:rsidRPr="00B55B71" w:rsidRDefault="00B55B71" w:rsidP="00B55B71">
      <w:pPr>
        <w:spacing w:after="0" w:line="240" w:lineRule="auto"/>
        <w:ind w:left="709" w:hanging="283"/>
        <w:jc w:val="both"/>
        <w:rPr>
          <w:rFonts w:ascii="Times New Roman" w:eastAsia="Times New Roman" w:hAnsi="Times New Roman" w:cs="Times New Roman"/>
          <w:lang w:val="de-DE" w:eastAsia="en-GB"/>
        </w:rPr>
      </w:pPr>
      <w:r w:rsidRPr="00B55B71">
        <w:rPr>
          <w:rFonts w:ascii="Times New Roman" w:eastAsia="Times New Roman" w:hAnsi="Times New Roman" w:cs="Times New Roman"/>
          <w:lang w:val="de-DE" w:eastAsia="en-GB"/>
        </w:rPr>
        <w:t>•</w:t>
      </w:r>
      <w:r w:rsidRPr="00B55B71">
        <w:rPr>
          <w:rFonts w:ascii="Times New Roman" w:eastAsia="Times New Roman" w:hAnsi="Times New Roman" w:cs="Times New Roman"/>
          <w:lang w:val="de-DE" w:eastAsia="en-GB"/>
        </w:rPr>
        <w:tab/>
        <w:t>an der Entwicklung unserer politischen Linien in Bezug auf China beteiligt zu sein.</w:t>
      </w:r>
    </w:p>
    <w:p w:rsidR="00B55B71" w:rsidRPr="00B55B71" w:rsidRDefault="00B55B71" w:rsidP="00B55B71">
      <w:pPr>
        <w:spacing w:after="0" w:line="240" w:lineRule="auto"/>
        <w:ind w:left="426"/>
        <w:jc w:val="both"/>
        <w:rPr>
          <w:rFonts w:ascii="Times New Roman" w:eastAsia="Times New Roman" w:hAnsi="Times New Roman" w:cs="Times New Roman"/>
          <w:lang w:val="de-DE" w:eastAsia="en-GB"/>
        </w:rPr>
      </w:pPr>
    </w:p>
    <w:p w:rsidR="00360EA0" w:rsidRPr="00360EA0" w:rsidRDefault="00B55B71" w:rsidP="00B55B71">
      <w:pPr>
        <w:spacing w:after="0" w:line="240" w:lineRule="auto"/>
        <w:ind w:left="426"/>
        <w:jc w:val="both"/>
        <w:rPr>
          <w:rFonts w:ascii="Times New Roman" w:eastAsia="Times New Roman" w:hAnsi="Times New Roman" w:cs="Times New Roman"/>
          <w:lang w:val="de-DE" w:eastAsia="en-GB"/>
        </w:rPr>
      </w:pPr>
      <w:r w:rsidRPr="00B55B71">
        <w:rPr>
          <w:rFonts w:ascii="Times New Roman" w:eastAsia="Times New Roman" w:hAnsi="Times New Roman" w:cs="Times New Roman"/>
          <w:lang w:val="de-DE" w:eastAsia="en-GB"/>
        </w:rPr>
        <w:t>Diese Rolle erfordert auch regelmäßige Kontakte zu den Mitgliedstaaten, dem Europäischen Parlament und anderen europäischen Interessenträgern, sowie Experten für China.</w:t>
      </w:r>
    </w:p>
    <w:p w:rsidR="00950BA5" w:rsidRPr="00360EA0"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A80B19">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55B71" w:rsidRPr="00B55B71" w:rsidRDefault="00B55B71" w:rsidP="00B55B71">
      <w:pPr>
        <w:pStyle w:val="ListParagraph"/>
        <w:numPr>
          <w:ilvl w:val="0"/>
          <w:numId w:val="2"/>
        </w:numPr>
        <w:tabs>
          <w:tab w:val="left" w:pos="1276"/>
        </w:tabs>
        <w:spacing w:after="0" w:line="240" w:lineRule="auto"/>
        <w:ind w:left="993" w:right="60" w:hanging="284"/>
        <w:jc w:val="both"/>
        <w:rPr>
          <w:rFonts w:ascii="Times New Roman" w:eastAsia="Times New Roman" w:hAnsi="Times New Roman" w:cs="Times New Roman"/>
          <w:lang w:val="de-DE" w:eastAsia="en-GB"/>
        </w:rPr>
      </w:pPr>
      <w:r w:rsidRPr="00B55B71">
        <w:rPr>
          <w:rFonts w:ascii="Times New Roman" w:eastAsia="Times New Roman" w:hAnsi="Times New Roman" w:cs="Times New Roman"/>
          <w:lang w:val="de-DE" w:eastAsia="en-GB"/>
        </w:rPr>
        <w:t>China/Asien</w:t>
      </w:r>
    </w:p>
    <w:p w:rsidR="00B11B14" w:rsidRPr="00B55B71" w:rsidRDefault="00B55B71" w:rsidP="00B55B71">
      <w:pPr>
        <w:pStyle w:val="ListParagraph"/>
        <w:numPr>
          <w:ilvl w:val="0"/>
          <w:numId w:val="2"/>
        </w:numPr>
        <w:tabs>
          <w:tab w:val="left" w:pos="1276"/>
        </w:tabs>
        <w:spacing w:after="0" w:line="240" w:lineRule="auto"/>
        <w:ind w:left="993" w:right="60" w:hanging="284"/>
        <w:jc w:val="both"/>
        <w:rPr>
          <w:rFonts w:ascii="Times New Roman" w:eastAsia="Times New Roman" w:hAnsi="Times New Roman" w:cs="Times New Roman"/>
          <w:lang w:val="de-DE" w:eastAsia="en-GB"/>
        </w:rPr>
      </w:pPr>
      <w:r w:rsidRPr="00B55B71">
        <w:rPr>
          <w:rFonts w:ascii="Times New Roman" w:eastAsia="Times New Roman" w:hAnsi="Times New Roman" w:cs="Times New Roman"/>
          <w:lang w:val="de-DE" w:eastAsia="en-GB"/>
        </w:rPr>
        <w:t>Handels- und Wirtschaftsfragen; EU-Institutionen</w:t>
      </w:r>
      <w:r>
        <w:rPr>
          <w:rFonts w:ascii="Times New Roman" w:eastAsia="Times New Roman" w:hAnsi="Times New Roman" w:cs="Times New Roman"/>
          <w:lang w:val="de-DE" w:eastAsia="en-GB"/>
        </w:rPr>
        <w:t>.</w:t>
      </w:r>
    </w:p>
    <w:p w:rsidR="00142245" w:rsidRPr="00360EA0" w:rsidRDefault="00142245" w:rsidP="00142245">
      <w:pPr>
        <w:tabs>
          <w:tab w:val="left" w:pos="993"/>
        </w:tabs>
        <w:spacing w:after="0" w:line="240" w:lineRule="auto"/>
        <w:ind w:left="993" w:right="60" w:hanging="284"/>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Default="00B55B71" w:rsidP="00F92374">
      <w:pPr>
        <w:spacing w:after="0" w:line="240" w:lineRule="auto"/>
        <w:ind w:left="709"/>
        <w:rPr>
          <w:rFonts w:ascii="Times New Roman" w:eastAsia="Times New Roman" w:hAnsi="Times New Roman" w:cs="Times New Roman"/>
          <w:lang w:val="de-DE" w:eastAsia="en-GB"/>
        </w:rPr>
      </w:pPr>
      <w:r w:rsidRPr="00B55B71">
        <w:rPr>
          <w:rFonts w:ascii="Times New Roman" w:eastAsia="Times New Roman" w:hAnsi="Times New Roman" w:cs="Times New Roman"/>
          <w:lang w:val="de-DE" w:eastAsia="en-GB"/>
        </w:rPr>
        <w:t>Hervorragende Englischkenntnisse sind erforderlich. Kenntnisse in Mandarin sind nicht erforderlich, werden aber als Vorteil angesehen.</w:t>
      </w:r>
    </w:p>
    <w:p w:rsidR="00F92374" w:rsidRPr="00950BA5" w:rsidRDefault="00F92374" w:rsidP="00F92374">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lastRenderedPageBreak/>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Pr="00950BA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076CA7">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9E0F24"/>
    <w:multiLevelType w:val="hybridMultilevel"/>
    <w:tmpl w:val="26C6E7B6"/>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 w15:restartNumberingAfterBreak="0">
    <w:nsid w:val="6E271463"/>
    <w:multiLevelType w:val="hybridMultilevel"/>
    <w:tmpl w:val="87B22EB0"/>
    <w:lvl w:ilvl="0" w:tplc="26CCB696">
      <w:numFmt w:val="bullet"/>
      <w:lvlText w:val="-"/>
      <w:lvlJc w:val="left"/>
      <w:pPr>
        <w:ind w:left="1429" w:hanging="360"/>
      </w:pPr>
      <w:rPr>
        <w:rFonts w:ascii="Calibri" w:eastAsia="Calibri" w:hAnsi="Calibri" w:cs="Calibri"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76CA7"/>
    <w:rsid w:val="00142245"/>
    <w:rsid w:val="0019598C"/>
    <w:rsid w:val="00360EA0"/>
    <w:rsid w:val="00534042"/>
    <w:rsid w:val="00950BA5"/>
    <w:rsid w:val="00A80B19"/>
    <w:rsid w:val="00B11B14"/>
    <w:rsid w:val="00B55B71"/>
    <w:rsid w:val="00B604B5"/>
    <w:rsid w:val="00BC14A5"/>
    <w:rsid w:val="00CF677F"/>
    <w:rsid w:val="00F9237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87DCB"/>
  <w15:docId w15:val="{60394A02-997C-4BBA-8222-9C833CD28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B55B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eline.HINDER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1227</Words>
  <Characters>8645</Characters>
  <Application>Microsoft Office Word</Application>
  <DocSecurity>0</DocSecurity>
  <Lines>196</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2020-05-12T13:56:00Z</dcterms:created>
  <dcterms:modified xsi:type="dcterms:W3CDTF">2020-05-12T13:56:00Z</dcterms:modified>
</cp:coreProperties>
</file>