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A168F"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REFORM-0</w:t>
            </w:r>
            <w:r w:rsidR="00707A59">
              <w:rPr>
                <w:rFonts w:ascii="Times New Roman" w:eastAsia="Times New Roman" w:hAnsi="Times New Roman" w:cs="Times New Roman"/>
                <w:b/>
                <w:sz w:val="24"/>
                <w:szCs w:val="20"/>
                <w:lang w:val="de-DE"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A168F" w:rsidRPr="00EA168F" w:rsidRDefault="00EA168F" w:rsidP="00EA168F">
            <w:pPr>
              <w:ind w:right="1317"/>
              <w:jc w:val="both"/>
              <w:rPr>
                <w:rFonts w:ascii="Times New Roman" w:eastAsia="Times New Roman" w:hAnsi="Times New Roman" w:cs="Times New Roman"/>
                <w:b/>
                <w:lang w:val="de-DE" w:eastAsia="en-GB"/>
              </w:rPr>
            </w:pPr>
            <w:proofErr w:type="spellStart"/>
            <w:r w:rsidRPr="00EA168F">
              <w:rPr>
                <w:rFonts w:ascii="Times New Roman" w:eastAsia="Times New Roman" w:hAnsi="Times New Roman" w:cs="Times New Roman"/>
                <w:b/>
                <w:lang w:val="de-DE" w:eastAsia="en-GB"/>
              </w:rPr>
              <w:t>Riikka</w:t>
            </w:r>
            <w:proofErr w:type="spellEnd"/>
            <w:r w:rsidRPr="00EA168F">
              <w:rPr>
                <w:rFonts w:ascii="Times New Roman" w:eastAsia="Times New Roman" w:hAnsi="Times New Roman" w:cs="Times New Roman"/>
                <w:b/>
                <w:lang w:val="de-DE" w:eastAsia="en-GB"/>
              </w:rPr>
              <w:t xml:space="preserve"> TORPPA (</w:t>
            </w:r>
            <w:proofErr w:type="spellStart"/>
            <w:r w:rsidRPr="00EA168F">
              <w:rPr>
                <w:rFonts w:ascii="Times New Roman" w:eastAsia="Times New Roman" w:hAnsi="Times New Roman" w:cs="Times New Roman"/>
                <w:b/>
                <w:lang w:val="de-DE" w:eastAsia="en-GB"/>
              </w:rPr>
              <w:t>chef</w:t>
            </w:r>
            <w:proofErr w:type="spellEnd"/>
            <w:r w:rsidRPr="00EA168F">
              <w:rPr>
                <w:rFonts w:ascii="Times New Roman" w:eastAsia="Times New Roman" w:hAnsi="Times New Roman" w:cs="Times New Roman"/>
                <w:b/>
                <w:lang w:val="de-DE" w:eastAsia="en-GB"/>
              </w:rPr>
              <w:t xml:space="preserve"> </w:t>
            </w:r>
            <w:proofErr w:type="spellStart"/>
            <w:r w:rsidRPr="00EA168F">
              <w:rPr>
                <w:rFonts w:ascii="Times New Roman" w:eastAsia="Times New Roman" w:hAnsi="Times New Roman" w:cs="Times New Roman"/>
                <w:b/>
                <w:lang w:val="de-DE" w:eastAsia="en-GB"/>
              </w:rPr>
              <w:t>d'unité</w:t>
            </w:r>
            <w:proofErr w:type="spellEnd"/>
            <w:r w:rsidRPr="00EA168F">
              <w:rPr>
                <w:rFonts w:ascii="Times New Roman" w:eastAsia="Times New Roman" w:hAnsi="Times New Roman" w:cs="Times New Roman"/>
                <w:b/>
                <w:lang w:val="de-DE" w:eastAsia="en-GB"/>
              </w:rPr>
              <w:t xml:space="preserve"> </w:t>
            </w:r>
            <w:proofErr w:type="spellStart"/>
            <w:r w:rsidRPr="00EA168F">
              <w:rPr>
                <w:rFonts w:ascii="Times New Roman" w:eastAsia="Times New Roman" w:hAnsi="Times New Roman" w:cs="Times New Roman"/>
                <w:b/>
                <w:lang w:val="de-DE" w:eastAsia="en-GB"/>
              </w:rPr>
              <w:t>a.i</w:t>
            </w:r>
            <w:proofErr w:type="spellEnd"/>
            <w:r w:rsidRPr="00EA168F">
              <w:rPr>
                <w:rFonts w:ascii="Times New Roman" w:eastAsia="Times New Roman" w:hAnsi="Times New Roman" w:cs="Times New Roman"/>
                <w:b/>
                <w:lang w:val="de-DE" w:eastAsia="en-GB"/>
              </w:rPr>
              <w:t>.)</w:t>
            </w:r>
          </w:p>
          <w:p w:rsidR="00EA168F" w:rsidRPr="00EA168F" w:rsidRDefault="00EA168F" w:rsidP="00EA168F">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Riikka.TORPPA@ec.europa.eu</w:t>
              </w:r>
            </w:hyperlink>
            <w:r>
              <w:rPr>
                <w:rFonts w:ascii="Times New Roman" w:eastAsia="Times New Roman" w:hAnsi="Times New Roman" w:cs="Times New Roman"/>
                <w:b/>
                <w:lang w:val="de-DE" w:eastAsia="en-GB"/>
              </w:rPr>
              <w:t xml:space="preserve"> </w:t>
            </w:r>
            <w:r w:rsidRPr="00EA168F">
              <w:rPr>
                <w:rFonts w:ascii="Times New Roman" w:eastAsia="Times New Roman" w:hAnsi="Times New Roman" w:cs="Times New Roman"/>
                <w:b/>
                <w:lang w:val="de-DE" w:eastAsia="en-GB"/>
              </w:rPr>
              <w:t xml:space="preserve">   </w:t>
            </w:r>
          </w:p>
          <w:p w:rsidR="007D481B" w:rsidRPr="007D481B" w:rsidRDefault="00EA168F" w:rsidP="00EA168F">
            <w:pPr>
              <w:ind w:right="1317"/>
              <w:jc w:val="both"/>
              <w:rPr>
                <w:rFonts w:ascii="Times New Roman" w:eastAsia="Times New Roman" w:hAnsi="Times New Roman" w:cs="Times New Roman"/>
                <w:b/>
                <w:lang w:val="de-DE" w:eastAsia="en-GB"/>
              </w:rPr>
            </w:pPr>
            <w:r w:rsidRPr="00EA168F">
              <w:rPr>
                <w:rFonts w:ascii="Times New Roman" w:eastAsia="Times New Roman" w:hAnsi="Times New Roman" w:cs="Times New Roman"/>
                <w:b/>
                <w:lang w:val="de-DE" w:eastAsia="en-GB"/>
              </w:rPr>
              <w:t>+32(0)2 2993458</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EA168F"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A168F" w:rsidRPr="00224F68" w:rsidRDefault="00EA168F" w:rsidP="00EA168F">
      <w:pPr>
        <w:spacing w:after="0" w:line="240" w:lineRule="auto"/>
        <w:ind w:left="426"/>
        <w:jc w:val="both"/>
        <w:rPr>
          <w:rStyle w:val="tlid-translation"/>
          <w:rFonts w:ascii="Times New Roman" w:hAnsi="Times New Roman" w:cs="Times New Roman"/>
          <w:lang w:val="de-DE"/>
        </w:rPr>
      </w:pPr>
      <w:r w:rsidRPr="00224F68">
        <w:rPr>
          <w:rStyle w:val="tlid-translation"/>
          <w:rFonts w:ascii="Times New Roman" w:hAnsi="Times New Roman" w:cs="Times New Roman"/>
          <w:lang w:val="de-DE"/>
        </w:rPr>
        <w:t>Die Generaldirektion für Strukturreformunterstützung (GD REFORM) wird von Kommissarin Ferreira koordiniert. Die Aufgabe der GD REFORM ist die Mitgliedstaaten bei der Vorbereitung und Durchführung von Strukturreformen technisch zu unterstützen - insbesondere im Rahmen des Prozesses der wirtschaftspolitischen Steuerung - sowie bei der effizienten und effektiven Verwendung der Mittel der Europäischen Union. Die Unterstützung steht allen Mitgliedstaaten auf Anfrage offen.</w:t>
      </w:r>
    </w:p>
    <w:p w:rsidR="00EA168F" w:rsidRDefault="00EA168F" w:rsidP="00EA168F">
      <w:pPr>
        <w:spacing w:after="0" w:line="240" w:lineRule="auto"/>
        <w:ind w:left="426"/>
        <w:rPr>
          <w:rStyle w:val="tlid-translation"/>
          <w:lang w:val="de-DE"/>
        </w:rPr>
      </w:pPr>
    </w:p>
    <w:p w:rsidR="00EA168F" w:rsidRDefault="00EA168F" w:rsidP="00EA168F">
      <w:pPr>
        <w:spacing w:after="0" w:line="240" w:lineRule="auto"/>
        <w:ind w:left="426"/>
        <w:jc w:val="both"/>
        <w:rPr>
          <w:rFonts w:ascii="Times New Roman" w:eastAsia="Times New Roman" w:hAnsi="Times New Roman" w:cs="Times New Roman"/>
          <w:lang w:val="de-DE" w:eastAsia="en-GB"/>
        </w:rPr>
      </w:pPr>
      <w:r w:rsidRPr="00224F68">
        <w:rPr>
          <w:rFonts w:ascii="Times New Roman" w:eastAsia="Times New Roman" w:hAnsi="Times New Roman" w:cs="Times New Roman"/>
          <w:lang w:val="de-DE" w:eastAsia="en-GB"/>
        </w:rPr>
        <w:t xml:space="preserve">Die GD REFORM leistet 27 Mitgliedstaaten technische Unterstützung. Die GD REFORM beschäftigt derzeit rund 200 Mitarbeiter in Brüssel, Athen, Nikosia, Zagreb und Bukarest. Es besteht aus einem Managementteam, 3 horizontalen Teams (Haushalt und Finanzen; Planung, Bewertung und Koordinierung der Unterstützung; Athener Büro - Koordinierung der Arbeit der GD REFORM in Griechenland) und 6 politischen Einheiten (Einnahmenverwaltung und öffentliches Finanzmanagement; </w:t>
      </w:r>
      <w:proofErr w:type="spellStart"/>
      <w:r w:rsidRPr="00224F68">
        <w:rPr>
          <w:rFonts w:ascii="Times New Roman" w:eastAsia="Times New Roman" w:hAnsi="Times New Roman" w:cs="Times New Roman"/>
          <w:lang w:val="de-DE" w:eastAsia="en-GB"/>
        </w:rPr>
        <w:t>Governance</w:t>
      </w:r>
      <w:proofErr w:type="spellEnd"/>
      <w:r w:rsidRPr="00224F68">
        <w:rPr>
          <w:rFonts w:ascii="Times New Roman" w:eastAsia="Times New Roman" w:hAnsi="Times New Roman" w:cs="Times New Roman"/>
          <w:lang w:val="de-DE" w:eastAsia="en-GB"/>
        </w:rPr>
        <w:t xml:space="preserve"> und öffentliche Verwaltung, Wachstum und Geschäftsumfeld, Arbeitsmarkt, Bildung, Gesundheits- und Sozialwesen, Finanzsektor und Zugang zu Finanzmitteln, Unterstützung bei der Ansiedlung Zyperns). Die GD REFORM hat eine starke Koordinierungsrolle in der gesamten Kommission sowie häufige Kontakte zu Mitgliedstaaten und anderen Interessengruppen.</w:t>
      </w:r>
    </w:p>
    <w:p w:rsidR="00EA168F" w:rsidRDefault="00EA168F" w:rsidP="00EA168F">
      <w:pPr>
        <w:spacing w:after="0" w:line="240" w:lineRule="auto"/>
        <w:ind w:left="426"/>
        <w:jc w:val="both"/>
        <w:rPr>
          <w:rFonts w:ascii="Times New Roman" w:eastAsia="Times New Roman" w:hAnsi="Times New Roman" w:cs="Times New Roman"/>
          <w:lang w:val="de-DE" w:eastAsia="en-GB"/>
        </w:rPr>
      </w:pPr>
    </w:p>
    <w:p w:rsidR="00EA168F" w:rsidRDefault="00EA168F" w:rsidP="00EA168F">
      <w:pPr>
        <w:spacing w:after="0" w:line="240" w:lineRule="auto"/>
        <w:ind w:left="426"/>
        <w:jc w:val="both"/>
        <w:rPr>
          <w:rStyle w:val="tlid-translation"/>
          <w:rFonts w:ascii="Times New Roman" w:hAnsi="Times New Roman" w:cs="Times New Roman"/>
          <w:lang w:val="de-DE"/>
        </w:rPr>
      </w:pPr>
      <w:r w:rsidRPr="00224F68">
        <w:rPr>
          <w:rStyle w:val="tlid-translation"/>
          <w:rFonts w:ascii="Times New Roman" w:hAnsi="Times New Roman" w:cs="Times New Roman"/>
          <w:lang w:val="de-DE"/>
        </w:rPr>
        <w:t xml:space="preserve">Die GD REFORM verwaltet das Strukturreform-Unterstützungsprogramm (SRSP), ein relativ neues EU-Programm, das über ein spezielles Budget und einen rechtlichen Rahmen für die Bereitstellung technischer Unterstützung für die Mitgliedstaaten verfügt, sowie das Hilfsprogramm für die türkisch-zyprische Gemeinschaft. Darüber hinaus laufen Verhandlungen mit dem Rat und dem Europäischen Parlament über die Schaffung eines neuen Finanzinstruments: des Haushaltsinstruments für Konvergenz und Wettbewerbsfähigkeit (BICC). Dieses Instrument, das </w:t>
      </w:r>
      <w:r>
        <w:rPr>
          <w:rStyle w:val="tlid-translation"/>
          <w:rFonts w:ascii="Times New Roman" w:hAnsi="Times New Roman" w:cs="Times New Roman"/>
          <w:lang w:val="de-DE"/>
        </w:rPr>
        <w:t>ergänzend dem</w:t>
      </w:r>
      <w:r w:rsidRPr="00224F68">
        <w:rPr>
          <w:rStyle w:val="tlid-translation"/>
          <w:rFonts w:ascii="Times New Roman" w:hAnsi="Times New Roman" w:cs="Times New Roman"/>
          <w:lang w:val="de-DE"/>
        </w:rPr>
        <w:t xml:space="preserve"> Instrument der technischen </w:t>
      </w:r>
      <w:r w:rsidRPr="00224F68">
        <w:rPr>
          <w:rStyle w:val="tlid-translation"/>
          <w:rFonts w:ascii="Times New Roman" w:hAnsi="Times New Roman" w:cs="Times New Roman"/>
          <w:lang w:val="de-DE"/>
        </w:rPr>
        <w:lastRenderedPageBreak/>
        <w:t xml:space="preserve">Unterstützung </w:t>
      </w:r>
      <w:r>
        <w:rPr>
          <w:rStyle w:val="tlid-translation"/>
          <w:rFonts w:ascii="Times New Roman" w:hAnsi="Times New Roman" w:cs="Times New Roman"/>
          <w:lang w:val="de-DE"/>
        </w:rPr>
        <w:t>wirken</w:t>
      </w:r>
      <w:r w:rsidRPr="00224F68">
        <w:rPr>
          <w:rStyle w:val="tlid-translation"/>
          <w:rFonts w:ascii="Times New Roman" w:hAnsi="Times New Roman" w:cs="Times New Roman"/>
          <w:lang w:val="de-DE"/>
        </w:rPr>
        <w:t xml:space="preserve"> würde, würde den Mitgliedstaaten finanzielle Unterstützung für Reformpakete und Investitionen gewähren. Dieses Instrument sollte bis zum 1. Januar 2021 betriebsbereit sein.</w:t>
      </w:r>
    </w:p>
    <w:p w:rsidR="00EA168F" w:rsidRDefault="00EA168F" w:rsidP="00EA168F">
      <w:pPr>
        <w:spacing w:after="0" w:line="240" w:lineRule="auto"/>
        <w:ind w:left="426"/>
        <w:jc w:val="both"/>
        <w:rPr>
          <w:rStyle w:val="tlid-translation"/>
          <w:rFonts w:ascii="Times New Roman" w:hAnsi="Times New Roman" w:cs="Times New Roman"/>
          <w:lang w:val="de-DE"/>
        </w:rPr>
      </w:pPr>
    </w:p>
    <w:p w:rsidR="00EA168F" w:rsidRPr="008E436B" w:rsidRDefault="00EA168F" w:rsidP="00EA168F">
      <w:pPr>
        <w:spacing w:after="0" w:line="240" w:lineRule="auto"/>
        <w:ind w:left="426"/>
        <w:jc w:val="both"/>
        <w:rPr>
          <w:rFonts w:ascii="Times New Roman" w:eastAsia="Times New Roman" w:hAnsi="Times New Roman" w:cs="Times New Roman"/>
          <w:lang w:val="de-DE" w:eastAsia="en-GB"/>
        </w:rPr>
      </w:pPr>
      <w:r w:rsidRPr="008E436B">
        <w:rPr>
          <w:rFonts w:ascii="Times New Roman" w:eastAsia="Times New Roman" w:hAnsi="Times New Roman" w:cs="Times New Roman"/>
          <w:lang w:val="de-DE" w:eastAsia="en-GB"/>
        </w:rPr>
        <w:t xml:space="preserve">Die Stelle befindet sich in der Abteilung für Finanzverwaltung und öffentliches Finanzmanagement (REFORM.01), deren Aufgabe es ist, die Unterstützung der Mitgliedstaaten (Konzeption, </w:t>
      </w:r>
      <w:r>
        <w:rPr>
          <w:rFonts w:ascii="Times New Roman" w:eastAsia="Times New Roman" w:hAnsi="Times New Roman" w:cs="Times New Roman"/>
          <w:lang w:val="de-DE" w:eastAsia="en-GB"/>
        </w:rPr>
        <w:t>Design</w:t>
      </w:r>
      <w:r w:rsidRPr="008E436B">
        <w:rPr>
          <w:rFonts w:ascii="Times New Roman" w:eastAsia="Times New Roman" w:hAnsi="Times New Roman" w:cs="Times New Roman"/>
          <w:lang w:val="de-DE" w:eastAsia="en-GB"/>
        </w:rPr>
        <w:t>, Durchführung und Überwachung von Programmen und Projekten für technische Unterstützung) in den folgenden Hauptbereichen zu koordinieren: Öffentlichkeit Finanzmanagement und Ausgabenpolitik, Einnahmenverwaltung, Steuerpolitik. Das Referat besteht aus 17 Mitarbeitern mit Sitz in Brüssel (16) und Athen (1).</w:t>
      </w:r>
    </w:p>
    <w:p w:rsidR="00EA168F" w:rsidRPr="008E436B" w:rsidRDefault="00EA168F" w:rsidP="00EA168F">
      <w:pPr>
        <w:spacing w:after="0" w:line="240" w:lineRule="auto"/>
        <w:ind w:left="426"/>
        <w:jc w:val="both"/>
        <w:rPr>
          <w:rFonts w:ascii="Times New Roman" w:eastAsia="Times New Roman" w:hAnsi="Times New Roman" w:cs="Times New Roman"/>
          <w:lang w:val="de-DE" w:eastAsia="en-GB"/>
        </w:rPr>
      </w:pPr>
    </w:p>
    <w:p w:rsidR="00EA168F" w:rsidRPr="00224F68" w:rsidRDefault="00EA168F" w:rsidP="00EA168F">
      <w:pPr>
        <w:spacing w:after="0" w:line="240" w:lineRule="auto"/>
        <w:ind w:left="426"/>
        <w:jc w:val="both"/>
        <w:rPr>
          <w:rFonts w:ascii="Times New Roman" w:eastAsia="Times New Roman" w:hAnsi="Times New Roman" w:cs="Times New Roman"/>
          <w:lang w:val="de-DE" w:eastAsia="en-GB"/>
        </w:rPr>
      </w:pPr>
      <w:r w:rsidRPr="008E436B">
        <w:rPr>
          <w:rFonts w:ascii="Times New Roman" w:eastAsia="Times New Roman" w:hAnsi="Times New Roman" w:cs="Times New Roman"/>
          <w:lang w:val="de-DE" w:eastAsia="en-GB"/>
        </w:rPr>
        <w:t xml:space="preserve">Der </w:t>
      </w:r>
      <w:r>
        <w:rPr>
          <w:rFonts w:ascii="Times New Roman" w:eastAsia="Times New Roman" w:hAnsi="Times New Roman" w:cs="Times New Roman"/>
          <w:lang w:val="de-DE" w:eastAsia="en-GB"/>
        </w:rPr>
        <w:t>endsandte</w:t>
      </w:r>
      <w:r w:rsidRPr="008E436B">
        <w:rPr>
          <w:rFonts w:ascii="Times New Roman" w:eastAsia="Times New Roman" w:hAnsi="Times New Roman" w:cs="Times New Roman"/>
          <w:lang w:val="de-DE" w:eastAsia="en-GB"/>
        </w:rPr>
        <w:t xml:space="preserve"> Sachverständige wird im Bereich der öffentlichen Finanzverwaltung Unterstützung leisten.</w:t>
      </w:r>
    </w:p>
    <w:p w:rsidR="00EA168F" w:rsidRDefault="00EA168F" w:rsidP="00EA168F">
      <w:pPr>
        <w:spacing w:after="0" w:line="240" w:lineRule="auto"/>
        <w:ind w:left="426"/>
        <w:rPr>
          <w:rFonts w:ascii="Times New Roman" w:eastAsia="Times New Roman" w:hAnsi="Times New Roman" w:cs="Times New Roman"/>
          <w:lang w:val="de-DE" w:eastAsia="en-GB"/>
        </w:rPr>
      </w:pPr>
    </w:p>
    <w:p w:rsidR="00EA168F" w:rsidRDefault="00EA168F" w:rsidP="00EA168F">
      <w:pPr>
        <w:spacing w:after="0" w:line="240" w:lineRule="auto"/>
        <w:ind w:left="426"/>
        <w:rPr>
          <w:rFonts w:ascii="Times New Roman" w:eastAsia="Times New Roman" w:hAnsi="Times New Roman" w:cs="Times New Roman"/>
          <w:lang w:val="de-DE" w:eastAsia="en-GB"/>
        </w:rPr>
      </w:pPr>
      <w:r w:rsidRPr="00BF7519">
        <w:rPr>
          <w:rFonts w:ascii="Times New Roman" w:eastAsia="Times New Roman" w:hAnsi="Times New Roman" w:cs="Times New Roman"/>
          <w:lang w:val="de-DE" w:eastAsia="en-GB"/>
        </w:rPr>
        <w:t>Im Tätigkeitsbereich ist der abgeordnete Sachverständige für folgende Aufgaben verantwortlich:</w:t>
      </w:r>
    </w:p>
    <w:p w:rsidR="00EA168F" w:rsidRPr="00BF7519" w:rsidRDefault="00EA168F" w:rsidP="00EA168F">
      <w:pPr>
        <w:spacing w:after="0" w:line="240" w:lineRule="auto"/>
        <w:ind w:left="426"/>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Konzeption, Umsetzung und Überwachung von Projekten zur technischen Unterstützung im Bereich des öffentlichen Finanzmanagements in den EU-Mitgliedstaaten, die Bereiche wie die Vorbereitung und Durchführung des Haushalts abdecken; Ausgabenpolitik; Schulden- und Cash-Management; öffentliche Buchhaltung und Statistik; Aufsicht über die öffentlichen Finanzen; makrofiskalischer Rahmen. Darüber hinaus umfasst es auch die Überwachung der Umsetzung der Projekte, um die Qualität zu fördern und die Nachhaltigkeit der wichtigsten Strukturreformen zu unterstützen. Dies beinhaltet eine enge Zusammenarbeit mit den Mitgliedstaaten, anderen Kommissionsdienststellen und Anbietern technischer Unterstützung (Mitgliedstaaten, internationale Organisationen, öffentliche Stellen und private Sachverständige).</w:t>
      </w:r>
    </w:p>
    <w:p w:rsidR="00EA168F" w:rsidRDefault="00EA168F" w:rsidP="00EA168F">
      <w:pPr>
        <w:spacing w:after="0" w:line="240" w:lineRule="auto"/>
        <w:ind w:left="709" w:hanging="283"/>
        <w:jc w:val="both"/>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Verfolgung und Lösung von Problemen im Zusammenhang mit der Implementierung der technischen Unterstützung; Dazu gehören die Ermittlung von Reformengpässen und der Vorschlag von Mitteln zu deren Überwindung durch Bereitstellung technischer Unterstützung in Abstimmung mit den zuständigen Kommissionsdienststellen und den einzelnen Mitgliedstaaten, die technische Unterstützung im Bereich der öffentlichen Finanzverwaltung anfordern.</w:t>
      </w:r>
    </w:p>
    <w:p w:rsidR="00EA168F" w:rsidRPr="00BF7519" w:rsidRDefault="00EA168F" w:rsidP="00EA168F">
      <w:pPr>
        <w:spacing w:after="0" w:line="240" w:lineRule="auto"/>
        <w:ind w:left="709" w:hanging="283"/>
        <w:jc w:val="both"/>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Beitrag zur Bewertung von Projekten zur technischen Unterstützung in Zusammenarbeit mit der horizontalen Einheit innerhalb der GD REFORM;</w:t>
      </w:r>
    </w:p>
    <w:p w:rsidR="00EA168F" w:rsidRPr="00BF7519" w:rsidRDefault="00EA168F" w:rsidP="00EA168F">
      <w:pPr>
        <w:spacing w:after="0" w:line="240" w:lineRule="auto"/>
        <w:ind w:left="709" w:hanging="283"/>
        <w:jc w:val="both"/>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Teilnahme an Missionen im Zusammenhang mit der technischen Unterstützung im Bereich des öffentlichen Finanzmanagements;</w:t>
      </w:r>
    </w:p>
    <w:p w:rsidR="00EA168F" w:rsidRPr="00BF7519" w:rsidRDefault="00EA168F" w:rsidP="00EA168F">
      <w:pPr>
        <w:spacing w:after="0" w:line="240" w:lineRule="auto"/>
        <w:ind w:left="709" w:hanging="283"/>
        <w:jc w:val="both"/>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Verbreitung bewährter Verfahren für die Umsetzung von Strukturreformen durch Vermittlung von Unterstützung und Erfahrungsaustausch; und</w:t>
      </w:r>
    </w:p>
    <w:p w:rsidR="00EA168F" w:rsidRDefault="00EA168F" w:rsidP="00EA168F">
      <w:pPr>
        <w:spacing w:after="0" w:line="240" w:lineRule="auto"/>
        <w:ind w:left="709" w:hanging="283"/>
        <w:jc w:val="both"/>
        <w:rPr>
          <w:rFonts w:ascii="Times New Roman" w:eastAsia="Times New Roman" w:hAnsi="Times New Roman" w:cs="Times New Roman"/>
          <w:lang w:val="de-DE" w:eastAsia="en-GB"/>
        </w:rPr>
      </w:pPr>
    </w:p>
    <w:p w:rsidR="00EA168F" w:rsidRPr="00EA168F" w:rsidRDefault="00EA168F" w:rsidP="00EA168F">
      <w:pPr>
        <w:pStyle w:val="ListParagraph"/>
        <w:numPr>
          <w:ilvl w:val="0"/>
          <w:numId w:val="12"/>
        </w:numPr>
        <w:spacing w:after="0" w:line="240" w:lineRule="auto"/>
        <w:ind w:left="709" w:hanging="283"/>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öffentlichen Finanzmanagementsystemen und bei der Entwicklung politischer Empfehlungen zur Verbesserung dieses Rahmens auf der Grundlage der besten europäischen und internationalen Praxis.</w:t>
      </w:r>
    </w:p>
    <w:p w:rsidR="00EA168F" w:rsidRPr="00BF7519" w:rsidRDefault="00EA168F" w:rsidP="00EA168F">
      <w:pPr>
        <w:spacing w:after="0" w:line="240" w:lineRule="auto"/>
        <w:ind w:left="426"/>
        <w:jc w:val="both"/>
        <w:rPr>
          <w:rFonts w:ascii="Times New Roman" w:eastAsia="Times New Roman" w:hAnsi="Times New Roman" w:cs="Times New Roman"/>
          <w:lang w:val="de-DE" w:eastAsia="en-GB"/>
        </w:rPr>
      </w:pPr>
    </w:p>
    <w:p w:rsidR="00707A59" w:rsidRPr="00707A59" w:rsidRDefault="00EA168F" w:rsidP="00EA168F">
      <w:pPr>
        <w:pStyle w:val="ListParagraph"/>
        <w:tabs>
          <w:tab w:val="left" w:pos="1578"/>
        </w:tabs>
        <w:suppressAutoHyphens/>
        <w:spacing w:after="0" w:line="240" w:lineRule="auto"/>
        <w:ind w:left="426" w:right="11"/>
        <w:jc w:val="both"/>
        <w:rPr>
          <w:rFonts w:ascii="Times New Roman" w:hAnsi="Times New Roman" w:cs="Times New Roman"/>
          <w:lang w:val="de-DE"/>
        </w:rPr>
      </w:pPr>
      <w:r w:rsidRPr="00BF7519">
        <w:rPr>
          <w:rFonts w:ascii="Times New Roman" w:eastAsia="Times New Roman" w:hAnsi="Times New Roman" w:cs="Times New Roman"/>
          <w:lang w:val="de-DE" w:eastAsia="en-GB"/>
        </w:rPr>
        <w:t>Angesichts dieser Aufgaben erfordert die Stelle häufige 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beinhalten.</w:t>
      </w:r>
    </w:p>
    <w:p w:rsidR="00A62820" w:rsidRDefault="00A62820" w:rsidP="00950BA5">
      <w:pPr>
        <w:spacing w:after="0" w:line="240" w:lineRule="auto"/>
        <w:rPr>
          <w:rFonts w:ascii="Times New Roman" w:eastAsia="Times New Roman" w:hAnsi="Times New Roman" w:cs="Times New Roman"/>
          <w:lang w:val="de-DE" w:eastAsia="en-GB"/>
        </w:rPr>
      </w:pP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EA168F" w:rsidRPr="00EA168F">
        <w:rPr>
          <w:rFonts w:ascii="Times New Roman" w:eastAsia="Times New Roman" w:hAnsi="Times New Roman" w:cs="Times New Roman"/>
          <w:lang w:val="de-DE" w:eastAsia="en-GB"/>
        </w:rPr>
        <w:t>Wirtschaft, Rechnungswesen, öffentliche Verwaltung / öffentliches Recht, Wirtschaftsprüfung, Politikwissenschaft</w:t>
      </w:r>
      <w:r w:rsidR="00725EE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707A59" w:rsidP="00725EE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07A59">
        <w:rPr>
          <w:rFonts w:ascii="Times New Roman" w:hAnsi="Times New Roman" w:cs="Times New Roman"/>
          <w:lang w:val="de-DE"/>
        </w:rPr>
        <w:t>Nachgewiesene Berufserfahrung auf dem Gebiet der Cybersicherheitspolitik und der Koordinierungsmechanismen in Europa, einschließlich Verfassen von einschlägigen Dokumenten und Interaktionen mit relevanten Interessenträgern</w:t>
      </w:r>
      <w:r>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EA168F"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EA168F">
        <w:rPr>
          <w:rFonts w:ascii="Times New Roman" w:eastAsia="Times New Roman" w:hAnsi="Times New Roman" w:cs="Times New Roman"/>
          <w:lang w:val="de-DE" w:eastAsia="en-GB"/>
        </w:rPr>
        <w:t>Der abgeordnete nationale Experte wird hauptsächlich in Englisch arbeiten. Hervorragende Entwurfs- und Präsentationsfähigkeite</w:t>
      </w:r>
      <w:r>
        <w:rPr>
          <w:rFonts w:ascii="Times New Roman" w:eastAsia="Times New Roman" w:hAnsi="Times New Roman" w:cs="Times New Roman"/>
          <w:lang w:val="de-DE" w:eastAsia="en-GB"/>
        </w:rPr>
        <w:t>n in Englisch sind unerlässlich</w:t>
      </w:r>
      <w:r w:rsidR="00A8480C" w:rsidRPr="00A8480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EA168F" w:rsidRDefault="00EA168F" w:rsidP="00950BA5">
      <w:pPr>
        <w:spacing w:after="0" w:line="240" w:lineRule="auto"/>
        <w:ind w:left="426" w:right="175"/>
        <w:jc w:val="both"/>
        <w:rPr>
          <w:rFonts w:ascii="Times New Roman" w:eastAsia="Times New Roman" w:hAnsi="Times New Roman" w:cs="Times New Roman"/>
          <w:b/>
          <w:u w:val="single"/>
          <w:lang w:val="de-DE" w:eastAsia="en-GB"/>
        </w:rPr>
      </w:pPr>
    </w:p>
    <w:p w:rsidR="00EA168F" w:rsidRDefault="00EA168F"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A168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9"/>
  </w:num>
  <w:num w:numId="3">
    <w:abstractNumId w:val="4"/>
  </w:num>
  <w:num w:numId="4">
    <w:abstractNumId w:val="2"/>
  </w:num>
  <w:num w:numId="5">
    <w:abstractNumId w:val="0"/>
  </w:num>
  <w:num w:numId="6">
    <w:abstractNumId w:val="11"/>
  </w:num>
  <w:num w:numId="7">
    <w:abstractNumId w:val="1"/>
  </w:num>
  <w:num w:numId="8">
    <w:abstractNumId w:val="5"/>
  </w:num>
  <w:num w:numId="9">
    <w:abstractNumId w:val="6"/>
  </w:num>
  <w:num w:numId="10">
    <w:abstractNumId w:val="12"/>
  </w:num>
  <w:num w:numId="11">
    <w:abstractNumId w:val="8"/>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07A59"/>
    <w:rsid w:val="00725EE5"/>
    <w:rsid w:val="007D481B"/>
    <w:rsid w:val="00950BA5"/>
    <w:rsid w:val="00A62820"/>
    <w:rsid w:val="00A8480C"/>
    <w:rsid w:val="00BB2535"/>
    <w:rsid w:val="00BC14A5"/>
    <w:rsid w:val="00CF677F"/>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ikka.TORPP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1644</Words>
  <Characters>11920</Characters>
  <Application>Microsoft Office Word</Application>
  <DocSecurity>0</DocSecurity>
  <Lines>264</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2020-03-10T13:53:00Z</dcterms:created>
  <dcterms:modified xsi:type="dcterms:W3CDTF">2020-03-10T13:53:00Z</dcterms:modified>
</cp:coreProperties>
</file>