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1B5584" w:rsidP="00C324F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CNECT-B-2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B5584" w:rsidRPr="001B5584" w:rsidRDefault="001B5584" w:rsidP="001B5584">
            <w:pPr>
              <w:ind w:right="1317"/>
              <w:jc w:val="both"/>
              <w:rPr>
                <w:rFonts w:ascii="Times New Roman" w:eastAsia="Times New Roman" w:hAnsi="Times New Roman" w:cs="Times New Roman"/>
                <w:b/>
                <w:lang w:val="de-DE" w:eastAsia="en-GB"/>
              </w:rPr>
            </w:pPr>
            <w:proofErr w:type="spellStart"/>
            <w:r w:rsidRPr="001B5584">
              <w:rPr>
                <w:rFonts w:ascii="Times New Roman" w:eastAsia="Times New Roman" w:hAnsi="Times New Roman" w:cs="Times New Roman"/>
                <w:b/>
                <w:lang w:val="de-DE" w:eastAsia="en-GB"/>
              </w:rPr>
              <w:t>Vesa</w:t>
            </w:r>
            <w:proofErr w:type="spellEnd"/>
            <w:r w:rsidRPr="001B5584">
              <w:rPr>
                <w:rFonts w:ascii="Times New Roman" w:eastAsia="Times New Roman" w:hAnsi="Times New Roman" w:cs="Times New Roman"/>
                <w:b/>
                <w:lang w:val="de-DE" w:eastAsia="en-GB"/>
              </w:rPr>
              <w:t xml:space="preserve"> TERAVA</w:t>
            </w:r>
          </w:p>
          <w:p w:rsidR="001B5584" w:rsidRPr="001B5584" w:rsidRDefault="001B5584" w:rsidP="001B5584">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Vesa.Terava@ec.europa.eu</w:t>
              </w:r>
            </w:hyperlink>
            <w:r>
              <w:rPr>
                <w:rFonts w:ascii="Times New Roman" w:eastAsia="Times New Roman" w:hAnsi="Times New Roman" w:cs="Times New Roman"/>
                <w:b/>
                <w:lang w:val="de-DE" w:eastAsia="en-GB"/>
              </w:rPr>
              <w:t xml:space="preserve"> </w:t>
            </w:r>
            <w:r w:rsidRPr="001B5584">
              <w:rPr>
                <w:rFonts w:ascii="Times New Roman" w:eastAsia="Times New Roman" w:hAnsi="Times New Roman" w:cs="Times New Roman"/>
                <w:b/>
                <w:lang w:val="de-DE" w:eastAsia="en-GB"/>
              </w:rPr>
              <w:t xml:space="preserve">  </w:t>
            </w:r>
          </w:p>
          <w:p w:rsidR="007D481B" w:rsidRPr="007D481B" w:rsidRDefault="001B5584" w:rsidP="001B5584">
            <w:pPr>
              <w:ind w:right="1317"/>
              <w:jc w:val="both"/>
              <w:rPr>
                <w:rFonts w:ascii="Times New Roman" w:eastAsia="Times New Roman" w:hAnsi="Times New Roman" w:cs="Times New Roman"/>
                <w:b/>
                <w:lang w:val="de-DE" w:eastAsia="en-GB"/>
              </w:rPr>
            </w:pPr>
            <w:r w:rsidRPr="001B5584">
              <w:rPr>
                <w:rFonts w:ascii="Times New Roman" w:eastAsia="Times New Roman" w:hAnsi="Times New Roman" w:cs="Times New Roman"/>
                <w:b/>
                <w:lang w:val="de-DE" w:eastAsia="en-GB"/>
              </w:rPr>
              <w:t>+32 2 29 92381</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3D16CB"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E05B30" w:rsidP="00E05B30">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C86364"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C86364">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05B30"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E05B3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E05B30" w:rsidRPr="00E05B30" w:rsidRDefault="001B5584" w:rsidP="00E05B30">
            <w:pPr>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p w:rsidR="00950BA5" w:rsidRPr="00950BA5" w:rsidRDefault="00E05B30" w:rsidP="00E05B30">
            <w:pPr>
              <w:rPr>
                <w:rFonts w:ascii="Times New Roman" w:eastAsia="Times New Roman" w:hAnsi="Times New Roman" w:cs="Times New Roman"/>
                <w:lang w:val="de-DE" w:eastAsia="en-GB"/>
              </w:rPr>
            </w:pPr>
            <w:r w:rsidRPr="00E05B30">
              <w:rPr>
                <w:rFonts w:ascii="Times New Roman" w:eastAsia="Times New Roman" w:hAnsi="Times New Roman" w:cs="Times New Roman"/>
                <w:b/>
                <w:bCs/>
                <w:lang w:val="de-DE" w:eastAsia="en-GB"/>
              </w:rPr>
              <w:t>-</w:t>
            </w:r>
            <w:r w:rsidRPr="00E05B30">
              <w:rPr>
                <w:rFonts w:ascii="Times New Roman" w:eastAsia="Times New Roman" w:hAnsi="Times New Roman" w:cs="Times New Roman"/>
                <w:b/>
                <w:bCs/>
                <w:lang w:val="de-DE" w:eastAsia="en-GB"/>
              </w:rPr>
              <w:tab/>
              <w:t>Weltbank</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1B5584">
      <w:pPr>
        <w:spacing w:after="0" w:line="240" w:lineRule="auto"/>
        <w:jc w:val="both"/>
        <w:rPr>
          <w:rFonts w:ascii="Times New Roman" w:eastAsia="Times New Roman" w:hAnsi="Times New Roman" w:cs="Times New Roman"/>
          <w:sz w:val="24"/>
          <w:szCs w:val="20"/>
          <w:lang w:val="de-DE" w:eastAsia="en-GB"/>
        </w:rPr>
      </w:pPr>
    </w:p>
    <w:p w:rsidR="001B5584" w:rsidRDefault="001B5584" w:rsidP="001B5584">
      <w:pPr>
        <w:shd w:val="clear" w:color="auto" w:fill="FFFFFF"/>
        <w:spacing w:after="0" w:line="240" w:lineRule="auto"/>
        <w:ind w:left="426"/>
        <w:jc w:val="both"/>
        <w:rPr>
          <w:rFonts w:ascii="Times New Roman" w:hAnsi="Times New Roman" w:cs="Times New Roman"/>
          <w:lang w:val="de-DE"/>
        </w:rPr>
      </w:pPr>
      <w:r w:rsidRPr="00100050">
        <w:rPr>
          <w:rFonts w:ascii="Times New Roman" w:hAnsi="Times New Roman" w:cs="Times New Roman"/>
          <w:lang w:val="de-DE"/>
        </w:rPr>
        <w:t xml:space="preserve">Referat B.2 "Umsetzung des Rechtsrahmens" ist eines der fünf Referate der Direktion B "Elektronische Kommunikationsnetze und -dienste" in der GD CNECT, tätig an der Frontlinie der bevorstehenden europaweiten Revolution im Bereich der </w:t>
      </w:r>
      <w:proofErr w:type="spellStart"/>
      <w:r w:rsidRPr="00100050">
        <w:rPr>
          <w:rFonts w:ascii="Times New Roman" w:hAnsi="Times New Roman" w:cs="Times New Roman"/>
          <w:lang w:val="de-DE"/>
        </w:rPr>
        <w:t>Konnecktivität</w:t>
      </w:r>
      <w:proofErr w:type="spellEnd"/>
      <w:r w:rsidRPr="00100050">
        <w:rPr>
          <w:rFonts w:ascii="Times New Roman" w:hAnsi="Times New Roman" w:cs="Times New Roman"/>
          <w:lang w:val="de-DE"/>
        </w:rPr>
        <w:t xml:space="preserve"> durch Technologien der nächsten Generation.</w:t>
      </w:r>
    </w:p>
    <w:p w:rsidR="001B5584" w:rsidRPr="00100050" w:rsidRDefault="001B5584" w:rsidP="001B5584">
      <w:pPr>
        <w:shd w:val="clear" w:color="auto" w:fill="FFFFFF"/>
        <w:spacing w:after="0" w:line="240" w:lineRule="auto"/>
        <w:ind w:left="426"/>
        <w:jc w:val="both"/>
        <w:rPr>
          <w:rFonts w:ascii="Times New Roman" w:hAnsi="Times New Roman" w:cs="Times New Roman"/>
          <w:lang w:val="de-DE"/>
        </w:rPr>
      </w:pPr>
    </w:p>
    <w:p w:rsidR="001B5584" w:rsidRDefault="001B5584" w:rsidP="001B5584">
      <w:pPr>
        <w:pStyle w:val="NormalWeb"/>
        <w:spacing w:before="0" w:beforeAutospacing="0" w:after="0" w:afterAutospacing="0"/>
        <w:ind w:left="426"/>
        <w:jc w:val="both"/>
        <w:rPr>
          <w:sz w:val="22"/>
          <w:szCs w:val="22"/>
          <w:lang w:val="de-DE"/>
        </w:rPr>
      </w:pPr>
      <w:r>
        <w:rPr>
          <w:sz w:val="22"/>
          <w:szCs w:val="22"/>
          <w:lang w:val="de-DE"/>
        </w:rPr>
        <w:t xml:space="preserve">Wir sind ein junges, enthusiastisches und sehr einsatzfreudiges Team von ungefähr 20 Kollegen mit unterschiedlichen Qualifikationen. Wir verfolgen </w:t>
      </w:r>
      <w:proofErr w:type="spellStart"/>
      <w:r>
        <w:rPr>
          <w:sz w:val="22"/>
          <w:szCs w:val="22"/>
          <w:lang w:val="de-DE"/>
        </w:rPr>
        <w:t>regelmässig</w:t>
      </w:r>
      <w:proofErr w:type="spellEnd"/>
      <w:r>
        <w:rPr>
          <w:sz w:val="22"/>
          <w:szCs w:val="22"/>
          <w:lang w:val="de-DE"/>
        </w:rPr>
        <w:t xml:space="preserve"> die </w:t>
      </w:r>
      <w:proofErr w:type="spellStart"/>
      <w:r>
        <w:rPr>
          <w:sz w:val="22"/>
          <w:szCs w:val="22"/>
          <w:lang w:val="de-DE"/>
        </w:rPr>
        <w:t>marktlichen</w:t>
      </w:r>
      <w:proofErr w:type="spellEnd"/>
      <w:r>
        <w:rPr>
          <w:sz w:val="22"/>
          <w:szCs w:val="22"/>
          <w:lang w:val="de-DE"/>
        </w:rPr>
        <w:t xml:space="preserve"> und regulatorischen Entwicklungen in nationalen elektronischen Kommunikationsmärkten und </w:t>
      </w:r>
      <w:proofErr w:type="spellStart"/>
      <w:r>
        <w:rPr>
          <w:sz w:val="22"/>
          <w:szCs w:val="22"/>
          <w:lang w:val="de-DE"/>
        </w:rPr>
        <w:t>erstattten</w:t>
      </w:r>
      <w:proofErr w:type="spellEnd"/>
      <w:r>
        <w:rPr>
          <w:sz w:val="22"/>
          <w:szCs w:val="22"/>
          <w:lang w:val="de-DE"/>
        </w:rPr>
        <w:t xml:space="preserve"> über unsere Erkenntnisse im Digital </w:t>
      </w:r>
      <w:proofErr w:type="spellStart"/>
      <w:r>
        <w:rPr>
          <w:sz w:val="22"/>
          <w:szCs w:val="22"/>
          <w:lang w:val="de-DE"/>
        </w:rPr>
        <w:t>Economic</w:t>
      </w:r>
      <w:proofErr w:type="spellEnd"/>
      <w:r>
        <w:rPr>
          <w:sz w:val="22"/>
          <w:szCs w:val="22"/>
          <w:lang w:val="de-DE"/>
        </w:rPr>
        <w:t xml:space="preserve"> </w:t>
      </w:r>
      <w:proofErr w:type="spellStart"/>
      <w:r>
        <w:rPr>
          <w:sz w:val="22"/>
          <w:szCs w:val="22"/>
          <w:lang w:val="de-DE"/>
        </w:rPr>
        <w:t>and</w:t>
      </w:r>
      <w:proofErr w:type="spellEnd"/>
      <w:r>
        <w:rPr>
          <w:sz w:val="22"/>
          <w:szCs w:val="22"/>
          <w:lang w:val="de-DE"/>
        </w:rPr>
        <w:t xml:space="preserve"> Society Index (DESI) Bericht. Wir sind auch für die Roaming-Verordnung zuständig und sorgen dafür, dass europäische Endnutzer im Binnenmarkt Roaming-Dienste ohne Zusatzentgelte nutzen können. Wir sind in ständigem Kontakt mit den nationalen Behörden und fördern deren Austausch zu bewährten Arbeitsmethoden, </w:t>
      </w:r>
      <w:proofErr w:type="spellStart"/>
      <w:r>
        <w:rPr>
          <w:sz w:val="22"/>
          <w:szCs w:val="22"/>
          <w:lang w:val="de-DE"/>
        </w:rPr>
        <w:t>insbesonderen</w:t>
      </w:r>
      <w:proofErr w:type="spellEnd"/>
      <w:r>
        <w:rPr>
          <w:sz w:val="22"/>
          <w:szCs w:val="22"/>
          <w:lang w:val="de-DE"/>
        </w:rPr>
        <w:t xml:space="preserve"> innerhalb von BEREK sowie innerhalb des Kommunikationsausschusses, die beide ebenfalls in unsere Zuständigkeit fallen. Zu den Aufgaben des Referats B.2 gehört die Zuständigkeit für die Durchsetzung der Binnenmarktregeln im Bereich der elektronischen Kommunikation, eine übergreifende Priorität in den politischen Richtlinien der neuen Kommission.</w:t>
      </w:r>
    </w:p>
    <w:p w:rsidR="001B5584" w:rsidRDefault="001B5584" w:rsidP="001B5584">
      <w:pPr>
        <w:pStyle w:val="NormalWeb"/>
        <w:shd w:val="clear" w:color="auto" w:fill="FFFFFF"/>
        <w:spacing w:before="0" w:beforeAutospacing="0" w:after="0" w:afterAutospacing="0"/>
        <w:ind w:left="426"/>
        <w:jc w:val="both"/>
        <w:rPr>
          <w:b/>
          <w:sz w:val="22"/>
          <w:szCs w:val="22"/>
          <w:u w:val="single"/>
          <w:lang w:val="de-DE"/>
        </w:rPr>
      </w:pPr>
    </w:p>
    <w:p w:rsidR="001B5584" w:rsidRDefault="001B5584" w:rsidP="001B5584">
      <w:pPr>
        <w:pStyle w:val="NormalWeb"/>
        <w:shd w:val="clear" w:color="auto" w:fill="FFFFFF"/>
        <w:spacing w:before="0" w:beforeAutospacing="0" w:after="0" w:afterAutospacing="0"/>
        <w:ind w:left="426"/>
        <w:jc w:val="both"/>
        <w:rPr>
          <w:sz w:val="22"/>
          <w:szCs w:val="22"/>
          <w:lang w:val="de-DE"/>
        </w:rPr>
      </w:pPr>
      <w:r>
        <w:rPr>
          <w:sz w:val="22"/>
          <w:szCs w:val="22"/>
          <w:lang w:val="de-DE"/>
        </w:rPr>
        <w:t>Wir bieten eine sehr interessante Stelle als Sachbearbeiterin / Länderreferentin bzw. Sachbearbeiter / Länderreferent im Bereich der Regulierung der elektronischen Kommunikation für einen Kollegin bzw. Kollegen, die bzw. der aktiv zur Umsetzung des jüngst verabschiedeten neuen Kodex für elektronische Kommunikation beiträgt, und dadurch an der Umsetzung eines neuen und wichtigen Bestandteils des digitalen Binnenmarktes in Europa mitarbeitet, sowie an der bereits in Angriff genommenen Überprüfung der Roaming-Verordnung.</w:t>
      </w:r>
    </w:p>
    <w:p w:rsidR="001B5584" w:rsidRDefault="001B5584" w:rsidP="001B5584">
      <w:pPr>
        <w:pStyle w:val="NormalWeb"/>
        <w:shd w:val="clear" w:color="auto" w:fill="FFFFFF"/>
        <w:spacing w:before="0" w:beforeAutospacing="0" w:after="0" w:afterAutospacing="0"/>
        <w:ind w:left="426"/>
        <w:jc w:val="both"/>
        <w:rPr>
          <w:sz w:val="22"/>
          <w:szCs w:val="22"/>
          <w:lang w:val="de-DE"/>
        </w:rPr>
      </w:pPr>
      <w:r>
        <w:rPr>
          <w:sz w:val="22"/>
          <w:szCs w:val="22"/>
          <w:lang w:val="de-DE"/>
        </w:rPr>
        <w:lastRenderedPageBreak/>
        <w:t xml:space="preserve">Als Mitglied des Roaming Teams, werden Sie unter der Supervision des </w:t>
      </w:r>
      <w:proofErr w:type="spellStart"/>
      <w:r>
        <w:rPr>
          <w:sz w:val="22"/>
          <w:szCs w:val="22"/>
          <w:lang w:val="de-DE"/>
        </w:rPr>
        <w:t>Sektorleiters</w:t>
      </w:r>
      <w:proofErr w:type="spellEnd"/>
      <w:r>
        <w:rPr>
          <w:sz w:val="22"/>
          <w:szCs w:val="22"/>
          <w:lang w:val="de-DE"/>
        </w:rPr>
        <w:t xml:space="preserve">/Referatsleiters an der Erarbeitung eines auf die kürzlich abgeschlossene Überprüfung nunmehr folgenden Legislativvorschlags mitarbeiten, </w:t>
      </w:r>
      <w:proofErr w:type="spellStart"/>
      <w:r>
        <w:rPr>
          <w:sz w:val="22"/>
          <w:szCs w:val="22"/>
          <w:lang w:val="de-DE"/>
        </w:rPr>
        <w:t>einschliesslich</w:t>
      </w:r>
      <w:proofErr w:type="spellEnd"/>
      <w:r>
        <w:rPr>
          <w:sz w:val="22"/>
          <w:szCs w:val="22"/>
          <w:lang w:val="de-DE"/>
        </w:rPr>
        <w:t xml:space="preserve"> </w:t>
      </w:r>
      <w:proofErr w:type="spellStart"/>
      <w:r>
        <w:rPr>
          <w:sz w:val="22"/>
          <w:szCs w:val="22"/>
          <w:lang w:val="de-DE"/>
        </w:rPr>
        <w:t>Datenanlyse</w:t>
      </w:r>
      <w:proofErr w:type="spellEnd"/>
      <w:r>
        <w:rPr>
          <w:sz w:val="22"/>
          <w:szCs w:val="22"/>
          <w:lang w:val="de-DE"/>
        </w:rPr>
        <w:t>, Folgenabschätzung sowie Überwachung/Überprüfung des Funktionierens des Roaming-Marktes.</w:t>
      </w:r>
    </w:p>
    <w:p w:rsidR="001B5584" w:rsidRDefault="001B5584" w:rsidP="001B5584">
      <w:pPr>
        <w:pStyle w:val="NormalWeb"/>
        <w:shd w:val="clear" w:color="auto" w:fill="FFFFFF"/>
        <w:spacing w:before="0" w:beforeAutospacing="0" w:after="0" w:afterAutospacing="0"/>
        <w:ind w:left="426"/>
        <w:jc w:val="both"/>
        <w:rPr>
          <w:sz w:val="22"/>
          <w:szCs w:val="22"/>
          <w:lang w:val="de-DE"/>
        </w:rPr>
      </w:pPr>
    </w:p>
    <w:p w:rsidR="001B5584" w:rsidRDefault="001B5584" w:rsidP="001B5584">
      <w:pPr>
        <w:pStyle w:val="NormalWeb"/>
        <w:shd w:val="clear" w:color="auto" w:fill="FFFFFF"/>
        <w:spacing w:before="0" w:beforeAutospacing="0" w:after="0" w:afterAutospacing="0"/>
        <w:ind w:left="426"/>
        <w:jc w:val="both"/>
        <w:rPr>
          <w:sz w:val="22"/>
          <w:szCs w:val="22"/>
          <w:lang w:val="de-DE"/>
        </w:rPr>
      </w:pPr>
      <w:r>
        <w:rPr>
          <w:sz w:val="22"/>
          <w:szCs w:val="22"/>
          <w:lang w:val="de-DE"/>
        </w:rPr>
        <w:t xml:space="preserve">Als Länderreferentin bzw. Länderreferent für einen oder mehrere Mitgliedstaaten werden Sie sich mit allen wichtigen Interessensvertretern austauschen und die Anlaufstelle innerhalb der Generaldirektion für das </w:t>
      </w:r>
      <w:proofErr w:type="spellStart"/>
      <w:r>
        <w:rPr>
          <w:sz w:val="22"/>
          <w:szCs w:val="22"/>
          <w:lang w:val="de-DE"/>
        </w:rPr>
        <w:t>Konnektivitätskapitel</w:t>
      </w:r>
      <w:proofErr w:type="spellEnd"/>
      <w:r>
        <w:rPr>
          <w:sz w:val="22"/>
          <w:szCs w:val="22"/>
          <w:lang w:val="de-DE"/>
        </w:rPr>
        <w:t xml:space="preserve"> des jährlichen DESI-Berichts der Kommission sein. Die Aufgaben umfassen den Kontakt mit den Mitgliedstaaten, Regulierungsbehörden, Marktteilnehmern, Nutzern und Industrieverbänden und bieten die Gelegenheit für Dienstreisen, um die Kommission bei jährlichen Informationsbesuchen und in verschiedenen anderen Foren zu vertreten.</w:t>
      </w:r>
    </w:p>
    <w:p w:rsidR="001B5584" w:rsidRDefault="001B5584" w:rsidP="001B5584">
      <w:pPr>
        <w:pStyle w:val="NormalWeb"/>
        <w:shd w:val="clear" w:color="auto" w:fill="FFFFFF"/>
        <w:spacing w:before="0" w:beforeAutospacing="0" w:after="0" w:afterAutospacing="0"/>
        <w:ind w:left="426"/>
        <w:jc w:val="both"/>
        <w:rPr>
          <w:sz w:val="22"/>
          <w:szCs w:val="22"/>
          <w:lang w:val="de-DE"/>
        </w:rPr>
      </w:pPr>
    </w:p>
    <w:p w:rsidR="001B5584" w:rsidRDefault="001B5584" w:rsidP="001B5584">
      <w:pPr>
        <w:pStyle w:val="NormalWeb"/>
        <w:shd w:val="clear" w:color="auto" w:fill="FFFFFF"/>
        <w:spacing w:before="0" w:beforeAutospacing="0" w:after="0" w:afterAutospacing="0"/>
        <w:ind w:left="426"/>
        <w:jc w:val="both"/>
        <w:rPr>
          <w:sz w:val="22"/>
          <w:szCs w:val="22"/>
          <w:lang w:val="de-DE"/>
        </w:rPr>
      </w:pPr>
      <w:r>
        <w:rPr>
          <w:sz w:val="22"/>
          <w:szCs w:val="22"/>
          <w:lang w:val="de-DE"/>
        </w:rPr>
        <w:t>Sie werden die regulatorischen und Markt-Entwicklungen in den jeweiligen Ländern beobachten, Länderkapitel als Teil des DESI-Berichts entwerfen, die Umsetzung des EU-Regulierungsrahmens analysieren und hierzu Bericht erstatten, Vertragsverletzungsverfahren vorbereiten oder soweit erforderlich zur Interpretation von EU-Recht bei der Beantwortung von Vorabentscheidungsersuchen, die von nationalen Gerichten an den Europäischen Gerichtshof gerichtet werden, beitragen. Die Themengebiete, die Sie verfolgen werden, umfassen unter anderem die Umsetzung von Vorschriften zur Netzneutralität, das Roaming sowie die einheitliche europäische Notrufnummer 112.</w:t>
      </w:r>
    </w:p>
    <w:p w:rsidR="001B5584" w:rsidRDefault="001B5584" w:rsidP="001B5584">
      <w:pPr>
        <w:pStyle w:val="NormalWeb"/>
        <w:shd w:val="clear" w:color="auto" w:fill="FFFFFF"/>
        <w:spacing w:before="0" w:beforeAutospacing="0" w:after="0" w:afterAutospacing="0"/>
        <w:ind w:left="426"/>
        <w:jc w:val="both"/>
        <w:rPr>
          <w:sz w:val="22"/>
          <w:szCs w:val="22"/>
          <w:lang w:val="de-DE"/>
        </w:rPr>
      </w:pPr>
    </w:p>
    <w:p w:rsidR="001B5584" w:rsidRDefault="001B5584" w:rsidP="001B5584">
      <w:pPr>
        <w:pStyle w:val="NormalWeb"/>
        <w:shd w:val="clear" w:color="auto" w:fill="FFFFFF"/>
        <w:spacing w:before="0" w:beforeAutospacing="0" w:after="0" w:afterAutospacing="0"/>
        <w:ind w:left="426"/>
        <w:jc w:val="both"/>
        <w:rPr>
          <w:sz w:val="22"/>
          <w:szCs w:val="22"/>
          <w:lang w:val="de-DE"/>
        </w:rPr>
      </w:pPr>
      <w:r>
        <w:rPr>
          <w:sz w:val="22"/>
          <w:szCs w:val="22"/>
          <w:lang w:val="de-DE"/>
        </w:rPr>
        <w:t xml:space="preserve">Die Arbeit in CNECT.B.2 ist sehr dynamisch und keine Routine, da die Aufgaben des Referats weitreichend sind: Beobachtung der Entwicklungen des Telekommunikationsmarkts in einzelnen Mitgliedstaaten und EU-weit, Information des Managements zu neuen und aktuellen Fragen, Beurteilung der Auswirkungen von EU-Gesetzgebung auf die Märkte der elektronischen Kommunikation, Berichterstattung zur Umsetzung von EU-Recht in den Mitgliedstaaten, Durchführung von Vertragsverletzungsverfahren und Unterstützung der Tätigkeit des Kommunikationsausschusses und von GEREK. </w:t>
      </w:r>
    </w:p>
    <w:p w:rsidR="001B5584" w:rsidRDefault="001B5584" w:rsidP="001B5584">
      <w:pPr>
        <w:pStyle w:val="NormalWeb"/>
        <w:shd w:val="clear" w:color="auto" w:fill="FFFFFF"/>
        <w:spacing w:before="0" w:beforeAutospacing="0" w:after="0" w:afterAutospacing="0"/>
        <w:ind w:left="426"/>
        <w:jc w:val="both"/>
        <w:rPr>
          <w:sz w:val="22"/>
          <w:szCs w:val="22"/>
          <w:lang w:val="de-DE"/>
        </w:rPr>
      </w:pPr>
    </w:p>
    <w:p w:rsidR="001B5584" w:rsidRDefault="001B5584" w:rsidP="001B5584">
      <w:pPr>
        <w:pStyle w:val="NormalWeb"/>
        <w:shd w:val="clear" w:color="auto" w:fill="FFFFFF"/>
        <w:spacing w:before="0" w:beforeAutospacing="0" w:after="0" w:afterAutospacing="0"/>
        <w:ind w:left="426"/>
        <w:jc w:val="both"/>
        <w:rPr>
          <w:sz w:val="22"/>
          <w:szCs w:val="22"/>
          <w:lang w:val="de-DE"/>
        </w:rPr>
      </w:pPr>
      <w:r>
        <w:rPr>
          <w:sz w:val="22"/>
          <w:szCs w:val="22"/>
          <w:lang w:val="de-DE"/>
        </w:rPr>
        <w:t>Die Pflege von Kontakten mit Betreibern, Regierungsbehörden und anderen Interessensvertretern ist wichtig.</w:t>
      </w:r>
    </w:p>
    <w:p w:rsidR="001B5584" w:rsidRDefault="001B5584" w:rsidP="001B5584">
      <w:pPr>
        <w:pStyle w:val="NormalWeb"/>
        <w:shd w:val="clear" w:color="auto" w:fill="FFFFFF"/>
        <w:spacing w:before="0" w:beforeAutospacing="0" w:after="0" w:afterAutospacing="0"/>
        <w:ind w:left="426"/>
        <w:jc w:val="both"/>
        <w:rPr>
          <w:sz w:val="22"/>
          <w:szCs w:val="22"/>
          <w:lang w:val="de-DE"/>
        </w:rPr>
      </w:pPr>
      <w:r>
        <w:rPr>
          <w:sz w:val="22"/>
          <w:szCs w:val="22"/>
          <w:lang w:val="de-DE"/>
        </w:rPr>
        <w:t>Wir bemühen uns um einen gut aufgeteilten und handhabbaren Arbeitsanfall, gleichwohl sollten Sie in der Lage sein, unter Druck und innerhalb enger Fristsetzungen zu arbeiten.</w:t>
      </w:r>
    </w:p>
    <w:p w:rsidR="001B5584" w:rsidRDefault="001B5584" w:rsidP="001B5584">
      <w:pPr>
        <w:pStyle w:val="NormalWeb"/>
        <w:shd w:val="clear" w:color="auto" w:fill="FFFFFF"/>
        <w:spacing w:before="0" w:beforeAutospacing="0" w:after="0" w:afterAutospacing="0"/>
        <w:ind w:left="426"/>
        <w:jc w:val="both"/>
        <w:rPr>
          <w:sz w:val="22"/>
          <w:szCs w:val="22"/>
          <w:lang w:val="de-DE"/>
        </w:rPr>
      </w:pPr>
      <w:r>
        <w:rPr>
          <w:sz w:val="22"/>
          <w:szCs w:val="22"/>
          <w:lang w:val="de-DE"/>
        </w:rPr>
        <w:t xml:space="preserve">Die Kandidatin bzw. der Kandidat </w:t>
      </w:r>
      <w:proofErr w:type="gramStart"/>
      <w:r>
        <w:rPr>
          <w:sz w:val="22"/>
          <w:szCs w:val="22"/>
          <w:lang w:val="de-DE"/>
        </w:rPr>
        <w:t>sollte</w:t>
      </w:r>
      <w:proofErr w:type="gramEnd"/>
      <w:r>
        <w:rPr>
          <w:sz w:val="22"/>
          <w:szCs w:val="22"/>
          <w:lang w:val="de-DE"/>
        </w:rPr>
        <w:t xml:space="preserve"> über die Fähigkeit verfügen, sich neue Sachbereiche schnell zu erarbeiten, sobald dies notwendig ist. </w:t>
      </w:r>
    </w:p>
    <w:p w:rsidR="001B5584" w:rsidRDefault="001B5584" w:rsidP="001B5584">
      <w:pPr>
        <w:pStyle w:val="NormalWeb"/>
        <w:shd w:val="clear" w:color="auto" w:fill="FFFFFF"/>
        <w:spacing w:before="0" w:beforeAutospacing="0" w:after="0" w:afterAutospacing="0"/>
        <w:ind w:left="426"/>
        <w:jc w:val="both"/>
        <w:rPr>
          <w:sz w:val="22"/>
          <w:szCs w:val="22"/>
          <w:lang w:val="de-DE"/>
        </w:rPr>
      </w:pPr>
      <w:r>
        <w:rPr>
          <w:sz w:val="22"/>
          <w:szCs w:val="22"/>
          <w:lang w:val="de-DE"/>
        </w:rPr>
        <w:t>Die Tätigkeit erfordert exzellente organisatorische und kommunikative Fähigkeit und ein hohes Maß an Flexibilität.</w:t>
      </w:r>
    </w:p>
    <w:p w:rsidR="001B5584" w:rsidRDefault="001B5584" w:rsidP="001B5584">
      <w:pPr>
        <w:pStyle w:val="NormalWeb"/>
        <w:shd w:val="clear" w:color="auto" w:fill="FFFFFF"/>
        <w:spacing w:before="0" w:beforeAutospacing="0" w:after="0" w:afterAutospacing="0"/>
        <w:ind w:left="426"/>
        <w:jc w:val="both"/>
        <w:rPr>
          <w:sz w:val="22"/>
          <w:szCs w:val="22"/>
          <w:lang w:val="de-DE"/>
        </w:rPr>
      </w:pPr>
    </w:p>
    <w:p w:rsidR="001B5584" w:rsidRDefault="001B5584" w:rsidP="001B5584">
      <w:pPr>
        <w:pStyle w:val="NormalWeb"/>
        <w:shd w:val="clear" w:color="auto" w:fill="FFFFFF"/>
        <w:spacing w:before="0" w:beforeAutospacing="0" w:after="0" w:afterAutospacing="0"/>
        <w:ind w:left="426"/>
        <w:jc w:val="both"/>
        <w:rPr>
          <w:sz w:val="22"/>
          <w:szCs w:val="22"/>
          <w:lang w:val="de-DE"/>
        </w:rPr>
      </w:pPr>
      <w:r>
        <w:rPr>
          <w:sz w:val="22"/>
          <w:szCs w:val="22"/>
          <w:lang w:val="de-DE"/>
        </w:rPr>
        <w:t xml:space="preserve">Wir erwarten von der Kandidatin bzw. von dem Kandidaten, dass sie bzw. er ein/e erprobte/r </w:t>
      </w:r>
      <w:proofErr w:type="spellStart"/>
      <w:r>
        <w:rPr>
          <w:sz w:val="22"/>
          <w:szCs w:val="22"/>
          <w:lang w:val="de-DE"/>
        </w:rPr>
        <w:t>Teamplayerin</w:t>
      </w:r>
      <w:proofErr w:type="spellEnd"/>
      <w:r>
        <w:rPr>
          <w:sz w:val="22"/>
          <w:szCs w:val="22"/>
          <w:lang w:val="de-DE"/>
        </w:rPr>
        <w:t xml:space="preserve"> </w:t>
      </w:r>
      <w:proofErr w:type="spellStart"/>
      <w:proofErr w:type="gramStart"/>
      <w:r>
        <w:rPr>
          <w:sz w:val="22"/>
          <w:szCs w:val="22"/>
          <w:lang w:val="de-DE"/>
        </w:rPr>
        <w:t>bzw.Teamplayer</w:t>
      </w:r>
      <w:proofErr w:type="spellEnd"/>
      <w:proofErr w:type="gramEnd"/>
      <w:r>
        <w:rPr>
          <w:sz w:val="22"/>
          <w:szCs w:val="22"/>
          <w:lang w:val="de-DE"/>
        </w:rPr>
        <w:t xml:space="preserve"> ist, Initiative ergreift und fähig ist, selbständig zu arbeiten, sobald dies notwendig ist. </w:t>
      </w:r>
    </w:p>
    <w:p w:rsidR="001B5584" w:rsidRDefault="001B5584" w:rsidP="001B5584">
      <w:pPr>
        <w:pStyle w:val="NormalWeb"/>
        <w:shd w:val="clear" w:color="auto" w:fill="FFFFFF"/>
        <w:spacing w:before="0" w:beforeAutospacing="0" w:after="0" w:afterAutospacing="0"/>
        <w:ind w:left="426"/>
        <w:jc w:val="both"/>
        <w:rPr>
          <w:sz w:val="22"/>
          <w:szCs w:val="22"/>
          <w:lang w:val="de-DE"/>
        </w:rPr>
      </w:pPr>
    </w:p>
    <w:p w:rsidR="001B5584" w:rsidRPr="00950BA5" w:rsidRDefault="001B5584" w:rsidP="001B5584">
      <w:pPr>
        <w:pStyle w:val="NormalWeb"/>
        <w:shd w:val="clear" w:color="auto" w:fill="FFFFFF"/>
        <w:spacing w:before="0" w:beforeAutospacing="0" w:after="0" w:afterAutospacing="0"/>
        <w:ind w:left="426"/>
        <w:jc w:val="both"/>
        <w:rPr>
          <w:rFonts w:eastAsia="Times New Roman"/>
          <w:lang w:val="de-DE"/>
        </w:rPr>
      </w:pPr>
      <w:r>
        <w:rPr>
          <w:sz w:val="22"/>
          <w:szCs w:val="22"/>
          <w:lang w:val="de-DE"/>
        </w:rPr>
        <w:t>Die GD CNECT verfolgt eine Politik der Chancengleichheit und Diversität. Innerhalb der Kommission steht die GD CNECT in vorderster Linie was das Wohlbefinden der Beschäftigten angeht, mit verschiedenen Aktivitäten für Gesundheitsförderung, Stressverarbeitung und interpersonelle Beziehungen. Darüber hinaus legt unsere GD besonderen Wert auf flexible Arbeitsbedingungen und eine gute Vereinbarkeit von Berufs- und Privatleben ihres Personals. Darüber hinaus haben wir eine Vielzahl von Maßnahmen zur Unterstützung von Neuankömmlingen und zur Gewährleistung ihrer reibungslosen Integration entwickelt.</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1B5584" w:rsidRPr="001B5584">
        <w:rPr>
          <w:rFonts w:ascii="Times New Roman" w:eastAsia="Times New Roman" w:hAnsi="Times New Roman" w:cs="Times New Roman"/>
          <w:lang w:val="de-DE" w:eastAsia="en-GB"/>
        </w:rPr>
        <w:t>Elektronische Kommunikation</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B5584" w:rsidRPr="001B5584" w:rsidRDefault="001B5584" w:rsidP="001B5584">
      <w:pPr>
        <w:tabs>
          <w:tab w:val="left" w:pos="709"/>
        </w:tabs>
        <w:spacing w:after="0" w:line="240" w:lineRule="auto"/>
        <w:ind w:left="709" w:right="60"/>
        <w:jc w:val="both"/>
        <w:rPr>
          <w:rFonts w:ascii="Times New Roman" w:eastAsia="Times New Roman" w:hAnsi="Times New Roman" w:cs="Times New Roman"/>
          <w:lang w:val="de-DE" w:eastAsia="en-GB"/>
        </w:rPr>
      </w:pPr>
      <w:r w:rsidRPr="001B5584">
        <w:rPr>
          <w:rFonts w:ascii="Times New Roman" w:eastAsia="Times New Roman" w:hAnsi="Times New Roman" w:cs="Times New Roman"/>
          <w:lang w:val="de-DE" w:eastAsia="en-GB"/>
        </w:rPr>
        <w:t>Drei bis vier Jahre Berufserfahrung, vorzugsweise im juristischen und / oder wirtschaftlichen Bereich, sowie gute Analyse- und Entwurfsfähigkeiten und fundierte Kenntnisse des Unionsrechts.</w:t>
      </w:r>
    </w:p>
    <w:p w:rsidR="001B5584" w:rsidRPr="001B5584" w:rsidRDefault="001B5584" w:rsidP="001B5584">
      <w:pPr>
        <w:tabs>
          <w:tab w:val="left" w:pos="709"/>
        </w:tabs>
        <w:spacing w:after="0" w:line="240" w:lineRule="auto"/>
        <w:ind w:left="709" w:right="60"/>
        <w:jc w:val="both"/>
        <w:rPr>
          <w:rFonts w:ascii="Times New Roman" w:eastAsia="Times New Roman" w:hAnsi="Times New Roman" w:cs="Times New Roman"/>
          <w:lang w:val="de-DE" w:eastAsia="en-GB"/>
        </w:rPr>
      </w:pPr>
      <w:r w:rsidRPr="001B5584">
        <w:rPr>
          <w:rFonts w:ascii="Times New Roman" w:eastAsia="Times New Roman" w:hAnsi="Times New Roman" w:cs="Times New Roman"/>
          <w:lang w:val="de-DE" w:eastAsia="en-GB"/>
        </w:rPr>
        <w:t>Die Kenntnis des rechtlichen Rahmens für die elektronische Kommunikation wird von Vorteil sein.</w:t>
      </w:r>
    </w:p>
    <w:p w:rsidR="001B5584" w:rsidRDefault="001B5584" w:rsidP="001B5584">
      <w:pPr>
        <w:tabs>
          <w:tab w:val="left" w:pos="709"/>
        </w:tabs>
        <w:spacing w:after="0" w:line="240" w:lineRule="auto"/>
        <w:ind w:left="709" w:right="60"/>
        <w:jc w:val="both"/>
        <w:rPr>
          <w:rFonts w:ascii="Times New Roman" w:eastAsia="Times New Roman" w:hAnsi="Times New Roman" w:cs="Times New Roman"/>
          <w:lang w:val="de-DE" w:eastAsia="en-GB"/>
        </w:rPr>
      </w:pPr>
      <w:r w:rsidRPr="001B5584">
        <w:rPr>
          <w:rFonts w:ascii="Times New Roman" w:eastAsia="Times New Roman" w:hAnsi="Times New Roman" w:cs="Times New Roman"/>
          <w:lang w:val="de-DE" w:eastAsia="en-GB"/>
        </w:rPr>
        <w:t>Gute Computerkenntnisse.</w:t>
      </w:r>
    </w:p>
    <w:p w:rsidR="001B5584" w:rsidRPr="005612EC" w:rsidRDefault="001B5584"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bookmarkStart w:id="0" w:name="_GoBack"/>
      <w:bookmarkEnd w:id="0"/>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1B5584"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1B5584">
        <w:rPr>
          <w:rFonts w:ascii="Times New Roman" w:eastAsia="Times New Roman" w:hAnsi="Times New Roman" w:cs="Times New Roman"/>
          <w:lang w:val="de-DE" w:eastAsia="en-GB"/>
        </w:rPr>
        <w:t xml:space="preserve">Die Tätigkeit erfordert sehr gute englische Sprachkenntnisse, sowohl mündlich als auch schriftlich, und die Fähigkeit, in französischer Sprache zu arbeiten; Kenntnisse anderer Sprachen sind von Vorteil. </w:t>
      </w:r>
    </w:p>
    <w:p w:rsidR="00C324FA" w:rsidRPr="005612EC"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Pr="00950BA5"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B558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C5D09"/>
    <w:multiLevelType w:val="hybridMultilevel"/>
    <w:tmpl w:val="F93E6B4A"/>
    <w:lvl w:ilvl="0" w:tplc="6F1AC7D6">
      <w:start w:val="3"/>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45BD3612"/>
    <w:multiLevelType w:val="hybridMultilevel"/>
    <w:tmpl w:val="309C43CC"/>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5EC6121C"/>
    <w:multiLevelType w:val="hybridMultilevel"/>
    <w:tmpl w:val="E4A88848"/>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3"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5"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6C5B25A1"/>
    <w:multiLevelType w:val="hybridMultilevel"/>
    <w:tmpl w:val="AE966350"/>
    <w:lvl w:ilvl="0" w:tplc="412C93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2"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3"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4"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5"/>
  </w:num>
  <w:num w:numId="2">
    <w:abstractNumId w:val="19"/>
  </w:num>
  <w:num w:numId="3">
    <w:abstractNumId w:val="10"/>
  </w:num>
  <w:num w:numId="4">
    <w:abstractNumId w:val="5"/>
  </w:num>
  <w:num w:numId="5">
    <w:abstractNumId w:val="2"/>
  </w:num>
  <w:num w:numId="6">
    <w:abstractNumId w:val="26"/>
  </w:num>
  <w:num w:numId="7">
    <w:abstractNumId w:val="4"/>
  </w:num>
  <w:num w:numId="8">
    <w:abstractNumId w:val="11"/>
  </w:num>
  <w:num w:numId="9">
    <w:abstractNumId w:val="13"/>
  </w:num>
  <w:num w:numId="10">
    <w:abstractNumId w:val="27"/>
  </w:num>
  <w:num w:numId="11">
    <w:abstractNumId w:val="16"/>
  </w:num>
  <w:num w:numId="12">
    <w:abstractNumId w:val="7"/>
  </w:num>
  <w:num w:numId="13">
    <w:abstractNumId w:val="15"/>
  </w:num>
  <w:num w:numId="14">
    <w:abstractNumId w:val="18"/>
  </w:num>
  <w:num w:numId="15">
    <w:abstractNumId w:val="21"/>
  </w:num>
  <w:num w:numId="16">
    <w:abstractNumId w:val="33"/>
  </w:num>
  <w:num w:numId="17">
    <w:abstractNumId w:val="24"/>
  </w:num>
  <w:num w:numId="18">
    <w:abstractNumId w:val="35"/>
  </w:num>
  <w:num w:numId="19">
    <w:abstractNumId w:val="32"/>
  </w:num>
  <w:num w:numId="20">
    <w:abstractNumId w:val="1"/>
  </w:num>
  <w:num w:numId="21">
    <w:abstractNumId w:val="12"/>
  </w:num>
  <w:num w:numId="22">
    <w:abstractNumId w:val="20"/>
  </w:num>
  <w:num w:numId="23">
    <w:abstractNumId w:val="6"/>
  </w:num>
  <w:num w:numId="24">
    <w:abstractNumId w:val="0"/>
  </w:num>
  <w:num w:numId="25">
    <w:abstractNumId w:val="8"/>
  </w:num>
  <w:num w:numId="26">
    <w:abstractNumId w:val="23"/>
  </w:num>
  <w:num w:numId="27">
    <w:abstractNumId w:val="29"/>
  </w:num>
  <w:num w:numId="28">
    <w:abstractNumId w:val="30"/>
  </w:num>
  <w:num w:numId="29">
    <w:abstractNumId w:val="34"/>
  </w:num>
  <w:num w:numId="30">
    <w:abstractNumId w:val="14"/>
  </w:num>
  <w:num w:numId="31">
    <w:abstractNumId w:val="3"/>
  </w:num>
  <w:num w:numId="32">
    <w:abstractNumId w:val="31"/>
  </w:num>
  <w:num w:numId="33">
    <w:abstractNumId w:val="17"/>
  </w:num>
  <w:num w:numId="34">
    <w:abstractNumId w:val="22"/>
  </w:num>
  <w:num w:numId="35">
    <w:abstractNumId w:val="28"/>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1B5584"/>
    <w:rsid w:val="003663D4"/>
    <w:rsid w:val="003D16CB"/>
    <w:rsid w:val="00534042"/>
    <w:rsid w:val="005612EC"/>
    <w:rsid w:val="00707A59"/>
    <w:rsid w:val="00725EE5"/>
    <w:rsid w:val="007D481B"/>
    <w:rsid w:val="0090381E"/>
    <w:rsid w:val="00950BA5"/>
    <w:rsid w:val="00A62820"/>
    <w:rsid w:val="00A8480C"/>
    <w:rsid w:val="00BB2535"/>
    <w:rsid w:val="00BC14A5"/>
    <w:rsid w:val="00C324FA"/>
    <w:rsid w:val="00C86364"/>
    <w:rsid w:val="00C9139B"/>
    <w:rsid w:val="00CF677F"/>
    <w:rsid w:val="00DB178B"/>
    <w:rsid w:val="00DB258C"/>
    <w:rsid w:val="00DC0318"/>
    <w:rsid w:val="00E05B30"/>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0AD7"/>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 w:type="paragraph" w:styleId="NormalWeb">
    <w:name w:val="Normal (Web)"/>
    <w:basedOn w:val="Normal"/>
    <w:uiPriority w:val="99"/>
    <w:unhideWhenUsed/>
    <w:rsid w:val="001B5584"/>
    <w:pPr>
      <w:spacing w:before="100" w:beforeAutospacing="1" w:after="100" w:afterAutospacing="1" w:line="240" w:lineRule="auto"/>
    </w:pPr>
    <w:rPr>
      <w:rFonts w:ascii="Times New Roman" w:eastAsia="Calibri" w:hAnsi="Times New Roman" w:cs="Times New Roman"/>
      <w:sz w:val="24"/>
      <w:szCs w:val="24"/>
      <w:lang w:val="en-GB" w:eastAsia="en-GB"/>
    </w:rPr>
  </w:style>
  <w:style w:type="character" w:styleId="Strong">
    <w:name w:val="Strong"/>
    <w:basedOn w:val="DefaultParagraphFont"/>
    <w:uiPriority w:val="22"/>
    <w:qFormat/>
    <w:rsid w:val="001B55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sa.Tera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1644</Words>
  <Characters>11790</Characters>
  <Application>Microsoft Office Word</Application>
  <DocSecurity>0</DocSecurity>
  <Lines>222</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2020-03-11T14:13:00Z</dcterms:created>
  <dcterms:modified xsi:type="dcterms:W3CDTF">2020-03-11T14:13:00Z</dcterms:modified>
</cp:coreProperties>
</file>