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68167D"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ESTAT-G-6</w:t>
            </w:r>
          </w:p>
        </w:tc>
      </w:tr>
      <w:tr w:rsidR="00AF7D78" w:rsidRPr="0068167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8167D" w:rsidRPr="009A7B98" w:rsidRDefault="0068167D" w:rsidP="0068167D">
            <w:pPr>
              <w:ind w:right="1317"/>
              <w:jc w:val="both"/>
              <w:rPr>
                <w:rFonts w:ascii="Times New Roman" w:eastAsia="Times New Roman" w:hAnsi="Times New Roman"/>
                <w:b/>
                <w:lang w:val="de-DE" w:eastAsia="en-GB"/>
              </w:rPr>
            </w:pPr>
            <w:r w:rsidRPr="009A7B98">
              <w:rPr>
                <w:rFonts w:ascii="Times New Roman" w:eastAsia="Times New Roman" w:hAnsi="Times New Roman"/>
                <w:b/>
                <w:lang w:val="de-DE" w:eastAsia="en-GB"/>
              </w:rPr>
              <w:t>Axel BEHRENS</w:t>
            </w:r>
          </w:p>
          <w:p w:rsidR="0068167D" w:rsidRPr="009A7B98" w:rsidRDefault="0068167D" w:rsidP="0068167D">
            <w:pPr>
              <w:ind w:right="1317"/>
              <w:jc w:val="both"/>
              <w:rPr>
                <w:rFonts w:ascii="Times New Roman" w:eastAsia="Times New Roman" w:hAnsi="Times New Roman"/>
                <w:b/>
                <w:lang w:val="de-DE" w:eastAsia="en-GB"/>
              </w:rPr>
            </w:pPr>
            <w:hyperlink r:id="rId8" w:history="1">
              <w:r w:rsidRPr="009A7B98">
                <w:rPr>
                  <w:rStyle w:val="Hyperlink"/>
                  <w:rFonts w:ascii="Times New Roman" w:eastAsia="Times New Roman" w:hAnsi="Times New Roman"/>
                  <w:b/>
                  <w:lang w:val="de-DE" w:eastAsia="en-GB"/>
                </w:rPr>
                <w:t>Axel.Behrens@ec.europa.eu</w:t>
              </w:r>
            </w:hyperlink>
            <w:r w:rsidRPr="009A7B98">
              <w:rPr>
                <w:rFonts w:ascii="Times New Roman" w:eastAsia="Times New Roman" w:hAnsi="Times New Roman"/>
                <w:b/>
                <w:lang w:val="de-DE" w:eastAsia="en-GB"/>
              </w:rPr>
              <w:t xml:space="preserve"> </w:t>
            </w:r>
          </w:p>
          <w:p w:rsidR="0068167D" w:rsidRPr="0068167D" w:rsidRDefault="0068167D" w:rsidP="0068167D">
            <w:pPr>
              <w:ind w:right="1317"/>
              <w:jc w:val="both"/>
              <w:rPr>
                <w:rFonts w:ascii="Times New Roman" w:eastAsia="Times New Roman" w:hAnsi="Times New Roman"/>
                <w:lang w:val="en-US" w:eastAsia="en-GB"/>
              </w:rPr>
            </w:pPr>
            <w:r w:rsidRPr="0068167D">
              <w:rPr>
                <w:rFonts w:ascii="Times New Roman" w:eastAsia="Times New Roman" w:hAnsi="Times New Roman"/>
                <w:b/>
                <w:lang w:val="en-US" w:eastAsia="en-GB"/>
              </w:rPr>
              <w:t>+352 4301 35142</w:t>
            </w:r>
          </w:p>
          <w:p w:rsidR="0068167D" w:rsidRPr="0068167D" w:rsidRDefault="0068167D" w:rsidP="0068167D">
            <w:pPr>
              <w:ind w:right="1317"/>
              <w:jc w:val="both"/>
              <w:rPr>
                <w:rFonts w:ascii="Times New Roman" w:eastAsia="Times New Roman" w:hAnsi="Times New Roman"/>
                <w:b/>
                <w:lang w:val="en-US" w:eastAsia="en-GB"/>
              </w:rPr>
            </w:pPr>
            <w:r w:rsidRPr="0068167D">
              <w:rPr>
                <w:rFonts w:ascii="Times New Roman" w:eastAsia="Times New Roman" w:hAnsi="Times New Roman"/>
                <w:b/>
                <w:lang w:val="en-US" w:eastAsia="en-GB"/>
              </w:rPr>
              <w:t>1</w:t>
            </w:r>
          </w:p>
          <w:p w:rsidR="00AF7D78" w:rsidRPr="00AF7D78" w:rsidRDefault="0068167D" w:rsidP="0068167D">
            <w:pPr>
              <w:ind w:right="1317"/>
              <w:jc w:val="both"/>
              <w:rPr>
                <w:rFonts w:ascii="Times New Roman" w:eastAsia="Times New Roman" w:hAnsi="Times New Roman" w:cs="Times New Roman"/>
                <w:b/>
                <w:lang w:val="en-US" w:eastAsia="en-GB"/>
              </w:rPr>
            </w:pPr>
            <w:r w:rsidRPr="0068167D">
              <w:rPr>
                <w:rFonts w:ascii="Times New Roman" w:eastAsia="Times New Roman" w:hAnsi="Times New Roman"/>
                <w:b/>
                <w:lang w:val="en-US" w:eastAsia="en-GB"/>
              </w:rPr>
              <w:t>2</w:t>
            </w:r>
            <w:r w:rsidRPr="0068167D">
              <w:rPr>
                <w:rFonts w:ascii="Times New Roman" w:eastAsia="Times New Roman" w:hAnsi="Times New Roman"/>
                <w:b/>
                <w:vertAlign w:val="superscript"/>
                <w:lang w:val="en-US" w:eastAsia="en-GB"/>
              </w:rPr>
              <w:t>nd</w:t>
            </w:r>
            <w:r w:rsidRPr="0068167D">
              <w:rPr>
                <w:rFonts w:ascii="Times New Roman" w:eastAsia="Times New Roman" w:hAnsi="Times New Roman"/>
                <w:b/>
                <w:lang w:val="en-US" w:eastAsia="en-GB"/>
              </w:rPr>
              <w:t xml:space="preserve"> quarter</w:t>
            </w:r>
            <w:r w:rsidR="00AF7D78" w:rsidRPr="00AF7D78">
              <w:rPr>
                <w:rFonts w:ascii="Times New Roman" w:eastAsia="Times New Roman" w:hAnsi="Times New Roman" w:cs="Times New Roman"/>
                <w:b/>
                <w:lang w:val="en-US" w:eastAsia="en-GB"/>
              </w:rPr>
              <w:t xml:space="preserve"> 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68167D" w:rsidRPr="0068167D" w:rsidRDefault="0068167D" w:rsidP="0068167D">
            <w:pPr>
              <w:ind w:right="1317"/>
              <w:jc w:val="both"/>
              <w:rPr>
                <w:rFonts w:ascii="Times New Roman" w:eastAsia="Times New Roman" w:hAnsi="Times New Roman"/>
                <w:b/>
                <w:lang w:val="en-US" w:eastAsia="en-GB"/>
              </w:rPr>
            </w:pPr>
            <w:r w:rsidRPr="0068167D">
              <w:rPr>
                <w:rFonts w:ascii="Times New Roman" w:eastAsia="Times New Roman" w:hAnsi="Times New Roman"/>
                <w:b/>
                <w:lang w:val="en-US" w:eastAsia="en-GB"/>
              </w:rPr>
              <w:t>2 years</w:t>
            </w:r>
            <w:r w:rsidRPr="0068167D">
              <w:rPr>
                <w:rFonts w:ascii="Times New Roman" w:eastAsia="Times New Roman" w:hAnsi="Times New Roman"/>
                <w:b/>
                <w:vertAlign w:val="superscript"/>
                <w:lang w:val="en-US" w:eastAsia="en-GB"/>
              </w:rPr>
              <w:t>1</w:t>
            </w:r>
          </w:p>
          <w:p w:rsidR="00AF7D78" w:rsidRPr="00AF7D78" w:rsidRDefault="0068167D" w:rsidP="0068167D">
            <w:pPr>
              <w:rPr>
                <w:rFonts w:ascii="Times New Roman" w:eastAsia="Times New Roman" w:hAnsi="Times New Roman" w:cs="Times New Roman"/>
                <w:sz w:val="24"/>
                <w:szCs w:val="20"/>
                <w:lang w:val="en-US" w:eastAsia="en-GB"/>
              </w:rPr>
            </w:pPr>
            <w:r w:rsidRPr="00FC590A">
              <w:rPr>
                <w:rFonts w:ascii="Times New Roman" w:eastAsia="Times New Roman" w:hAnsi="Times New Roman"/>
                <w:b/>
                <w:lang w:eastAsia="en-GB"/>
              </w:rPr>
              <w:sym w:font="Wingdings 2" w:char="F0A3"/>
            </w:r>
            <w:r w:rsidRPr="00FC590A">
              <w:rPr>
                <w:rFonts w:ascii="Times New Roman" w:eastAsia="Times New Roman" w:hAnsi="Times New Roman"/>
                <w:b/>
                <w:lang w:val="en-US" w:eastAsia="en-GB"/>
              </w:rPr>
              <w:t xml:space="preserve"> Brussels</w:t>
            </w:r>
            <w:r>
              <w:rPr>
                <w:rFonts w:ascii="Times New Roman" w:eastAsia="Times New Roman" w:hAnsi="Times New Roman"/>
                <w:b/>
                <w:lang w:val="en-US" w:eastAsia="en-GB"/>
              </w:rPr>
              <w:t xml:space="preserve">      </w:t>
            </w:r>
            <w:r w:rsidRPr="00FC590A">
              <w:rPr>
                <w:rFonts w:ascii="Times New Roman" w:eastAsia="Times New Roman" w:hAnsi="Times New Roman"/>
                <w:b/>
                <w:lang w:val="en-US" w:eastAsia="en-GB"/>
              </w:rPr>
              <w:t xml:space="preserve"> </w:t>
            </w:r>
            <w:r>
              <w:rPr>
                <w:rFonts w:ascii="Times New Roman" w:eastAsia="Times New Roman" w:hAnsi="Times New Roman"/>
                <w:b/>
                <w:lang w:eastAsia="en-GB"/>
              </w:rPr>
              <w:sym w:font="Wingdings 2" w:char="F0A2"/>
            </w:r>
            <w:r>
              <w:rPr>
                <w:rFonts w:ascii="Times New Roman" w:eastAsia="Times New Roman" w:hAnsi="Times New Roman"/>
                <w:b/>
                <w:lang w:val="en-US" w:eastAsia="en-GB"/>
              </w:rPr>
              <w:t xml:space="preserve"> Luxembourg</w:t>
            </w:r>
            <w:r w:rsidRPr="00AF7D78">
              <w:rPr>
                <w:rFonts w:ascii="Times New Roman" w:eastAsia="MS Minngs" w:hAnsi="Times New Roman" w:cs="Times New Roman"/>
                <w:bCs/>
                <w:lang w:val="fr-FR" w:eastAsia="en-GB"/>
              </w:rPr>
              <w:t xml:space="preserve"> </w:t>
            </w:r>
            <w:r>
              <w:rPr>
                <w:rFonts w:ascii="Times New Roman" w:eastAsia="MS Minngs" w:hAnsi="Times New Roman" w:cs="Times New Roman"/>
                <w:bCs/>
                <w:lang w:val="fr-FR" w:eastAsia="en-GB"/>
              </w:rPr>
              <w:t xml:space="preserve">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8167D" w:rsidP="00AF7D78">
            <w:pPr>
              <w:rPr>
                <w:rFonts w:ascii="Times New Roman" w:eastAsia="Times New Roman" w:hAnsi="Times New Roman" w:cs="Times New Roman"/>
                <w:sz w:val="24"/>
                <w:szCs w:val="20"/>
                <w:lang w:val="en-US" w:eastAsia="en-GB"/>
              </w:rPr>
            </w:pPr>
            <w:r>
              <w:rPr>
                <w:rFonts w:ascii="Times New Roman" w:eastAsia="Times New Roman" w:hAnsi="Times New Roman"/>
                <w:b/>
                <w:lang w:eastAsia="en-GB"/>
              </w:rPr>
              <w:sym w:font="Wingdings 2" w:char="F0A2"/>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8167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68167D" w:rsidRPr="0068167D" w:rsidRDefault="0068167D" w:rsidP="0068167D">
      <w:pPr>
        <w:spacing w:after="0" w:line="240" w:lineRule="auto"/>
        <w:ind w:left="426"/>
        <w:jc w:val="both"/>
        <w:rPr>
          <w:rFonts w:ascii="Times New Roman" w:eastAsia="Times New Roman" w:hAnsi="Times New Roman" w:cs="Times New Roman"/>
          <w:lang w:val="en-US" w:eastAsia="en-GB"/>
        </w:rPr>
      </w:pPr>
      <w:r w:rsidRPr="0068167D">
        <w:rPr>
          <w:rFonts w:ascii="Times New Roman" w:eastAsia="Times New Roman" w:hAnsi="Times New Roman" w:cs="Times New Roman"/>
          <w:lang w:val="en-US" w:eastAsia="en-GB"/>
        </w:rPr>
        <w:t xml:space="preserve">The aim of Eurostat’s unit G6 ‘Trade in services; </w:t>
      </w:r>
      <w:proofErr w:type="spellStart"/>
      <w:r w:rsidRPr="0068167D">
        <w:rPr>
          <w:rFonts w:ascii="Times New Roman" w:eastAsia="Times New Roman" w:hAnsi="Times New Roman" w:cs="Times New Roman"/>
          <w:lang w:val="en-US" w:eastAsia="en-GB"/>
        </w:rPr>
        <w:t>Globalisation</w:t>
      </w:r>
      <w:proofErr w:type="spellEnd"/>
      <w:r w:rsidRPr="0068167D">
        <w:rPr>
          <w:rFonts w:ascii="Times New Roman" w:eastAsia="Times New Roman" w:hAnsi="Times New Roman" w:cs="Times New Roman"/>
          <w:lang w:val="en-US" w:eastAsia="en-GB"/>
        </w:rPr>
        <w:t xml:space="preserve">’ is to provide the Commission and other users with high quality statistical information and analyses on the international trade in services (ITSS), foreign direct investment (FDI), foreign affiliates statistics (FATS) and global value chains. </w:t>
      </w:r>
    </w:p>
    <w:p w:rsidR="0068167D" w:rsidRPr="0068167D" w:rsidRDefault="0068167D" w:rsidP="0068167D">
      <w:pPr>
        <w:spacing w:after="0" w:line="240" w:lineRule="auto"/>
        <w:ind w:left="426"/>
        <w:jc w:val="both"/>
        <w:rPr>
          <w:rFonts w:ascii="Times New Roman" w:eastAsia="Times New Roman" w:hAnsi="Times New Roman" w:cs="Times New Roman"/>
          <w:lang w:val="en-US" w:eastAsia="en-GB"/>
        </w:rPr>
      </w:pPr>
      <w:r w:rsidRPr="0068167D">
        <w:rPr>
          <w:rFonts w:ascii="Times New Roman" w:eastAsia="Times New Roman" w:hAnsi="Times New Roman" w:cs="Times New Roman"/>
          <w:lang w:val="en-US" w:eastAsia="en-GB"/>
        </w:rPr>
        <w:tab/>
      </w:r>
    </w:p>
    <w:p w:rsidR="0068167D" w:rsidRPr="0068167D" w:rsidRDefault="0068167D" w:rsidP="0068167D">
      <w:pPr>
        <w:spacing w:after="0" w:line="240" w:lineRule="auto"/>
        <w:ind w:left="426"/>
        <w:jc w:val="both"/>
        <w:rPr>
          <w:rFonts w:ascii="Times New Roman" w:eastAsia="Times New Roman" w:hAnsi="Times New Roman" w:cs="Times New Roman"/>
          <w:lang w:val="en-US" w:eastAsia="en-GB"/>
        </w:rPr>
      </w:pPr>
      <w:r w:rsidRPr="0068167D">
        <w:rPr>
          <w:rFonts w:ascii="Times New Roman" w:eastAsia="Times New Roman" w:hAnsi="Times New Roman" w:cs="Times New Roman"/>
          <w:lang w:val="en-US" w:eastAsia="en-GB"/>
        </w:rPr>
        <w:t xml:space="preserve">The expert will be supporting the ITSS team leader in the following projects under International Trade in Services Statistics (ITSS): </w:t>
      </w:r>
    </w:p>
    <w:p w:rsidR="0068167D" w:rsidRPr="0068167D" w:rsidRDefault="0068167D" w:rsidP="0068167D">
      <w:pPr>
        <w:spacing w:after="0" w:line="240" w:lineRule="auto"/>
        <w:ind w:left="426"/>
        <w:jc w:val="both"/>
        <w:rPr>
          <w:rFonts w:ascii="Times New Roman" w:eastAsia="Times New Roman" w:hAnsi="Times New Roman" w:cs="Times New Roman"/>
          <w:lang w:val="en-US" w:eastAsia="en-GB"/>
        </w:rPr>
      </w:pPr>
      <w:r w:rsidRPr="0068167D">
        <w:rPr>
          <w:rFonts w:ascii="Times New Roman" w:eastAsia="Times New Roman" w:hAnsi="Times New Roman" w:cs="Times New Roman"/>
          <w:lang w:val="en-US" w:eastAsia="en-GB"/>
        </w:rPr>
        <w:t xml:space="preserve">- Service Trade by Enterprise Characteristics (STEC) and </w:t>
      </w:r>
    </w:p>
    <w:p w:rsidR="0068167D" w:rsidRPr="0068167D" w:rsidRDefault="0068167D" w:rsidP="0068167D">
      <w:pPr>
        <w:spacing w:after="0" w:line="240" w:lineRule="auto"/>
        <w:ind w:left="426"/>
        <w:jc w:val="both"/>
        <w:rPr>
          <w:rFonts w:ascii="Times New Roman" w:eastAsia="Times New Roman" w:hAnsi="Times New Roman" w:cs="Times New Roman"/>
          <w:lang w:val="en-US" w:eastAsia="en-GB"/>
        </w:rPr>
      </w:pPr>
      <w:r w:rsidRPr="0068167D">
        <w:rPr>
          <w:rFonts w:ascii="Times New Roman" w:eastAsia="Times New Roman" w:hAnsi="Times New Roman" w:cs="Times New Roman"/>
          <w:lang w:val="en-US" w:eastAsia="en-GB"/>
        </w:rPr>
        <w:t>- Service Trade by Mode of Supply (</w:t>
      </w:r>
      <w:proofErr w:type="spellStart"/>
      <w:r w:rsidRPr="0068167D">
        <w:rPr>
          <w:rFonts w:ascii="Times New Roman" w:eastAsia="Times New Roman" w:hAnsi="Times New Roman" w:cs="Times New Roman"/>
          <w:lang w:val="en-US" w:eastAsia="en-GB"/>
        </w:rPr>
        <w:t>MoS</w:t>
      </w:r>
      <w:proofErr w:type="spellEnd"/>
      <w:r w:rsidRPr="0068167D">
        <w:rPr>
          <w:rFonts w:ascii="Times New Roman" w:eastAsia="Times New Roman" w:hAnsi="Times New Roman" w:cs="Times New Roman"/>
          <w:lang w:val="en-US" w:eastAsia="en-GB"/>
        </w:rPr>
        <w:t xml:space="preserve">). </w:t>
      </w:r>
    </w:p>
    <w:p w:rsidR="0068167D" w:rsidRPr="0068167D" w:rsidRDefault="0068167D" w:rsidP="0068167D">
      <w:pPr>
        <w:spacing w:after="0" w:line="240" w:lineRule="auto"/>
        <w:ind w:left="426"/>
        <w:jc w:val="both"/>
        <w:rPr>
          <w:rFonts w:ascii="Times New Roman" w:eastAsia="Times New Roman" w:hAnsi="Times New Roman" w:cs="Times New Roman"/>
          <w:lang w:val="en-US" w:eastAsia="en-GB"/>
        </w:rPr>
      </w:pPr>
    </w:p>
    <w:p w:rsidR="00AF7D78" w:rsidRPr="00AF7D78" w:rsidRDefault="0068167D" w:rsidP="0068167D">
      <w:pPr>
        <w:spacing w:after="0" w:line="240" w:lineRule="auto"/>
        <w:ind w:left="426"/>
        <w:jc w:val="both"/>
        <w:rPr>
          <w:rFonts w:ascii="Times New Roman" w:eastAsia="Times New Roman" w:hAnsi="Times New Roman" w:cs="Times New Roman"/>
          <w:lang w:val="en-US" w:eastAsia="en-GB"/>
        </w:rPr>
      </w:pPr>
      <w:r w:rsidRPr="0068167D">
        <w:rPr>
          <w:rFonts w:ascii="Times New Roman" w:eastAsia="Times New Roman" w:hAnsi="Times New Roman" w:cs="Times New Roman"/>
          <w:lang w:val="en-US" w:eastAsia="en-GB"/>
        </w:rPr>
        <w:t xml:space="preserve">In these projects, the expert’s tasks will be to perform methodological development work, monitor and validate the quality of the collected data and prepare the necessary analyses. The expert shall investigate and test the concepts and methods proposed and develop them further in coordination with Member States and other International </w:t>
      </w:r>
      <w:proofErr w:type="spellStart"/>
      <w:r w:rsidRPr="0068167D">
        <w:rPr>
          <w:rFonts w:ascii="Times New Roman" w:eastAsia="Times New Roman" w:hAnsi="Times New Roman" w:cs="Times New Roman"/>
          <w:lang w:val="en-US" w:eastAsia="en-GB"/>
        </w:rPr>
        <w:t>Organisations</w:t>
      </w:r>
      <w:proofErr w:type="spellEnd"/>
      <w:r w:rsidRPr="0068167D">
        <w:rPr>
          <w:rFonts w:ascii="Times New Roman" w:eastAsia="Times New Roman" w:hAnsi="Times New Roman" w:cs="Times New Roman"/>
          <w:lang w:val="en-US" w:eastAsia="en-GB"/>
        </w:rPr>
        <w:t xml:space="preserve">. The expert will participate and contribute to several international meetings/committees as well </w:t>
      </w:r>
      <w:proofErr w:type="gramStart"/>
      <w:r w:rsidRPr="0068167D">
        <w:rPr>
          <w:rFonts w:ascii="Times New Roman" w:eastAsia="Times New Roman" w:hAnsi="Times New Roman" w:cs="Times New Roman"/>
          <w:lang w:val="en-US" w:eastAsia="en-GB"/>
        </w:rPr>
        <w:t>cross-cutting</w:t>
      </w:r>
      <w:proofErr w:type="gramEnd"/>
      <w:r w:rsidRPr="0068167D">
        <w:rPr>
          <w:rFonts w:ascii="Times New Roman" w:eastAsia="Times New Roman" w:hAnsi="Times New Roman" w:cs="Times New Roman"/>
          <w:lang w:val="en-US" w:eastAsia="en-GB"/>
        </w:rPr>
        <w:t xml:space="preserve"> issues within the Unit and Directorate.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68167D" w:rsidRPr="0068167D">
        <w:rPr>
          <w:rFonts w:ascii="Times New Roman" w:eastAsia="Times New Roman" w:hAnsi="Times New Roman" w:cs="Times New Roman"/>
          <w:lang w:val="en-US" w:eastAsia="en-GB"/>
        </w:rPr>
        <w:t>Economics, Statistics, Mathematics, Engineering or related fields</w:t>
      </w:r>
      <w:r w:rsidR="0045202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45202A" w:rsidRDefault="0068167D"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68167D">
        <w:rPr>
          <w:rFonts w:ascii="Times New Roman" w:eastAsia="Times New Roman" w:hAnsi="Times New Roman" w:cs="Times New Roman"/>
          <w:lang w:val="en-US" w:eastAsia="en-GB"/>
        </w:rPr>
        <w:t>t least three years' experience in one of the following: international trade statistics, balance of payments, business statistics, statistical analysis, data collection, data compilation or data production and dissemination, or a similar area.</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68167D" w:rsidP="0045202A">
      <w:pPr>
        <w:spacing w:after="0"/>
        <w:ind w:left="709"/>
        <w:rPr>
          <w:rFonts w:ascii="Times New Roman" w:eastAsia="Times New Roman" w:hAnsi="Times New Roman" w:cs="Times New Roman"/>
          <w:lang w:val="en-US" w:eastAsia="en-GB"/>
        </w:rPr>
      </w:pPr>
      <w:r w:rsidRPr="0068167D">
        <w:rPr>
          <w:rFonts w:ascii="Times New Roman" w:eastAsia="Times New Roman" w:hAnsi="Times New Roman" w:cs="Times New Roman"/>
          <w:lang w:val="en-US" w:eastAsia="en-GB"/>
        </w:rPr>
        <w:t>The candidate should have good verbal, drafting and presentation skills in English. Knowledge of other working languages of the Commission is an asset.</w:t>
      </w:r>
      <w:bookmarkStart w:id="0" w:name="_GoBack"/>
      <w:bookmarkEnd w:id="0"/>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Pr="00AF7D78"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8167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5202A"/>
    <w:rsid w:val="00534042"/>
    <w:rsid w:val="0068167D"/>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1AAAF"/>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iPriority w:val="99"/>
    <w:unhideWhenUsed/>
    <w:rsid w:val="006816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xel.Behr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1235</Words>
  <Characters>6831</Characters>
  <Application>Microsoft Office Word</Application>
  <DocSecurity>0</DocSecurity>
  <Lines>162</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2020-03-04T10:37:00Z</dcterms:created>
  <dcterms:modified xsi:type="dcterms:W3CDTF">2020-03-04T10:37:00Z</dcterms:modified>
</cp:coreProperties>
</file>