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AB1805" w:rsidRPr="00745B97" w:rsidTr="00EC6FF0">
        <w:trPr>
          <w:trHeight w:val="611"/>
          <w:jc w:val="center"/>
        </w:trPr>
        <w:tc>
          <w:tcPr>
            <w:tcW w:w="4359" w:type="dxa"/>
          </w:tcPr>
          <w:p w:rsidR="00AB1805" w:rsidRPr="00745B97" w:rsidRDefault="00AB1805"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AB1805" w:rsidRPr="00745B97" w:rsidRDefault="00AB1805"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AB1805" w:rsidRPr="00AB1805" w:rsidRDefault="00AB1805" w:rsidP="00C76C94">
            <w:pPr>
              <w:rPr>
                <w:rFonts w:ascii="Times New Roman" w:hAnsi="Times New Roman" w:cs="Times New Roman"/>
                <w:b/>
                <w:sz w:val="24"/>
                <w:szCs w:val="24"/>
              </w:rPr>
            </w:pPr>
            <w:r w:rsidRPr="00AB1805">
              <w:rPr>
                <w:rFonts w:ascii="Times New Roman" w:hAnsi="Times New Roman" w:cs="Times New Roman"/>
                <w:b/>
                <w:sz w:val="24"/>
                <w:szCs w:val="24"/>
              </w:rPr>
              <w:t>DEVCO-C-4</w:t>
            </w:r>
          </w:p>
        </w:tc>
      </w:tr>
      <w:tr w:rsidR="00AB1805" w:rsidRPr="0045525F" w:rsidTr="00EC6FF0">
        <w:trPr>
          <w:trHeight w:val="1977"/>
          <w:jc w:val="center"/>
        </w:trPr>
        <w:tc>
          <w:tcPr>
            <w:tcW w:w="4359" w:type="dxa"/>
            <w:tcBorders>
              <w:bottom w:val="nil"/>
            </w:tcBorders>
          </w:tcPr>
          <w:p w:rsidR="00AB1805" w:rsidRPr="004010FC" w:rsidRDefault="00AB180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Chef d’unité :</w:t>
            </w:r>
          </w:p>
          <w:p w:rsidR="00AB1805" w:rsidRPr="004010FC" w:rsidRDefault="00AB180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Adresse e-mail :</w:t>
            </w:r>
          </w:p>
          <w:p w:rsidR="00AB1805" w:rsidRPr="004010FC" w:rsidRDefault="00AB180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Téléphone :</w:t>
            </w:r>
          </w:p>
          <w:p w:rsidR="00AB1805" w:rsidRPr="004010FC" w:rsidRDefault="00AB180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Nombre de postes disponibles:</w:t>
            </w:r>
          </w:p>
          <w:p w:rsidR="00AB1805" w:rsidRPr="004010FC" w:rsidRDefault="00AB180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Prise de fonction souhaitée :</w:t>
            </w:r>
          </w:p>
          <w:p w:rsidR="00AB1805" w:rsidRPr="004010FC" w:rsidRDefault="00AB1805" w:rsidP="00745B97">
            <w:pPr>
              <w:tabs>
                <w:tab w:val="left" w:pos="1697"/>
              </w:tabs>
              <w:ind w:right="-1739"/>
              <w:jc w:val="both"/>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Durée initiale souhaitée :</w:t>
            </w:r>
          </w:p>
          <w:p w:rsidR="00AB1805" w:rsidRPr="004010FC" w:rsidRDefault="00AB1805" w:rsidP="00745B97">
            <w:pPr>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Lieu d’affectation :</w:t>
            </w:r>
          </w:p>
        </w:tc>
        <w:tc>
          <w:tcPr>
            <w:tcW w:w="5597" w:type="dxa"/>
          </w:tcPr>
          <w:p w:rsidR="00AB1805" w:rsidRPr="00AB1805" w:rsidRDefault="00AB1805" w:rsidP="00C76C94">
            <w:pPr>
              <w:rPr>
                <w:rFonts w:ascii="Times New Roman" w:hAnsi="Times New Roman" w:cs="Times New Roman"/>
                <w:b/>
                <w:sz w:val="24"/>
                <w:szCs w:val="24"/>
                <w:lang w:val="fi-FI"/>
              </w:rPr>
            </w:pPr>
            <w:r w:rsidRPr="00AB1805">
              <w:rPr>
                <w:rFonts w:ascii="Times New Roman" w:hAnsi="Times New Roman" w:cs="Times New Roman"/>
                <w:b/>
                <w:sz w:val="24"/>
                <w:szCs w:val="24"/>
                <w:lang w:val="fi-FI"/>
              </w:rPr>
              <w:t>Antti Karhunen</w:t>
            </w:r>
          </w:p>
          <w:p w:rsidR="00AB1805" w:rsidRPr="00AB1805" w:rsidRDefault="00B4451D" w:rsidP="00C76C94">
            <w:pPr>
              <w:rPr>
                <w:rFonts w:ascii="Times New Roman" w:hAnsi="Times New Roman" w:cs="Times New Roman"/>
                <w:b/>
                <w:sz w:val="24"/>
                <w:szCs w:val="24"/>
                <w:lang w:val="fr-FR"/>
              </w:rPr>
            </w:pPr>
            <w:hyperlink r:id="rId7" w:history="1">
              <w:r w:rsidR="00AB1805" w:rsidRPr="00AB1805">
                <w:rPr>
                  <w:rStyle w:val="Hyperlink"/>
                  <w:rFonts w:ascii="Times New Roman" w:hAnsi="Times New Roman" w:cs="Times New Roman"/>
                  <w:b/>
                  <w:sz w:val="24"/>
                  <w:szCs w:val="24"/>
                  <w:lang w:val="fr-FR"/>
                </w:rPr>
                <w:t>Antti.Karhunen@ec.europa.eu</w:t>
              </w:r>
            </w:hyperlink>
            <w:r w:rsidR="00AB1805" w:rsidRPr="00AB1805">
              <w:rPr>
                <w:rFonts w:ascii="Times New Roman" w:hAnsi="Times New Roman" w:cs="Times New Roman"/>
                <w:b/>
                <w:sz w:val="24"/>
                <w:szCs w:val="24"/>
                <w:lang w:val="fr-FR"/>
              </w:rPr>
              <w:t xml:space="preserve"> </w:t>
            </w:r>
          </w:p>
          <w:p w:rsidR="00AB1805" w:rsidRPr="00AB1805" w:rsidRDefault="00AB1805" w:rsidP="00C76C94">
            <w:pPr>
              <w:rPr>
                <w:rFonts w:ascii="Times New Roman" w:hAnsi="Times New Roman" w:cs="Times New Roman"/>
                <w:b/>
                <w:sz w:val="24"/>
                <w:szCs w:val="24"/>
              </w:rPr>
            </w:pPr>
            <w:r w:rsidRPr="00AB1805">
              <w:rPr>
                <w:rFonts w:ascii="Times New Roman" w:hAnsi="Times New Roman" w:cs="Times New Roman"/>
                <w:b/>
                <w:sz w:val="24"/>
                <w:szCs w:val="24"/>
              </w:rPr>
              <w:t>+32 2 29 60281</w:t>
            </w:r>
          </w:p>
          <w:p w:rsidR="00AB1805" w:rsidRPr="00AB1805" w:rsidRDefault="00AB1805" w:rsidP="00C76C94">
            <w:pPr>
              <w:ind w:right="1317"/>
              <w:jc w:val="both"/>
              <w:rPr>
                <w:rFonts w:ascii="Times New Roman" w:hAnsi="Times New Roman" w:cs="Times New Roman"/>
                <w:b/>
                <w:sz w:val="24"/>
                <w:szCs w:val="24"/>
              </w:rPr>
            </w:pPr>
            <w:r w:rsidRPr="00AB1805">
              <w:rPr>
                <w:rFonts w:ascii="Times New Roman" w:hAnsi="Times New Roman" w:cs="Times New Roman"/>
                <w:b/>
                <w:sz w:val="24"/>
                <w:szCs w:val="24"/>
              </w:rPr>
              <w:t>1</w:t>
            </w:r>
          </w:p>
          <w:p w:rsidR="00AB1805" w:rsidRPr="00AB1805" w:rsidRDefault="00B4451D" w:rsidP="00C76C94">
            <w:pPr>
              <w:ind w:right="1317"/>
              <w:jc w:val="both"/>
              <w:rPr>
                <w:rFonts w:ascii="Times New Roman" w:hAnsi="Times New Roman" w:cs="Times New Roman"/>
                <w:b/>
                <w:sz w:val="24"/>
                <w:szCs w:val="24"/>
                <w:lang w:val="fr-FR"/>
              </w:rPr>
            </w:pPr>
            <w:r>
              <w:rPr>
                <w:rFonts w:ascii="Times New Roman" w:hAnsi="Times New Roman" w:cs="Times New Roman"/>
                <w:b/>
                <w:sz w:val="24"/>
                <w:szCs w:val="24"/>
              </w:rPr>
              <w:t>3</w:t>
            </w:r>
            <w:r w:rsidRPr="00B4451D">
              <w:rPr>
                <w:rFonts w:ascii="Times New Roman" w:hAnsi="Times New Roman" w:cs="Times New Roman"/>
                <w:b/>
                <w:sz w:val="24"/>
                <w:szCs w:val="24"/>
                <w:vertAlign w:val="superscript"/>
              </w:rPr>
              <w:t>ème</w:t>
            </w:r>
            <w:r>
              <w:rPr>
                <w:rFonts w:ascii="Times New Roman" w:hAnsi="Times New Roman" w:cs="Times New Roman"/>
                <w:b/>
                <w:sz w:val="24"/>
                <w:szCs w:val="24"/>
              </w:rPr>
              <w:t xml:space="preserve"> </w:t>
            </w:r>
            <w:bookmarkStart w:id="0" w:name="_GoBack"/>
            <w:bookmarkEnd w:id="0"/>
            <w:r w:rsidR="00AB1805">
              <w:rPr>
                <w:rFonts w:ascii="Times New Roman" w:hAnsi="Times New Roman" w:cs="Times New Roman"/>
                <w:b/>
                <w:sz w:val="24"/>
                <w:szCs w:val="24"/>
              </w:rPr>
              <w:t>trimes</w:t>
            </w:r>
            <w:r w:rsidR="00AB1805" w:rsidRPr="00AB1805">
              <w:rPr>
                <w:rFonts w:ascii="Times New Roman" w:hAnsi="Times New Roman" w:cs="Times New Roman"/>
                <w:b/>
                <w:sz w:val="24"/>
                <w:szCs w:val="24"/>
              </w:rPr>
              <w:t>tre 2020</w:t>
            </w:r>
            <w:r w:rsidR="00AB1805" w:rsidRPr="00AB1805">
              <w:rPr>
                <w:rFonts w:ascii="Times New Roman" w:hAnsi="Times New Roman" w:cs="Times New Roman"/>
                <w:b/>
                <w:sz w:val="24"/>
                <w:szCs w:val="24"/>
                <w:lang w:val="fr-FR"/>
              </w:rPr>
              <w:t xml:space="preserve"> </w:t>
            </w:r>
            <w:r w:rsidR="00AB1805" w:rsidRPr="00AB1805">
              <w:rPr>
                <w:rFonts w:ascii="Times New Roman" w:hAnsi="Times New Roman" w:cs="Times New Roman"/>
                <w:b/>
                <w:sz w:val="24"/>
                <w:szCs w:val="24"/>
                <w:vertAlign w:val="superscript"/>
              </w:rPr>
              <w:footnoteReference w:id="1"/>
            </w:r>
          </w:p>
          <w:p w:rsidR="00AB1805" w:rsidRPr="00AB1805" w:rsidRDefault="00AB1805" w:rsidP="00C76C94">
            <w:pPr>
              <w:ind w:right="1317"/>
              <w:jc w:val="both"/>
              <w:rPr>
                <w:rFonts w:ascii="Times New Roman" w:hAnsi="Times New Roman" w:cs="Times New Roman"/>
                <w:b/>
                <w:sz w:val="24"/>
                <w:szCs w:val="24"/>
                <w:lang w:val="fr-FR"/>
              </w:rPr>
            </w:pPr>
            <w:r w:rsidRPr="00AB1805">
              <w:rPr>
                <w:rFonts w:ascii="Times New Roman" w:hAnsi="Times New Roman" w:cs="Times New Roman"/>
                <w:b/>
                <w:sz w:val="24"/>
                <w:szCs w:val="24"/>
                <w:lang w:val="fr-FR"/>
              </w:rPr>
              <w:t>2 ans</w:t>
            </w:r>
            <w:r w:rsidRPr="00AB1805">
              <w:rPr>
                <w:rFonts w:ascii="Times New Roman" w:hAnsi="Times New Roman" w:cs="Times New Roman"/>
                <w:b/>
                <w:sz w:val="24"/>
                <w:szCs w:val="24"/>
                <w:vertAlign w:val="superscript"/>
                <w:lang w:val="fr-FR"/>
              </w:rPr>
              <w:t>1</w:t>
            </w:r>
          </w:p>
          <w:p w:rsidR="00AB1805" w:rsidRPr="00AB1805" w:rsidRDefault="00AB1805" w:rsidP="00AB1805">
            <w:pPr>
              <w:rPr>
                <w:rFonts w:ascii="Times New Roman" w:hAnsi="Times New Roman" w:cs="Times New Roman"/>
                <w:b/>
                <w:sz w:val="24"/>
                <w:szCs w:val="24"/>
              </w:rPr>
            </w:pPr>
            <w:r w:rsidRPr="00AB1805">
              <w:rPr>
                <w:rFonts w:ascii="Times New Roman" w:eastAsia="MS Minngs" w:hAnsi="Times New Roman" w:cs="Times New Roman"/>
                <w:b/>
                <w:bCs/>
                <w:sz w:val="24"/>
                <w:szCs w:val="24"/>
                <w:lang w:val="fr-FR"/>
              </w:rPr>
              <w:sym w:font="Wingdings 2" w:char="F0A2"/>
            </w:r>
            <w:r w:rsidRPr="00AB1805">
              <w:rPr>
                <w:rFonts w:ascii="Times New Roman" w:eastAsia="MS Minngs" w:hAnsi="Times New Roman" w:cs="Times New Roman"/>
                <w:b/>
                <w:bCs/>
                <w:sz w:val="24"/>
                <w:szCs w:val="24"/>
                <w:lang w:val="fr-FR"/>
              </w:rPr>
              <w:t xml:space="preserve"> </w:t>
            </w:r>
            <w:r w:rsidRPr="00AB1805">
              <w:rPr>
                <w:rFonts w:ascii="Times New Roman" w:hAnsi="Times New Roman" w:cs="Times New Roman"/>
                <w:b/>
                <w:sz w:val="24"/>
                <w:szCs w:val="24"/>
              </w:rPr>
              <w:t xml:space="preserve">Bruxelles  </w:t>
            </w:r>
            <w:r w:rsidRPr="00AB1805">
              <w:rPr>
                <w:rFonts w:ascii="Times New Roman" w:eastAsia="MS Minngs" w:hAnsi="Times New Roman" w:cs="Times New Roman"/>
                <w:b/>
                <w:bCs/>
                <w:sz w:val="24"/>
                <w:szCs w:val="24"/>
                <w:lang w:val="fr-FR"/>
              </w:rPr>
              <w:sym w:font="Wingdings 2" w:char="F0A3"/>
            </w:r>
            <w:r w:rsidRPr="00AB1805">
              <w:rPr>
                <w:rFonts w:ascii="Times New Roman" w:eastAsia="MS Minngs" w:hAnsi="Times New Roman" w:cs="Times New Roman"/>
                <w:b/>
                <w:bCs/>
                <w:sz w:val="24"/>
                <w:szCs w:val="24"/>
                <w:lang w:val="fr-FR"/>
              </w:rPr>
              <w:t xml:space="preserve"> </w:t>
            </w:r>
            <w:r w:rsidRPr="00AB1805">
              <w:rPr>
                <w:rFonts w:ascii="Times New Roman" w:hAnsi="Times New Roman" w:cs="Times New Roman"/>
                <w:b/>
                <w:sz w:val="24"/>
                <w:szCs w:val="24"/>
              </w:rPr>
              <w:t xml:space="preserve">Luxembourg  </w:t>
            </w:r>
            <w:r w:rsidRPr="00AB1805">
              <w:rPr>
                <w:rFonts w:ascii="Times New Roman" w:eastAsia="MS Minngs" w:hAnsi="Times New Roman" w:cs="Times New Roman"/>
                <w:b/>
                <w:bCs/>
                <w:sz w:val="24"/>
                <w:szCs w:val="24"/>
                <w:lang w:val="fr-FR"/>
              </w:rPr>
              <w:sym w:font="Wingdings 2" w:char="F0A3"/>
            </w:r>
            <w:r w:rsidRPr="00AB1805">
              <w:rPr>
                <w:rFonts w:ascii="Times New Roman" w:eastAsia="MS Minngs" w:hAnsi="Times New Roman" w:cs="Times New Roman"/>
                <w:b/>
                <w:bCs/>
                <w:sz w:val="24"/>
                <w:szCs w:val="24"/>
                <w:lang w:val="fr-FR"/>
              </w:rPr>
              <w:t xml:space="preserve"> A</w:t>
            </w:r>
            <w:proofErr w:type="spellStart"/>
            <w:r w:rsidRPr="00AB1805">
              <w:rPr>
                <w:rFonts w:ascii="Times New Roman" w:hAnsi="Times New Roman" w:cs="Times New Roman"/>
                <w:b/>
                <w:sz w:val="24"/>
                <w:szCs w:val="24"/>
              </w:rPr>
              <w:t>utre</w:t>
            </w:r>
            <w:proofErr w:type="spellEnd"/>
            <w:r w:rsidRPr="00AB1805">
              <w:rPr>
                <w:rFonts w:ascii="Times New Roman" w:hAnsi="Times New Roman" w:cs="Times New Roman"/>
                <w:b/>
                <w:sz w:val="24"/>
                <w:szCs w:val="24"/>
              </w:rPr>
              <w:t>: …………..</w:t>
            </w:r>
          </w:p>
        </w:tc>
      </w:tr>
      <w:tr w:rsidR="00AB1805"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AB1805" w:rsidRPr="0045525F" w:rsidRDefault="00AB1805" w:rsidP="00745B97">
            <w:pPr>
              <w:rPr>
                <w:rFonts w:ascii="Times New Roman" w:eastAsia="Times New Roman" w:hAnsi="Times New Roman" w:cs="Times New Roman"/>
                <w:sz w:val="24"/>
                <w:szCs w:val="24"/>
                <w:lang w:val="fr-FR" w:eastAsia="en-GB"/>
              </w:rPr>
            </w:pPr>
          </w:p>
        </w:tc>
        <w:tc>
          <w:tcPr>
            <w:tcW w:w="5597" w:type="dxa"/>
            <w:tcBorders>
              <w:left w:val="single" w:sz="4" w:space="0" w:color="auto"/>
            </w:tcBorders>
            <w:vAlign w:val="center"/>
          </w:tcPr>
          <w:p w:rsidR="00AB1805" w:rsidRPr="00AB1805" w:rsidRDefault="00AB1805" w:rsidP="00C76C94">
            <w:pPr>
              <w:rPr>
                <w:rFonts w:ascii="Times New Roman" w:hAnsi="Times New Roman" w:cs="Times New Roman"/>
                <w:b/>
                <w:sz w:val="24"/>
                <w:szCs w:val="24"/>
              </w:rPr>
            </w:pPr>
            <w:r w:rsidRPr="00AB1805">
              <w:rPr>
                <w:rFonts w:ascii="Times New Roman" w:eastAsia="MS Minngs" w:hAnsi="Times New Roman" w:cs="Times New Roman"/>
                <w:b/>
                <w:bCs/>
                <w:sz w:val="24"/>
                <w:szCs w:val="24"/>
                <w:lang w:val="fr-FR"/>
              </w:rPr>
              <w:sym w:font="Wingdings 2" w:char="F0A3"/>
            </w:r>
            <w:r w:rsidRPr="00AB1805">
              <w:rPr>
                <w:rStyle w:val="Strong"/>
                <w:rFonts w:ascii="Times New Roman" w:hAnsi="Times New Roman" w:cs="Times New Roman"/>
                <w:b w:val="0"/>
                <w:sz w:val="24"/>
                <w:szCs w:val="24"/>
              </w:rPr>
              <w:t xml:space="preserve">    </w:t>
            </w:r>
            <w:r w:rsidRPr="00AB1805">
              <w:rPr>
                <w:rFonts w:ascii="Times New Roman" w:hAnsi="Times New Roman" w:cs="Times New Roman"/>
                <w:b/>
                <w:sz w:val="24"/>
                <w:szCs w:val="24"/>
              </w:rPr>
              <w:t xml:space="preserve">Avec indemnités                </w:t>
            </w:r>
            <w:r w:rsidRPr="00AB1805">
              <w:rPr>
                <w:rFonts w:ascii="Times New Roman" w:eastAsia="MS Minngs" w:hAnsi="Times New Roman" w:cs="Times New Roman"/>
                <w:b/>
                <w:bCs/>
                <w:sz w:val="24"/>
                <w:szCs w:val="24"/>
                <w:lang w:val="fr-FR"/>
              </w:rPr>
              <w:sym w:font="Wingdings 2" w:char="F0A2"/>
            </w:r>
            <w:r w:rsidRPr="00AB1805">
              <w:rPr>
                <w:rFonts w:ascii="Times New Roman" w:eastAsia="MS Minngs" w:hAnsi="Times New Roman" w:cs="Times New Roman"/>
                <w:b/>
                <w:bCs/>
                <w:sz w:val="24"/>
                <w:szCs w:val="24"/>
                <w:lang w:val="fr-FR"/>
              </w:rPr>
              <w:t xml:space="preserve">   </w:t>
            </w:r>
            <w:r w:rsidRPr="00AB1805">
              <w:rPr>
                <w:rStyle w:val="Strong"/>
                <w:rFonts w:ascii="Times New Roman" w:hAnsi="Times New Roman" w:cs="Times New Roman"/>
                <w:b w:val="0"/>
                <w:sz w:val="24"/>
                <w:szCs w:val="24"/>
              </w:rPr>
              <w:t> </w:t>
            </w:r>
            <w:r w:rsidRPr="00AB1805">
              <w:rPr>
                <w:rFonts w:ascii="Times New Roman" w:eastAsia="MS Minngs" w:hAnsi="Times New Roman" w:cs="Times New Roman"/>
                <w:b/>
                <w:bCs/>
                <w:sz w:val="24"/>
                <w:szCs w:val="24"/>
                <w:lang w:val="fr-FR"/>
              </w:rPr>
              <w:t xml:space="preserve"> </w:t>
            </w:r>
            <w:r w:rsidRPr="00AB1805">
              <w:rPr>
                <w:rFonts w:ascii="Times New Roman" w:hAnsi="Times New Roman" w:cs="Times New Roman"/>
                <w:b/>
                <w:sz w:val="24"/>
                <w:szCs w:val="24"/>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4010FC" w:rsidRDefault="00745B97" w:rsidP="00745B97">
            <w:pPr>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Cet avis est également ouvert</w:t>
            </w:r>
          </w:p>
          <w:p w:rsidR="00745B97" w:rsidRPr="004010FC" w:rsidRDefault="00745B97" w:rsidP="00745B97">
            <w:pPr>
              <w:rPr>
                <w:rFonts w:ascii="Times New Roman" w:eastAsia="Times New Roman" w:hAnsi="Times New Roman" w:cs="Times New Roman"/>
                <w:b/>
                <w:sz w:val="24"/>
                <w:szCs w:val="24"/>
                <w:lang w:eastAsia="en-GB"/>
              </w:rPr>
            </w:pPr>
          </w:p>
          <w:p w:rsidR="00745B97" w:rsidRPr="004010FC" w:rsidRDefault="00745B97" w:rsidP="00745B97">
            <w:pPr>
              <w:rPr>
                <w:rFonts w:ascii="Times New Roman" w:eastAsia="Times New Roman" w:hAnsi="Times New Roman" w:cs="Times New Roman"/>
                <w:b/>
                <w:bCs/>
                <w:sz w:val="24"/>
                <w:szCs w:val="24"/>
                <w:lang w:eastAsia="en-GB"/>
              </w:rPr>
            </w:pP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w:t>
            </w:r>
            <w:proofErr w:type="gramStart"/>
            <w:r w:rsidRPr="004010FC">
              <w:rPr>
                <w:rFonts w:ascii="Times New Roman" w:eastAsia="Times New Roman" w:hAnsi="Times New Roman" w:cs="Times New Roman"/>
                <w:b/>
                <w:bCs/>
                <w:sz w:val="24"/>
                <w:szCs w:val="24"/>
                <w:lang w:eastAsia="en-GB"/>
              </w:rPr>
              <w:t>aux</w:t>
            </w:r>
            <w:proofErr w:type="gramEnd"/>
            <w:r w:rsidRPr="004010FC">
              <w:rPr>
                <w:rFonts w:ascii="Times New Roman" w:eastAsia="Times New Roman" w:hAnsi="Times New Roman" w:cs="Times New Roman"/>
                <w:b/>
                <w:bCs/>
                <w:sz w:val="24"/>
                <w:szCs w:val="24"/>
                <w:lang w:eastAsia="en-GB"/>
              </w:rPr>
              <w:t xml:space="preserve"> pays AELE suivants :</w:t>
            </w:r>
          </w:p>
          <w:p w:rsidR="00745B97" w:rsidRPr="004010FC" w:rsidRDefault="00745B97" w:rsidP="00745B97">
            <w:pPr>
              <w:tabs>
                <w:tab w:val="left" w:pos="743"/>
              </w:tabs>
              <w:ind w:right="-1739"/>
              <w:rPr>
                <w:rFonts w:ascii="Times New Roman" w:eastAsia="Times New Roman" w:hAnsi="Times New Roman" w:cs="Times New Roman"/>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Islande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Liechtenstein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Norvège </w:t>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Suisse</w:t>
            </w:r>
            <w:r w:rsidRPr="004010FC">
              <w:rPr>
                <w:rFonts w:ascii="Times New Roman" w:eastAsia="Times New Roman" w:hAnsi="Times New Roman" w:cs="Times New Roman"/>
                <w:sz w:val="24"/>
                <w:szCs w:val="24"/>
                <w:lang w:eastAsia="en-GB"/>
              </w:rPr>
              <w:t xml:space="preserve"> </w:t>
            </w:r>
          </w:p>
          <w:p w:rsidR="00745B97" w:rsidRPr="004010FC" w:rsidRDefault="00745B97" w:rsidP="00745B97">
            <w:pPr>
              <w:tabs>
                <w:tab w:val="left" w:pos="743"/>
              </w:tabs>
              <w:ind w:right="-1739"/>
              <w:rPr>
                <w:rFonts w:ascii="Times New Roman" w:eastAsia="Times New Roman" w:hAnsi="Times New Roman" w:cs="Times New Roman"/>
                <w:b/>
                <w:sz w:val="24"/>
                <w:szCs w:val="24"/>
                <w:lang w:eastAsia="en-GB"/>
              </w:rPr>
            </w:pPr>
            <w:r w:rsidRPr="004010FC">
              <w:rPr>
                <w:rFonts w:ascii="Times New Roman" w:eastAsia="Times New Roman" w:hAnsi="Times New Roman" w:cs="Times New Roman"/>
                <w:b/>
                <w:sz w:val="24"/>
                <w:szCs w:val="24"/>
                <w:lang w:eastAsia="en-GB"/>
              </w:rPr>
              <w:tab/>
            </w:r>
            <w:r w:rsidRPr="004010FC">
              <w:rPr>
                <w:rFonts w:ascii="Times New Roman" w:eastAsia="Times New Roman" w:hAnsi="Times New Roman" w:cs="Times New Roman"/>
                <w:sz w:val="24"/>
                <w:szCs w:val="24"/>
                <w:lang w:eastAsia="en-GB"/>
              </w:rPr>
              <w:sym w:font="Wingdings 2" w:char="F0A3"/>
            </w:r>
            <w:r w:rsidRPr="004010FC">
              <w:rPr>
                <w:rFonts w:ascii="Times New Roman" w:eastAsia="Times New Roman" w:hAnsi="Times New Roman" w:cs="Times New Roman"/>
                <w:b/>
                <w:sz w:val="24"/>
                <w:szCs w:val="24"/>
                <w:lang w:eastAsia="en-GB"/>
              </w:rPr>
              <w:t xml:space="preserve"> Accord AELE-EEE in-Kind (Islande, Liechtenstein, Norvège)   </w:t>
            </w:r>
            <w:r w:rsidRPr="004010FC">
              <w:rPr>
                <w:rFonts w:ascii="Times New Roman" w:eastAsia="Times New Roman" w:hAnsi="Times New Roman" w:cs="Times New Roman"/>
                <w:b/>
                <w:sz w:val="24"/>
                <w:szCs w:val="24"/>
                <w:lang w:eastAsia="en-GB"/>
              </w:rPr>
              <w:br/>
            </w: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pays tiers suivants: </w:t>
            </w:r>
          </w:p>
          <w:p w:rsidR="00745B97" w:rsidRPr="004010FC" w:rsidRDefault="00745B97" w:rsidP="00745B97">
            <w:pPr>
              <w:rPr>
                <w:rFonts w:ascii="Times New Roman" w:eastAsia="Times New Roman" w:hAnsi="Times New Roman" w:cs="Times New Roman"/>
                <w:sz w:val="24"/>
                <w:szCs w:val="24"/>
                <w:lang w:eastAsia="en-GB"/>
              </w:rPr>
            </w:pPr>
            <w:r w:rsidRPr="004010FC">
              <w:rPr>
                <w:rFonts w:ascii="Times New Roman" w:eastAsia="MS Minngs" w:hAnsi="Times New Roman" w:cs="Times New Roman"/>
                <w:bCs/>
                <w:sz w:val="24"/>
                <w:szCs w:val="24"/>
                <w:lang w:val="fr-FR" w:eastAsia="en-GB"/>
              </w:rPr>
              <w:sym w:font="Wingdings 2" w:char="F0A3"/>
            </w:r>
            <w:r w:rsidRPr="004010FC">
              <w:rPr>
                <w:rFonts w:ascii="Times New Roman" w:eastAsia="Times New Roman" w:hAnsi="Times New Roman" w:cs="Times New Roman"/>
                <w:b/>
                <w:bCs/>
                <w:sz w:val="24"/>
                <w:szCs w:val="24"/>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La direction générale de la coopération internationale et du développement est chargée de concevoir les politiques de développement de l’UE et à la mise en œuvre des instruments d’aide extérieure de la Commission.</w:t>
      </w: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Au sein de la direction C « Planète et prospérité », l'unité C4 est chargée du développement des réflexions stratégiques en matière d’investissements et de climat d’investissement, de développement du secteur privé, de la participation du secteur privé, de l'aide au commerce et des chaînes de valeurs durables, et de fournir un soutien thématique dans ces mêmes domaines aux directions géographiques et aux délégations de l’UE.</w:t>
      </w: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 xml:space="preserve">Sous la responsabilité du chef d’unité et en collaboration avec d’autres collègues de l’unité, le candidat retenu travaillera principalement dans le domaine des investissements et du climat d’investissement, et du développement du secteur privé et en particulier dans les tâches en lien avec le Plan d'investissement extérieur de l'UE (EIP). Le candidat retenu effectuera des travaux conceptuels et analytiques visant à mobiliser les </w:t>
      </w:r>
      <w:proofErr w:type="gramStart"/>
      <w:r w:rsidRPr="00AB1805">
        <w:rPr>
          <w:rFonts w:ascii="Times New Roman" w:eastAsia="Times New Roman" w:hAnsi="Times New Roman" w:cs="Times New Roman"/>
          <w:lang w:eastAsia="en-GB"/>
        </w:rPr>
        <w:t>investissements</w:t>
      </w:r>
      <w:proofErr w:type="gramEnd"/>
      <w:r w:rsidRPr="00AB1805">
        <w:rPr>
          <w:rFonts w:ascii="Times New Roman" w:eastAsia="Times New Roman" w:hAnsi="Times New Roman" w:cs="Times New Roman"/>
          <w:lang w:eastAsia="en-GB"/>
        </w:rPr>
        <w:t xml:space="preserve"> et le climat d’investissement dans les pays en développement, en particulier:</w:t>
      </w: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p>
    <w:p w:rsidR="00AB1805" w:rsidRPr="00AB1805" w:rsidRDefault="00AB1805" w:rsidP="00AB1805">
      <w:pPr>
        <w:spacing w:after="0" w:line="240" w:lineRule="auto"/>
        <w:ind w:left="709" w:hanging="283"/>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w:t>
      </w:r>
      <w:r w:rsidRPr="00AB1805">
        <w:rPr>
          <w:rFonts w:ascii="Times New Roman" w:eastAsia="Times New Roman" w:hAnsi="Times New Roman" w:cs="Times New Roman"/>
          <w:lang w:eastAsia="en-GB"/>
        </w:rPr>
        <w:tab/>
        <w:t>soutenir la mise en place et la mise à l’essai d’actions novatrices afin de promouvoir le développement du secteur privé et l’appui aux micros, petites et moyennes entreprises (MPME), y compris via des mécanismes de cofinancement et dans le contexte du Plan d'investissement extérieur de l'UE,</w:t>
      </w:r>
    </w:p>
    <w:p w:rsidR="00AB1805" w:rsidRPr="00AB1805" w:rsidRDefault="00AB1805" w:rsidP="00AB1805">
      <w:pPr>
        <w:spacing w:after="0" w:line="240" w:lineRule="auto"/>
        <w:ind w:left="709" w:hanging="283"/>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w:t>
      </w:r>
      <w:r w:rsidRPr="00AB1805">
        <w:rPr>
          <w:rFonts w:ascii="Times New Roman" w:eastAsia="Times New Roman" w:hAnsi="Times New Roman" w:cs="Times New Roman"/>
          <w:lang w:eastAsia="en-GB"/>
        </w:rPr>
        <w:tab/>
        <w:t>contribuer à développer le dialogue structuré public-privé et d'autres plateformes de participation du secteur privé pour le développement,</w:t>
      </w:r>
    </w:p>
    <w:p w:rsidR="00AB1805" w:rsidRPr="00AB1805" w:rsidRDefault="00AB1805" w:rsidP="00AB1805">
      <w:pPr>
        <w:spacing w:after="0" w:line="240" w:lineRule="auto"/>
        <w:ind w:left="709" w:hanging="283"/>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w:t>
      </w:r>
      <w:r w:rsidRPr="00AB1805">
        <w:rPr>
          <w:rFonts w:ascii="Times New Roman" w:eastAsia="Times New Roman" w:hAnsi="Times New Roman" w:cs="Times New Roman"/>
          <w:lang w:eastAsia="en-GB"/>
        </w:rPr>
        <w:tab/>
        <w:t>mettre en place et promouvoir une coopération étroite et des échanges au sein de la Commission et avec d’autres institutions de l’UE, les États membres, les pays tiers, les organisations internationales, le secteur privé et d'autres parties intéressées,</w:t>
      </w:r>
    </w:p>
    <w:p w:rsidR="00AB1805" w:rsidRPr="00AB1805" w:rsidRDefault="00AB1805" w:rsidP="00AB1805">
      <w:pPr>
        <w:spacing w:after="0" w:line="240" w:lineRule="auto"/>
        <w:ind w:left="709" w:hanging="283"/>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lastRenderedPageBreak/>
        <w:t>-</w:t>
      </w:r>
      <w:r w:rsidRPr="00AB1805">
        <w:rPr>
          <w:rFonts w:ascii="Times New Roman" w:eastAsia="Times New Roman" w:hAnsi="Times New Roman" w:cs="Times New Roman"/>
          <w:lang w:eastAsia="en-GB"/>
        </w:rPr>
        <w:tab/>
        <w:t>assister les Délégations et les services du siège, lors de la conception des programmes d’appui au secteur privé,</w:t>
      </w:r>
    </w:p>
    <w:p w:rsidR="00AB1805" w:rsidRPr="00AB1805" w:rsidRDefault="00AB1805" w:rsidP="00AB1805">
      <w:pPr>
        <w:spacing w:after="0" w:line="240" w:lineRule="auto"/>
        <w:ind w:left="709" w:hanging="283"/>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w:t>
      </w:r>
      <w:r w:rsidRPr="00AB1805">
        <w:rPr>
          <w:rFonts w:ascii="Times New Roman" w:eastAsia="Times New Roman" w:hAnsi="Times New Roman" w:cs="Times New Roman"/>
          <w:lang w:eastAsia="en-GB"/>
        </w:rPr>
        <w:tab/>
        <w:t>contribuer au développement et à la diffusion des connaissances dans le domaine du développement du secteur privé,</w:t>
      </w: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w:t>
      </w:r>
      <w:r w:rsidRPr="00AB1805">
        <w:rPr>
          <w:rFonts w:ascii="Times New Roman" w:eastAsia="Times New Roman" w:hAnsi="Times New Roman" w:cs="Times New Roman"/>
          <w:lang w:eastAsia="en-GB"/>
        </w:rPr>
        <w:tab/>
        <w:t>contribuer à l’élaboration de lignes directrices, de matériel didactique et d’autres outils thématiques.</w:t>
      </w: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p>
    <w:p w:rsidR="00AB1805" w:rsidRPr="00AB1805" w:rsidRDefault="00AB1805" w:rsidP="00AB1805">
      <w:pPr>
        <w:spacing w:after="0" w:line="240" w:lineRule="auto"/>
        <w:ind w:left="426"/>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L’expert national détaché s’acquittera également de toute autre tâche pertinente qui lui sera confiée par le chef d’unité et ayant trait à son domaine de compétence.</w:t>
      </w:r>
    </w:p>
    <w:p w:rsidR="00745B97" w:rsidRPr="00745B97" w:rsidRDefault="00745B97" w:rsidP="004010F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943D9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AB1805" w:rsidRPr="00AB1805">
        <w:rPr>
          <w:rFonts w:ascii="Times New Roman" w:eastAsia="Times New Roman" w:hAnsi="Times New Roman" w:cs="Times New Roman"/>
          <w:lang w:eastAsia="en-GB"/>
        </w:rPr>
        <w:t>de préférence en économie, en administration des affaires, en droit, ou en science</w:t>
      </w:r>
      <w:r w:rsidR="00AB1805">
        <w:rPr>
          <w:rFonts w:ascii="Times New Roman" w:eastAsia="Times New Roman" w:hAnsi="Times New Roman" w:cs="Times New Roman"/>
          <w:lang w:eastAsia="en-GB"/>
        </w:rPr>
        <w:t>s</w:t>
      </w:r>
      <w:r w:rsidR="00AB1805" w:rsidRPr="00AB1805">
        <w:rPr>
          <w:rFonts w:ascii="Times New Roman" w:eastAsia="Times New Roman" w:hAnsi="Times New Roman" w:cs="Times New Roman"/>
          <w:lang w:eastAsia="en-GB"/>
        </w:rPr>
        <w:t xml:space="preserve"> politique</w:t>
      </w:r>
      <w:r w:rsidR="00AB1805">
        <w:rPr>
          <w:rFonts w:ascii="Times New Roman" w:eastAsia="Times New Roman" w:hAnsi="Times New Roman" w:cs="Times New Roman"/>
          <w:lang w:eastAsia="en-GB"/>
        </w:rPr>
        <w:t>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4010FC" w:rsidRDefault="00AB1805" w:rsidP="00745B97">
      <w:pPr>
        <w:tabs>
          <w:tab w:val="left" w:pos="709"/>
        </w:tabs>
        <w:spacing w:after="0" w:line="240" w:lineRule="auto"/>
        <w:ind w:left="709" w:right="60"/>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Une expérience dans un pays en développement et / ou une organisation internationale et / ou une institution financière de développement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AB1805" w:rsidP="00745B97">
      <w:pPr>
        <w:tabs>
          <w:tab w:val="left" w:pos="709"/>
        </w:tabs>
        <w:spacing w:after="0" w:line="240" w:lineRule="auto"/>
        <w:ind w:left="709" w:right="60"/>
        <w:jc w:val="both"/>
        <w:rPr>
          <w:rFonts w:ascii="Times New Roman" w:eastAsia="Times New Roman" w:hAnsi="Times New Roman" w:cs="Times New Roman"/>
          <w:lang w:eastAsia="en-GB"/>
        </w:rPr>
      </w:pPr>
      <w:r w:rsidRPr="00AB1805">
        <w:rPr>
          <w:rFonts w:ascii="Times New Roman" w:eastAsia="Times New Roman" w:hAnsi="Times New Roman" w:cs="Times New Roman"/>
          <w:lang w:eastAsia="en-GB"/>
        </w:rPr>
        <w:t>Excellente capacité de rédaction et de communication orale en anglais. Une bonne connaissance du français serait un atout.</w:t>
      </w:r>
    </w:p>
    <w:p w:rsidR="00AB1805" w:rsidRPr="00745B97" w:rsidRDefault="00AB1805"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r w:rsidRPr="00745B97">
        <w:rPr>
          <w:rFonts w:ascii="Times New Roman" w:eastAsia="Times New Roman" w:hAnsi="Times New Roman" w:cs="Times New Roman"/>
          <w:lang w:eastAsia="en-GB"/>
        </w:rPr>
        <w:lastRenderedPageBreak/>
        <w:t>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attestations d'expérience </w:t>
      </w:r>
      <w:proofErr w:type="gramStart"/>
      <w:r w:rsidRPr="00745B97">
        <w:rPr>
          <w:rFonts w:ascii="Times New Roman" w:eastAsia="Times New Roman" w:hAnsi="Times New Roman" w:cs="Times New Roman"/>
          <w:lang w:eastAsia="en-GB"/>
        </w:rPr>
        <w:t>professionnelle,…</w:t>
      </w:r>
      <w:proofErr w:type="gramEnd"/>
      <w:r w:rsidRPr="00745B97">
        <w:rPr>
          <w:rFonts w:ascii="Times New Roman" w:eastAsia="Times New Roman" w:hAnsi="Times New Roman" w:cs="Times New Roman"/>
          <w:lang w:eastAsia="en-GB"/>
        </w:rPr>
        <w:t>).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943D98" w:rsidRPr="00745B97" w:rsidRDefault="00943D98"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 xml:space="preserve">décision de la Commission </w:t>
      </w:r>
      <w:proofErr w:type="gramStart"/>
      <w:r w:rsidRPr="00745B97">
        <w:rPr>
          <w:rFonts w:ascii="Times New Roman" w:eastAsia="Times New Roman" w:hAnsi="Times New Roman" w:cs="Times New Roman"/>
          <w:b/>
          <w:lang w:eastAsia="en-GB"/>
        </w:rPr>
        <w:t>C(</w:t>
      </w:r>
      <w:proofErr w:type="gramEnd"/>
      <w:r w:rsidRPr="00745B97">
        <w:rPr>
          <w:rFonts w:ascii="Times New Roman" w:eastAsia="Times New Roman" w:hAnsi="Times New Roman" w:cs="Times New Roman"/>
          <w:b/>
          <w:lang w:eastAsia="en-GB"/>
        </w:rPr>
        <w:t>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943D98" w:rsidRPr="00745B97" w:rsidRDefault="00943D98"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AC55BD" w:rsidRDefault="00745B97" w:rsidP="0045525F">
      <w:pPr>
        <w:spacing w:after="0" w:line="240" w:lineRule="auto"/>
        <w:ind w:left="426"/>
        <w:jc w:val="both"/>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AB1805" w:rsidRDefault="00AB1805" w:rsidP="004E1C73">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4010FC"/>
    <w:rsid w:val="0045525F"/>
    <w:rsid w:val="00534042"/>
    <w:rsid w:val="00572958"/>
    <w:rsid w:val="00745B97"/>
    <w:rsid w:val="00914595"/>
    <w:rsid w:val="00943D98"/>
    <w:rsid w:val="00A8067C"/>
    <w:rsid w:val="00AB1805"/>
    <w:rsid w:val="00B36D07"/>
    <w:rsid w:val="00B4451D"/>
    <w:rsid w:val="00BC14A5"/>
    <w:rsid w:val="00CF677F"/>
    <w:rsid w:val="00D337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9D925"/>
  <w15:docId w15:val="{88417462-DDC4-4F57-878A-98DA630E0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character" w:styleId="Strong">
    <w:name w:val="Strong"/>
    <w:uiPriority w:val="22"/>
    <w:qFormat/>
    <w:rsid w:val="00943D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Antti.Karhunen@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1514</Words>
  <Characters>8589</Characters>
  <Application>Microsoft Office Word</Application>
  <DocSecurity>0</DocSecurity>
  <Lines>186</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2020-03-11T11:10:00Z</dcterms:created>
  <dcterms:modified xsi:type="dcterms:W3CDTF">2020-03-11T11:23:00Z</dcterms:modified>
</cp:coreProperties>
</file>