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550A67" w:rsidP="00745B97">
            <w:pPr>
              <w:rPr>
                <w:rFonts w:ascii="Times New Roman" w:eastAsia="Times New Roman" w:hAnsi="Times New Roman" w:cs="Times New Roman"/>
                <w:b/>
                <w:sz w:val="24"/>
                <w:szCs w:val="20"/>
                <w:lang w:eastAsia="en-GB"/>
              </w:rPr>
            </w:pPr>
            <w:r w:rsidRPr="00550A67">
              <w:rPr>
                <w:rFonts w:ascii="Times New Roman" w:eastAsia="Times New Roman" w:hAnsi="Times New Roman" w:cs="Times New Roman"/>
                <w:b/>
                <w:sz w:val="24"/>
                <w:szCs w:val="20"/>
                <w:lang w:eastAsia="en-GB"/>
              </w:rPr>
              <w:t>COMP-G-1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50A67" w:rsidRPr="00550A67" w:rsidRDefault="00550A67" w:rsidP="00550A67">
            <w:pPr>
              <w:ind w:right="1317"/>
              <w:jc w:val="both"/>
              <w:rPr>
                <w:rFonts w:ascii="Times New Roman" w:eastAsia="Times New Roman" w:hAnsi="Times New Roman" w:cs="Times New Roman"/>
                <w:b/>
                <w:lang w:val="de-DE" w:eastAsia="en-GB"/>
              </w:rPr>
            </w:pPr>
            <w:r w:rsidRPr="00550A67">
              <w:rPr>
                <w:rFonts w:ascii="Times New Roman" w:eastAsia="Times New Roman" w:hAnsi="Times New Roman" w:cs="Times New Roman"/>
                <w:b/>
                <w:lang w:val="de-DE" w:eastAsia="en-GB"/>
              </w:rPr>
              <w:t xml:space="preserve">Gerald </w:t>
            </w:r>
            <w:proofErr w:type="spellStart"/>
            <w:r w:rsidRPr="00550A67">
              <w:rPr>
                <w:rFonts w:ascii="Times New Roman" w:eastAsia="Times New Roman" w:hAnsi="Times New Roman" w:cs="Times New Roman"/>
                <w:b/>
                <w:lang w:val="de-DE" w:eastAsia="en-GB"/>
              </w:rPr>
              <w:t>Miersch</w:t>
            </w:r>
            <w:proofErr w:type="spellEnd"/>
          </w:p>
          <w:p w:rsidR="00550A67" w:rsidRPr="00550A67" w:rsidRDefault="00550A67" w:rsidP="00550A67">
            <w:pPr>
              <w:ind w:right="1317"/>
              <w:jc w:val="both"/>
              <w:rPr>
                <w:rFonts w:ascii="Times New Roman" w:eastAsia="Times New Roman" w:hAnsi="Times New Roman" w:cs="Times New Roman"/>
                <w:b/>
                <w:lang w:val="de-DE" w:eastAsia="en-GB"/>
              </w:rPr>
            </w:pPr>
            <w:hyperlink r:id="rId7" w:history="1">
              <w:r w:rsidRPr="00550A67">
                <w:rPr>
                  <w:rFonts w:ascii="Times New Roman" w:eastAsia="Times New Roman" w:hAnsi="Times New Roman" w:cs="Times New Roman"/>
                  <w:b/>
                  <w:color w:val="0000FF"/>
                  <w:u w:val="single"/>
                  <w:lang w:val="de-DE" w:eastAsia="en-GB"/>
                </w:rPr>
                <w:t>Gerald.Miersch@ec.europa.eu</w:t>
              </w:r>
            </w:hyperlink>
            <w:r w:rsidRPr="00550A67">
              <w:rPr>
                <w:rFonts w:ascii="Times New Roman" w:eastAsia="Times New Roman" w:hAnsi="Times New Roman" w:cs="Times New Roman"/>
                <w:b/>
                <w:lang w:val="de-DE" w:eastAsia="en-GB"/>
              </w:rPr>
              <w:t xml:space="preserve"> </w:t>
            </w:r>
          </w:p>
          <w:p w:rsidR="00550A67" w:rsidRPr="00550A67" w:rsidRDefault="00550A67" w:rsidP="00550A67">
            <w:pPr>
              <w:rPr>
                <w:rFonts w:ascii="Times New Roman" w:eastAsia="Times New Roman" w:hAnsi="Times New Roman" w:cs="Times New Roman"/>
                <w:sz w:val="24"/>
                <w:szCs w:val="20"/>
                <w:lang w:eastAsia="en-GB"/>
              </w:rPr>
            </w:pPr>
            <w:r w:rsidRPr="00550A67">
              <w:rPr>
                <w:rFonts w:ascii="Times New Roman" w:eastAsia="Times New Roman" w:hAnsi="Times New Roman" w:cs="Times New Roman"/>
                <w:b/>
                <w:lang w:eastAsia="en-GB"/>
              </w:rPr>
              <w:t>0032 2 29 96504</w:t>
            </w:r>
          </w:p>
          <w:p w:rsidR="00745B97" w:rsidRPr="00550A67" w:rsidRDefault="00550A67" w:rsidP="00550A67">
            <w:pPr>
              <w:rPr>
                <w:rFonts w:ascii="Times New Roman" w:eastAsia="Times New Roman" w:hAnsi="Times New Roman" w:cs="Times New Roman"/>
                <w:b/>
                <w:sz w:val="24"/>
                <w:szCs w:val="20"/>
                <w:lang w:eastAsia="en-GB"/>
              </w:rPr>
            </w:pPr>
            <w:r w:rsidRPr="00550A67">
              <w:rPr>
                <w:rFonts w:ascii="Times New Roman" w:eastAsia="Times New Roman" w:hAnsi="Times New Roman" w:cs="Times New Roman"/>
                <w:sz w:val="24"/>
                <w:szCs w:val="20"/>
                <w:lang w:eastAsia="en-GB"/>
              </w:rPr>
              <w:t>1</w:t>
            </w:r>
          </w:p>
          <w:p w:rsidR="00745B97" w:rsidRPr="00550A67" w:rsidRDefault="00550A67" w:rsidP="00550A67">
            <w:pPr>
              <w:rPr>
                <w:rFonts w:ascii="Times New Roman" w:eastAsia="Times New Roman" w:hAnsi="Times New Roman" w:cs="Times New Roman"/>
                <w:b/>
                <w:lang w:val="fr-FR" w:eastAsia="en-GB"/>
              </w:rPr>
            </w:pPr>
            <w:r w:rsidRPr="00550A67">
              <w:rPr>
                <w:rFonts w:ascii="Times New Roman" w:eastAsia="Times New Roman" w:hAnsi="Times New Roman" w:cs="Times New Roman"/>
                <w:b/>
                <w:sz w:val="24"/>
                <w:szCs w:val="20"/>
                <w:lang w:eastAsia="en-GB"/>
              </w:rPr>
              <w:t>3</w:t>
            </w:r>
            <w:r w:rsidRPr="00550A67">
              <w:rPr>
                <w:rFonts w:ascii="Times New Roman" w:eastAsia="Times New Roman" w:hAnsi="Times New Roman" w:cs="Times New Roman"/>
                <w:b/>
                <w:sz w:val="24"/>
                <w:szCs w:val="20"/>
                <w:vertAlign w:val="superscript"/>
                <w:lang w:eastAsia="en-GB"/>
              </w:rPr>
              <w:t>ème</w:t>
            </w:r>
            <w:r w:rsidRPr="00550A67">
              <w:rPr>
                <w:rFonts w:ascii="Times New Roman" w:eastAsia="Times New Roman" w:hAnsi="Times New Roman" w:cs="Times New Roman"/>
                <w:b/>
                <w:sz w:val="24"/>
                <w:szCs w:val="20"/>
                <w:lang w:eastAsia="en-GB"/>
              </w:rPr>
              <w:t xml:space="preserve"> / 4</w:t>
            </w:r>
            <w:r w:rsidRPr="00550A67">
              <w:rPr>
                <w:rFonts w:ascii="Times New Roman" w:eastAsia="Times New Roman" w:hAnsi="Times New Roman" w:cs="Times New Roman"/>
                <w:b/>
                <w:sz w:val="24"/>
                <w:szCs w:val="20"/>
                <w:vertAlign w:val="superscript"/>
                <w:lang w:eastAsia="en-GB"/>
              </w:rPr>
              <w:t>ème</w:t>
            </w:r>
            <w:r w:rsidRPr="00550A67">
              <w:rPr>
                <w:rFonts w:ascii="Times New Roman" w:eastAsia="Times New Roman" w:hAnsi="Times New Roman" w:cs="Times New Roman"/>
                <w:b/>
                <w:sz w:val="24"/>
                <w:szCs w:val="20"/>
                <w:lang w:eastAsia="en-GB"/>
              </w:rPr>
              <w:t xml:space="preserve"> tri</w:t>
            </w:r>
            <w:r w:rsidR="00745B97" w:rsidRPr="00550A67">
              <w:rPr>
                <w:rFonts w:ascii="Times New Roman" w:eastAsia="Times New Roman" w:hAnsi="Times New Roman" w:cs="Times New Roman"/>
                <w:b/>
                <w:lang w:eastAsia="en-GB"/>
              </w:rPr>
              <w:t>mestre 20</w:t>
            </w:r>
            <w:r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50A67" w:rsidP="00745B97">
            <w:pPr>
              <w:ind w:right="1317"/>
              <w:jc w:val="both"/>
              <w:rPr>
                <w:rFonts w:ascii="Times New Roman" w:eastAsia="Times New Roman" w:hAnsi="Times New Roman" w:cs="Times New Roman"/>
                <w:b/>
                <w:lang w:val="fr-FR" w:eastAsia="en-GB"/>
              </w:rPr>
            </w:pPr>
            <w:r w:rsidRPr="00550A67">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550A67" w:rsidP="00550A67">
      <w:pPr>
        <w:spacing w:after="0" w:line="240" w:lineRule="auto"/>
        <w:ind w:left="426"/>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L’unité fait partie de la Direction « Cartels » qui s’organise d’une façon décloisonnée. Le rapporteur sera en premier lieu responsable de l’instruction des cas cartels, mais participera aussi dans le développement des politiques horizontales. En appliquant les règles communautaires de la concurrence, il/elle est impliqué/e dans toutes les étapes depuis le début de la procédure d’investigation jusqu’à la décision finale. Le traitement des demandes d’immunité et de réduction des amendes est une tâche importante dans le cadre de la procédure de cartel. En cas de recours devant la Cour à l’encontre des décisions il/elle assiste le Service Juridique. Le travail demande une responsabilité individuelle élevée dans la détermination des faits et leur appréciation. Le travail est effectué en équipe et implique de nombreux contacts avec les entreprises, leurs conseillers juridiques, les autorités de concurrence des Etats membres et des pays tiers. Il/elle devra remplir ses tâches dans les délais impartis et en étroite collaboration avec les autres membres de l'équipe sous la supervision du Case Manager.</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550A67">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550A67" w:rsidRPr="00550A67">
        <w:rPr>
          <w:rFonts w:ascii="Times New Roman" w:eastAsia="Times New Roman" w:hAnsi="Times New Roman" w:cs="Times New Roman"/>
          <w:lang w:eastAsia="en-GB"/>
        </w:rPr>
        <w:t xml:space="preserve">droit/économie avec une connaissance des principes fondamentaux de la politique </w:t>
      </w:r>
      <w:r w:rsidR="00550A67">
        <w:rPr>
          <w:rFonts w:ascii="Times New Roman" w:eastAsia="Times New Roman" w:hAnsi="Times New Roman" w:cs="Times New Roman"/>
          <w:lang w:eastAsia="en-GB"/>
        </w:rPr>
        <w:t xml:space="preserve"> </w:t>
      </w:r>
      <w:r w:rsidR="00550A67" w:rsidRPr="00550A67">
        <w:rPr>
          <w:rFonts w:ascii="Times New Roman" w:eastAsia="Times New Roman" w:hAnsi="Times New Roman" w:cs="Times New Roman"/>
          <w:lang w:eastAsia="en-GB"/>
        </w:rPr>
        <w:t>de la concurrence</w:t>
      </w:r>
      <w:r w:rsidR="00550A67">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50A67" w:rsidP="00745B97">
      <w:pPr>
        <w:tabs>
          <w:tab w:val="left" w:pos="709"/>
        </w:tabs>
        <w:spacing w:after="0" w:line="240" w:lineRule="auto"/>
        <w:ind w:left="709" w:right="60"/>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Le candidat doit avoir de bonnes compétences analytiques et de rédaction, un sens de l'initiative et la capacité de travailler de manière autonome et en équipe. Expérience en droit de la concurrence est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550A67" w:rsidRDefault="00550A67" w:rsidP="00745B97">
      <w:pPr>
        <w:tabs>
          <w:tab w:val="left" w:pos="709"/>
        </w:tabs>
        <w:spacing w:after="0" w:line="240" w:lineRule="auto"/>
        <w:ind w:left="709" w:right="60"/>
        <w:jc w:val="both"/>
        <w:rPr>
          <w:rFonts w:ascii="Times New Roman" w:eastAsia="Times New Roman" w:hAnsi="Times New Roman" w:cs="Times New Roman"/>
          <w:lang w:eastAsia="en-GB"/>
        </w:rPr>
      </w:pPr>
      <w:r w:rsidRPr="00550A67">
        <w:rPr>
          <w:rFonts w:ascii="Times New Roman" w:eastAsia="Times New Roman" w:hAnsi="Times New Roman" w:cs="Times New Roman"/>
          <w:lang w:eastAsia="en-GB"/>
        </w:rPr>
        <w:t>Une très bonne connaissance de l'anglais est requise. Toute autre langue serait un plus.</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550A67" w:rsidRPr="00745B97" w:rsidRDefault="00550A67"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lastRenderedPageBreak/>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50A67"/>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19598C"/>
    <w:rsid w:val="00534042"/>
    <w:rsid w:val="00550A67"/>
    <w:rsid w:val="00745B97"/>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DB7F3"/>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erald.Miersch@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1322</Words>
  <Characters>7553</Characters>
  <Application>Microsoft Office Word</Application>
  <DocSecurity>0</DocSecurity>
  <Lines>164</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2020-03-04T09:33:00Z</dcterms:created>
  <dcterms:modified xsi:type="dcterms:W3CDTF">2020-03-04T09:33:00Z</dcterms:modified>
</cp:coreProperties>
</file>