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3794"/>
        <w:gridCol w:w="5372"/>
      </w:tblGrid>
      <w:tr w:rsidR="00065322" w:rsidTr="00C06CCC">
        <w:trPr>
          <w:trHeight w:val="922"/>
        </w:trPr>
        <w:tc>
          <w:tcPr>
            <w:tcW w:w="3794" w:type="dxa"/>
          </w:tcPr>
          <w:p w:rsidR="00065322" w:rsidRPr="00143CCC" w:rsidRDefault="00065322" w:rsidP="005940EF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143CCC">
              <w:rPr>
                <w:rFonts w:ascii="Cambria" w:hAnsi="Cambria"/>
                <w:sz w:val="24"/>
                <w:szCs w:val="24"/>
              </w:rPr>
              <w:t>Въведени мерки по отношение режима на влизане и излизане в страните на акредитацията Ви и допълнителна такава (ако имате).</w:t>
            </w:r>
          </w:p>
          <w:p w:rsidR="00065322" w:rsidRDefault="00065322"/>
        </w:tc>
        <w:tc>
          <w:tcPr>
            <w:tcW w:w="5372" w:type="dxa"/>
          </w:tcPr>
          <w:p w:rsidR="00692FA4" w:rsidRPr="00381F01" w:rsidRDefault="00720E25" w:rsidP="00720E25">
            <w:pPr>
              <w:jc w:val="both"/>
              <w:rPr>
                <w:rFonts w:ascii="Cambria" w:hAnsi="Cambria"/>
                <w:sz w:val="24"/>
                <w:szCs w:val="24"/>
                <w:lang w:bidi="ar-TN"/>
              </w:rPr>
            </w:pPr>
            <w:r>
              <w:rPr>
                <w:rFonts w:ascii="Cambria" w:hAnsi="Cambria"/>
                <w:sz w:val="24"/>
                <w:szCs w:val="24"/>
                <w:lang w:bidi="ar-TN"/>
              </w:rPr>
              <w:t>Обявено з</w:t>
            </w:r>
            <w:r w:rsidR="00692FA4">
              <w:rPr>
                <w:rFonts w:ascii="Cambria" w:hAnsi="Cambria"/>
                <w:sz w:val="24"/>
                <w:szCs w:val="24"/>
                <w:lang w:bidi="ar-TN"/>
              </w:rPr>
              <w:t>а</w:t>
            </w:r>
            <w:r>
              <w:rPr>
                <w:rFonts w:ascii="Cambria" w:hAnsi="Cambria"/>
                <w:sz w:val="24"/>
                <w:szCs w:val="24"/>
                <w:lang w:bidi="ar-TN"/>
              </w:rPr>
              <w:t xml:space="preserve">тваряне на границите на Тунис, считано от 18.03.2020 г. Изключение ще се допуска само за някои случаи на евакуация. </w:t>
            </w:r>
            <w:r w:rsidR="00692FA4">
              <w:rPr>
                <w:rFonts w:ascii="Cambria" w:hAnsi="Cambria"/>
                <w:sz w:val="24"/>
                <w:szCs w:val="24"/>
                <w:lang w:bidi="ar-TN"/>
              </w:rPr>
              <w:t>Всички граждани, без изключение, подлежат на 14 дневна задължителна карантина при пристигане на тунизийска територия. За нарушителите законът предвижда строги мерки</w:t>
            </w:r>
            <w:r>
              <w:rPr>
                <w:rFonts w:ascii="Cambria" w:hAnsi="Cambria"/>
                <w:sz w:val="24"/>
                <w:szCs w:val="24"/>
                <w:lang w:bidi="ar-TN"/>
              </w:rPr>
              <w:t>, в т.ч. затвор</w:t>
            </w:r>
            <w:r w:rsidR="00692FA4">
              <w:rPr>
                <w:rFonts w:ascii="Cambria" w:hAnsi="Cambria"/>
                <w:sz w:val="24"/>
                <w:szCs w:val="24"/>
                <w:lang w:bidi="ar-TN"/>
              </w:rPr>
              <w:t xml:space="preserve">.  </w:t>
            </w:r>
          </w:p>
        </w:tc>
      </w:tr>
      <w:tr w:rsidR="00065322" w:rsidTr="00C06CCC">
        <w:trPr>
          <w:trHeight w:val="871"/>
        </w:trPr>
        <w:tc>
          <w:tcPr>
            <w:tcW w:w="3794" w:type="dxa"/>
          </w:tcPr>
          <w:p w:rsidR="00065322" w:rsidRPr="00065322" w:rsidRDefault="00065322" w:rsidP="005940EF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65322">
              <w:rPr>
                <w:rFonts w:ascii="Cambria" w:hAnsi="Cambria"/>
                <w:sz w:val="24"/>
                <w:szCs w:val="24"/>
              </w:rPr>
              <w:t>Въведени мерки по отношение на влизане и излизане на транспортни средства (включително такива при транзитно преминаване)  в страните на акредитацията Ви и допълнителна такава (ако имате).</w:t>
            </w:r>
          </w:p>
          <w:p w:rsidR="00065322" w:rsidRDefault="00065322"/>
        </w:tc>
        <w:tc>
          <w:tcPr>
            <w:tcW w:w="5372" w:type="dxa"/>
          </w:tcPr>
          <w:p w:rsidR="00065322" w:rsidRPr="00381F01" w:rsidRDefault="00720E25" w:rsidP="00720E2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Затворени граници</w:t>
            </w:r>
            <w:r w:rsidR="00381F01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065322" w:rsidTr="00C06CCC">
        <w:trPr>
          <w:trHeight w:val="922"/>
        </w:trPr>
        <w:tc>
          <w:tcPr>
            <w:tcW w:w="3794" w:type="dxa"/>
          </w:tcPr>
          <w:p w:rsidR="00065322" w:rsidRPr="00143CCC" w:rsidRDefault="00065322" w:rsidP="005940E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43CCC">
              <w:rPr>
                <w:rFonts w:ascii="Cambria" w:hAnsi="Cambria"/>
                <w:sz w:val="24"/>
                <w:szCs w:val="24"/>
              </w:rPr>
              <w:t>Предложения за алтернативни маршрути за завръщане в България (отворени ГКПП към съседни държави) граждани в случаите на пълно или частично затваряне какви са възможните обходни маршрути (сухопътни, въздушни и морски).</w:t>
            </w:r>
          </w:p>
          <w:p w:rsidR="00065322" w:rsidRDefault="00065322"/>
        </w:tc>
        <w:tc>
          <w:tcPr>
            <w:tcW w:w="5372" w:type="dxa"/>
          </w:tcPr>
          <w:p w:rsidR="00065322" w:rsidRPr="00C858E4" w:rsidRDefault="00692FA4" w:rsidP="00720E25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ambria" w:hAnsi="Cambria"/>
                <w:lang w:val="bg-BG"/>
              </w:rPr>
            </w:pPr>
            <w:r>
              <w:rPr>
                <w:rStyle w:val="risk-level"/>
                <w:rFonts w:ascii="Cambria" w:hAnsi="Cambria"/>
                <w:lang w:val="bg-BG"/>
              </w:rPr>
              <w:t xml:space="preserve">Предвид затварянето на </w:t>
            </w:r>
            <w:r w:rsidR="00720E25">
              <w:rPr>
                <w:rStyle w:val="risk-level"/>
                <w:rFonts w:ascii="Cambria" w:hAnsi="Cambria"/>
                <w:lang w:val="bg-BG"/>
              </w:rPr>
              <w:t xml:space="preserve">границите на страната и въздушното й пространство, </w:t>
            </w:r>
            <w:r>
              <w:rPr>
                <w:rStyle w:val="risk-level"/>
                <w:rFonts w:ascii="Cambria" w:hAnsi="Cambria"/>
                <w:lang w:val="bg-BG"/>
              </w:rPr>
              <w:t xml:space="preserve">не могат да бъдат препоръчани алтернативни </w:t>
            </w:r>
            <w:r w:rsidR="00720E25">
              <w:rPr>
                <w:rStyle w:val="risk-level"/>
                <w:rFonts w:ascii="Cambria" w:hAnsi="Cambria"/>
                <w:lang w:val="bg-BG"/>
              </w:rPr>
              <w:t>маршрути за завръщане в България</w:t>
            </w:r>
            <w:r w:rsidR="00C858E4" w:rsidRPr="00C858E4">
              <w:rPr>
                <w:rStyle w:val="risk-description"/>
                <w:rFonts w:ascii="Cambria" w:hAnsi="Cambria"/>
                <w:lang w:val="bg-BG"/>
              </w:rPr>
              <w:t>.</w:t>
            </w:r>
            <w:r w:rsidR="00381F01" w:rsidRPr="00C858E4">
              <w:rPr>
                <w:rStyle w:val="risk-description"/>
                <w:rFonts w:ascii="Cambria" w:hAnsi="Cambria"/>
                <w:lang w:val="bg-BG"/>
              </w:rPr>
              <w:t xml:space="preserve">  </w:t>
            </w:r>
          </w:p>
        </w:tc>
      </w:tr>
      <w:tr w:rsidR="00065322" w:rsidTr="00C06CCC">
        <w:trPr>
          <w:trHeight w:val="871"/>
        </w:trPr>
        <w:tc>
          <w:tcPr>
            <w:tcW w:w="3794" w:type="dxa"/>
          </w:tcPr>
          <w:p w:rsidR="00065322" w:rsidRPr="00143CCC" w:rsidRDefault="00143CCC" w:rsidP="005940EF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Въведени </w:t>
            </w:r>
            <w:r w:rsidR="00065322" w:rsidRPr="00143CCC">
              <w:rPr>
                <w:rFonts w:ascii="Cambria" w:hAnsi="Cambria"/>
                <w:sz w:val="24"/>
                <w:szCs w:val="24"/>
              </w:rPr>
              <w:t>карантинни/ограничителни мерки за гражданите.</w:t>
            </w:r>
          </w:p>
          <w:p w:rsidR="00065322" w:rsidRDefault="00065322"/>
        </w:tc>
        <w:tc>
          <w:tcPr>
            <w:tcW w:w="5372" w:type="dxa"/>
          </w:tcPr>
          <w:p w:rsidR="00065322" w:rsidRPr="00692FA4" w:rsidRDefault="00C858E4" w:rsidP="00720E2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За момента в </w:t>
            </w:r>
            <w:r w:rsidR="00692FA4">
              <w:rPr>
                <w:rFonts w:ascii="Cambria" w:hAnsi="Cambria"/>
                <w:sz w:val="24"/>
                <w:szCs w:val="24"/>
              </w:rPr>
              <w:t xml:space="preserve">Тунис не е въведена карантина. </w:t>
            </w:r>
            <w:r w:rsidR="00720E25">
              <w:rPr>
                <w:rFonts w:ascii="Cambria" w:hAnsi="Cambria"/>
                <w:sz w:val="24"/>
                <w:szCs w:val="24"/>
              </w:rPr>
              <w:t xml:space="preserve">Валидни са следните </w:t>
            </w:r>
            <w:r w:rsidR="00692FA4" w:rsidRPr="00692FA4">
              <w:rPr>
                <w:rFonts w:ascii="Cambria" w:hAnsi="Cambria"/>
                <w:sz w:val="24"/>
                <w:szCs w:val="24"/>
              </w:rPr>
              <w:t xml:space="preserve">ограничителни мерки: </w:t>
            </w:r>
          </w:p>
          <w:p w:rsidR="00692FA4" w:rsidRPr="00692FA4" w:rsidRDefault="00692FA4" w:rsidP="00720E2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692FA4">
              <w:rPr>
                <w:rFonts w:ascii="Cambria" w:hAnsi="Cambria"/>
                <w:sz w:val="24"/>
                <w:szCs w:val="24"/>
              </w:rPr>
              <w:t>затвар</w:t>
            </w:r>
            <w:r>
              <w:rPr>
                <w:rFonts w:ascii="Cambria" w:hAnsi="Cambria"/>
                <w:sz w:val="24"/>
                <w:szCs w:val="24"/>
              </w:rPr>
              <w:t xml:space="preserve">яне на всички </w:t>
            </w:r>
            <w:r w:rsidR="00720E25">
              <w:rPr>
                <w:rFonts w:ascii="Cambria" w:hAnsi="Cambria"/>
                <w:sz w:val="24"/>
                <w:szCs w:val="24"/>
              </w:rPr>
              <w:t>граници и въздушното пространство на страната</w:t>
            </w:r>
            <w:r w:rsidRPr="00692FA4">
              <w:rPr>
                <w:rFonts w:ascii="Cambria" w:hAnsi="Cambria"/>
                <w:sz w:val="24"/>
                <w:szCs w:val="24"/>
              </w:rPr>
              <w:t>;</w:t>
            </w:r>
          </w:p>
          <w:p w:rsidR="00692FA4" w:rsidRPr="00692FA4" w:rsidRDefault="00692FA4" w:rsidP="00720E2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692FA4">
              <w:rPr>
                <w:rFonts w:ascii="Cambria" w:hAnsi="Cambria"/>
                <w:sz w:val="24"/>
                <w:szCs w:val="24"/>
              </w:rPr>
              <w:t>принудителна 14 дневна домашна карантина на всички пристиг</w:t>
            </w:r>
            <w:r w:rsidR="00720E25">
              <w:rPr>
                <w:rFonts w:ascii="Cambria" w:hAnsi="Cambria"/>
                <w:sz w:val="24"/>
                <w:szCs w:val="24"/>
              </w:rPr>
              <w:t>нали в Тунис, тези били контактни с доказано заразени от вируса, както и при проявени симптоми на болестта</w:t>
            </w:r>
            <w:r w:rsidRPr="00692FA4">
              <w:rPr>
                <w:rFonts w:ascii="Cambria" w:hAnsi="Cambria"/>
                <w:sz w:val="24"/>
                <w:szCs w:val="24"/>
              </w:rPr>
              <w:t>;</w:t>
            </w:r>
          </w:p>
          <w:p w:rsidR="00692FA4" w:rsidRPr="00692FA4" w:rsidRDefault="00692FA4" w:rsidP="00692F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692FA4">
              <w:rPr>
                <w:rFonts w:ascii="Cambria" w:hAnsi="Cambria"/>
                <w:sz w:val="24"/>
                <w:szCs w:val="24"/>
              </w:rPr>
              <w:t xml:space="preserve">отмяна на всички културни, </w:t>
            </w:r>
            <w:r w:rsidR="00720E25">
              <w:rPr>
                <w:rFonts w:ascii="Cambria" w:hAnsi="Cambria"/>
                <w:sz w:val="24"/>
                <w:szCs w:val="24"/>
              </w:rPr>
              <w:t xml:space="preserve">спортни, </w:t>
            </w:r>
            <w:r w:rsidRPr="00692FA4">
              <w:rPr>
                <w:rFonts w:ascii="Cambria" w:hAnsi="Cambria"/>
                <w:sz w:val="24"/>
                <w:szCs w:val="24"/>
              </w:rPr>
              <w:t>научни и обществени прояви;</w:t>
            </w:r>
          </w:p>
          <w:p w:rsidR="00692FA4" w:rsidRPr="00692FA4" w:rsidRDefault="00692FA4" w:rsidP="00692F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692FA4">
              <w:rPr>
                <w:rFonts w:ascii="Cambria" w:hAnsi="Cambria"/>
                <w:sz w:val="24"/>
                <w:szCs w:val="24"/>
              </w:rPr>
              <w:t>затваряне на кафенетата, увеселителните заведения и ресторантите след 16 ч.;</w:t>
            </w:r>
          </w:p>
          <w:p w:rsidR="00692FA4" w:rsidRPr="00692FA4" w:rsidRDefault="00692FA4" w:rsidP="00692F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692FA4">
              <w:rPr>
                <w:rFonts w:ascii="Cambria" w:hAnsi="Cambria"/>
                <w:sz w:val="24"/>
                <w:szCs w:val="24"/>
              </w:rPr>
              <w:t>затваряне, до 28 март, на всички детски градини, ясли и учебни заведения, в т.ч.частните и чуждите такива;</w:t>
            </w:r>
          </w:p>
          <w:p w:rsidR="00692FA4" w:rsidRPr="00692FA4" w:rsidRDefault="00720E25" w:rsidP="00720E2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забрана на </w:t>
            </w:r>
            <w:r w:rsidR="00692FA4" w:rsidRPr="00692FA4">
              <w:rPr>
                <w:rFonts w:ascii="Cambria" w:hAnsi="Cambria"/>
                <w:sz w:val="24"/>
                <w:szCs w:val="24"/>
              </w:rPr>
              <w:t>общите молитви в джамиите, в т.ч. петъчните.</w:t>
            </w:r>
          </w:p>
          <w:p w:rsidR="00692FA4" w:rsidRPr="00C858E4" w:rsidRDefault="00692FA4" w:rsidP="00720E2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2FA4">
              <w:rPr>
                <w:rFonts w:ascii="Cambria" w:hAnsi="Cambria"/>
                <w:sz w:val="24"/>
                <w:szCs w:val="24"/>
              </w:rPr>
              <w:t xml:space="preserve">Мерките </w:t>
            </w:r>
            <w:r>
              <w:rPr>
                <w:rFonts w:ascii="Cambria" w:hAnsi="Cambria"/>
                <w:sz w:val="24"/>
                <w:szCs w:val="24"/>
              </w:rPr>
              <w:t xml:space="preserve">са валидни до 4 април, но </w:t>
            </w:r>
            <w:r w:rsidRPr="00692FA4">
              <w:rPr>
                <w:rFonts w:ascii="Cambria" w:hAnsi="Cambria"/>
                <w:sz w:val="24"/>
                <w:szCs w:val="24"/>
              </w:rPr>
              <w:t xml:space="preserve">могат да бъдат променени или удължени в зависимост от развитията с вируса на място. За нарушителите законът предвижда строги </w:t>
            </w:r>
            <w:r w:rsidR="000A4E5C">
              <w:rPr>
                <w:rFonts w:ascii="Cambria" w:hAnsi="Cambria"/>
                <w:sz w:val="24"/>
                <w:szCs w:val="24"/>
              </w:rPr>
              <w:t>наказания</w:t>
            </w:r>
            <w:r w:rsidRPr="00692FA4">
              <w:rPr>
                <w:rFonts w:ascii="Cambria" w:hAnsi="Cambria"/>
                <w:sz w:val="24"/>
                <w:szCs w:val="24"/>
              </w:rPr>
              <w:t>, в т.ч. затвор.</w:t>
            </w:r>
          </w:p>
        </w:tc>
      </w:tr>
      <w:tr w:rsidR="00065322" w:rsidTr="00C06CCC">
        <w:trPr>
          <w:trHeight w:val="922"/>
        </w:trPr>
        <w:tc>
          <w:tcPr>
            <w:tcW w:w="3794" w:type="dxa"/>
          </w:tcPr>
          <w:p w:rsidR="00143CCC" w:rsidRPr="00143CCC" w:rsidRDefault="00143CCC" w:rsidP="005940E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43CCC">
              <w:rPr>
                <w:rFonts w:ascii="Cambria" w:hAnsi="Cambria"/>
                <w:sz w:val="24"/>
                <w:szCs w:val="24"/>
              </w:rPr>
              <w:t>Въведени ограничения/забрани за вносителите/износителите на стоки и услуги.</w:t>
            </w:r>
          </w:p>
          <w:p w:rsidR="00065322" w:rsidRDefault="00065322"/>
        </w:tc>
        <w:tc>
          <w:tcPr>
            <w:tcW w:w="5372" w:type="dxa"/>
          </w:tcPr>
          <w:p w:rsidR="00065322" w:rsidRPr="00C06CCC" w:rsidRDefault="00C06CCC" w:rsidP="00720E2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06CCC">
              <w:rPr>
                <w:rFonts w:ascii="Cambria" w:hAnsi="Cambria"/>
                <w:sz w:val="24"/>
                <w:szCs w:val="24"/>
              </w:rPr>
              <w:t>Посолството не разполага с информация за въведени специални забрани за вносителите и износителите на стоки и услуги</w:t>
            </w:r>
            <w:r w:rsidR="00692FA4">
              <w:rPr>
                <w:rFonts w:ascii="Cambria" w:hAnsi="Cambria"/>
                <w:sz w:val="24"/>
                <w:szCs w:val="24"/>
              </w:rPr>
              <w:t>. Същевременно</w:t>
            </w:r>
            <w:r w:rsidRPr="00C06CCC">
              <w:rPr>
                <w:rFonts w:ascii="Cambria" w:hAnsi="Cambria"/>
                <w:sz w:val="24"/>
                <w:szCs w:val="24"/>
              </w:rPr>
              <w:t>,</w:t>
            </w:r>
            <w:r w:rsidR="00692FA4">
              <w:rPr>
                <w:rFonts w:ascii="Cambria" w:hAnsi="Cambria"/>
                <w:sz w:val="24"/>
                <w:szCs w:val="24"/>
              </w:rPr>
              <w:t xml:space="preserve"> затварянето на граници</w:t>
            </w:r>
            <w:r w:rsidR="00720E25">
              <w:rPr>
                <w:rFonts w:ascii="Cambria" w:hAnsi="Cambria"/>
                <w:sz w:val="24"/>
                <w:szCs w:val="24"/>
              </w:rPr>
              <w:t>те</w:t>
            </w:r>
            <w:r w:rsidR="00692FA4">
              <w:rPr>
                <w:rFonts w:ascii="Cambria" w:hAnsi="Cambria"/>
                <w:sz w:val="24"/>
                <w:szCs w:val="24"/>
              </w:rPr>
              <w:t xml:space="preserve"> без съмнение ще се отразят на възможностите за внос и износ на стоки и услуги.</w:t>
            </w:r>
            <w:r w:rsidRPr="00C06CC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B978A5" w:rsidRDefault="00B978A5" w:rsidP="00C06CCC"/>
    <w:sectPr w:rsidR="00B978A5" w:rsidSect="00C06CCC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7F" w:rsidRDefault="00C73A7F" w:rsidP="005940EF">
      <w:pPr>
        <w:spacing w:after="0" w:line="240" w:lineRule="auto"/>
      </w:pPr>
      <w:r>
        <w:separator/>
      </w:r>
    </w:p>
  </w:endnote>
  <w:endnote w:type="continuationSeparator" w:id="0">
    <w:p w:rsidR="00C73A7F" w:rsidRDefault="00C73A7F" w:rsidP="0059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7F" w:rsidRDefault="00C73A7F" w:rsidP="005940EF">
      <w:pPr>
        <w:spacing w:after="0" w:line="240" w:lineRule="auto"/>
      </w:pPr>
      <w:r>
        <w:separator/>
      </w:r>
    </w:p>
  </w:footnote>
  <w:footnote w:type="continuationSeparator" w:id="0">
    <w:p w:rsidR="00C73A7F" w:rsidRDefault="00C73A7F" w:rsidP="0059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01" w:rsidRPr="00720E25" w:rsidRDefault="00692FA4" w:rsidP="00692FA4">
    <w:pPr>
      <w:pStyle w:val="Header"/>
      <w:rPr>
        <w:rFonts w:ascii="Cambria" w:hAnsi="Cambria"/>
        <w:b/>
        <w:bCs/>
        <w:sz w:val="28"/>
        <w:szCs w:val="28"/>
        <w:u w:val="single"/>
        <w:lang w:bidi="ar-TN"/>
      </w:rPr>
    </w:pPr>
    <w:r>
      <w:rPr>
        <w:rFonts w:ascii="Cambria" w:hAnsi="Cambria"/>
        <w:b/>
        <w:bCs/>
        <w:sz w:val="28"/>
        <w:szCs w:val="28"/>
        <w:u w:val="single"/>
        <w:lang w:bidi="ar-TN"/>
      </w:rPr>
      <w:t>ТУНИС</w:t>
    </w:r>
    <w:r w:rsidR="00720E25">
      <w:rPr>
        <w:rFonts w:ascii="Cambria" w:hAnsi="Cambria"/>
        <w:b/>
        <w:bCs/>
        <w:sz w:val="28"/>
        <w:szCs w:val="28"/>
        <w:u w:val="single"/>
        <w:lang w:val="en-US" w:bidi="ar-TN"/>
      </w:rPr>
      <w:t xml:space="preserve"> </w:t>
    </w:r>
    <w:r w:rsidR="00720E25">
      <w:rPr>
        <w:rFonts w:ascii="Cambria" w:hAnsi="Cambria"/>
        <w:b/>
        <w:bCs/>
        <w:sz w:val="28"/>
        <w:szCs w:val="28"/>
        <w:u w:val="single"/>
        <w:lang w:bidi="ar-TN"/>
      </w:rPr>
      <w:t>– актуализирани данни към 17.03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57B3E"/>
    <w:multiLevelType w:val="hybridMultilevel"/>
    <w:tmpl w:val="4694F8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0302D"/>
    <w:multiLevelType w:val="hybridMultilevel"/>
    <w:tmpl w:val="1786E0A0"/>
    <w:lvl w:ilvl="0" w:tplc="4E429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22"/>
    <w:rsid w:val="00004DC0"/>
    <w:rsid w:val="00065322"/>
    <w:rsid w:val="0006728B"/>
    <w:rsid w:val="000A4E5C"/>
    <w:rsid w:val="000D64BC"/>
    <w:rsid w:val="00143CCC"/>
    <w:rsid w:val="00381F01"/>
    <w:rsid w:val="005940EF"/>
    <w:rsid w:val="00692FA4"/>
    <w:rsid w:val="00720E25"/>
    <w:rsid w:val="00796D92"/>
    <w:rsid w:val="00805646"/>
    <w:rsid w:val="00A44A5A"/>
    <w:rsid w:val="00B978A5"/>
    <w:rsid w:val="00C06CCC"/>
    <w:rsid w:val="00C73A7F"/>
    <w:rsid w:val="00C76E8D"/>
    <w:rsid w:val="00C858E4"/>
    <w:rsid w:val="00F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43F1D-AC25-4C6B-B9D8-CEEFF5F1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EF"/>
  </w:style>
  <w:style w:type="paragraph" w:styleId="Footer">
    <w:name w:val="footer"/>
    <w:basedOn w:val="Normal"/>
    <w:link w:val="FooterChar"/>
    <w:uiPriority w:val="99"/>
    <w:unhideWhenUsed/>
    <w:rsid w:val="0059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EF"/>
  </w:style>
  <w:style w:type="paragraph" w:styleId="NormalWeb">
    <w:name w:val="Normal (Web)"/>
    <w:basedOn w:val="Normal"/>
    <w:uiPriority w:val="99"/>
    <w:unhideWhenUsed/>
    <w:rsid w:val="0038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isk-level">
    <w:name w:val="risk-level"/>
    <w:basedOn w:val="DefaultParagraphFont"/>
    <w:rsid w:val="00381F01"/>
  </w:style>
  <w:style w:type="character" w:customStyle="1" w:styleId="risk-description">
    <w:name w:val="risk-description"/>
    <w:basedOn w:val="DefaultParagraphFont"/>
    <w:rsid w:val="0038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3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742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Kaymakanova</dc:creator>
  <cp:lastModifiedBy>Denitsa Petkova</cp:lastModifiedBy>
  <cp:revision>2</cp:revision>
  <dcterms:created xsi:type="dcterms:W3CDTF">2020-03-17T11:35:00Z</dcterms:created>
  <dcterms:modified xsi:type="dcterms:W3CDTF">2020-03-17T11:35:00Z</dcterms:modified>
</cp:coreProperties>
</file>