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B01397"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EAC-B-3</w:t>
            </w:r>
          </w:p>
        </w:tc>
      </w:tr>
      <w:tr w:rsidR="00745B97" w:rsidRPr="00E812D8"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01397" w:rsidRPr="00B01397" w:rsidRDefault="00B01397" w:rsidP="00B01397">
            <w:pPr>
              <w:rPr>
                <w:rFonts w:ascii="Times New Roman" w:eastAsia="Times New Roman" w:hAnsi="Times New Roman" w:cs="Times New Roman"/>
                <w:b/>
                <w:sz w:val="24"/>
                <w:szCs w:val="20"/>
                <w:lang w:val="es-ES" w:eastAsia="en-GB"/>
              </w:rPr>
            </w:pPr>
            <w:r w:rsidRPr="00B01397">
              <w:rPr>
                <w:rFonts w:ascii="Times New Roman" w:eastAsia="Times New Roman" w:hAnsi="Times New Roman" w:cs="Times New Roman"/>
                <w:b/>
                <w:sz w:val="24"/>
                <w:szCs w:val="20"/>
                <w:lang w:val="es-ES" w:eastAsia="en-GB"/>
              </w:rPr>
              <w:t xml:space="preserve">Florencia van </w:t>
            </w:r>
            <w:proofErr w:type="spellStart"/>
            <w:r w:rsidRPr="00B01397">
              <w:rPr>
                <w:rFonts w:ascii="Times New Roman" w:eastAsia="Times New Roman" w:hAnsi="Times New Roman" w:cs="Times New Roman"/>
                <w:b/>
                <w:sz w:val="24"/>
                <w:szCs w:val="20"/>
                <w:lang w:val="es-ES" w:eastAsia="en-GB"/>
              </w:rPr>
              <w:t>Houdt</w:t>
            </w:r>
            <w:proofErr w:type="spellEnd"/>
          </w:p>
          <w:p w:rsidR="00B01397" w:rsidRPr="00B01397" w:rsidRDefault="00B01397" w:rsidP="00B01397">
            <w:pPr>
              <w:rPr>
                <w:rFonts w:ascii="Times New Roman" w:eastAsia="Times New Roman" w:hAnsi="Times New Roman" w:cs="Times New Roman"/>
                <w:b/>
                <w:sz w:val="24"/>
                <w:szCs w:val="20"/>
                <w:lang w:val="es-ES" w:eastAsia="en-GB"/>
              </w:rPr>
            </w:pPr>
            <w:hyperlink r:id="rId9" w:history="1">
              <w:r w:rsidRPr="00A666C9">
                <w:rPr>
                  <w:rStyle w:val="Hyperlink"/>
                  <w:rFonts w:ascii="Times New Roman" w:eastAsia="Times New Roman" w:hAnsi="Times New Roman" w:cs="Times New Roman"/>
                  <w:b/>
                  <w:sz w:val="24"/>
                  <w:szCs w:val="20"/>
                  <w:lang w:val="es-ES" w:eastAsia="en-GB"/>
                </w:rPr>
                <w:t>Florencia.van-houdt@ec.europa.eu</w:t>
              </w:r>
            </w:hyperlink>
            <w:r>
              <w:rPr>
                <w:rFonts w:ascii="Times New Roman" w:eastAsia="Times New Roman" w:hAnsi="Times New Roman" w:cs="Times New Roman"/>
                <w:b/>
                <w:sz w:val="24"/>
                <w:szCs w:val="20"/>
                <w:lang w:val="es-ES" w:eastAsia="en-GB"/>
              </w:rPr>
              <w:t xml:space="preserve"> </w:t>
            </w:r>
          </w:p>
          <w:p w:rsidR="00E812D8" w:rsidRPr="001B660D" w:rsidRDefault="00B01397" w:rsidP="00B01397">
            <w:pPr>
              <w:rPr>
                <w:rFonts w:ascii="Times New Roman" w:eastAsia="Times New Roman" w:hAnsi="Times New Roman" w:cs="Times New Roman"/>
                <w:b/>
                <w:sz w:val="24"/>
                <w:szCs w:val="20"/>
                <w:lang w:val="fr-FR" w:eastAsia="en-GB"/>
              </w:rPr>
            </w:pPr>
            <w:r w:rsidRPr="00B01397">
              <w:rPr>
                <w:rFonts w:ascii="Times New Roman" w:eastAsia="Times New Roman" w:hAnsi="Times New Roman" w:cs="Times New Roman"/>
                <w:b/>
                <w:sz w:val="24"/>
                <w:szCs w:val="20"/>
                <w:lang w:val="pl-PL" w:eastAsia="en-GB"/>
              </w:rPr>
              <w:t>+32 2 29 91228</w:t>
            </w:r>
          </w:p>
          <w:p w:rsidR="00E812D8" w:rsidRDefault="00E812D8" w:rsidP="00E812D8">
            <w:pPr>
              <w:rPr>
                <w:rFonts w:ascii="Times New Roman" w:eastAsia="Times New Roman" w:hAnsi="Times New Roman" w:cs="Times New Roman"/>
                <w:b/>
                <w:sz w:val="24"/>
                <w:szCs w:val="20"/>
                <w:lang w:eastAsia="en-GB"/>
              </w:rPr>
            </w:pPr>
            <w:r w:rsidRPr="00E812D8">
              <w:rPr>
                <w:rFonts w:ascii="Times New Roman" w:eastAsia="Times New Roman" w:hAnsi="Times New Roman" w:cs="Times New Roman"/>
                <w:b/>
                <w:sz w:val="24"/>
                <w:szCs w:val="20"/>
                <w:lang w:eastAsia="en-GB"/>
              </w:rPr>
              <w:t>1</w:t>
            </w:r>
          </w:p>
          <w:p w:rsidR="00745B97" w:rsidRPr="00E812D8" w:rsidRDefault="00B01397" w:rsidP="00007C95">
            <w:pPr>
              <w:rPr>
                <w:rFonts w:ascii="Times New Roman" w:eastAsia="Times New Roman" w:hAnsi="Times New Roman" w:cs="Times New Roman"/>
                <w:b/>
                <w:lang w:val="fr-FR" w:eastAsia="en-GB"/>
              </w:rPr>
            </w:pPr>
            <w:r>
              <w:rPr>
                <w:rFonts w:ascii="Times New Roman" w:eastAsia="Times New Roman" w:hAnsi="Times New Roman" w:cs="Times New Roman"/>
                <w:b/>
                <w:sz w:val="24"/>
                <w:szCs w:val="20"/>
                <w:lang w:eastAsia="en-GB"/>
              </w:rPr>
              <w:t>2</w:t>
            </w:r>
            <w:proofErr w:type="spellStart"/>
            <w:r w:rsidR="00E812D8" w:rsidRPr="00E812D8">
              <w:rPr>
                <w:rFonts w:ascii="Times New Roman" w:eastAsia="Times New Roman" w:hAnsi="Times New Roman" w:cs="Times New Roman"/>
                <w:b/>
                <w:vertAlign w:val="superscript"/>
                <w:lang w:val="fr-FR" w:eastAsia="en-GB"/>
              </w:rPr>
              <w:t>ème</w:t>
            </w:r>
            <w:proofErr w:type="spellEnd"/>
            <w:r w:rsidR="00E812D8">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sidR="00E812D8">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436D49"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E812D8">
              <w:rPr>
                <w:rFonts w:ascii="Times New Roman" w:eastAsia="Times New Roman" w:hAnsi="Times New Roman" w:cs="Times New Roman"/>
                <w:b/>
                <w:vertAlign w:val="superscript"/>
                <w:lang w:val="fr-FR" w:eastAsia="en-GB"/>
              </w:rPr>
              <w:t>1</w:t>
            </w:r>
          </w:p>
          <w:p w:rsidR="00745B97" w:rsidRPr="00E812D8" w:rsidRDefault="001B660D" w:rsidP="001B660D">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00B44268"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 xml:space="preserve">utre: </w:t>
            </w:r>
            <w:r>
              <w:rPr>
                <w:rFonts w:ascii="Times New Roman" w:eastAsia="Times New Roman" w:hAnsi="Times New Roman" w:cs="Times New Roman"/>
                <w:b/>
                <w:lang w:val="fr-FR"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34100B"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100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34100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01397" w:rsidRDefault="00B01397" w:rsidP="00B01397">
      <w:pPr>
        <w:spacing w:after="0" w:line="240" w:lineRule="auto"/>
        <w:ind w:left="567"/>
        <w:jc w:val="both"/>
        <w:rPr>
          <w:rFonts w:ascii="Times New Roman" w:eastAsia="Times New Roman" w:hAnsi="Times New Roman" w:cs="Times New Roman"/>
          <w:lang w:val="fr-FR" w:eastAsia="en-GB"/>
        </w:rPr>
      </w:pPr>
      <w:r w:rsidRPr="00B01397">
        <w:rPr>
          <w:rFonts w:ascii="Times New Roman" w:eastAsia="Times New Roman" w:hAnsi="Times New Roman" w:cs="Times New Roman"/>
          <w:lang w:val="fr-FR" w:eastAsia="en-GB"/>
        </w:rPr>
        <w:t>L'unité "Jeunesse, Solidarité des Volontaires et Bureau des Stages" est organisée en quatre équipes chargées respectivement de la mise en œuvre de la stratégie européenne en faveur de la jeunesse (dans le cadre de la coopération en matière de politique de la jeunesse avec les États membres et les parties prenantes, basé sur des instruments tels que l'apprentissage mutuel, le développement des connaissances et le dialogue politique); la mise en œuvre du Corps Européen de Solidarité et des activités pour la jeunesse dans le cadre d'Erasmus +, en coopération avec des agences nationales et une agence exécutive; le développement d'outils et de réseaux pour permettre de mieux atteindre les jeunes et de développer une communauté; le programme des stages de la Commission.</w:t>
      </w:r>
    </w:p>
    <w:p w:rsidR="00B01397" w:rsidRPr="00B01397" w:rsidRDefault="00B01397" w:rsidP="00B01397">
      <w:pPr>
        <w:spacing w:after="0" w:line="240" w:lineRule="auto"/>
        <w:ind w:left="567"/>
        <w:jc w:val="both"/>
        <w:rPr>
          <w:rFonts w:ascii="Times New Roman" w:eastAsia="Times New Roman" w:hAnsi="Times New Roman" w:cs="Times New Roman"/>
          <w:lang w:val="fr-FR" w:eastAsia="en-GB"/>
        </w:rPr>
      </w:pPr>
    </w:p>
    <w:p w:rsidR="00B01397" w:rsidRPr="00B01397" w:rsidRDefault="00B01397" w:rsidP="00B01397">
      <w:pPr>
        <w:spacing w:after="0" w:line="240" w:lineRule="auto"/>
        <w:ind w:left="567"/>
        <w:jc w:val="both"/>
        <w:rPr>
          <w:rFonts w:ascii="Times New Roman" w:eastAsia="Times New Roman" w:hAnsi="Times New Roman" w:cs="Times New Roman"/>
          <w:lang w:val="fr-FR" w:eastAsia="en-GB"/>
        </w:rPr>
      </w:pPr>
      <w:r w:rsidRPr="00B01397">
        <w:rPr>
          <w:rFonts w:ascii="Times New Roman" w:eastAsia="Times New Roman" w:hAnsi="Times New Roman" w:cs="Times New Roman"/>
          <w:lang w:val="fr-FR" w:eastAsia="en-GB"/>
        </w:rPr>
        <w:t>Nous proposons un poste varié et stimulant dans un environnement dynamique incluant les tâches suivantes :</w:t>
      </w:r>
    </w:p>
    <w:p w:rsidR="00B01397" w:rsidRPr="00B01397" w:rsidRDefault="00B01397" w:rsidP="00B01397">
      <w:pPr>
        <w:pStyle w:val="ListParagraph"/>
        <w:numPr>
          <w:ilvl w:val="0"/>
          <w:numId w:val="11"/>
        </w:numPr>
        <w:spacing w:after="0" w:line="240" w:lineRule="auto"/>
        <w:ind w:left="851" w:hanging="284"/>
        <w:jc w:val="both"/>
        <w:rPr>
          <w:rFonts w:ascii="Times New Roman" w:eastAsia="Times New Roman" w:hAnsi="Times New Roman" w:cs="Times New Roman"/>
          <w:lang w:val="fr-FR" w:eastAsia="en-GB"/>
        </w:rPr>
      </w:pPr>
      <w:r w:rsidRPr="00B01397">
        <w:rPr>
          <w:rFonts w:ascii="Times New Roman" w:eastAsia="Times New Roman" w:hAnsi="Times New Roman" w:cs="Times New Roman"/>
          <w:lang w:val="fr-FR" w:eastAsia="en-GB"/>
        </w:rPr>
        <w:t>Contribuer au développement des politiques dans les domaines de l’acquisition des compétences et de la participation des jeunes, y compris le dialogue en ligne avec les jeunes;</w:t>
      </w:r>
    </w:p>
    <w:p w:rsidR="00B01397" w:rsidRPr="00B01397" w:rsidRDefault="00B01397" w:rsidP="00B01397">
      <w:pPr>
        <w:pStyle w:val="ListParagraph"/>
        <w:numPr>
          <w:ilvl w:val="0"/>
          <w:numId w:val="11"/>
        </w:numPr>
        <w:spacing w:after="0" w:line="240" w:lineRule="auto"/>
        <w:ind w:left="851" w:hanging="284"/>
        <w:jc w:val="both"/>
        <w:rPr>
          <w:rFonts w:ascii="Times New Roman" w:eastAsia="Times New Roman" w:hAnsi="Times New Roman" w:cs="Times New Roman"/>
          <w:lang w:val="fr-FR" w:eastAsia="en-GB"/>
        </w:rPr>
      </w:pPr>
      <w:r w:rsidRPr="00B01397">
        <w:rPr>
          <w:rFonts w:ascii="Times New Roman" w:eastAsia="Times New Roman" w:hAnsi="Times New Roman" w:cs="Times New Roman"/>
          <w:lang w:val="fr-FR" w:eastAsia="en-GB"/>
        </w:rPr>
        <w:t xml:space="preserve">Contribuer à la conception et l’organisation des activités relatives à la connaissance et à l’expertise dans le domaine de la jeunesse (études, bonnes pratiques); </w:t>
      </w:r>
    </w:p>
    <w:p w:rsidR="00B01397" w:rsidRPr="00B01397" w:rsidRDefault="00B01397" w:rsidP="00B01397">
      <w:pPr>
        <w:pStyle w:val="ListParagraph"/>
        <w:numPr>
          <w:ilvl w:val="0"/>
          <w:numId w:val="11"/>
        </w:numPr>
        <w:spacing w:after="0" w:line="240" w:lineRule="auto"/>
        <w:ind w:left="851" w:hanging="284"/>
        <w:jc w:val="both"/>
        <w:rPr>
          <w:rFonts w:ascii="Times New Roman" w:eastAsia="Times New Roman" w:hAnsi="Times New Roman" w:cs="Times New Roman"/>
          <w:lang w:val="fr-FR" w:eastAsia="en-GB"/>
        </w:rPr>
      </w:pPr>
      <w:r w:rsidRPr="00B01397">
        <w:rPr>
          <w:rFonts w:ascii="Times New Roman" w:eastAsia="Times New Roman" w:hAnsi="Times New Roman" w:cs="Times New Roman"/>
          <w:lang w:val="fr-FR" w:eastAsia="en-GB"/>
        </w:rPr>
        <w:t>Maintenir le dialogue avec les responsables politiques, les parties prenantes et les experts lors des réunions, des groupes de travail, des conférences, etc.;</w:t>
      </w:r>
    </w:p>
    <w:p w:rsidR="00B01397" w:rsidRPr="00B01397" w:rsidRDefault="00B01397" w:rsidP="00B01397">
      <w:pPr>
        <w:pStyle w:val="ListParagraph"/>
        <w:numPr>
          <w:ilvl w:val="0"/>
          <w:numId w:val="11"/>
        </w:numPr>
        <w:spacing w:after="0" w:line="240" w:lineRule="auto"/>
        <w:ind w:left="851" w:hanging="284"/>
        <w:jc w:val="both"/>
        <w:rPr>
          <w:rFonts w:ascii="Times New Roman" w:eastAsia="Times New Roman" w:hAnsi="Times New Roman" w:cs="Times New Roman"/>
          <w:lang w:val="fr-FR" w:eastAsia="en-GB"/>
        </w:rPr>
      </w:pPr>
      <w:r w:rsidRPr="00B01397">
        <w:rPr>
          <w:rFonts w:ascii="Times New Roman" w:eastAsia="Times New Roman" w:hAnsi="Times New Roman" w:cs="Times New Roman"/>
          <w:lang w:val="fr-FR" w:eastAsia="en-GB"/>
        </w:rPr>
        <w:t>Rédiger des documents analytiques, des briefings, des articles et autres documents;</w:t>
      </w:r>
    </w:p>
    <w:p w:rsidR="00B01397" w:rsidRPr="00B01397" w:rsidRDefault="00B01397" w:rsidP="00B01397">
      <w:pPr>
        <w:pStyle w:val="ListParagraph"/>
        <w:numPr>
          <w:ilvl w:val="0"/>
          <w:numId w:val="11"/>
        </w:numPr>
        <w:spacing w:after="0" w:line="240" w:lineRule="auto"/>
        <w:ind w:left="851" w:hanging="284"/>
        <w:jc w:val="both"/>
        <w:rPr>
          <w:rFonts w:ascii="Times New Roman" w:eastAsia="Times New Roman" w:hAnsi="Times New Roman" w:cs="Times New Roman"/>
          <w:lang w:val="fr-FR" w:eastAsia="en-GB"/>
        </w:rPr>
      </w:pPr>
      <w:r w:rsidRPr="00B01397">
        <w:rPr>
          <w:rFonts w:ascii="Times New Roman" w:eastAsia="Times New Roman" w:hAnsi="Times New Roman" w:cs="Times New Roman"/>
          <w:lang w:val="fr-FR" w:eastAsia="en-GB"/>
        </w:rPr>
        <w:t>Présenter le travail de l’Union européenne dans le domaine de la jeunesse;</w:t>
      </w:r>
    </w:p>
    <w:p w:rsidR="00A76B6D" w:rsidRPr="00007C95" w:rsidRDefault="00B01397" w:rsidP="00B01397">
      <w:pPr>
        <w:pStyle w:val="ListParagraph"/>
        <w:numPr>
          <w:ilvl w:val="0"/>
          <w:numId w:val="11"/>
        </w:numPr>
        <w:spacing w:after="0" w:line="240" w:lineRule="auto"/>
        <w:ind w:left="851" w:hanging="284"/>
        <w:jc w:val="both"/>
        <w:rPr>
          <w:rFonts w:ascii="Times New Roman" w:eastAsia="Times New Roman" w:hAnsi="Times New Roman" w:cs="Times New Roman"/>
          <w:lang w:val="fr-FR" w:eastAsia="en-GB"/>
        </w:rPr>
      </w:pPr>
      <w:r w:rsidRPr="00B01397">
        <w:rPr>
          <w:rFonts w:ascii="Times New Roman" w:eastAsia="Times New Roman" w:hAnsi="Times New Roman" w:cs="Times New Roman"/>
          <w:lang w:val="fr-FR" w:eastAsia="en-GB"/>
        </w:rPr>
        <w:t>Suivre les développements des politiques de la jeunesse dans les États membres de l’UE.</w:t>
      </w:r>
    </w:p>
    <w:p w:rsidR="00C5621C" w:rsidRPr="00745B97" w:rsidRDefault="00C5621C" w:rsidP="00C5621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200D65">
      <w:pPr>
        <w:ind w:left="851"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B01397">
        <w:rPr>
          <w:rFonts w:ascii="Times New Roman" w:eastAsia="Times New Roman" w:hAnsi="Times New Roman" w:cs="Times New Roman"/>
          <w:lang w:eastAsia="en-GB"/>
        </w:rPr>
        <w:t>é</w:t>
      </w:r>
      <w:r w:rsidR="00B01397" w:rsidRPr="00B01397">
        <w:rPr>
          <w:rFonts w:ascii="Times New Roman" w:eastAsia="Times New Roman" w:hAnsi="Times New Roman" w:cs="Times New Roman"/>
          <w:lang w:eastAsia="en-GB"/>
        </w:rPr>
        <w:t xml:space="preserve">conomie, </w:t>
      </w:r>
      <w:r w:rsidR="00B01397">
        <w:rPr>
          <w:rFonts w:ascii="Times New Roman" w:eastAsia="Times New Roman" w:hAnsi="Times New Roman" w:cs="Times New Roman"/>
          <w:lang w:eastAsia="en-GB"/>
        </w:rPr>
        <w:t>d</w:t>
      </w:r>
      <w:r w:rsidR="00B01397" w:rsidRPr="00B01397">
        <w:rPr>
          <w:rFonts w:ascii="Times New Roman" w:eastAsia="Times New Roman" w:hAnsi="Times New Roman" w:cs="Times New Roman"/>
          <w:lang w:eastAsia="en-GB"/>
        </w:rPr>
        <w:t xml:space="preserve">roit, </w:t>
      </w:r>
      <w:r w:rsidR="00B01397">
        <w:rPr>
          <w:rFonts w:ascii="Times New Roman" w:eastAsia="Times New Roman" w:hAnsi="Times New Roman" w:cs="Times New Roman"/>
          <w:lang w:eastAsia="en-GB"/>
        </w:rPr>
        <w:t>s</w:t>
      </w:r>
      <w:r w:rsidR="00B01397" w:rsidRPr="00B01397">
        <w:rPr>
          <w:rFonts w:ascii="Times New Roman" w:eastAsia="Times New Roman" w:hAnsi="Times New Roman" w:cs="Times New Roman"/>
          <w:lang w:eastAsia="en-GB"/>
        </w:rPr>
        <w:t xml:space="preserve">ciences sociales ou </w:t>
      </w:r>
      <w:r w:rsidR="00B01397">
        <w:rPr>
          <w:rFonts w:ascii="Times New Roman" w:eastAsia="Times New Roman" w:hAnsi="Times New Roman" w:cs="Times New Roman"/>
          <w:lang w:eastAsia="en-GB"/>
        </w:rPr>
        <w:t>s</w:t>
      </w:r>
      <w:r w:rsidR="00B01397" w:rsidRPr="00B01397">
        <w:rPr>
          <w:rFonts w:ascii="Times New Roman" w:eastAsia="Times New Roman" w:hAnsi="Times New Roman" w:cs="Times New Roman"/>
          <w:lang w:eastAsia="en-GB"/>
        </w:rPr>
        <w:t>ciences politiques</w:t>
      </w:r>
      <w:r w:rsidR="00436D49">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B01397" w:rsidRDefault="00B01397" w:rsidP="001B660D">
      <w:pPr>
        <w:tabs>
          <w:tab w:val="left" w:pos="709"/>
        </w:tabs>
        <w:spacing w:after="0" w:line="240" w:lineRule="auto"/>
        <w:ind w:left="709" w:right="60"/>
        <w:jc w:val="both"/>
        <w:rPr>
          <w:rFonts w:ascii="Times New Roman" w:eastAsia="Times New Roman" w:hAnsi="Times New Roman" w:cs="Times New Roman"/>
          <w:lang w:eastAsia="en-GB"/>
        </w:rPr>
      </w:pPr>
      <w:r w:rsidRPr="00B01397">
        <w:rPr>
          <w:rFonts w:ascii="Times New Roman" w:eastAsia="Times New Roman" w:hAnsi="Times New Roman" w:cs="Times New Roman"/>
          <w:lang w:eastAsia="en-GB"/>
        </w:rPr>
        <w:t>Expérience dans le domaine de la politique de la jeunesse et d</w:t>
      </w:r>
      <w:r>
        <w:rPr>
          <w:rFonts w:ascii="Times New Roman" w:eastAsia="Times New Roman" w:hAnsi="Times New Roman" w:cs="Times New Roman"/>
          <w:lang w:eastAsia="en-GB"/>
        </w:rPr>
        <w:t>e la participation des jeunes.</w:t>
      </w:r>
    </w:p>
    <w:p w:rsidR="001B660D" w:rsidRDefault="00B01397" w:rsidP="001B660D">
      <w:pPr>
        <w:tabs>
          <w:tab w:val="left" w:pos="709"/>
        </w:tabs>
        <w:spacing w:after="0" w:line="240" w:lineRule="auto"/>
        <w:ind w:left="709" w:right="60"/>
        <w:jc w:val="both"/>
        <w:rPr>
          <w:rFonts w:ascii="Times New Roman" w:eastAsia="Times New Roman" w:hAnsi="Times New Roman" w:cs="Times New Roman"/>
          <w:lang w:eastAsia="en-GB"/>
        </w:rPr>
      </w:pPr>
      <w:r w:rsidRPr="00B01397">
        <w:rPr>
          <w:rFonts w:ascii="Times New Roman" w:eastAsia="Times New Roman" w:hAnsi="Times New Roman" w:cs="Times New Roman"/>
          <w:lang w:eastAsia="en-GB"/>
        </w:rPr>
        <w:t>Expérience dans le domaine de la préparation et l’animation des débats et des réunions.</w:t>
      </w:r>
    </w:p>
    <w:p w:rsidR="00B01397" w:rsidRDefault="00B01397" w:rsidP="001B660D">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B72DD" w:rsidRDefault="00B01397" w:rsidP="00200D65">
      <w:pPr>
        <w:tabs>
          <w:tab w:val="left" w:pos="709"/>
        </w:tabs>
        <w:spacing w:after="0" w:line="240" w:lineRule="auto"/>
        <w:ind w:left="709" w:right="60"/>
        <w:jc w:val="both"/>
        <w:rPr>
          <w:rFonts w:ascii="Times New Roman" w:eastAsia="Times New Roman" w:hAnsi="Times New Roman" w:cs="Times New Roman"/>
          <w:lang w:eastAsia="en-GB"/>
        </w:rPr>
      </w:pPr>
      <w:r w:rsidRPr="00B01397">
        <w:rPr>
          <w:rFonts w:ascii="Times New Roman" w:eastAsia="Times New Roman" w:hAnsi="Times New Roman" w:cs="Times New Roman"/>
          <w:lang w:eastAsia="en-GB"/>
        </w:rPr>
        <w:t xml:space="preserve">D’excellentes capacités d’analyse et de rédaction en anglais.  Bonne connaissance d’au moins une autre langue de l’UE, de préférence le français, l’anglais et le français étant les langues principalement utilisées dans la </w:t>
      </w:r>
      <w:r>
        <w:rPr>
          <w:rFonts w:ascii="Times New Roman" w:eastAsia="Times New Roman" w:hAnsi="Times New Roman" w:cs="Times New Roman"/>
          <w:lang w:eastAsia="en-GB"/>
        </w:rPr>
        <w:t>d</w:t>
      </w:r>
      <w:r w:rsidRPr="00B01397">
        <w:rPr>
          <w:rFonts w:ascii="Times New Roman" w:eastAsia="Times New Roman" w:hAnsi="Times New Roman" w:cs="Times New Roman"/>
          <w:lang w:eastAsia="en-GB"/>
        </w:rPr>
        <w:t xml:space="preserve">irection </w:t>
      </w:r>
      <w:r>
        <w:rPr>
          <w:rFonts w:ascii="Times New Roman" w:eastAsia="Times New Roman" w:hAnsi="Times New Roman" w:cs="Times New Roman"/>
          <w:lang w:eastAsia="en-GB"/>
        </w:rPr>
        <w:t>g</w:t>
      </w:r>
      <w:r w:rsidRPr="00B01397">
        <w:rPr>
          <w:rFonts w:ascii="Times New Roman" w:eastAsia="Times New Roman" w:hAnsi="Times New Roman" w:cs="Times New Roman"/>
          <w:lang w:eastAsia="en-GB"/>
        </w:rPr>
        <w:t>énérale Education et Culture.</w:t>
      </w:r>
      <w:bookmarkStart w:id="0" w:name="_GoBack"/>
      <w:bookmarkEnd w:id="0"/>
    </w:p>
    <w:p w:rsidR="001B660D" w:rsidRDefault="001B660D" w:rsidP="00200D6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00D65" w:rsidRDefault="00200D65"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B01397"/>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0C1E02EA"/>
    <w:multiLevelType w:val="hybridMultilevel"/>
    <w:tmpl w:val="DA42A96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0CA72051"/>
    <w:multiLevelType w:val="hybridMultilevel"/>
    <w:tmpl w:val="A0461148"/>
    <w:lvl w:ilvl="0" w:tplc="B6D471CA">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225F53F1"/>
    <w:multiLevelType w:val="hybridMultilevel"/>
    <w:tmpl w:val="29B67DD0"/>
    <w:lvl w:ilvl="0" w:tplc="B6D471CA">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nsid w:val="24DF3981"/>
    <w:multiLevelType w:val="hybridMultilevel"/>
    <w:tmpl w:val="7AD4BE36"/>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25B969DB"/>
    <w:multiLevelType w:val="hybridMultilevel"/>
    <w:tmpl w:val="F48EA240"/>
    <w:lvl w:ilvl="0" w:tplc="74545C1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7">
    <w:nsid w:val="31CC184C"/>
    <w:multiLevelType w:val="hybridMultilevel"/>
    <w:tmpl w:val="8EE20E3C"/>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nsid w:val="37D93CB8"/>
    <w:multiLevelType w:val="hybridMultilevel"/>
    <w:tmpl w:val="35DEE964"/>
    <w:lvl w:ilvl="0" w:tplc="3F366F4C">
      <w:numFmt w:val="bullet"/>
      <w:lvlText w:val="-"/>
      <w:lvlJc w:val="left"/>
      <w:pPr>
        <w:ind w:left="786" w:hanging="360"/>
      </w:pPr>
      <w:rPr>
        <w:rFonts w:ascii="Times New Roman" w:eastAsia="Times New Roman" w:hAnsi="Times New Roman" w:cs="Times New Roman" w:hint="default"/>
      </w:rPr>
    </w:lvl>
    <w:lvl w:ilvl="1" w:tplc="2A520D58">
      <w:numFmt w:val="bullet"/>
      <w:lvlText w:val="•"/>
      <w:lvlJc w:val="left"/>
      <w:pPr>
        <w:ind w:left="1506" w:hanging="360"/>
      </w:pPr>
      <w:rPr>
        <w:rFonts w:ascii="Times New Roman" w:eastAsia="Times New Roman" w:hAnsi="Times New Roman" w:cs="Times New Roman"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nsid w:val="51C54513"/>
    <w:multiLevelType w:val="hybridMultilevel"/>
    <w:tmpl w:val="C9DEEB38"/>
    <w:lvl w:ilvl="0" w:tplc="3AA434C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0">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D573C9C"/>
    <w:multiLevelType w:val="hybridMultilevel"/>
    <w:tmpl w:val="F02662A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0"/>
  </w:num>
  <w:num w:numId="2">
    <w:abstractNumId w:val="0"/>
  </w:num>
  <w:num w:numId="3">
    <w:abstractNumId w:val="6"/>
  </w:num>
  <w:num w:numId="4">
    <w:abstractNumId w:val="4"/>
  </w:num>
  <w:num w:numId="5">
    <w:abstractNumId w:val="9"/>
  </w:num>
  <w:num w:numId="6">
    <w:abstractNumId w:val="2"/>
  </w:num>
  <w:num w:numId="7">
    <w:abstractNumId w:val="8"/>
  </w:num>
  <w:num w:numId="8">
    <w:abstractNumId w:val="11"/>
  </w:num>
  <w:num w:numId="9">
    <w:abstractNumId w:val="1"/>
  </w:num>
  <w:num w:numId="10">
    <w:abstractNumId w:val="5"/>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7C95"/>
    <w:rsid w:val="0019598C"/>
    <w:rsid w:val="001B660D"/>
    <w:rsid w:val="001B72DD"/>
    <w:rsid w:val="00200D65"/>
    <w:rsid w:val="0034100B"/>
    <w:rsid w:val="00436D49"/>
    <w:rsid w:val="00534042"/>
    <w:rsid w:val="005B2AD8"/>
    <w:rsid w:val="00721926"/>
    <w:rsid w:val="00745B97"/>
    <w:rsid w:val="007C177D"/>
    <w:rsid w:val="00857585"/>
    <w:rsid w:val="00A76B6D"/>
    <w:rsid w:val="00AE5F9C"/>
    <w:rsid w:val="00B01397"/>
    <w:rsid w:val="00B36D07"/>
    <w:rsid w:val="00B44268"/>
    <w:rsid w:val="00BC14A5"/>
    <w:rsid w:val="00C5621C"/>
    <w:rsid w:val="00C85FEF"/>
    <w:rsid w:val="00CF677F"/>
    <w:rsid w:val="00E812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Florencia.van-houd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1423</Words>
  <Characters>8075</Characters>
  <Application>Microsoft Office Word</Application>
  <DocSecurity>0</DocSecurity>
  <Lines>171</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2020-02-11T11:33:00Z</dcterms:created>
  <dcterms:modified xsi:type="dcterms:W3CDTF">2020-02-11T11:33:00Z</dcterms:modified>
</cp:coreProperties>
</file>