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59172E" w:rsidRPr="00745B97" w:rsidTr="00EC6FF0">
        <w:trPr>
          <w:trHeight w:val="611"/>
          <w:jc w:val="center"/>
        </w:trPr>
        <w:tc>
          <w:tcPr>
            <w:tcW w:w="4359" w:type="dxa"/>
          </w:tcPr>
          <w:p w:rsidR="0059172E" w:rsidRPr="00745B97" w:rsidRDefault="0059172E"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59172E" w:rsidRPr="00745B97" w:rsidRDefault="0059172E"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59172E" w:rsidRPr="0059172E" w:rsidRDefault="0059172E" w:rsidP="0059172E">
            <w:pPr>
              <w:rPr>
                <w:rFonts w:ascii="Times New Roman" w:hAnsi="Times New Roman" w:cs="Times New Roman"/>
                <w:b/>
                <w:sz w:val="24"/>
                <w:szCs w:val="24"/>
              </w:rPr>
            </w:pPr>
            <w:r w:rsidRPr="0059172E">
              <w:rPr>
                <w:rFonts w:ascii="Times New Roman" w:hAnsi="Times New Roman" w:cs="Times New Roman"/>
                <w:b/>
                <w:sz w:val="24"/>
                <w:szCs w:val="24"/>
              </w:rPr>
              <w:t>ECFIN-03</w:t>
            </w:r>
          </w:p>
        </w:tc>
      </w:tr>
      <w:tr w:rsidR="0059172E" w:rsidRPr="001372F5" w:rsidTr="00EC6FF0">
        <w:trPr>
          <w:trHeight w:val="1977"/>
          <w:jc w:val="center"/>
        </w:trPr>
        <w:tc>
          <w:tcPr>
            <w:tcW w:w="4359" w:type="dxa"/>
            <w:tcBorders>
              <w:bottom w:val="nil"/>
            </w:tcBorders>
          </w:tcPr>
          <w:p w:rsidR="0059172E" w:rsidRPr="004010FC" w:rsidRDefault="0059172E"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Chef d’unité :</w:t>
            </w:r>
          </w:p>
          <w:p w:rsidR="0059172E" w:rsidRPr="004010FC" w:rsidRDefault="0059172E"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Adresse e-mail :</w:t>
            </w:r>
          </w:p>
          <w:p w:rsidR="0059172E" w:rsidRPr="004010FC" w:rsidRDefault="0059172E"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Téléphone :</w:t>
            </w:r>
          </w:p>
          <w:p w:rsidR="0059172E" w:rsidRPr="004010FC" w:rsidRDefault="0059172E"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Nombre de postes disponibles:</w:t>
            </w:r>
          </w:p>
          <w:p w:rsidR="0059172E" w:rsidRPr="004010FC" w:rsidRDefault="0059172E"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Prise de fonction souhaitée :</w:t>
            </w:r>
          </w:p>
          <w:p w:rsidR="0059172E" w:rsidRPr="004010FC" w:rsidRDefault="0059172E"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Durée initiale souhaitée :</w:t>
            </w:r>
          </w:p>
          <w:p w:rsidR="0059172E" w:rsidRPr="004010FC" w:rsidRDefault="0059172E" w:rsidP="00745B97">
            <w:pPr>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Lieu d’affectation :</w:t>
            </w:r>
          </w:p>
        </w:tc>
        <w:tc>
          <w:tcPr>
            <w:tcW w:w="5597" w:type="dxa"/>
          </w:tcPr>
          <w:p w:rsidR="0059172E" w:rsidRPr="0059172E" w:rsidRDefault="0059172E" w:rsidP="00C76C94">
            <w:pPr>
              <w:rPr>
                <w:rFonts w:ascii="Times New Roman" w:hAnsi="Times New Roman" w:cs="Times New Roman"/>
                <w:b/>
                <w:sz w:val="24"/>
                <w:szCs w:val="24"/>
                <w:lang w:val="it-IT"/>
              </w:rPr>
            </w:pPr>
            <w:r w:rsidRPr="0059172E">
              <w:rPr>
                <w:rFonts w:ascii="Times New Roman" w:hAnsi="Times New Roman" w:cs="Times New Roman"/>
                <w:b/>
                <w:sz w:val="24"/>
                <w:szCs w:val="24"/>
                <w:lang w:val="it-IT"/>
              </w:rPr>
              <w:t>Giorgio CHIARION CASONI</w:t>
            </w:r>
          </w:p>
          <w:p w:rsidR="0059172E" w:rsidRPr="0059172E" w:rsidRDefault="0059172E" w:rsidP="00C76C94">
            <w:pPr>
              <w:rPr>
                <w:rFonts w:ascii="Times New Roman" w:hAnsi="Times New Roman" w:cs="Times New Roman"/>
                <w:b/>
                <w:sz w:val="24"/>
                <w:szCs w:val="24"/>
                <w:lang w:val="it-IT"/>
              </w:rPr>
            </w:pPr>
            <w:hyperlink r:id="rId9" w:history="1">
              <w:r w:rsidRPr="009F5060">
                <w:rPr>
                  <w:rStyle w:val="Hyperlink"/>
                  <w:rFonts w:ascii="Times New Roman" w:hAnsi="Times New Roman" w:cs="Times New Roman"/>
                  <w:b/>
                  <w:sz w:val="24"/>
                  <w:szCs w:val="24"/>
                  <w:lang w:val="it-IT"/>
                </w:rPr>
                <w:t>Giorgio.Chiarion-Casoni@ec.europa.eu</w:t>
              </w:r>
            </w:hyperlink>
            <w:r>
              <w:rPr>
                <w:rFonts w:ascii="Times New Roman" w:hAnsi="Times New Roman" w:cs="Times New Roman"/>
                <w:b/>
                <w:sz w:val="24"/>
                <w:szCs w:val="24"/>
                <w:lang w:val="it-IT"/>
              </w:rPr>
              <w:t xml:space="preserve"> </w:t>
            </w:r>
            <w:r w:rsidRPr="0059172E">
              <w:rPr>
                <w:rFonts w:ascii="Times New Roman" w:hAnsi="Times New Roman" w:cs="Times New Roman"/>
                <w:b/>
                <w:sz w:val="24"/>
                <w:szCs w:val="24"/>
                <w:lang w:val="it-IT"/>
              </w:rPr>
              <w:t xml:space="preserve"> </w:t>
            </w:r>
          </w:p>
          <w:p w:rsidR="0059172E" w:rsidRPr="0059172E" w:rsidRDefault="0059172E" w:rsidP="00C76C94">
            <w:pPr>
              <w:rPr>
                <w:rFonts w:ascii="Times New Roman" w:hAnsi="Times New Roman" w:cs="Times New Roman"/>
                <w:b/>
                <w:sz w:val="24"/>
                <w:szCs w:val="24"/>
              </w:rPr>
            </w:pPr>
            <w:r w:rsidRPr="0059172E">
              <w:rPr>
                <w:rFonts w:ascii="Times New Roman" w:hAnsi="Times New Roman" w:cs="Times New Roman"/>
                <w:b/>
                <w:sz w:val="24"/>
                <w:szCs w:val="24"/>
              </w:rPr>
              <w:t>+352 4301-36404</w:t>
            </w:r>
          </w:p>
          <w:p w:rsidR="0059172E" w:rsidRPr="0059172E" w:rsidRDefault="0059172E" w:rsidP="00C76C94">
            <w:pPr>
              <w:rPr>
                <w:rFonts w:ascii="Times New Roman" w:hAnsi="Times New Roman" w:cs="Times New Roman"/>
                <w:b/>
                <w:sz w:val="24"/>
                <w:szCs w:val="24"/>
              </w:rPr>
            </w:pPr>
            <w:r w:rsidRPr="0059172E">
              <w:rPr>
                <w:rFonts w:ascii="Times New Roman" w:hAnsi="Times New Roman" w:cs="Times New Roman"/>
                <w:b/>
                <w:sz w:val="24"/>
                <w:szCs w:val="24"/>
              </w:rPr>
              <w:t>1</w:t>
            </w:r>
          </w:p>
          <w:p w:rsidR="0059172E" w:rsidRPr="0059172E" w:rsidRDefault="0059172E" w:rsidP="00C76C94">
            <w:pPr>
              <w:rPr>
                <w:rFonts w:ascii="Times New Roman" w:hAnsi="Times New Roman" w:cs="Times New Roman"/>
                <w:b/>
                <w:sz w:val="24"/>
                <w:szCs w:val="24"/>
              </w:rPr>
            </w:pPr>
            <w:r w:rsidRPr="0059172E">
              <w:rPr>
                <w:rFonts w:ascii="Times New Roman" w:hAnsi="Times New Roman" w:cs="Times New Roman"/>
                <w:b/>
                <w:sz w:val="24"/>
                <w:szCs w:val="24"/>
              </w:rPr>
              <w:t>1</w:t>
            </w:r>
            <w:r w:rsidRPr="0059172E">
              <w:rPr>
                <w:rFonts w:ascii="Times New Roman" w:hAnsi="Times New Roman" w:cs="Times New Roman"/>
                <w:b/>
                <w:sz w:val="24"/>
                <w:szCs w:val="24"/>
                <w:vertAlign w:val="superscript"/>
              </w:rPr>
              <w:t>er</w:t>
            </w:r>
            <w:r>
              <w:rPr>
                <w:rFonts w:ascii="Times New Roman" w:hAnsi="Times New Roman" w:cs="Times New Roman"/>
                <w:b/>
                <w:sz w:val="24"/>
                <w:szCs w:val="24"/>
              </w:rPr>
              <w:t xml:space="preserve"> </w:t>
            </w:r>
            <w:r w:rsidRPr="0059172E">
              <w:rPr>
                <w:rFonts w:ascii="Times New Roman" w:hAnsi="Times New Roman" w:cs="Times New Roman"/>
                <w:b/>
                <w:sz w:val="24"/>
                <w:szCs w:val="24"/>
              </w:rPr>
              <w:t xml:space="preserve">trimestre 2020  </w:t>
            </w:r>
          </w:p>
          <w:p w:rsidR="0059172E" w:rsidRPr="0059172E" w:rsidRDefault="0059172E" w:rsidP="00C76C94">
            <w:pPr>
              <w:rPr>
                <w:rFonts w:ascii="Times New Roman" w:hAnsi="Times New Roman" w:cs="Times New Roman"/>
                <w:b/>
                <w:sz w:val="24"/>
                <w:szCs w:val="24"/>
              </w:rPr>
            </w:pPr>
            <w:r w:rsidRPr="0059172E">
              <w:rPr>
                <w:rFonts w:ascii="Times New Roman" w:hAnsi="Times New Roman" w:cs="Times New Roman"/>
                <w:b/>
                <w:sz w:val="24"/>
                <w:szCs w:val="24"/>
              </w:rPr>
              <w:t>2 ans</w:t>
            </w:r>
          </w:p>
          <w:p w:rsidR="0059172E" w:rsidRPr="0059172E" w:rsidRDefault="0059172E" w:rsidP="00C76C94">
            <w:pPr>
              <w:rPr>
                <w:rFonts w:ascii="Times New Roman" w:hAnsi="Times New Roman" w:cs="Times New Roman"/>
                <w:b/>
                <w:sz w:val="24"/>
                <w:szCs w:val="24"/>
              </w:rPr>
            </w:pPr>
            <w:r w:rsidRPr="0059172E">
              <w:rPr>
                <w:rFonts w:ascii="Times New Roman" w:hAnsi="Times New Roman" w:cs="Times New Roman"/>
                <w:b/>
                <w:sz w:val="24"/>
                <w:szCs w:val="24"/>
                <w:lang w:val="en-GB"/>
              </w:rPr>
              <w:t></w:t>
            </w:r>
            <w:r w:rsidRPr="0059172E">
              <w:rPr>
                <w:rFonts w:ascii="Times New Roman" w:hAnsi="Times New Roman" w:cs="Times New Roman"/>
                <w:b/>
                <w:sz w:val="24"/>
                <w:szCs w:val="24"/>
              </w:rPr>
              <w:t xml:space="preserve"> Bruxelles </w:t>
            </w:r>
            <w:r w:rsidRPr="0059172E">
              <w:rPr>
                <w:rFonts w:ascii="Times New Roman" w:eastAsia="MS Minngs" w:hAnsi="Times New Roman" w:cs="Times New Roman"/>
                <w:b/>
                <w:bCs/>
                <w:sz w:val="24"/>
                <w:szCs w:val="24"/>
                <w:lang w:val="fr-FR"/>
              </w:rPr>
              <w:sym w:font="Wingdings 2" w:char="F0D2"/>
            </w:r>
            <w:r w:rsidRPr="0059172E">
              <w:rPr>
                <w:rFonts w:ascii="Times New Roman" w:hAnsi="Times New Roman" w:cs="Times New Roman"/>
                <w:b/>
                <w:sz w:val="24"/>
                <w:szCs w:val="24"/>
              </w:rPr>
              <w:t xml:space="preserve"> Luxembourg </w:t>
            </w:r>
            <w:r w:rsidRPr="0059172E">
              <w:rPr>
                <w:rFonts w:ascii="Times New Roman" w:hAnsi="Times New Roman" w:cs="Times New Roman"/>
                <w:b/>
                <w:sz w:val="24"/>
                <w:szCs w:val="24"/>
                <w:lang w:val="en-GB"/>
              </w:rPr>
              <w:t></w:t>
            </w:r>
            <w:r w:rsidRPr="0059172E">
              <w:rPr>
                <w:rFonts w:ascii="Times New Roman" w:hAnsi="Times New Roman" w:cs="Times New Roman"/>
                <w:b/>
                <w:sz w:val="24"/>
                <w:szCs w:val="24"/>
              </w:rPr>
              <w:t xml:space="preserve"> Autre: ……………..</w:t>
            </w:r>
          </w:p>
        </w:tc>
      </w:tr>
      <w:tr w:rsidR="0059172E"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59172E" w:rsidRPr="001372F5" w:rsidRDefault="0059172E" w:rsidP="00745B97">
            <w:pPr>
              <w:rPr>
                <w:rFonts w:ascii="Times New Roman" w:eastAsia="Times New Roman" w:hAnsi="Times New Roman" w:cs="Times New Roman"/>
                <w:sz w:val="24"/>
                <w:szCs w:val="24"/>
                <w:lang w:val="fr-FR" w:eastAsia="en-GB"/>
              </w:rPr>
            </w:pPr>
          </w:p>
        </w:tc>
        <w:tc>
          <w:tcPr>
            <w:tcW w:w="5597" w:type="dxa"/>
            <w:tcBorders>
              <w:left w:val="single" w:sz="4" w:space="0" w:color="auto"/>
            </w:tcBorders>
            <w:vAlign w:val="center"/>
          </w:tcPr>
          <w:p w:rsidR="0059172E" w:rsidRPr="0059172E" w:rsidRDefault="0059172E" w:rsidP="00C76C94">
            <w:pPr>
              <w:rPr>
                <w:rFonts w:ascii="Times New Roman" w:hAnsi="Times New Roman" w:cs="Times New Roman"/>
                <w:b/>
                <w:sz w:val="24"/>
                <w:szCs w:val="24"/>
              </w:rPr>
            </w:pPr>
            <w:r w:rsidRPr="0059172E">
              <w:rPr>
                <w:rFonts w:ascii="Times New Roman" w:eastAsia="MS Minngs" w:hAnsi="Times New Roman" w:cs="Times New Roman"/>
                <w:b/>
                <w:bCs/>
                <w:sz w:val="24"/>
                <w:szCs w:val="24"/>
                <w:lang w:val="fr-FR"/>
              </w:rPr>
              <w:sym w:font="Wingdings 2" w:char="F0D2"/>
            </w:r>
            <w:r w:rsidRPr="0059172E">
              <w:rPr>
                <w:rStyle w:val="Strong"/>
                <w:rFonts w:ascii="Times New Roman" w:hAnsi="Times New Roman" w:cs="Times New Roman"/>
                <w:b w:val="0"/>
                <w:sz w:val="24"/>
                <w:szCs w:val="24"/>
              </w:rPr>
              <w:t xml:space="preserve">    </w:t>
            </w:r>
            <w:r w:rsidRPr="0059172E">
              <w:rPr>
                <w:rFonts w:ascii="Times New Roman" w:hAnsi="Times New Roman" w:cs="Times New Roman"/>
                <w:b/>
                <w:sz w:val="24"/>
                <w:szCs w:val="24"/>
              </w:rPr>
              <w:t xml:space="preserve">Avec indemnités                </w:t>
            </w:r>
            <w:r w:rsidRPr="0059172E">
              <w:rPr>
                <w:rFonts w:ascii="Times New Roman" w:eastAsia="MS Minngs" w:hAnsi="Times New Roman" w:cs="Times New Roman"/>
                <w:b/>
                <w:bCs/>
                <w:sz w:val="24"/>
                <w:szCs w:val="24"/>
                <w:lang w:val="fr-FR"/>
              </w:rPr>
              <w:sym w:font="Wingdings 2" w:char="F0A3"/>
            </w:r>
            <w:r w:rsidRPr="0059172E">
              <w:rPr>
                <w:rFonts w:ascii="Times New Roman" w:eastAsia="MS Minngs" w:hAnsi="Times New Roman" w:cs="Times New Roman"/>
                <w:b/>
                <w:bCs/>
                <w:sz w:val="24"/>
                <w:szCs w:val="24"/>
                <w:lang w:val="fr-FR"/>
              </w:rPr>
              <w:t xml:space="preserve">   </w:t>
            </w:r>
            <w:r w:rsidRPr="0059172E">
              <w:rPr>
                <w:rStyle w:val="Strong"/>
                <w:rFonts w:ascii="Times New Roman" w:hAnsi="Times New Roman" w:cs="Times New Roman"/>
                <w:b w:val="0"/>
                <w:sz w:val="24"/>
                <w:szCs w:val="24"/>
              </w:rPr>
              <w:t> </w:t>
            </w:r>
            <w:r w:rsidRPr="0059172E">
              <w:rPr>
                <w:rFonts w:ascii="Times New Roman" w:eastAsia="MS Minngs" w:hAnsi="Times New Roman" w:cs="Times New Roman"/>
                <w:b/>
                <w:bCs/>
                <w:sz w:val="24"/>
                <w:szCs w:val="24"/>
                <w:lang w:val="fr-FR"/>
              </w:rPr>
              <w:t xml:space="preserve"> </w:t>
            </w:r>
            <w:r w:rsidRPr="0059172E">
              <w:rPr>
                <w:rFonts w:ascii="Times New Roman" w:hAnsi="Times New Roman" w:cs="Times New Roman"/>
                <w:b/>
                <w:sz w:val="24"/>
                <w:szCs w:val="24"/>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4010FC" w:rsidRDefault="00745B97" w:rsidP="00745B97">
            <w:pPr>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Cet avis est également ouvert</w:t>
            </w:r>
          </w:p>
          <w:p w:rsidR="00745B97" w:rsidRPr="004010FC" w:rsidRDefault="00745B97" w:rsidP="00745B97">
            <w:pPr>
              <w:rPr>
                <w:rFonts w:ascii="Times New Roman" w:eastAsia="Times New Roman" w:hAnsi="Times New Roman" w:cs="Times New Roman"/>
                <w:b/>
                <w:sz w:val="24"/>
                <w:szCs w:val="24"/>
                <w:lang w:eastAsia="en-GB"/>
              </w:rPr>
            </w:pPr>
          </w:p>
          <w:p w:rsidR="00745B97" w:rsidRPr="004010FC" w:rsidRDefault="0059172E" w:rsidP="00745B97">
            <w:pPr>
              <w:rPr>
                <w:rFonts w:ascii="Times New Roman" w:eastAsia="Times New Roman" w:hAnsi="Times New Roman" w:cs="Times New Roman"/>
                <w:b/>
                <w:bCs/>
                <w:sz w:val="24"/>
                <w:szCs w:val="24"/>
                <w:lang w:eastAsia="en-GB"/>
              </w:rPr>
            </w:pPr>
            <w:r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Times New Roman" w:hAnsi="Times New Roman" w:cs="Times New Roman"/>
                <w:b/>
                <w:bCs/>
                <w:sz w:val="24"/>
                <w:szCs w:val="24"/>
                <w:lang w:eastAsia="en-GB"/>
              </w:rPr>
              <w:t>    aux pays AELE suivants :</w:t>
            </w:r>
          </w:p>
          <w:p w:rsidR="00745B97" w:rsidRPr="004010FC" w:rsidRDefault="00745B97" w:rsidP="00745B97">
            <w:pPr>
              <w:tabs>
                <w:tab w:val="left" w:pos="743"/>
              </w:tabs>
              <w:ind w:right="-1739"/>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ab/>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Islande </w:t>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Liechtenstein </w:t>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Norvège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Suisse</w:t>
            </w:r>
            <w:r w:rsidRPr="004010FC">
              <w:rPr>
                <w:rFonts w:ascii="Times New Roman" w:eastAsia="Times New Roman" w:hAnsi="Times New Roman" w:cs="Times New Roman"/>
                <w:sz w:val="24"/>
                <w:szCs w:val="24"/>
                <w:lang w:eastAsia="en-GB"/>
              </w:rPr>
              <w:t xml:space="preserve"> </w:t>
            </w:r>
          </w:p>
          <w:p w:rsidR="00745B97" w:rsidRPr="004010FC" w:rsidRDefault="00745B97" w:rsidP="00745B97">
            <w:pPr>
              <w:tabs>
                <w:tab w:val="left" w:pos="743"/>
              </w:tabs>
              <w:ind w:right="-1739"/>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Accord AELE-EEE in-Kind (Islande, Liechtenstein, Norvège)   </w:t>
            </w:r>
            <w:r w:rsidRPr="004010FC">
              <w:rPr>
                <w:rFonts w:ascii="Times New Roman" w:eastAsia="Times New Roman" w:hAnsi="Times New Roman" w:cs="Times New Roman"/>
                <w:b/>
                <w:sz w:val="24"/>
                <w:szCs w:val="24"/>
                <w:lang w:eastAsia="en-GB"/>
              </w:rPr>
              <w:br/>
            </w: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pays tiers suivants: </w:t>
            </w:r>
          </w:p>
          <w:p w:rsidR="00745B97" w:rsidRPr="004010FC" w:rsidRDefault="0059172E" w:rsidP="0059172E">
            <w:pPr>
              <w:rPr>
                <w:rFonts w:ascii="Times New Roman" w:eastAsia="Times New Roman" w:hAnsi="Times New Roman" w:cs="Times New Roman"/>
                <w:sz w:val="24"/>
                <w:szCs w:val="24"/>
                <w:lang w:eastAsia="en-GB"/>
              </w:rPr>
            </w:pPr>
            <w:r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Times New Roman" w:hAnsi="Times New Roman" w:cs="Times New Roman"/>
                <w:b/>
                <w:bCs/>
                <w:sz w:val="24"/>
                <w:szCs w:val="24"/>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9172E" w:rsidRPr="0059172E" w:rsidRDefault="0059172E" w:rsidP="0059172E">
      <w:pPr>
        <w:spacing w:after="0" w:line="240" w:lineRule="auto"/>
        <w:ind w:left="426"/>
        <w:jc w:val="both"/>
        <w:rPr>
          <w:rFonts w:ascii="Times New Roman" w:eastAsia="Times New Roman" w:hAnsi="Times New Roman" w:cs="Times New Roman"/>
          <w:lang w:eastAsia="en-GB"/>
        </w:rPr>
      </w:pPr>
      <w:r w:rsidRPr="0059172E">
        <w:rPr>
          <w:rFonts w:ascii="Times New Roman" w:eastAsia="Times New Roman" w:hAnsi="Times New Roman" w:cs="Times New Roman"/>
          <w:lang w:eastAsia="en-GB"/>
        </w:rPr>
        <w:t xml:space="preserve">L'expert/e contribuera à former une équipe dynamique et très motivée et préparera en particulier la mise en œuvre du programme </w:t>
      </w:r>
      <w:proofErr w:type="spellStart"/>
      <w:r w:rsidRPr="0059172E">
        <w:rPr>
          <w:rFonts w:ascii="Times New Roman" w:eastAsia="Times New Roman" w:hAnsi="Times New Roman" w:cs="Times New Roman"/>
          <w:lang w:eastAsia="en-GB"/>
        </w:rPr>
        <w:t>InvestEU</w:t>
      </w:r>
      <w:proofErr w:type="spellEnd"/>
      <w:r w:rsidRPr="0059172E">
        <w:rPr>
          <w:rFonts w:ascii="Times New Roman" w:eastAsia="Times New Roman" w:hAnsi="Times New Roman" w:cs="Times New Roman"/>
          <w:lang w:eastAsia="en-GB"/>
        </w:rPr>
        <w:t xml:space="preserve"> pour le prochain cadre financier pluriannuel (2021-2027). Il/elle apportera également son soutien à la mise en œuvre des initiatives de financement à long terme, y compris celles relevant du Plan d’Investissement pour l'Europe (IPE).</w:t>
      </w:r>
    </w:p>
    <w:p w:rsidR="0059172E" w:rsidRPr="0059172E" w:rsidRDefault="0059172E" w:rsidP="0059172E">
      <w:pPr>
        <w:spacing w:after="0" w:line="240" w:lineRule="auto"/>
        <w:ind w:left="426"/>
        <w:jc w:val="both"/>
        <w:rPr>
          <w:rFonts w:ascii="Times New Roman" w:eastAsia="Times New Roman" w:hAnsi="Times New Roman" w:cs="Times New Roman"/>
          <w:lang w:eastAsia="en-GB"/>
        </w:rPr>
      </w:pPr>
    </w:p>
    <w:p w:rsidR="0059172E" w:rsidRPr="0059172E" w:rsidRDefault="0059172E" w:rsidP="0059172E">
      <w:pPr>
        <w:spacing w:after="0" w:line="240" w:lineRule="auto"/>
        <w:ind w:left="426"/>
        <w:jc w:val="both"/>
        <w:rPr>
          <w:rFonts w:ascii="Times New Roman" w:eastAsia="Times New Roman" w:hAnsi="Times New Roman" w:cs="Times New Roman"/>
          <w:lang w:eastAsia="en-GB"/>
        </w:rPr>
      </w:pPr>
      <w:r w:rsidRPr="0059172E">
        <w:rPr>
          <w:rFonts w:ascii="Times New Roman" w:eastAsia="Times New Roman" w:hAnsi="Times New Roman" w:cs="Times New Roman"/>
          <w:lang w:eastAsia="en-GB"/>
        </w:rPr>
        <w:t>Dans ce cadre, l'expert/e doit :</w:t>
      </w:r>
    </w:p>
    <w:p w:rsidR="0059172E" w:rsidRPr="0059172E" w:rsidRDefault="0059172E" w:rsidP="0059172E">
      <w:pPr>
        <w:numPr>
          <w:ilvl w:val="0"/>
          <w:numId w:val="1"/>
        </w:numPr>
        <w:spacing w:after="0" w:line="240" w:lineRule="auto"/>
        <w:ind w:left="851" w:hanging="425"/>
        <w:contextualSpacing/>
        <w:jc w:val="both"/>
        <w:rPr>
          <w:rFonts w:ascii="Times New Roman" w:hAnsi="Times New Roman" w:cs="Times New Roman"/>
          <w:szCs w:val="24"/>
        </w:rPr>
      </w:pPr>
      <w:r w:rsidRPr="0059172E">
        <w:rPr>
          <w:rFonts w:ascii="Times New Roman" w:hAnsi="Times New Roman" w:cs="Times New Roman"/>
          <w:szCs w:val="24"/>
        </w:rPr>
        <w:t xml:space="preserve">fournir des conseils d’orientation politique et formuler des propositions sur le rôle de l'UE dans la facilitation des financements à long terme relevant de la responsabilité de l'Unité, y compris ceux couverts par le programme </w:t>
      </w:r>
      <w:proofErr w:type="spellStart"/>
      <w:r w:rsidRPr="0059172E">
        <w:rPr>
          <w:rFonts w:ascii="Times New Roman" w:hAnsi="Times New Roman" w:cs="Times New Roman"/>
          <w:szCs w:val="24"/>
        </w:rPr>
        <w:t>InvestEU</w:t>
      </w:r>
      <w:proofErr w:type="spellEnd"/>
      <w:r w:rsidRPr="0059172E">
        <w:rPr>
          <w:rFonts w:ascii="Times New Roman" w:hAnsi="Times New Roman" w:cs="Times New Roman"/>
          <w:szCs w:val="24"/>
        </w:rPr>
        <w:t xml:space="preserve"> et l'IPE,</w:t>
      </w:r>
    </w:p>
    <w:p w:rsidR="0059172E" w:rsidRPr="0059172E" w:rsidRDefault="0059172E" w:rsidP="0059172E">
      <w:pPr>
        <w:numPr>
          <w:ilvl w:val="0"/>
          <w:numId w:val="2"/>
        </w:numPr>
        <w:spacing w:after="0" w:line="240" w:lineRule="auto"/>
        <w:ind w:left="851" w:hanging="425"/>
        <w:contextualSpacing/>
        <w:jc w:val="both"/>
        <w:rPr>
          <w:rFonts w:ascii="Times New Roman" w:hAnsi="Times New Roman" w:cs="Times New Roman"/>
          <w:szCs w:val="24"/>
        </w:rPr>
      </w:pPr>
      <w:r w:rsidRPr="0059172E">
        <w:rPr>
          <w:rFonts w:ascii="Times New Roman" w:hAnsi="Times New Roman" w:cs="Times New Roman"/>
          <w:szCs w:val="24"/>
        </w:rPr>
        <w:t>soutenir la conception des produits financiers (y compris produits financiers combinés) dans le cadre du prochain CFP et des évaluations y relatives,</w:t>
      </w:r>
    </w:p>
    <w:p w:rsidR="0059172E" w:rsidRPr="0059172E" w:rsidRDefault="0059172E" w:rsidP="0059172E">
      <w:pPr>
        <w:numPr>
          <w:ilvl w:val="0"/>
          <w:numId w:val="2"/>
        </w:numPr>
        <w:spacing w:after="0" w:line="240" w:lineRule="auto"/>
        <w:ind w:left="851" w:hanging="425"/>
        <w:contextualSpacing/>
        <w:jc w:val="both"/>
        <w:rPr>
          <w:rFonts w:ascii="Times New Roman" w:hAnsi="Times New Roman" w:cs="Times New Roman"/>
          <w:szCs w:val="24"/>
        </w:rPr>
      </w:pPr>
      <w:r w:rsidRPr="0059172E">
        <w:rPr>
          <w:rFonts w:ascii="Times New Roman" w:hAnsi="Times New Roman" w:cs="Times New Roman"/>
          <w:szCs w:val="24"/>
        </w:rPr>
        <w:t xml:space="preserve">contribuer à la préparation des accords de garantie </w:t>
      </w:r>
      <w:proofErr w:type="spellStart"/>
      <w:r w:rsidRPr="0059172E">
        <w:rPr>
          <w:rFonts w:ascii="Times New Roman" w:hAnsi="Times New Roman" w:cs="Times New Roman"/>
          <w:szCs w:val="24"/>
        </w:rPr>
        <w:t>InvestEU</w:t>
      </w:r>
      <w:proofErr w:type="spellEnd"/>
      <w:r w:rsidRPr="0059172E">
        <w:rPr>
          <w:rFonts w:ascii="Times New Roman" w:hAnsi="Times New Roman" w:cs="Times New Roman"/>
          <w:szCs w:val="24"/>
        </w:rPr>
        <w:t xml:space="preserve"> et à la négociation de ces accords avec le groupe BEI et d'autres partenaires potentiels de mise en œuvre,</w:t>
      </w:r>
    </w:p>
    <w:p w:rsidR="0059172E" w:rsidRPr="0059172E" w:rsidRDefault="0059172E" w:rsidP="0059172E">
      <w:pPr>
        <w:numPr>
          <w:ilvl w:val="0"/>
          <w:numId w:val="2"/>
        </w:numPr>
        <w:spacing w:after="0" w:line="240" w:lineRule="auto"/>
        <w:ind w:left="851" w:hanging="425"/>
        <w:contextualSpacing/>
        <w:jc w:val="both"/>
        <w:rPr>
          <w:rFonts w:ascii="Times New Roman" w:hAnsi="Times New Roman" w:cs="Times New Roman"/>
          <w:szCs w:val="24"/>
        </w:rPr>
      </w:pPr>
      <w:r w:rsidRPr="0059172E">
        <w:rPr>
          <w:rFonts w:ascii="Times New Roman" w:hAnsi="Times New Roman" w:cs="Times New Roman"/>
          <w:szCs w:val="24"/>
        </w:rPr>
        <w:t>développer et maintenir un réseau avec des autorités du secteur public, des promoteurs privés, des institutions financières et des investisseurs institutionnels, et participer activement au maintien des relations avec les</w:t>
      </w:r>
      <w:r w:rsidRPr="0059172E">
        <w:rPr>
          <w:rFonts w:ascii="Times New Roman" w:hAnsi="Times New Roman" w:cs="Times New Roman"/>
          <w:b/>
          <w:szCs w:val="24"/>
        </w:rPr>
        <w:t xml:space="preserve"> </w:t>
      </w:r>
      <w:r w:rsidRPr="0059172E">
        <w:rPr>
          <w:rFonts w:ascii="Times New Roman" w:hAnsi="Times New Roman" w:cs="Times New Roman"/>
          <w:szCs w:val="24"/>
        </w:rPr>
        <w:t>intervenants</w:t>
      </w:r>
      <w:r w:rsidRPr="0059172E">
        <w:rPr>
          <w:rFonts w:ascii="Times New Roman" w:hAnsi="Times New Roman" w:cs="Times New Roman"/>
          <w:b/>
          <w:szCs w:val="24"/>
        </w:rPr>
        <w:t xml:space="preserve"> </w:t>
      </w:r>
      <w:r w:rsidRPr="0059172E">
        <w:rPr>
          <w:rFonts w:ascii="Times New Roman" w:hAnsi="Times New Roman" w:cs="Times New Roman"/>
          <w:szCs w:val="24"/>
        </w:rPr>
        <w:t>externes,</w:t>
      </w:r>
    </w:p>
    <w:p w:rsidR="0059172E" w:rsidRPr="0059172E" w:rsidRDefault="0059172E" w:rsidP="0059172E">
      <w:pPr>
        <w:numPr>
          <w:ilvl w:val="0"/>
          <w:numId w:val="2"/>
        </w:numPr>
        <w:spacing w:after="0" w:line="240" w:lineRule="auto"/>
        <w:ind w:left="851" w:hanging="425"/>
        <w:contextualSpacing/>
        <w:jc w:val="both"/>
        <w:rPr>
          <w:rFonts w:ascii="Times New Roman" w:hAnsi="Times New Roman" w:cs="Times New Roman"/>
          <w:szCs w:val="24"/>
        </w:rPr>
      </w:pPr>
      <w:r w:rsidRPr="0059172E">
        <w:rPr>
          <w:rFonts w:ascii="Times New Roman" w:hAnsi="Times New Roman" w:cs="Times New Roman"/>
          <w:szCs w:val="24"/>
        </w:rPr>
        <w:t>organiser et participer à des réunions, séminaires, conférences, groupes de réflexion, comités et groupes de travail avec diverses parties prenantes à l'intérieur et à l'extérieur de la Commission,</w:t>
      </w:r>
    </w:p>
    <w:p w:rsidR="0059172E" w:rsidRDefault="0059172E" w:rsidP="0059172E">
      <w:pPr>
        <w:numPr>
          <w:ilvl w:val="0"/>
          <w:numId w:val="2"/>
        </w:numPr>
        <w:spacing w:after="0" w:line="240" w:lineRule="auto"/>
        <w:ind w:left="851" w:hanging="425"/>
        <w:contextualSpacing/>
        <w:jc w:val="both"/>
        <w:rPr>
          <w:rFonts w:ascii="Times New Roman" w:hAnsi="Times New Roman" w:cs="Times New Roman"/>
          <w:szCs w:val="24"/>
        </w:rPr>
      </w:pPr>
      <w:r w:rsidRPr="0059172E">
        <w:rPr>
          <w:rFonts w:ascii="Times New Roman" w:hAnsi="Times New Roman" w:cs="Times New Roman"/>
          <w:szCs w:val="24"/>
        </w:rPr>
        <w:t xml:space="preserve">préparer des documents d’orientation politique, des rapports, des notes d'information et du matériel informatif sur les infrastructures, les programmes IPE et </w:t>
      </w:r>
      <w:proofErr w:type="spellStart"/>
      <w:r w:rsidRPr="0059172E">
        <w:rPr>
          <w:rFonts w:ascii="Times New Roman" w:hAnsi="Times New Roman" w:cs="Times New Roman"/>
          <w:szCs w:val="24"/>
        </w:rPr>
        <w:t>InvestEU</w:t>
      </w:r>
      <w:proofErr w:type="spellEnd"/>
      <w:r w:rsidRPr="0059172E">
        <w:rPr>
          <w:rFonts w:ascii="Times New Roman" w:hAnsi="Times New Roman" w:cs="Times New Roman"/>
          <w:szCs w:val="24"/>
        </w:rPr>
        <w:t>, le financement à long terme et les autres questions traitées par l’Unité.</w:t>
      </w:r>
    </w:p>
    <w:p w:rsidR="0059172E" w:rsidRPr="0059172E" w:rsidRDefault="0059172E" w:rsidP="0059172E">
      <w:pPr>
        <w:numPr>
          <w:ilvl w:val="0"/>
          <w:numId w:val="2"/>
        </w:numPr>
        <w:spacing w:after="0" w:line="240" w:lineRule="auto"/>
        <w:ind w:left="851" w:hanging="425"/>
        <w:contextualSpacing/>
        <w:jc w:val="both"/>
        <w:rPr>
          <w:rFonts w:ascii="Times New Roman" w:hAnsi="Times New Roman" w:cs="Times New Roman"/>
          <w:szCs w:val="24"/>
        </w:rPr>
      </w:pPr>
    </w:p>
    <w:p w:rsidR="0059172E" w:rsidRPr="0059172E" w:rsidRDefault="0059172E" w:rsidP="0059172E">
      <w:pPr>
        <w:spacing w:after="0" w:line="240" w:lineRule="auto"/>
        <w:ind w:left="426"/>
        <w:jc w:val="both"/>
        <w:rPr>
          <w:rFonts w:ascii="Times New Roman" w:eastAsia="Times New Roman" w:hAnsi="Times New Roman" w:cs="Times New Roman"/>
          <w:lang w:eastAsia="en-GB"/>
        </w:rPr>
      </w:pPr>
      <w:r w:rsidRPr="0059172E">
        <w:rPr>
          <w:rFonts w:ascii="Times New Roman" w:eastAsia="Times New Roman" w:hAnsi="Times New Roman" w:cs="Times New Roman"/>
          <w:lang w:eastAsia="en-GB"/>
        </w:rPr>
        <w:t>À cet égard, le/la candidat/e sera assisté/e et encadré/e par une équipe spécialisée, conviviale et spécialement consacrée au projet, en étroite collaboration avec les autres Unités ECFIN, services de la Commission et institutions.</w:t>
      </w:r>
    </w:p>
    <w:p w:rsidR="001372F5" w:rsidRPr="00745B97" w:rsidRDefault="001372F5" w:rsidP="001372F5">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943D9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59172E" w:rsidRPr="0059172E">
        <w:rPr>
          <w:rFonts w:ascii="Times New Roman" w:eastAsia="Times New Roman" w:hAnsi="Times New Roman" w:cs="Times New Roman"/>
          <w:lang w:eastAsia="en-GB"/>
        </w:rPr>
        <w:t>économie, finance ou ingénierie</w:t>
      </w:r>
      <w:r w:rsidR="00AB1805">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59172E" w:rsidRDefault="0059172E" w:rsidP="0059172E">
      <w:pPr>
        <w:tabs>
          <w:tab w:val="left" w:pos="709"/>
        </w:tabs>
        <w:spacing w:after="0" w:line="240" w:lineRule="auto"/>
        <w:ind w:left="709" w:right="60"/>
        <w:jc w:val="both"/>
        <w:rPr>
          <w:rFonts w:ascii="Times New Roman" w:eastAsia="Times New Roman" w:hAnsi="Times New Roman" w:cs="Times New Roman"/>
          <w:lang w:eastAsia="en-GB"/>
        </w:rPr>
      </w:pPr>
      <w:r w:rsidRPr="0059172E">
        <w:rPr>
          <w:rFonts w:ascii="Times New Roman" w:eastAsia="Times New Roman" w:hAnsi="Times New Roman" w:cs="Times New Roman"/>
          <w:lang w:eastAsia="en-GB"/>
        </w:rPr>
        <w:t>Il/elle devra justifier d’au moins 15 ans d’expérience professionnelle liée au secteur financier, ainsi qu’une expérience pratique des structures et produits financiers combinés, de préférence en lien avec une expérience directe dans la mise en application d’instruments financiers. Une expérience confirmée dans le domaine des garanties, des financements structurés et de projets, de la finance d’entreprise et/ou des instruments financiers ainsi qu’une expérience pratique du travail dans ou avec les institutions financières internationales et/ou les institutions nationales de promotion économique constitueraient un avantage non négligeable.</w:t>
      </w:r>
    </w:p>
    <w:p w:rsidR="00585F22" w:rsidRPr="0059172E" w:rsidRDefault="00585F22" w:rsidP="0059172E">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1372F5" w:rsidRDefault="0059172E" w:rsidP="0059172E">
      <w:pPr>
        <w:tabs>
          <w:tab w:val="left" w:pos="709"/>
        </w:tabs>
        <w:spacing w:after="0" w:line="240" w:lineRule="auto"/>
        <w:ind w:left="709" w:right="60"/>
        <w:jc w:val="both"/>
        <w:rPr>
          <w:rFonts w:ascii="Times New Roman" w:eastAsia="Times New Roman" w:hAnsi="Times New Roman" w:cs="Times New Roman"/>
          <w:lang w:eastAsia="en-GB"/>
        </w:rPr>
      </w:pPr>
      <w:r w:rsidRPr="0059172E">
        <w:rPr>
          <w:rFonts w:ascii="Times New Roman" w:eastAsia="Times New Roman" w:hAnsi="Times New Roman" w:cs="Times New Roman"/>
          <w:lang w:eastAsia="en-GB"/>
        </w:rPr>
        <w:t>Il/elle devrait avoir de solides compétences analytiques et être en mesure de faire des jugements judicieux ainsi qu’avoir la capacité de travailler dans des délais serrés et de réagir rapidement et efficacement à des situations imprévues. Il/elle devrait posséder de très bonnes compétences rédactionnelles et communicatives, une aptitude à produire des rapports clairs et concis ainsi qu’une aptitude à communiquer avec les parties prenantes à l'intérieur et à l'extérieur de la Commission, en particulier avec les institutions financières.</w:t>
      </w:r>
    </w:p>
    <w:p w:rsidR="0059172E" w:rsidRPr="00745B97" w:rsidRDefault="0059172E" w:rsidP="0059172E">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59172E" w:rsidP="00745B97">
      <w:pPr>
        <w:tabs>
          <w:tab w:val="left" w:pos="709"/>
        </w:tabs>
        <w:spacing w:after="0" w:line="240" w:lineRule="auto"/>
        <w:ind w:left="709" w:right="60"/>
        <w:jc w:val="both"/>
        <w:rPr>
          <w:rFonts w:ascii="Times New Roman" w:eastAsia="Times New Roman" w:hAnsi="Times New Roman" w:cs="Times New Roman"/>
          <w:lang w:eastAsia="en-GB"/>
        </w:rPr>
      </w:pPr>
      <w:r w:rsidRPr="0059172E">
        <w:rPr>
          <w:rFonts w:ascii="Times New Roman" w:eastAsia="Times New Roman" w:hAnsi="Times New Roman" w:cs="Times New Roman"/>
          <w:lang w:eastAsia="en-GB"/>
        </w:rPr>
        <w:t>Une parfaite connaissance de l'anglais est requise et la maîtrise d'au moins deux autres langues de l'UE serait un avantage.</w:t>
      </w:r>
      <w:r w:rsidR="00AB1805" w:rsidRPr="00AB1805">
        <w:rPr>
          <w:rFonts w:ascii="Times New Roman" w:eastAsia="Times New Roman" w:hAnsi="Times New Roman" w:cs="Times New Roman"/>
          <w:lang w:eastAsia="en-GB"/>
        </w:rPr>
        <w:t xml:space="preserve"> </w:t>
      </w:r>
    </w:p>
    <w:p w:rsidR="00AB1805" w:rsidRPr="00745B97" w:rsidRDefault="00AB1805"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w:t>
      </w:r>
      <w:r w:rsidRPr="00745B97">
        <w:rPr>
          <w:rFonts w:ascii="Times New Roman" w:eastAsia="Times New Roman" w:hAnsi="Times New Roman" w:cs="Times New Roman"/>
          <w:lang w:eastAsia="en-GB"/>
        </w:rPr>
        <w:lastRenderedPageBreak/>
        <w:t>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372F5" w:rsidRPr="00745B97" w:rsidRDefault="001372F5"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943D98" w:rsidRPr="00745B97" w:rsidRDefault="00943D9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lastRenderedPageBreak/>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45525F">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D73520"/>
    <w:multiLevelType w:val="hybridMultilevel"/>
    <w:tmpl w:val="5D7850A2"/>
    <w:lvl w:ilvl="0" w:tplc="1946E40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190482F"/>
    <w:multiLevelType w:val="hybridMultilevel"/>
    <w:tmpl w:val="0D40A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372F5"/>
    <w:rsid w:val="0019598C"/>
    <w:rsid w:val="004010FC"/>
    <w:rsid w:val="0045525F"/>
    <w:rsid w:val="00534042"/>
    <w:rsid w:val="00572958"/>
    <w:rsid w:val="00585F22"/>
    <w:rsid w:val="0059172E"/>
    <w:rsid w:val="00745B97"/>
    <w:rsid w:val="00914595"/>
    <w:rsid w:val="00943D98"/>
    <w:rsid w:val="00AB1805"/>
    <w:rsid w:val="00B36D07"/>
    <w:rsid w:val="00BC14A5"/>
    <w:rsid w:val="00CF677F"/>
    <w:rsid w:val="00D337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Giorgio.Chiarion-Cason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1568</Words>
  <Characters>9049</Characters>
  <Application>Microsoft Office Word</Application>
  <DocSecurity>0</DocSecurity>
  <Lines>201</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2019-12-11T16:54:00Z</dcterms:created>
  <dcterms:modified xsi:type="dcterms:W3CDTF">2019-12-11T16:58:00Z</dcterms:modified>
</cp:coreProperties>
</file>