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5242C7" w:rsidRPr="00745B97" w:rsidTr="008779A7">
        <w:trPr>
          <w:trHeight w:val="611"/>
          <w:jc w:val="center"/>
        </w:trPr>
        <w:tc>
          <w:tcPr>
            <w:tcW w:w="4359" w:type="dxa"/>
          </w:tcPr>
          <w:p w:rsidR="005242C7" w:rsidRPr="00745B97" w:rsidRDefault="005242C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5242C7" w:rsidRPr="00745B97" w:rsidRDefault="005242C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tcPr>
          <w:p w:rsidR="005242C7" w:rsidRPr="005242C7" w:rsidRDefault="005242C7" w:rsidP="00234A35">
            <w:pPr>
              <w:spacing w:before="120"/>
              <w:ind w:right="1315"/>
              <w:jc w:val="both"/>
              <w:rPr>
                <w:rFonts w:ascii="Times New Roman" w:hAnsi="Times New Roman" w:cs="Times New Roman"/>
                <w:b/>
                <w:sz w:val="24"/>
                <w:szCs w:val="24"/>
              </w:rPr>
            </w:pPr>
            <w:r w:rsidRPr="005242C7">
              <w:rPr>
                <w:rFonts w:ascii="Times New Roman" w:hAnsi="Times New Roman" w:cs="Times New Roman"/>
                <w:b/>
                <w:sz w:val="24"/>
                <w:szCs w:val="24"/>
              </w:rPr>
              <w:t>ESTAT-E-1</w:t>
            </w:r>
          </w:p>
        </w:tc>
      </w:tr>
      <w:tr w:rsidR="005242C7" w:rsidRPr="00745B97" w:rsidTr="00EC6FF0">
        <w:trPr>
          <w:trHeight w:val="1977"/>
          <w:jc w:val="center"/>
        </w:trPr>
        <w:tc>
          <w:tcPr>
            <w:tcW w:w="4359" w:type="dxa"/>
            <w:tcBorders>
              <w:bottom w:val="nil"/>
            </w:tcBorders>
          </w:tcPr>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Chef d’unité :</w:t>
            </w:r>
          </w:p>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Adresse e-mail :</w:t>
            </w:r>
          </w:p>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Téléphone :</w:t>
            </w:r>
          </w:p>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Nombre de postes disponibles:</w:t>
            </w:r>
          </w:p>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Prise de fonction souhaitée :</w:t>
            </w:r>
          </w:p>
          <w:p w:rsidR="005242C7" w:rsidRPr="005242C7" w:rsidRDefault="005242C7" w:rsidP="00745B97">
            <w:pPr>
              <w:tabs>
                <w:tab w:val="left" w:pos="1697"/>
              </w:tabs>
              <w:ind w:right="-1739"/>
              <w:jc w:val="both"/>
              <w:rPr>
                <w:rFonts w:ascii="Times New Roman" w:eastAsia="Times New Roman" w:hAnsi="Times New Roman" w:cs="Times New Roman"/>
                <w:b/>
                <w:sz w:val="24"/>
                <w:szCs w:val="24"/>
                <w:lang w:eastAsia="en-GB"/>
              </w:rPr>
            </w:pPr>
            <w:r w:rsidRPr="005242C7">
              <w:rPr>
                <w:rFonts w:ascii="Times New Roman" w:eastAsia="Times New Roman" w:hAnsi="Times New Roman" w:cs="Times New Roman"/>
                <w:b/>
                <w:sz w:val="24"/>
                <w:szCs w:val="24"/>
                <w:lang w:eastAsia="en-GB"/>
              </w:rPr>
              <w:t>Durée initiale souhaitée :</w:t>
            </w:r>
          </w:p>
          <w:p w:rsidR="005242C7" w:rsidRPr="005242C7" w:rsidRDefault="005242C7" w:rsidP="00745B97">
            <w:pPr>
              <w:rPr>
                <w:rFonts w:ascii="Times New Roman" w:eastAsia="Times New Roman" w:hAnsi="Times New Roman" w:cs="Times New Roman"/>
                <w:sz w:val="24"/>
                <w:szCs w:val="24"/>
                <w:lang w:eastAsia="en-GB"/>
              </w:rPr>
            </w:pPr>
            <w:r w:rsidRPr="005242C7">
              <w:rPr>
                <w:rFonts w:ascii="Times New Roman" w:eastAsia="Times New Roman" w:hAnsi="Times New Roman" w:cs="Times New Roman"/>
                <w:b/>
                <w:sz w:val="24"/>
                <w:szCs w:val="24"/>
                <w:lang w:eastAsia="en-GB"/>
              </w:rPr>
              <w:t>Lieu d’affectation :</w:t>
            </w:r>
          </w:p>
        </w:tc>
        <w:tc>
          <w:tcPr>
            <w:tcW w:w="5597" w:type="dxa"/>
          </w:tcPr>
          <w:p w:rsidR="005242C7" w:rsidRPr="005242C7" w:rsidRDefault="005242C7" w:rsidP="00234A35">
            <w:pPr>
              <w:ind w:right="1317"/>
              <w:jc w:val="both"/>
              <w:rPr>
                <w:rFonts w:ascii="Times New Roman" w:hAnsi="Times New Roman" w:cs="Times New Roman"/>
                <w:b/>
                <w:sz w:val="24"/>
                <w:szCs w:val="24"/>
              </w:rPr>
            </w:pPr>
            <w:r w:rsidRPr="005242C7">
              <w:rPr>
                <w:rFonts w:ascii="Times New Roman" w:hAnsi="Times New Roman" w:cs="Times New Roman"/>
                <w:b/>
                <w:sz w:val="24"/>
                <w:szCs w:val="24"/>
              </w:rPr>
              <w:t>Christine WIRTZ</w:t>
            </w:r>
          </w:p>
          <w:p w:rsidR="005242C7" w:rsidRPr="005242C7" w:rsidRDefault="005242C7" w:rsidP="00234A35">
            <w:pPr>
              <w:ind w:right="1317"/>
              <w:jc w:val="both"/>
              <w:rPr>
                <w:rFonts w:ascii="Times New Roman" w:hAnsi="Times New Roman" w:cs="Times New Roman"/>
                <w:b/>
                <w:sz w:val="24"/>
                <w:szCs w:val="24"/>
              </w:rPr>
            </w:pPr>
            <w:hyperlink r:id="rId9" w:history="1">
              <w:r w:rsidRPr="005242C7">
                <w:rPr>
                  <w:rStyle w:val="Hyperlink"/>
                  <w:rFonts w:ascii="Times New Roman" w:hAnsi="Times New Roman" w:cs="Times New Roman"/>
                  <w:b/>
                  <w:sz w:val="24"/>
                  <w:szCs w:val="24"/>
                </w:rPr>
                <w:t>Christine.wirtz@ec.europa.eu</w:t>
              </w:r>
            </w:hyperlink>
          </w:p>
          <w:p w:rsidR="005242C7" w:rsidRPr="005242C7" w:rsidRDefault="005242C7" w:rsidP="00234A35">
            <w:pPr>
              <w:ind w:right="1317"/>
              <w:jc w:val="both"/>
              <w:rPr>
                <w:rFonts w:ascii="Times New Roman" w:hAnsi="Times New Roman" w:cs="Times New Roman"/>
                <w:b/>
                <w:sz w:val="24"/>
                <w:szCs w:val="24"/>
              </w:rPr>
            </w:pPr>
            <w:r w:rsidRPr="005242C7">
              <w:rPr>
                <w:rFonts w:ascii="Times New Roman" w:hAnsi="Times New Roman" w:cs="Times New Roman"/>
                <w:b/>
                <w:sz w:val="24"/>
                <w:szCs w:val="24"/>
              </w:rPr>
              <w:t>00352-4301-34994</w:t>
            </w:r>
          </w:p>
          <w:p w:rsidR="005242C7" w:rsidRPr="005242C7" w:rsidRDefault="005242C7" w:rsidP="00234A35">
            <w:pPr>
              <w:ind w:right="1317"/>
              <w:jc w:val="both"/>
              <w:rPr>
                <w:rFonts w:ascii="Times New Roman" w:hAnsi="Times New Roman" w:cs="Times New Roman"/>
                <w:b/>
                <w:sz w:val="24"/>
                <w:szCs w:val="24"/>
              </w:rPr>
            </w:pPr>
            <w:r w:rsidRPr="005242C7">
              <w:rPr>
                <w:rFonts w:ascii="Times New Roman" w:hAnsi="Times New Roman" w:cs="Times New Roman"/>
                <w:b/>
                <w:sz w:val="24"/>
                <w:szCs w:val="24"/>
              </w:rPr>
              <w:t xml:space="preserve">1 </w:t>
            </w:r>
          </w:p>
          <w:p w:rsidR="005242C7" w:rsidRPr="005242C7" w:rsidRDefault="005242C7" w:rsidP="00234A35">
            <w:pPr>
              <w:ind w:right="1317"/>
              <w:jc w:val="both"/>
              <w:rPr>
                <w:rFonts w:ascii="Times New Roman" w:hAnsi="Times New Roman" w:cs="Times New Roman"/>
                <w:b/>
                <w:sz w:val="24"/>
                <w:szCs w:val="24"/>
                <w:lang w:val="fr-FR"/>
              </w:rPr>
            </w:pPr>
            <w:r w:rsidRPr="005242C7">
              <w:rPr>
                <w:rFonts w:ascii="Times New Roman" w:hAnsi="Times New Roman" w:cs="Times New Roman"/>
                <w:b/>
                <w:sz w:val="24"/>
                <w:szCs w:val="24"/>
              </w:rPr>
              <w:t>1</w:t>
            </w:r>
            <w:r w:rsidRPr="005242C7">
              <w:rPr>
                <w:rFonts w:ascii="Times New Roman" w:hAnsi="Times New Roman" w:cs="Times New Roman"/>
                <w:b/>
                <w:sz w:val="24"/>
                <w:szCs w:val="24"/>
                <w:vertAlign w:val="superscript"/>
              </w:rPr>
              <w:t>er</w:t>
            </w:r>
            <w:r>
              <w:rPr>
                <w:rFonts w:ascii="Times New Roman" w:hAnsi="Times New Roman" w:cs="Times New Roman"/>
                <w:b/>
                <w:sz w:val="24"/>
                <w:szCs w:val="24"/>
              </w:rPr>
              <w:t xml:space="preserve"> </w:t>
            </w:r>
            <w:r w:rsidRPr="005242C7">
              <w:rPr>
                <w:rFonts w:ascii="Times New Roman" w:hAnsi="Times New Roman" w:cs="Times New Roman"/>
                <w:b/>
                <w:sz w:val="24"/>
                <w:szCs w:val="24"/>
              </w:rPr>
              <w:t>trimestre 2020</w:t>
            </w:r>
            <w:r w:rsidRPr="005242C7">
              <w:rPr>
                <w:rStyle w:val="FootnoteReference"/>
                <w:rFonts w:ascii="Times New Roman" w:hAnsi="Times New Roman" w:cs="Times New Roman"/>
                <w:b/>
                <w:sz w:val="24"/>
                <w:szCs w:val="24"/>
              </w:rPr>
              <w:footnoteReference w:id="1"/>
            </w:r>
          </w:p>
          <w:p w:rsidR="005242C7" w:rsidRPr="005242C7" w:rsidRDefault="005242C7" w:rsidP="00234A35">
            <w:pPr>
              <w:ind w:right="1317"/>
              <w:jc w:val="both"/>
              <w:rPr>
                <w:rFonts w:ascii="Times New Roman" w:hAnsi="Times New Roman" w:cs="Times New Roman"/>
                <w:sz w:val="24"/>
                <w:szCs w:val="24"/>
                <w:lang w:val="fr-FR"/>
              </w:rPr>
            </w:pPr>
            <w:r w:rsidRPr="005242C7">
              <w:rPr>
                <w:rStyle w:val="FootnoteReference"/>
                <w:rFonts w:ascii="Times New Roman" w:hAnsi="Times New Roman" w:cs="Times New Roman"/>
                <w:b/>
                <w:sz w:val="24"/>
                <w:szCs w:val="24"/>
                <w:vertAlign w:val="baseline"/>
                <w:lang w:val="fr-FR"/>
              </w:rPr>
              <w:t>2</w:t>
            </w:r>
            <w:r w:rsidRPr="005242C7">
              <w:rPr>
                <w:rFonts w:ascii="Times New Roman" w:hAnsi="Times New Roman" w:cs="Times New Roman"/>
                <w:b/>
                <w:sz w:val="24"/>
                <w:szCs w:val="24"/>
              </w:rPr>
              <w:t xml:space="preserve"> </w:t>
            </w:r>
            <w:r w:rsidRPr="005242C7">
              <w:rPr>
                <w:rStyle w:val="FootnoteReference"/>
                <w:rFonts w:ascii="Times New Roman" w:hAnsi="Times New Roman" w:cs="Times New Roman"/>
                <w:b/>
                <w:sz w:val="24"/>
                <w:szCs w:val="24"/>
                <w:vertAlign w:val="baseline"/>
                <w:lang w:val="fr-FR"/>
              </w:rPr>
              <w:t>ans</w:t>
            </w:r>
            <w:r w:rsidRPr="005242C7">
              <w:rPr>
                <w:rStyle w:val="FootnoteReference"/>
                <w:rFonts w:ascii="Times New Roman" w:hAnsi="Times New Roman" w:cs="Times New Roman"/>
                <w:b/>
                <w:sz w:val="24"/>
                <w:szCs w:val="24"/>
                <w:lang w:val="fr-FR"/>
              </w:rPr>
              <w:t>1</w:t>
            </w:r>
          </w:p>
          <w:p w:rsidR="005242C7" w:rsidRPr="005242C7" w:rsidRDefault="005242C7" w:rsidP="00234A35">
            <w:pPr>
              <w:tabs>
                <w:tab w:val="left" w:pos="1593"/>
              </w:tabs>
              <w:ind w:right="627"/>
              <w:rPr>
                <w:rFonts w:ascii="Times New Roman" w:hAnsi="Times New Roman" w:cs="Times New Roman"/>
                <w:b/>
                <w:sz w:val="24"/>
                <w:szCs w:val="24"/>
              </w:rPr>
            </w:pPr>
            <w:r w:rsidRPr="005242C7">
              <w:rPr>
                <w:rFonts w:ascii="Times New Roman" w:eastAsia="MS Minngs" w:hAnsi="Times New Roman" w:cs="Times New Roman"/>
                <w:b/>
                <w:bCs/>
                <w:sz w:val="24"/>
                <w:szCs w:val="24"/>
                <w:lang w:val="fr-FR"/>
              </w:rPr>
              <w:sym w:font="Wingdings 2" w:char="F0A3"/>
            </w:r>
            <w:r w:rsidRPr="005242C7">
              <w:rPr>
                <w:rFonts w:ascii="Times New Roman" w:eastAsia="MS Minngs" w:hAnsi="Times New Roman" w:cs="Times New Roman"/>
                <w:b/>
                <w:bCs/>
                <w:sz w:val="24"/>
                <w:szCs w:val="24"/>
                <w:lang w:val="fr-FR"/>
              </w:rPr>
              <w:t xml:space="preserve"> </w:t>
            </w:r>
            <w:r w:rsidRPr="005242C7">
              <w:rPr>
                <w:rFonts w:ascii="Times New Roman" w:hAnsi="Times New Roman" w:cs="Times New Roman"/>
                <w:b/>
                <w:sz w:val="24"/>
                <w:szCs w:val="24"/>
              </w:rPr>
              <w:t xml:space="preserve">Bruxelles  </w:t>
            </w:r>
            <w:r w:rsidRPr="005242C7">
              <w:rPr>
                <w:rFonts w:ascii="Times New Roman" w:hAnsi="Times New Roman" w:cs="Times New Roman"/>
                <w:b/>
                <w:sz w:val="24"/>
                <w:szCs w:val="24"/>
              </w:rPr>
              <w:sym w:font="Wingdings 2" w:char="F054"/>
            </w:r>
            <w:r w:rsidRPr="005242C7">
              <w:rPr>
                <w:rFonts w:ascii="Times New Roman" w:hAnsi="Times New Roman" w:cs="Times New Roman"/>
                <w:b/>
                <w:sz w:val="24"/>
                <w:szCs w:val="24"/>
              </w:rPr>
              <w:t xml:space="preserve"> Luxembourg  </w:t>
            </w:r>
            <w:r w:rsidRPr="005242C7">
              <w:rPr>
                <w:rFonts w:ascii="Times New Roman" w:eastAsia="MS Minngs" w:hAnsi="Times New Roman" w:cs="Times New Roman"/>
                <w:b/>
                <w:bCs/>
                <w:sz w:val="24"/>
                <w:szCs w:val="24"/>
                <w:lang w:val="fr-FR"/>
              </w:rPr>
              <w:sym w:font="Wingdings 2" w:char="F0A3"/>
            </w:r>
            <w:r w:rsidRPr="005242C7">
              <w:rPr>
                <w:rFonts w:ascii="Times New Roman" w:eastAsia="MS Minngs" w:hAnsi="Times New Roman" w:cs="Times New Roman"/>
                <w:b/>
                <w:bCs/>
                <w:sz w:val="24"/>
                <w:szCs w:val="24"/>
                <w:lang w:val="fr-FR"/>
              </w:rPr>
              <w:t xml:space="preserve"> </w:t>
            </w:r>
            <w:r w:rsidRPr="005242C7">
              <w:rPr>
                <w:rFonts w:ascii="Times New Roman" w:hAnsi="Times New Roman" w:cs="Times New Roman"/>
                <w:b/>
                <w:sz w:val="24"/>
                <w:szCs w:val="24"/>
              </w:rPr>
              <w:t>Autre: …………..</w:t>
            </w:r>
          </w:p>
        </w:tc>
      </w:tr>
      <w:tr w:rsidR="005242C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5242C7" w:rsidRPr="00745B97" w:rsidRDefault="005242C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5242C7" w:rsidRPr="005242C7" w:rsidRDefault="005242C7" w:rsidP="00234A35">
            <w:pPr>
              <w:rPr>
                <w:rFonts w:ascii="Times New Roman" w:hAnsi="Times New Roman" w:cs="Times New Roman"/>
                <w:b/>
                <w:sz w:val="24"/>
                <w:szCs w:val="24"/>
              </w:rPr>
            </w:pPr>
            <w:r w:rsidRPr="005242C7">
              <w:rPr>
                <w:rFonts w:ascii="Times New Roman" w:hAnsi="Times New Roman" w:cs="Times New Roman"/>
                <w:b/>
                <w:sz w:val="24"/>
                <w:szCs w:val="24"/>
              </w:rPr>
              <w:sym w:font="Wingdings 2" w:char="F054"/>
            </w:r>
            <w:r w:rsidRPr="005242C7">
              <w:rPr>
                <w:rStyle w:val="Strong"/>
                <w:rFonts w:ascii="Times New Roman" w:hAnsi="Times New Roman" w:cs="Times New Roman"/>
                <w:b w:val="0"/>
                <w:sz w:val="24"/>
                <w:szCs w:val="24"/>
              </w:rPr>
              <w:t xml:space="preserve">    </w:t>
            </w:r>
            <w:r w:rsidRPr="005242C7">
              <w:rPr>
                <w:rFonts w:ascii="Times New Roman" w:hAnsi="Times New Roman" w:cs="Times New Roman"/>
                <w:b/>
                <w:sz w:val="24"/>
                <w:szCs w:val="24"/>
              </w:rPr>
              <w:t xml:space="preserve">Avec indemnités                </w:t>
            </w:r>
            <w:r w:rsidRPr="005242C7">
              <w:rPr>
                <w:rFonts w:ascii="Times New Roman" w:eastAsia="MS Minngs" w:hAnsi="Times New Roman" w:cs="Times New Roman"/>
                <w:b/>
                <w:bCs/>
                <w:sz w:val="24"/>
                <w:szCs w:val="24"/>
                <w:lang w:val="fr-FR"/>
              </w:rPr>
              <w:sym w:font="Wingdings 2" w:char="F0A3"/>
            </w:r>
            <w:r w:rsidRPr="005242C7">
              <w:rPr>
                <w:rFonts w:ascii="Times New Roman" w:eastAsia="MS Minngs" w:hAnsi="Times New Roman" w:cs="Times New Roman"/>
                <w:b/>
                <w:bCs/>
                <w:sz w:val="24"/>
                <w:szCs w:val="24"/>
                <w:lang w:val="fr-FR"/>
              </w:rPr>
              <w:t xml:space="preserve">   </w:t>
            </w:r>
            <w:r w:rsidRPr="005242C7">
              <w:rPr>
                <w:rStyle w:val="Strong"/>
                <w:rFonts w:ascii="Times New Roman" w:hAnsi="Times New Roman" w:cs="Times New Roman"/>
                <w:b w:val="0"/>
                <w:sz w:val="24"/>
                <w:szCs w:val="24"/>
              </w:rPr>
              <w:t> </w:t>
            </w:r>
            <w:r w:rsidRPr="005242C7">
              <w:rPr>
                <w:rFonts w:ascii="Times New Roman" w:eastAsia="MS Minngs" w:hAnsi="Times New Roman" w:cs="Times New Roman"/>
                <w:b/>
                <w:bCs/>
                <w:sz w:val="24"/>
                <w:szCs w:val="24"/>
                <w:lang w:val="fr-FR"/>
              </w:rPr>
              <w:t xml:space="preserve"> </w:t>
            </w:r>
            <w:r w:rsidRPr="005242C7">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L'unité ESTAT.E1 "Agriculture et pêche" a la responsabilité de fournir une information statistique officielle de haute qualité sur la production agricole de l'Europe, sur la structure des exploitations agricoles, sur les comptes et prix agricoles européens et sur la pêche. Le travail comprend la collecte, le traitement, la diffusion et l'analyse des données et métadonnées, au même titre que des développements conceptuels et méthodologiques.</w:t>
      </w: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Les données fournies par ESTAT.E1 sont utilisées pour concevoir, mettre en œuvre, piloter et évaluer les politiques communes agricole et de la pêche et autres politiques connexes (ex.: politique environnementale, changement climatique, économie circulaire, nourriture et santé).</w:t>
      </w: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 xml:space="preserve">En plus de la production de statistiques à des intervalles mensuels, trimestriels, annuels et pluriannuels, ESTAT.E1 a également la responsabilité de trois projets de modernisation sur la "Stratégie pour les statistiques agricoles en 2020 et au-delà", la "Modernisation des Comptes Economiques de l'Agriculture" et la "Rationalisation et simplification des statistiques de la pêche". </w:t>
      </w: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Nous recherchons un(e) expert(e) national(e) détaché(e) qui, sous la supervision d’un(e) fonctionnaire de l'UE, aura pour responsabilité d'accomplir des tâches en relation avec la production et l’assurance qualité des statistiques agricoles.</w:t>
      </w: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La personne experte serait impliquée dans :</w:t>
      </w:r>
    </w:p>
    <w:p w:rsidR="005242C7" w:rsidRPr="005242C7" w:rsidRDefault="005242C7" w:rsidP="005242C7">
      <w:pPr>
        <w:numPr>
          <w:ilvl w:val="0"/>
          <w:numId w:val="1"/>
        </w:numPr>
        <w:autoSpaceDE w:val="0"/>
        <w:autoSpaceDN w:val="0"/>
        <w:adjustRightInd w:val="0"/>
        <w:spacing w:after="0" w:line="240" w:lineRule="auto"/>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la rédaction et/ou mise à jour de manuels. Cela contribuerait à faire en sorte que les développements statistiques soient adaptés pour l’inclusion future dans des règlements. Cela garantirait également que la mise en œuvre des règlements soit étayée par des lignes directrices, des illustrations et des exemples.</w:t>
      </w:r>
    </w:p>
    <w:p w:rsidR="005242C7" w:rsidRPr="005242C7" w:rsidRDefault="005242C7" w:rsidP="005242C7">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lang w:eastAsia="en-GB"/>
        </w:rPr>
      </w:pPr>
      <w:r w:rsidRPr="005242C7">
        <w:rPr>
          <w:rFonts w:ascii="Times New Roman" w:eastAsia="Calibri" w:hAnsi="Times New Roman" w:cs="Times New Roman"/>
          <w:color w:val="000000"/>
          <w:lang w:eastAsia="en-GB"/>
        </w:rPr>
        <w:t>La collecte, la validation et la diffusion des données et des métadonnées pour les statistiques agricoles. Elle sera en liaison avec les fournisseurs de données, c’est-à-dire les États membres, les pays membres de l’AELE, les pays Candidats et candidats potentiels.</w:t>
      </w:r>
    </w:p>
    <w:p w:rsidR="005242C7" w:rsidRPr="005242C7" w:rsidRDefault="005242C7" w:rsidP="005242C7">
      <w:pPr>
        <w:autoSpaceDE w:val="0"/>
        <w:autoSpaceDN w:val="0"/>
        <w:adjustRightInd w:val="0"/>
        <w:spacing w:after="0" w:line="240" w:lineRule="auto"/>
        <w:ind w:left="360"/>
        <w:contextualSpacing/>
        <w:jc w:val="both"/>
        <w:rPr>
          <w:rFonts w:ascii="Times New Roman" w:eastAsia="Calibri" w:hAnsi="Times New Roman" w:cs="Times New Roman"/>
          <w:color w:val="000000"/>
          <w:lang w:eastAsia="en-GB"/>
        </w:rPr>
      </w:pPr>
    </w:p>
    <w:p w:rsidR="00745B97" w:rsidRPr="00745B97" w:rsidRDefault="005242C7" w:rsidP="005242C7">
      <w:pPr>
        <w:spacing w:after="0" w:line="240" w:lineRule="auto"/>
        <w:rPr>
          <w:rFonts w:ascii="Times New Roman" w:eastAsia="Times New Roman" w:hAnsi="Times New Roman" w:cs="Times New Roman"/>
          <w:lang w:eastAsia="en-GB"/>
        </w:rPr>
      </w:pPr>
      <w:r w:rsidRPr="005242C7">
        <w:rPr>
          <w:rFonts w:ascii="Times New Roman" w:eastAsia="Times New Roman" w:hAnsi="Times New Roman" w:cs="Times New Roman"/>
          <w:color w:val="000000"/>
          <w:sz w:val="24"/>
          <w:szCs w:val="20"/>
          <w:lang w:eastAsia="en-GB"/>
        </w:rPr>
        <w:t>En fonction de l’expertise de la personne candidate, les travaux porteront soit sur la production agricole, soit sur les statistiques agro-monétaires.  Le travail implique une coopération étroite avec d'autres unités d'Eurostat, des administrations nationales (offices statistiques, ministères), d'autres Directions Générales (principalement DG AGRI) et éventuellement des organisations internationales (telles que la FAO).</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5242C7" w:rsidRPr="005242C7">
        <w:rPr>
          <w:rFonts w:ascii="Times New Roman" w:eastAsia="Times New Roman" w:hAnsi="Times New Roman" w:cs="Times New Roman"/>
          <w:lang w:eastAsia="en-GB"/>
        </w:rPr>
        <w:t xml:space="preserve">agriculture, ou autres domaines liés à l'agriculture et </w:t>
      </w:r>
      <w:r w:rsidR="005242C7">
        <w:rPr>
          <w:rFonts w:ascii="Times New Roman" w:eastAsia="Times New Roman" w:hAnsi="Times New Roman" w:cs="Times New Roman"/>
          <w:lang w:eastAsia="en-GB"/>
        </w:rPr>
        <w:t xml:space="preserve">à </w:t>
      </w:r>
      <w:r w:rsidR="005242C7" w:rsidRPr="005242C7">
        <w:rPr>
          <w:rFonts w:ascii="Times New Roman" w:eastAsia="Times New Roman" w:hAnsi="Times New Roman" w:cs="Times New Roman"/>
          <w:lang w:eastAsia="en-GB"/>
        </w:rPr>
        <w:t>l'environnement, la statistique ou l'économie.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242C7" w:rsidRPr="005242C7" w:rsidRDefault="005242C7" w:rsidP="005242C7">
      <w:pPr>
        <w:numPr>
          <w:ilvl w:val="0"/>
          <w:numId w:val="3"/>
        </w:numPr>
        <w:autoSpaceDE w:val="0"/>
        <w:autoSpaceDN w:val="0"/>
        <w:adjustRightInd w:val="0"/>
        <w:spacing w:after="0" w:line="240" w:lineRule="auto"/>
        <w:ind w:left="1134" w:hanging="425"/>
        <w:contextualSpacing/>
        <w:rPr>
          <w:rFonts w:ascii="Times New Roman" w:eastAsia="Times New Roman" w:hAnsi="Times New Roman" w:cs="Times New Roman"/>
          <w:lang w:eastAsia="en-GB"/>
        </w:rPr>
      </w:pPr>
      <w:r w:rsidRPr="005242C7">
        <w:rPr>
          <w:rFonts w:ascii="Times New Roman" w:eastAsia="Times New Roman" w:hAnsi="Times New Roman" w:cs="Times New Roman"/>
          <w:lang w:eastAsia="en-GB"/>
        </w:rPr>
        <w:t>Connaissance et expérience en statistiques officielles et en particulier des statistiques   relatives à l'agriculture;</w:t>
      </w:r>
    </w:p>
    <w:p w:rsidR="005242C7" w:rsidRPr="005242C7" w:rsidRDefault="005242C7" w:rsidP="005242C7">
      <w:pPr>
        <w:numPr>
          <w:ilvl w:val="0"/>
          <w:numId w:val="3"/>
        </w:numPr>
        <w:autoSpaceDE w:val="0"/>
        <w:autoSpaceDN w:val="0"/>
        <w:adjustRightInd w:val="0"/>
        <w:spacing w:after="0" w:line="240" w:lineRule="auto"/>
        <w:ind w:left="1134" w:hanging="425"/>
        <w:contextualSpacing/>
        <w:rPr>
          <w:rFonts w:ascii="Times New Roman" w:eastAsia="Times New Roman" w:hAnsi="Times New Roman" w:cs="Times New Roman"/>
          <w:lang w:eastAsia="en-GB"/>
        </w:rPr>
      </w:pPr>
      <w:r w:rsidRPr="005242C7">
        <w:rPr>
          <w:rFonts w:ascii="Times New Roman" w:eastAsia="Times New Roman" w:hAnsi="Times New Roman" w:cs="Times New Roman"/>
          <w:lang w:eastAsia="en-GB"/>
        </w:rPr>
        <w:t>Bonnes compétences analytique et organisationnelle;</w:t>
      </w:r>
    </w:p>
    <w:p w:rsidR="005242C7" w:rsidRDefault="005242C7" w:rsidP="005242C7">
      <w:pPr>
        <w:numPr>
          <w:ilvl w:val="0"/>
          <w:numId w:val="3"/>
        </w:numPr>
        <w:tabs>
          <w:tab w:val="left" w:pos="317"/>
        </w:tabs>
        <w:spacing w:after="0" w:line="240" w:lineRule="auto"/>
        <w:ind w:left="1134" w:right="1317" w:hanging="425"/>
        <w:contextualSpacing/>
        <w:jc w:val="both"/>
        <w:rPr>
          <w:rFonts w:ascii="Calibri" w:eastAsia="Calibri" w:hAnsi="Calibri" w:cs="Times New Roman"/>
        </w:rPr>
      </w:pPr>
      <w:r w:rsidRPr="005242C7">
        <w:rPr>
          <w:rFonts w:ascii="Times New Roman" w:eastAsia="Times New Roman" w:hAnsi="Times New Roman" w:cs="Times New Roman"/>
          <w:lang w:eastAsia="en-GB"/>
        </w:rPr>
        <w:t>Solides compétences de communication et relationnelle, sens du service et esprit d'équipe;</w:t>
      </w:r>
    </w:p>
    <w:p w:rsidR="00745B97" w:rsidRPr="005242C7" w:rsidRDefault="005242C7" w:rsidP="005242C7">
      <w:pPr>
        <w:numPr>
          <w:ilvl w:val="0"/>
          <w:numId w:val="3"/>
        </w:numPr>
        <w:tabs>
          <w:tab w:val="left" w:pos="317"/>
        </w:tabs>
        <w:spacing w:after="0" w:line="240" w:lineRule="auto"/>
        <w:ind w:left="1134" w:right="1317" w:hanging="425"/>
        <w:contextualSpacing/>
        <w:jc w:val="both"/>
        <w:rPr>
          <w:rFonts w:ascii="Calibri" w:eastAsia="Calibri" w:hAnsi="Calibri" w:cs="Times New Roman"/>
        </w:rPr>
      </w:pPr>
      <w:r w:rsidRPr="005242C7">
        <w:rPr>
          <w:rFonts w:ascii="Times New Roman" w:eastAsia="Times New Roman" w:hAnsi="Times New Roman" w:cs="Times New Roman"/>
          <w:sz w:val="24"/>
          <w:szCs w:val="20"/>
          <w:lang w:eastAsia="en-GB"/>
        </w:rPr>
        <w:t>Facilités dans l'utilisation des outils informatiques.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5242C7" w:rsidP="005242C7">
      <w:pPr>
        <w:tabs>
          <w:tab w:val="left" w:pos="709"/>
        </w:tabs>
        <w:spacing w:after="0" w:line="240" w:lineRule="auto"/>
        <w:ind w:left="708" w:right="60"/>
        <w:jc w:val="both"/>
        <w:rPr>
          <w:rFonts w:ascii="Times New Roman" w:eastAsia="Times New Roman" w:hAnsi="Times New Roman" w:cs="Times New Roman"/>
          <w:u w:val="single"/>
          <w:lang w:eastAsia="en-GB"/>
        </w:rPr>
      </w:pPr>
      <w:r w:rsidRPr="005242C7">
        <w:rPr>
          <w:rFonts w:ascii="Times New Roman" w:eastAsia="Times New Roman" w:hAnsi="Times New Roman" w:cs="Times New Roman"/>
          <w:lang w:eastAsia="en-GB"/>
        </w:rPr>
        <w:t>Anglais (parlé et écrit)</w:t>
      </w:r>
      <w:r>
        <w:rPr>
          <w:rFonts w:ascii="Times New Roman" w:eastAsia="Times New Roman" w:hAnsi="Times New Roman" w:cs="Times New Roman"/>
          <w:lang w:eastAsia="en-GB"/>
        </w:rPr>
        <w:t>.</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242C7"/>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242C7" w:rsidRDefault="005242C7"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25179"/>
    <w:multiLevelType w:val="hybridMultilevel"/>
    <w:tmpl w:val="1BBC6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96D6B85"/>
    <w:multiLevelType w:val="hybridMultilevel"/>
    <w:tmpl w:val="269CA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242C7"/>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5242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5242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hristine.wirt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1529</Words>
  <Characters>8675</Characters>
  <Application>Microsoft Office Word</Application>
  <DocSecurity>0</DocSecurity>
  <Lines>255</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2019-11-11T15:59:00Z</dcterms:created>
  <dcterms:modified xsi:type="dcterms:W3CDTF">2019-11-11T15:59:00Z</dcterms:modified>
</cp:coreProperties>
</file>