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405006" w:rsidRPr="00745B97" w:rsidTr="00EC6FF0">
        <w:trPr>
          <w:trHeight w:val="611"/>
          <w:jc w:val="center"/>
        </w:trPr>
        <w:tc>
          <w:tcPr>
            <w:tcW w:w="4359" w:type="dxa"/>
          </w:tcPr>
          <w:p w:rsidR="00405006" w:rsidRPr="00745B97" w:rsidRDefault="00405006"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405006" w:rsidRPr="00745B97" w:rsidRDefault="00405006"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405006" w:rsidRPr="00405006" w:rsidRDefault="00405006" w:rsidP="0052633B">
            <w:pPr>
              <w:rPr>
                <w:rFonts w:ascii="Times New Roman" w:eastAsia="Times New Roman" w:hAnsi="Times New Roman" w:cs="Times New Roman"/>
                <w:b/>
                <w:sz w:val="24"/>
                <w:szCs w:val="24"/>
                <w:lang w:eastAsia="en-GB"/>
              </w:rPr>
            </w:pPr>
            <w:r w:rsidRPr="00405006">
              <w:rPr>
                <w:rFonts w:ascii="Times New Roman" w:hAnsi="Times New Roman" w:cs="Times New Roman"/>
                <w:b/>
                <w:sz w:val="24"/>
                <w:szCs w:val="24"/>
              </w:rPr>
              <w:t>HOME-C-4</w:t>
            </w:r>
          </w:p>
        </w:tc>
      </w:tr>
      <w:tr w:rsidR="00405006" w:rsidRPr="00745B97" w:rsidTr="00EC6FF0">
        <w:trPr>
          <w:trHeight w:val="1977"/>
          <w:jc w:val="center"/>
        </w:trPr>
        <w:tc>
          <w:tcPr>
            <w:tcW w:w="4359" w:type="dxa"/>
            <w:tcBorders>
              <w:bottom w:val="nil"/>
            </w:tcBorders>
          </w:tcPr>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Chef d’unité :</w:t>
            </w:r>
          </w:p>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Adresse e-mail :</w:t>
            </w:r>
          </w:p>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Téléphone :</w:t>
            </w:r>
          </w:p>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Nombre de postes disponibles:</w:t>
            </w:r>
          </w:p>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Prise de fonction souhaitée :</w:t>
            </w:r>
          </w:p>
          <w:p w:rsidR="00405006" w:rsidRPr="00405006" w:rsidRDefault="00405006" w:rsidP="00745B97">
            <w:pPr>
              <w:tabs>
                <w:tab w:val="left" w:pos="1697"/>
              </w:tabs>
              <w:ind w:right="-1739"/>
              <w:jc w:val="both"/>
              <w:rPr>
                <w:rFonts w:ascii="Times New Roman" w:eastAsia="Times New Roman" w:hAnsi="Times New Roman" w:cs="Times New Roman"/>
                <w:b/>
                <w:sz w:val="24"/>
                <w:szCs w:val="24"/>
                <w:lang w:eastAsia="en-GB"/>
              </w:rPr>
            </w:pPr>
            <w:r w:rsidRPr="00405006">
              <w:rPr>
                <w:rFonts w:ascii="Times New Roman" w:eastAsia="Times New Roman" w:hAnsi="Times New Roman" w:cs="Times New Roman"/>
                <w:b/>
                <w:sz w:val="24"/>
                <w:szCs w:val="24"/>
                <w:lang w:eastAsia="en-GB"/>
              </w:rPr>
              <w:t>Durée initiale souhaitée :</w:t>
            </w:r>
          </w:p>
          <w:p w:rsidR="00405006" w:rsidRPr="00745B97" w:rsidRDefault="00405006" w:rsidP="00745B97">
            <w:pPr>
              <w:rPr>
                <w:rFonts w:ascii="Times New Roman" w:eastAsia="Times New Roman" w:hAnsi="Times New Roman" w:cs="Times New Roman"/>
                <w:sz w:val="24"/>
                <w:szCs w:val="20"/>
                <w:lang w:eastAsia="en-GB"/>
              </w:rPr>
            </w:pPr>
            <w:r w:rsidRPr="00405006">
              <w:rPr>
                <w:rFonts w:ascii="Times New Roman" w:eastAsia="Times New Roman" w:hAnsi="Times New Roman" w:cs="Times New Roman"/>
                <w:b/>
                <w:sz w:val="24"/>
                <w:szCs w:val="24"/>
                <w:lang w:eastAsia="en-GB"/>
              </w:rPr>
              <w:t>Lieu d’affectation :</w:t>
            </w:r>
          </w:p>
        </w:tc>
        <w:tc>
          <w:tcPr>
            <w:tcW w:w="5597" w:type="dxa"/>
          </w:tcPr>
          <w:p w:rsidR="00405006" w:rsidRPr="00405006" w:rsidRDefault="00405006" w:rsidP="0052633B">
            <w:pPr>
              <w:rPr>
                <w:rFonts w:ascii="Times New Roman" w:eastAsia="Times New Roman" w:hAnsi="Times New Roman" w:cs="Times New Roman"/>
                <w:b/>
                <w:sz w:val="24"/>
                <w:szCs w:val="24"/>
                <w:lang w:val="fr-FR" w:eastAsia="en-GB"/>
              </w:rPr>
            </w:pPr>
            <w:r w:rsidRPr="00405006">
              <w:rPr>
                <w:rFonts w:ascii="Times New Roman" w:hAnsi="Times New Roman" w:cs="Times New Roman"/>
                <w:b/>
                <w:sz w:val="24"/>
                <w:szCs w:val="24"/>
                <w:lang w:val="fr-FR"/>
              </w:rPr>
              <w:t xml:space="preserve">Martin </w:t>
            </w:r>
            <w:proofErr w:type="spellStart"/>
            <w:r w:rsidRPr="00405006">
              <w:rPr>
                <w:rFonts w:ascii="Times New Roman" w:hAnsi="Times New Roman" w:cs="Times New Roman"/>
                <w:b/>
                <w:sz w:val="24"/>
                <w:szCs w:val="24"/>
                <w:lang w:val="fr-FR"/>
              </w:rPr>
              <w:t>Schieffer</w:t>
            </w:r>
            <w:proofErr w:type="spellEnd"/>
          </w:p>
          <w:p w:rsidR="00405006" w:rsidRPr="00405006" w:rsidRDefault="002B56B7" w:rsidP="0052633B">
            <w:pPr>
              <w:rPr>
                <w:rFonts w:ascii="Times New Roman" w:eastAsia="Times New Roman" w:hAnsi="Times New Roman" w:cs="Times New Roman"/>
                <w:b/>
                <w:sz w:val="24"/>
                <w:szCs w:val="24"/>
                <w:lang w:val="fr-FR" w:eastAsia="en-GB"/>
              </w:rPr>
            </w:pPr>
            <w:hyperlink r:id="rId8" w:history="1">
              <w:r w:rsidR="00405006" w:rsidRPr="00C31298">
                <w:rPr>
                  <w:rStyle w:val="Hyperlink"/>
                  <w:rFonts w:ascii="Times New Roman" w:hAnsi="Times New Roman" w:cs="Times New Roman"/>
                  <w:b/>
                  <w:sz w:val="24"/>
                  <w:szCs w:val="24"/>
                  <w:lang w:val="fr-FR"/>
                </w:rPr>
                <w:t>Martin.schieffer@ec.europa.eu</w:t>
              </w:r>
            </w:hyperlink>
            <w:r w:rsidR="00405006">
              <w:rPr>
                <w:rFonts w:ascii="Times New Roman" w:hAnsi="Times New Roman" w:cs="Times New Roman"/>
                <w:b/>
                <w:sz w:val="24"/>
                <w:szCs w:val="24"/>
                <w:lang w:val="fr-FR"/>
              </w:rPr>
              <w:t xml:space="preserve"> </w:t>
            </w:r>
          </w:p>
          <w:p w:rsidR="00405006" w:rsidRPr="00405006" w:rsidRDefault="00405006" w:rsidP="0052633B">
            <w:pPr>
              <w:rPr>
                <w:rFonts w:ascii="Times New Roman" w:eastAsia="Times New Roman" w:hAnsi="Times New Roman" w:cs="Times New Roman"/>
                <w:b/>
                <w:sz w:val="24"/>
                <w:szCs w:val="24"/>
                <w:lang w:eastAsia="en-GB"/>
              </w:rPr>
            </w:pPr>
            <w:r w:rsidRPr="00405006">
              <w:rPr>
                <w:rFonts w:ascii="Times New Roman" w:hAnsi="Times New Roman" w:cs="Times New Roman"/>
                <w:b/>
                <w:sz w:val="24"/>
                <w:szCs w:val="24"/>
              </w:rPr>
              <w:t>+32 2 29 91313</w:t>
            </w:r>
          </w:p>
          <w:p w:rsidR="00405006" w:rsidRPr="00405006" w:rsidRDefault="00405006" w:rsidP="0052633B">
            <w:pPr>
              <w:ind w:right="1317"/>
              <w:jc w:val="both"/>
              <w:rPr>
                <w:rFonts w:ascii="Times New Roman" w:eastAsia="Times New Roman" w:hAnsi="Times New Roman" w:cs="Times New Roman"/>
                <w:b/>
                <w:sz w:val="24"/>
                <w:szCs w:val="24"/>
                <w:lang w:eastAsia="en-GB"/>
              </w:rPr>
            </w:pPr>
            <w:r w:rsidRPr="00405006">
              <w:rPr>
                <w:rFonts w:ascii="Times New Roman" w:hAnsi="Times New Roman" w:cs="Times New Roman"/>
                <w:b/>
                <w:sz w:val="24"/>
                <w:szCs w:val="24"/>
              </w:rPr>
              <w:t>1</w:t>
            </w:r>
          </w:p>
          <w:p w:rsidR="00405006" w:rsidRPr="00405006" w:rsidRDefault="00405006" w:rsidP="0052633B">
            <w:pPr>
              <w:ind w:right="1317"/>
              <w:jc w:val="both"/>
              <w:rPr>
                <w:rFonts w:ascii="Times New Roman" w:eastAsia="Times New Roman" w:hAnsi="Times New Roman" w:cs="Times New Roman"/>
                <w:b/>
                <w:sz w:val="24"/>
                <w:szCs w:val="24"/>
                <w:lang w:val="fr-FR" w:eastAsia="en-GB"/>
              </w:rPr>
            </w:pPr>
            <w:r w:rsidRPr="00405006">
              <w:rPr>
                <w:rFonts w:ascii="Times New Roman" w:eastAsia="Times New Roman" w:hAnsi="Times New Roman" w:cs="Times New Roman"/>
                <w:b/>
                <w:sz w:val="24"/>
                <w:szCs w:val="24"/>
                <w:lang w:eastAsia="en-GB"/>
              </w:rPr>
              <w:t>1</w:t>
            </w:r>
            <w:r w:rsidRPr="00405006">
              <w:rPr>
                <w:rFonts w:ascii="Times New Roman" w:eastAsia="Times New Roman" w:hAnsi="Times New Roman" w:cs="Times New Roman"/>
                <w:b/>
                <w:sz w:val="24"/>
                <w:szCs w:val="24"/>
                <w:vertAlign w:val="superscript"/>
                <w:lang w:eastAsia="en-GB"/>
              </w:rPr>
              <w:t>er</w:t>
            </w:r>
            <w:r>
              <w:rPr>
                <w:rFonts w:ascii="Times New Roman" w:eastAsia="Times New Roman" w:hAnsi="Times New Roman" w:cs="Times New Roman"/>
                <w:b/>
                <w:sz w:val="24"/>
                <w:szCs w:val="24"/>
                <w:lang w:eastAsia="en-GB"/>
              </w:rPr>
              <w:t xml:space="preserve"> </w:t>
            </w:r>
            <w:r w:rsidRPr="00405006">
              <w:rPr>
                <w:rFonts w:ascii="Times New Roman" w:eastAsia="Times New Roman" w:hAnsi="Times New Roman" w:cs="Times New Roman"/>
                <w:b/>
                <w:sz w:val="24"/>
                <w:szCs w:val="24"/>
                <w:lang w:eastAsia="en-GB"/>
              </w:rPr>
              <w:t>trimestre 20</w:t>
            </w:r>
            <w:r w:rsidRPr="00405006">
              <w:rPr>
                <w:rFonts w:ascii="Times New Roman" w:hAnsi="Times New Roman" w:cs="Times New Roman"/>
                <w:b/>
                <w:sz w:val="24"/>
                <w:szCs w:val="24"/>
              </w:rPr>
              <w:t>20</w:t>
            </w:r>
            <w:r w:rsidRPr="00405006">
              <w:rPr>
                <w:rFonts w:ascii="Times New Roman" w:eastAsia="Times New Roman" w:hAnsi="Times New Roman" w:cs="Times New Roman"/>
                <w:b/>
                <w:sz w:val="24"/>
                <w:szCs w:val="24"/>
                <w:lang w:val="fr-FR" w:eastAsia="en-GB"/>
              </w:rPr>
              <w:t xml:space="preserve"> </w:t>
            </w:r>
            <w:r w:rsidRPr="00405006">
              <w:rPr>
                <w:rFonts w:ascii="Times New Roman" w:eastAsia="Times New Roman" w:hAnsi="Times New Roman" w:cs="Times New Roman"/>
                <w:b/>
                <w:sz w:val="24"/>
                <w:szCs w:val="24"/>
                <w:vertAlign w:val="superscript"/>
                <w:lang w:eastAsia="en-GB"/>
              </w:rPr>
              <w:footnoteReference w:id="1"/>
            </w:r>
          </w:p>
          <w:p w:rsidR="00405006" w:rsidRPr="00405006" w:rsidRDefault="00405006" w:rsidP="0052633B">
            <w:pPr>
              <w:ind w:right="1317"/>
              <w:jc w:val="both"/>
              <w:rPr>
                <w:rFonts w:ascii="Times New Roman" w:eastAsia="Times New Roman" w:hAnsi="Times New Roman" w:cs="Times New Roman"/>
                <w:b/>
                <w:sz w:val="24"/>
                <w:szCs w:val="24"/>
                <w:lang w:val="fr-FR" w:eastAsia="en-GB"/>
              </w:rPr>
            </w:pPr>
            <w:r w:rsidRPr="00405006">
              <w:rPr>
                <w:rFonts w:ascii="Times New Roman" w:hAnsi="Times New Roman" w:cs="Times New Roman"/>
                <w:b/>
                <w:sz w:val="24"/>
                <w:szCs w:val="24"/>
              </w:rPr>
              <w:t xml:space="preserve">2 </w:t>
            </w:r>
            <w:r w:rsidRPr="00405006">
              <w:rPr>
                <w:rFonts w:ascii="Times New Roman" w:eastAsia="Times New Roman" w:hAnsi="Times New Roman" w:cs="Times New Roman"/>
                <w:b/>
                <w:sz w:val="24"/>
                <w:szCs w:val="24"/>
                <w:lang w:val="fr-FR" w:eastAsia="en-GB"/>
              </w:rPr>
              <w:t>ans</w:t>
            </w:r>
            <w:r w:rsidRPr="00405006">
              <w:rPr>
                <w:rFonts w:ascii="Times New Roman" w:eastAsia="Times New Roman" w:hAnsi="Times New Roman" w:cs="Times New Roman"/>
                <w:b/>
                <w:sz w:val="24"/>
                <w:szCs w:val="24"/>
                <w:vertAlign w:val="superscript"/>
                <w:lang w:val="fr-FR" w:eastAsia="en-GB"/>
              </w:rPr>
              <w:t>1</w:t>
            </w:r>
          </w:p>
          <w:p w:rsidR="00405006" w:rsidRPr="00405006" w:rsidRDefault="00405006" w:rsidP="0052633B">
            <w:pPr>
              <w:rPr>
                <w:rFonts w:ascii="Times New Roman" w:eastAsia="Times New Roman" w:hAnsi="Times New Roman" w:cs="Times New Roman"/>
                <w:b/>
                <w:sz w:val="24"/>
                <w:szCs w:val="24"/>
                <w:lang w:eastAsia="en-GB"/>
              </w:rPr>
            </w:pPr>
            <w:r w:rsidRPr="00405006">
              <w:rPr>
                <w:rFonts w:ascii="Times New Roman" w:hAnsi="Times New Roman" w:cs="Times New Roman"/>
                <w:b/>
                <w:sz w:val="24"/>
                <w:szCs w:val="24"/>
              </w:rPr>
              <w:t>X</w:t>
            </w:r>
            <w:r w:rsidRPr="00405006">
              <w:rPr>
                <w:rFonts w:ascii="Times New Roman" w:eastAsia="MS Minngs" w:hAnsi="Times New Roman" w:cs="Times New Roman"/>
                <w:b/>
                <w:bCs/>
                <w:sz w:val="24"/>
                <w:szCs w:val="24"/>
                <w:lang w:val="fr-FR" w:eastAsia="en-GB"/>
              </w:rPr>
              <w:t xml:space="preserve"> </w:t>
            </w:r>
            <w:r w:rsidRPr="00405006">
              <w:rPr>
                <w:rFonts w:ascii="Times New Roman" w:eastAsia="Times New Roman" w:hAnsi="Times New Roman" w:cs="Times New Roman"/>
                <w:b/>
                <w:sz w:val="24"/>
                <w:szCs w:val="24"/>
                <w:lang w:eastAsia="en-GB"/>
              </w:rPr>
              <w:t xml:space="preserve">Bruxelles  </w:t>
            </w:r>
            <w:r w:rsidRPr="00405006">
              <w:rPr>
                <w:rFonts w:ascii="Times New Roman" w:eastAsia="MS Minngs" w:hAnsi="Times New Roman" w:cs="Times New Roman"/>
                <w:b/>
                <w:bCs/>
                <w:sz w:val="24"/>
                <w:szCs w:val="24"/>
                <w:lang w:val="fr-FR" w:eastAsia="en-GB"/>
              </w:rPr>
              <w:sym w:font="Wingdings 2" w:char="F0A3"/>
            </w:r>
            <w:r w:rsidRPr="00405006">
              <w:rPr>
                <w:rFonts w:ascii="Times New Roman" w:eastAsia="MS Minngs" w:hAnsi="Times New Roman" w:cs="Times New Roman"/>
                <w:b/>
                <w:bCs/>
                <w:sz w:val="24"/>
                <w:szCs w:val="24"/>
                <w:lang w:val="fr-FR" w:eastAsia="en-GB"/>
              </w:rPr>
              <w:t xml:space="preserve"> </w:t>
            </w:r>
            <w:r w:rsidRPr="00405006">
              <w:rPr>
                <w:rFonts w:ascii="Times New Roman" w:eastAsia="Times New Roman" w:hAnsi="Times New Roman" w:cs="Times New Roman"/>
                <w:b/>
                <w:sz w:val="24"/>
                <w:szCs w:val="24"/>
                <w:lang w:eastAsia="en-GB"/>
              </w:rPr>
              <w:t xml:space="preserve">Luxembourg  </w:t>
            </w:r>
            <w:r w:rsidRPr="00405006">
              <w:rPr>
                <w:rFonts w:ascii="Times New Roman" w:eastAsia="MS Minngs" w:hAnsi="Times New Roman" w:cs="Times New Roman"/>
                <w:b/>
                <w:bCs/>
                <w:sz w:val="24"/>
                <w:szCs w:val="24"/>
                <w:lang w:val="fr-FR" w:eastAsia="en-GB"/>
              </w:rPr>
              <w:sym w:font="Wingdings 2" w:char="F0A3"/>
            </w:r>
            <w:r w:rsidRPr="00405006">
              <w:rPr>
                <w:rFonts w:ascii="Times New Roman" w:eastAsia="MS Minngs" w:hAnsi="Times New Roman" w:cs="Times New Roman"/>
                <w:b/>
                <w:bCs/>
                <w:sz w:val="24"/>
                <w:szCs w:val="24"/>
                <w:lang w:val="fr-FR" w:eastAsia="en-GB"/>
              </w:rPr>
              <w:t xml:space="preserve"> A</w:t>
            </w:r>
            <w:proofErr w:type="spellStart"/>
            <w:r w:rsidRPr="00405006">
              <w:rPr>
                <w:rFonts w:ascii="Times New Roman" w:eastAsia="Times New Roman" w:hAnsi="Times New Roman" w:cs="Times New Roman"/>
                <w:b/>
                <w:sz w:val="24"/>
                <w:szCs w:val="24"/>
                <w:lang w:eastAsia="en-GB"/>
              </w:rPr>
              <w:t>utre</w:t>
            </w:r>
            <w:proofErr w:type="spellEnd"/>
            <w:r w:rsidRPr="00405006">
              <w:rPr>
                <w:rFonts w:ascii="Times New Roman" w:eastAsia="Times New Roman" w:hAnsi="Times New Roman" w:cs="Times New Roman"/>
                <w:b/>
                <w:sz w:val="24"/>
                <w:szCs w:val="24"/>
                <w:lang w:eastAsia="en-GB"/>
              </w:rPr>
              <w:t>: ……………..</w:t>
            </w:r>
          </w:p>
        </w:tc>
      </w:tr>
      <w:tr w:rsidR="00405006"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405006" w:rsidRPr="00745B97" w:rsidRDefault="00405006"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405006" w:rsidRPr="00405006" w:rsidRDefault="00405006" w:rsidP="0052633B">
            <w:pPr>
              <w:rPr>
                <w:rFonts w:ascii="Times New Roman" w:eastAsia="Times New Roman" w:hAnsi="Times New Roman" w:cs="Times New Roman"/>
                <w:b/>
                <w:sz w:val="24"/>
                <w:szCs w:val="24"/>
                <w:lang w:eastAsia="en-GB"/>
              </w:rPr>
            </w:pPr>
            <w:r w:rsidRPr="00405006">
              <w:rPr>
                <w:rFonts w:ascii="Times New Roman" w:hAnsi="Times New Roman" w:cs="Times New Roman"/>
                <w:b/>
                <w:sz w:val="24"/>
                <w:szCs w:val="24"/>
              </w:rPr>
              <w:t>X</w:t>
            </w:r>
            <w:r w:rsidRPr="00405006">
              <w:rPr>
                <w:rFonts w:ascii="Times New Roman" w:eastAsia="Times New Roman" w:hAnsi="Times New Roman" w:cs="Times New Roman"/>
                <w:b/>
                <w:bCs/>
                <w:sz w:val="24"/>
                <w:szCs w:val="24"/>
                <w:lang w:eastAsia="en-GB"/>
              </w:rPr>
              <w:t xml:space="preserve">    </w:t>
            </w:r>
            <w:r w:rsidRPr="00405006">
              <w:rPr>
                <w:rFonts w:ascii="Times New Roman" w:eastAsia="Times New Roman" w:hAnsi="Times New Roman" w:cs="Times New Roman"/>
                <w:b/>
                <w:sz w:val="24"/>
                <w:szCs w:val="24"/>
                <w:lang w:eastAsia="en-GB"/>
              </w:rPr>
              <w:t xml:space="preserve">Avec indemnités                </w:t>
            </w:r>
            <w:r w:rsidRPr="00405006">
              <w:rPr>
                <w:rFonts w:ascii="Times New Roman" w:eastAsia="MS Minngs" w:hAnsi="Times New Roman" w:cs="Times New Roman"/>
                <w:b/>
                <w:bCs/>
                <w:sz w:val="24"/>
                <w:szCs w:val="24"/>
                <w:lang w:val="fr-FR" w:eastAsia="en-GB"/>
              </w:rPr>
              <w:sym w:font="Wingdings 2" w:char="F0A3"/>
            </w:r>
            <w:r w:rsidRPr="00405006">
              <w:rPr>
                <w:rFonts w:ascii="Times New Roman" w:eastAsia="MS Minngs" w:hAnsi="Times New Roman" w:cs="Times New Roman"/>
                <w:b/>
                <w:bCs/>
                <w:sz w:val="24"/>
                <w:szCs w:val="24"/>
                <w:lang w:val="fr-FR" w:eastAsia="en-GB"/>
              </w:rPr>
              <w:t xml:space="preserve">   </w:t>
            </w:r>
            <w:r w:rsidRPr="00405006">
              <w:rPr>
                <w:rFonts w:ascii="Times New Roman" w:eastAsia="Times New Roman" w:hAnsi="Times New Roman" w:cs="Times New Roman"/>
                <w:b/>
                <w:bCs/>
                <w:sz w:val="24"/>
                <w:szCs w:val="24"/>
                <w:lang w:eastAsia="en-GB"/>
              </w:rPr>
              <w:t> </w:t>
            </w:r>
            <w:r w:rsidRPr="00405006">
              <w:rPr>
                <w:rFonts w:ascii="Times New Roman" w:eastAsia="MS Minngs" w:hAnsi="Times New Roman" w:cs="Times New Roman"/>
                <w:b/>
                <w:bCs/>
                <w:sz w:val="24"/>
                <w:szCs w:val="24"/>
                <w:lang w:val="fr-FR" w:eastAsia="en-GB"/>
              </w:rPr>
              <w:t xml:space="preserve"> </w:t>
            </w:r>
            <w:r w:rsidRPr="00405006">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05006" w:rsidRPr="00405006" w:rsidRDefault="00405006" w:rsidP="00405006">
      <w:pPr>
        <w:spacing w:after="0" w:line="240" w:lineRule="auto"/>
        <w:ind w:left="426"/>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Soutien opérationnel horizontal à la gestion des migrations: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Contribuer à l’élaboration de politiques de la Direction Générale et de la Commission dans le domaine de l’immigration et de l’asile au moyen d’un soutien opérationnel à la gestion des migrations, tel qu’identifié dans l’Agenda européen en matière de migration, y compris la mise en œuvre de l’approche des «</w:t>
      </w:r>
      <w:proofErr w:type="spellStart"/>
      <w:r w:rsidRPr="00405006">
        <w:rPr>
          <w:rFonts w:ascii="Times New Roman" w:eastAsia="Times New Roman" w:hAnsi="Times New Roman" w:cs="Times New Roman"/>
          <w:lang w:eastAsia="en-GB"/>
        </w:rPr>
        <w:t>hotspots</w:t>
      </w:r>
      <w:proofErr w:type="spellEnd"/>
      <w:r w:rsidRPr="00405006">
        <w:rPr>
          <w:rFonts w:ascii="Times New Roman" w:eastAsia="Times New Roman" w:hAnsi="Times New Roman" w:cs="Times New Roman"/>
          <w:lang w:eastAsia="en-GB"/>
        </w:rPr>
        <w:t>», les régimes d’accueil, l’asile et la relocalisation.</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 xml:space="preserve">Contribuer à l’établissement et au suivi des modalités de coopération dans les zones des « </w:t>
      </w:r>
      <w:proofErr w:type="spellStart"/>
      <w:r w:rsidRPr="00405006">
        <w:rPr>
          <w:rFonts w:ascii="Times New Roman" w:eastAsia="Times New Roman" w:hAnsi="Times New Roman" w:cs="Times New Roman"/>
          <w:lang w:eastAsia="en-GB"/>
        </w:rPr>
        <w:t>hotspots</w:t>
      </w:r>
      <w:proofErr w:type="spellEnd"/>
      <w:r w:rsidRPr="00405006">
        <w:rPr>
          <w:rFonts w:ascii="Times New Roman" w:eastAsia="Times New Roman" w:hAnsi="Times New Roman" w:cs="Times New Roman"/>
          <w:lang w:eastAsia="en-GB"/>
        </w:rPr>
        <w:t xml:space="preserve"> » afin de soutenir l’État membre d’accueil, en coopération avec les agences compétentes de l’UE et les experts des États membres, y compris à la coordination des activités des équipes de gestion des flux migratoires.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 xml:space="preserve">Fournir des rapports, analyses et évaluations appropriés du fonctionnement du système de gestion des migrations, y compris des centres d’accueil et d’enregistrement (« </w:t>
      </w:r>
      <w:proofErr w:type="spellStart"/>
      <w:r w:rsidRPr="00405006">
        <w:rPr>
          <w:rFonts w:ascii="Times New Roman" w:eastAsia="Times New Roman" w:hAnsi="Times New Roman" w:cs="Times New Roman"/>
          <w:lang w:eastAsia="en-GB"/>
        </w:rPr>
        <w:t>hotspots</w:t>
      </w:r>
      <w:proofErr w:type="spellEnd"/>
      <w:r w:rsidRPr="00405006">
        <w:rPr>
          <w:rFonts w:ascii="Times New Roman" w:eastAsia="Times New Roman" w:hAnsi="Times New Roman" w:cs="Times New Roman"/>
          <w:lang w:eastAsia="en-GB"/>
        </w:rPr>
        <w:t xml:space="preserve"> »), dans les États membres concernés;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Fournir des conseils juridiques et stratégiques sur les questions liées à la gestion des migrations dans les États membres concernés.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Suivre l’évolution des politiques dans les États membres concernés et au niveau international dans le domaine de la migration et de l’asile.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Soutien spécifique à l’équipe d’unité travaillant sur les questions liées à la Méditerranée centrale (Italie, Malte):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Participer aux travaux de l’équipe chargée des questions liées à la route migratoire de la Méditerranée centrale.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 xml:space="preserve">Contribuer au soutien opérationnel en faveur de la gestion des migrations en Italie et à Malte, notamment en ce qui concerne la mise en œuvre des décisions de relocalisation et d’autres mécanismes de distribution, </w:t>
      </w:r>
      <w:r w:rsidRPr="00405006">
        <w:rPr>
          <w:rFonts w:ascii="Times New Roman" w:eastAsia="Times New Roman" w:hAnsi="Times New Roman" w:cs="Times New Roman"/>
          <w:lang w:eastAsia="en-GB"/>
        </w:rPr>
        <w:lastRenderedPageBreak/>
        <w:t>la facilitation des retours effectifs, l’amélioration de la gestion des frontières, la protection des mineurs non accompagnés et d’autres groupes vulnérables, et la création d’une capacité d’accueil suffisante.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Contribuer à la mise en œuvre opérationnelle des exercices volontaires de relocalisation depuis l’Italie et/ou Malte, selon les besoins.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Contribuer au suivi des projets financés par l’UE dans le domaine de l’asile, de la migration et de l’intégration en Italie et à Malte, en coopération avec les unités financières et politiques concernées.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Maintenir des contacts réguliers avec l’équipe basée en Italie, y compris par des missions régulières dans les États membres concernés (par exemple, l’Italie et Malte), selon les besoins.</w:t>
      </w:r>
    </w:p>
    <w:p w:rsidR="002B56B7" w:rsidRDefault="002B56B7" w:rsidP="00405006">
      <w:pPr>
        <w:spacing w:after="0" w:line="240" w:lineRule="auto"/>
        <w:ind w:left="709" w:hanging="283"/>
        <w:jc w:val="both"/>
        <w:rPr>
          <w:rFonts w:ascii="Times New Roman" w:eastAsia="Times New Roman" w:hAnsi="Times New Roman" w:cs="Times New Roman"/>
          <w:lang w:eastAsia="en-GB"/>
        </w:rPr>
      </w:pP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bookmarkStart w:id="0" w:name="_GoBack"/>
      <w:bookmarkEnd w:id="0"/>
      <w:r w:rsidRPr="00405006">
        <w:rPr>
          <w:rFonts w:ascii="Times New Roman" w:eastAsia="Times New Roman" w:hAnsi="Times New Roman" w:cs="Times New Roman"/>
          <w:lang w:eastAsia="en-GB"/>
        </w:rPr>
        <w:t>Activités de coordination interne et externe: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Établir et entretenir des contacts réguliers avec les autres DG et services de la Commission qui sont pertinents pour les activités de l’unité et, plus particulièrement, de l’équipe de la Méditerranée centrale.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Participer, sous la supervision d’un fonctionnaire, aux réunions interservices, aux groupes d’experts et aux comités compétents.</w:t>
      </w:r>
    </w:p>
    <w:p w:rsid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Maintenir des contacts réguliers avec les autres parties prenantes concernées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La communication en interne et vers l’extérieur:</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Rendre compte des évolutions juridiques et politiques et des résultats des discussions liées à la mise en œuvre de l’agenda européen en matière de migration à, informer et informer la direction et les collègues de l’évolution de la situation juridique et/ou politique.</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Rédiger des notes d’information, des notes d’orientation et des discours sur les domaines d’action indiqués ci-dessus.</w:t>
      </w:r>
    </w:p>
    <w:p w:rsidR="00405006" w:rsidRPr="00405006"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Répondre aux demandes d’informations, questions ou plaintes des autres institutions européennes, des États membres et du grand public.</w:t>
      </w:r>
    </w:p>
    <w:p w:rsidR="00745B97" w:rsidRPr="00745B97" w:rsidRDefault="00405006" w:rsidP="00405006">
      <w:pPr>
        <w:spacing w:after="0" w:line="240" w:lineRule="auto"/>
        <w:ind w:left="709" w:hanging="283"/>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w:t>
      </w:r>
      <w:r w:rsidRPr="00405006">
        <w:rPr>
          <w:rFonts w:ascii="Times New Roman" w:eastAsia="Times New Roman" w:hAnsi="Times New Roman" w:cs="Times New Roman"/>
          <w:lang w:eastAsia="en-GB"/>
        </w:rPr>
        <w:tab/>
        <w:t>Expliquer les activités de la Direction Générale, et en particulier de l’Unité, aux États membres, aux tiers et au public en général, par des présentations lors de conférences, de séminaires, d’ateliers, etc</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05006" w:rsidRPr="00405006">
        <w:rPr>
          <w:rFonts w:ascii="Times New Roman" w:eastAsia="Times New Roman" w:hAnsi="Times New Roman" w:cs="Times New Roman"/>
          <w:lang w:eastAsia="en-GB"/>
        </w:rPr>
        <w:t xml:space="preserve">droit, sciences politiques, sociologie ou économie.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5006" w:rsidRDefault="00405006"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405006">
        <w:rPr>
          <w:rFonts w:ascii="Times New Roman" w:eastAsia="Times New Roman" w:hAnsi="Times New Roman" w:cs="Times New Roman"/>
          <w:lang w:eastAsia="en-GB"/>
        </w:rPr>
        <w:t>u moins 3 ans d’expérience professionnelle dans le domaine de la migration, de l’asile ou de la gestion des frontières. Une expérience en Italie ou à Malte serait un atout. Une expérience du fonctionnement des instruments de financement de l’UE serait un atout</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5006" w:rsidRDefault="00405006" w:rsidP="00745B97">
      <w:pPr>
        <w:tabs>
          <w:tab w:val="left" w:pos="709"/>
        </w:tabs>
        <w:spacing w:after="0" w:line="240" w:lineRule="auto"/>
        <w:ind w:left="709" w:right="60"/>
        <w:jc w:val="both"/>
        <w:rPr>
          <w:rFonts w:ascii="Times New Roman" w:eastAsia="Times New Roman" w:hAnsi="Times New Roman" w:cs="Times New Roman"/>
          <w:lang w:eastAsia="en-GB"/>
        </w:rPr>
      </w:pPr>
      <w:r w:rsidRPr="00405006">
        <w:rPr>
          <w:rFonts w:ascii="Times New Roman" w:eastAsia="Times New Roman" w:hAnsi="Times New Roman" w:cs="Times New Roman"/>
          <w:lang w:eastAsia="en-GB"/>
        </w:rPr>
        <w:t>Deux langues officielles de l’Union européenne, dont au moins l’anglais ou le français. La connaissance de ces deux langues serait un atout. La connaissance de l’italien constituerait un atout majeur.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B56B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405006" w:rsidRDefault="00405006"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B56B7"/>
    <w:rsid w:val="00405006"/>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chief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1779</Words>
  <Characters>9806</Characters>
  <Application>Microsoft Office Word</Application>
  <DocSecurity>0</DocSecurity>
  <Lines>326</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2019-11-11T10:18:00Z</dcterms:created>
  <dcterms:modified xsi:type="dcterms:W3CDTF">2019-11-11T10:22:00Z</dcterms:modified>
</cp:coreProperties>
</file>