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2D2880" w:rsidRPr="00745B97" w:rsidTr="00EC6FF0">
        <w:trPr>
          <w:trHeight w:val="611"/>
          <w:jc w:val="center"/>
        </w:trPr>
        <w:tc>
          <w:tcPr>
            <w:tcW w:w="4359" w:type="dxa"/>
          </w:tcPr>
          <w:p w:rsidR="002D2880" w:rsidRPr="00745B97" w:rsidRDefault="002D2880"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2D2880" w:rsidRPr="00745B97" w:rsidRDefault="002D2880"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2D2880" w:rsidRPr="002D2880" w:rsidRDefault="002D2880" w:rsidP="002D2880">
            <w:pPr>
              <w:rPr>
                <w:rFonts w:ascii="Times New Roman" w:hAnsi="Times New Roman" w:cs="Times New Roman"/>
                <w:b/>
                <w:sz w:val="24"/>
                <w:szCs w:val="24"/>
              </w:rPr>
            </w:pPr>
            <w:r w:rsidRPr="002D2880">
              <w:rPr>
                <w:rFonts w:ascii="Times New Roman" w:hAnsi="Times New Roman" w:cs="Times New Roman"/>
                <w:b/>
                <w:sz w:val="24"/>
                <w:szCs w:val="24"/>
              </w:rPr>
              <w:t>GROW</w:t>
            </w:r>
            <w:r>
              <w:rPr>
                <w:rFonts w:ascii="Times New Roman" w:hAnsi="Times New Roman" w:cs="Times New Roman"/>
                <w:b/>
                <w:sz w:val="24"/>
                <w:szCs w:val="24"/>
              </w:rPr>
              <w:t>-</w:t>
            </w:r>
            <w:r w:rsidRPr="002D2880">
              <w:rPr>
                <w:rFonts w:ascii="Times New Roman" w:hAnsi="Times New Roman" w:cs="Times New Roman"/>
                <w:b/>
                <w:sz w:val="24"/>
                <w:szCs w:val="24"/>
              </w:rPr>
              <w:t>I</w:t>
            </w:r>
            <w:r>
              <w:rPr>
                <w:rFonts w:ascii="Times New Roman" w:hAnsi="Times New Roman" w:cs="Times New Roman"/>
                <w:b/>
                <w:sz w:val="24"/>
                <w:szCs w:val="24"/>
              </w:rPr>
              <w:t>-</w:t>
            </w:r>
            <w:r w:rsidRPr="002D2880">
              <w:rPr>
                <w:rFonts w:ascii="Times New Roman" w:hAnsi="Times New Roman" w:cs="Times New Roman"/>
                <w:b/>
                <w:sz w:val="24"/>
                <w:szCs w:val="24"/>
              </w:rPr>
              <w:t xml:space="preserve">1 </w:t>
            </w:r>
          </w:p>
        </w:tc>
      </w:tr>
      <w:tr w:rsidR="002D2880" w:rsidRPr="00745B97" w:rsidTr="00EC6FF0">
        <w:trPr>
          <w:trHeight w:val="1977"/>
          <w:jc w:val="center"/>
        </w:trPr>
        <w:tc>
          <w:tcPr>
            <w:tcW w:w="4359" w:type="dxa"/>
            <w:tcBorders>
              <w:bottom w:val="nil"/>
            </w:tcBorders>
          </w:tcPr>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2D2880" w:rsidRPr="00745B97" w:rsidRDefault="002D288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2D2880" w:rsidRPr="00745B97" w:rsidRDefault="002D2880"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D2880" w:rsidRPr="002D2880" w:rsidRDefault="002D2880" w:rsidP="00900246">
            <w:pPr>
              <w:rPr>
                <w:rFonts w:ascii="Times New Roman" w:hAnsi="Times New Roman" w:cs="Times New Roman"/>
                <w:b/>
                <w:sz w:val="24"/>
                <w:szCs w:val="24"/>
              </w:rPr>
            </w:pPr>
            <w:r w:rsidRPr="002D2880">
              <w:rPr>
                <w:rFonts w:ascii="Times New Roman" w:hAnsi="Times New Roman" w:cs="Times New Roman"/>
                <w:b/>
                <w:sz w:val="24"/>
                <w:szCs w:val="24"/>
              </w:rPr>
              <w:t xml:space="preserve">S. </w:t>
            </w:r>
            <w:proofErr w:type="spellStart"/>
            <w:r w:rsidRPr="002D2880">
              <w:rPr>
                <w:rFonts w:ascii="Times New Roman" w:hAnsi="Times New Roman" w:cs="Times New Roman"/>
                <w:b/>
                <w:sz w:val="24"/>
                <w:szCs w:val="24"/>
              </w:rPr>
              <w:t>Lecrenier</w:t>
            </w:r>
            <w:proofErr w:type="spellEnd"/>
          </w:p>
          <w:p w:rsidR="002D2880" w:rsidRPr="002D2880" w:rsidRDefault="002D2880" w:rsidP="00900246">
            <w:pPr>
              <w:rPr>
                <w:rFonts w:ascii="Times New Roman" w:hAnsi="Times New Roman" w:cs="Times New Roman"/>
                <w:b/>
                <w:sz w:val="24"/>
                <w:szCs w:val="24"/>
              </w:rPr>
            </w:pPr>
            <w:r w:rsidRPr="002D2880">
              <w:rPr>
                <w:rFonts w:ascii="Times New Roman" w:hAnsi="Times New Roman" w:cs="Times New Roman"/>
                <w:b/>
                <w:sz w:val="24"/>
                <w:szCs w:val="24"/>
              </w:rPr>
              <w:t>Sabine.lecrenier@ec.europa.eu</w:t>
            </w:r>
          </w:p>
          <w:p w:rsidR="002D2880" w:rsidRPr="002D2880" w:rsidRDefault="002D2880" w:rsidP="00900246">
            <w:pPr>
              <w:rPr>
                <w:rFonts w:ascii="Times New Roman" w:hAnsi="Times New Roman" w:cs="Times New Roman"/>
                <w:b/>
                <w:sz w:val="24"/>
                <w:szCs w:val="24"/>
              </w:rPr>
            </w:pPr>
            <w:r w:rsidRPr="002D2880">
              <w:rPr>
                <w:rFonts w:ascii="Times New Roman" w:hAnsi="Times New Roman" w:cs="Times New Roman"/>
                <w:b/>
                <w:sz w:val="24"/>
                <w:szCs w:val="24"/>
              </w:rPr>
              <w:t>32.2.295.57.38</w:t>
            </w:r>
          </w:p>
          <w:p w:rsidR="002D2880" w:rsidRPr="002D2880" w:rsidRDefault="002D2880" w:rsidP="00900246">
            <w:pPr>
              <w:ind w:right="1317"/>
              <w:jc w:val="both"/>
              <w:rPr>
                <w:rFonts w:ascii="Times New Roman" w:hAnsi="Times New Roman" w:cs="Times New Roman"/>
                <w:b/>
                <w:sz w:val="24"/>
                <w:szCs w:val="24"/>
              </w:rPr>
            </w:pPr>
            <w:r w:rsidRPr="002D2880">
              <w:rPr>
                <w:rFonts w:ascii="Times New Roman" w:hAnsi="Times New Roman" w:cs="Times New Roman"/>
                <w:b/>
                <w:sz w:val="24"/>
                <w:szCs w:val="24"/>
              </w:rPr>
              <w:t>1</w:t>
            </w:r>
          </w:p>
          <w:p w:rsidR="002D2880" w:rsidRPr="002D2880" w:rsidRDefault="002D2880" w:rsidP="00900246">
            <w:pPr>
              <w:ind w:right="1317"/>
              <w:jc w:val="both"/>
              <w:rPr>
                <w:rFonts w:ascii="Times New Roman" w:hAnsi="Times New Roman" w:cs="Times New Roman"/>
                <w:b/>
                <w:sz w:val="24"/>
                <w:szCs w:val="24"/>
              </w:rPr>
            </w:pPr>
            <w:r w:rsidRPr="002D2880">
              <w:rPr>
                <w:rFonts w:ascii="Times New Roman" w:hAnsi="Times New Roman" w:cs="Times New Roman"/>
                <w:b/>
                <w:sz w:val="24"/>
                <w:szCs w:val="24"/>
              </w:rPr>
              <w:t>1</w:t>
            </w:r>
            <w:r w:rsidRPr="002D2880">
              <w:rPr>
                <w:rFonts w:ascii="Times New Roman" w:hAnsi="Times New Roman" w:cs="Times New Roman"/>
                <w:b/>
                <w:sz w:val="24"/>
                <w:szCs w:val="24"/>
                <w:vertAlign w:val="superscript"/>
              </w:rPr>
              <w:t>er</w:t>
            </w:r>
            <w:r>
              <w:rPr>
                <w:rFonts w:ascii="Times New Roman" w:hAnsi="Times New Roman" w:cs="Times New Roman"/>
                <w:b/>
                <w:sz w:val="24"/>
                <w:szCs w:val="24"/>
              </w:rPr>
              <w:t xml:space="preserve"> </w:t>
            </w:r>
            <w:r w:rsidRPr="002D2880">
              <w:rPr>
                <w:rFonts w:ascii="Times New Roman" w:hAnsi="Times New Roman" w:cs="Times New Roman"/>
                <w:b/>
                <w:sz w:val="24"/>
                <w:szCs w:val="24"/>
              </w:rPr>
              <w:t xml:space="preserve">trimestre 2020 </w:t>
            </w:r>
            <w:r w:rsidRPr="002D2880">
              <w:rPr>
                <w:rFonts w:ascii="Times New Roman" w:hAnsi="Times New Roman" w:cs="Times New Roman"/>
                <w:b/>
                <w:sz w:val="24"/>
                <w:szCs w:val="24"/>
                <w:vertAlign w:val="superscript"/>
              </w:rPr>
              <w:footnoteReference w:id="1"/>
            </w:r>
          </w:p>
          <w:p w:rsidR="002D2880" w:rsidRPr="002D2880" w:rsidRDefault="002D2880" w:rsidP="00900246">
            <w:pPr>
              <w:ind w:right="1317"/>
              <w:jc w:val="both"/>
              <w:rPr>
                <w:rFonts w:ascii="Times New Roman" w:hAnsi="Times New Roman" w:cs="Times New Roman"/>
                <w:b/>
                <w:sz w:val="24"/>
                <w:szCs w:val="24"/>
              </w:rPr>
            </w:pPr>
            <w:r w:rsidRPr="002D2880">
              <w:rPr>
                <w:rFonts w:ascii="Times New Roman" w:hAnsi="Times New Roman" w:cs="Times New Roman"/>
                <w:b/>
                <w:sz w:val="24"/>
                <w:szCs w:val="24"/>
              </w:rPr>
              <w:t xml:space="preserve">2 </w:t>
            </w:r>
            <w:r>
              <w:rPr>
                <w:rFonts w:ascii="Times New Roman" w:hAnsi="Times New Roman" w:cs="Times New Roman"/>
                <w:b/>
                <w:sz w:val="24"/>
                <w:szCs w:val="24"/>
              </w:rPr>
              <w:t>an</w:t>
            </w:r>
            <w:r w:rsidRPr="002D2880">
              <w:rPr>
                <w:rFonts w:ascii="Times New Roman" w:hAnsi="Times New Roman" w:cs="Times New Roman"/>
                <w:b/>
                <w:sz w:val="24"/>
                <w:szCs w:val="24"/>
              </w:rPr>
              <w:t>s</w:t>
            </w:r>
            <w:r w:rsidRPr="002D2880">
              <w:rPr>
                <w:rFonts w:ascii="Times New Roman" w:hAnsi="Times New Roman" w:cs="Times New Roman"/>
                <w:b/>
                <w:sz w:val="24"/>
                <w:szCs w:val="24"/>
                <w:vertAlign w:val="superscript"/>
              </w:rPr>
              <w:t>1</w:t>
            </w:r>
          </w:p>
          <w:p w:rsidR="002D2880" w:rsidRPr="002D2880" w:rsidRDefault="002D2880" w:rsidP="002D2880">
            <w:pPr>
              <w:rPr>
                <w:rFonts w:ascii="Times New Roman" w:hAnsi="Times New Roman" w:cs="Times New Roman"/>
                <w:b/>
                <w:sz w:val="24"/>
                <w:szCs w:val="24"/>
              </w:rPr>
            </w:pPr>
            <w:r w:rsidRPr="002D2880">
              <w:rPr>
                <w:rFonts w:ascii="Times New Roman" w:eastAsia="MS Minngs" w:hAnsi="Times New Roman" w:cs="Times New Roman"/>
                <w:b/>
                <w:bCs/>
                <w:sz w:val="24"/>
                <w:szCs w:val="24"/>
                <w:lang w:val="fr-FR"/>
              </w:rPr>
              <w:sym w:font="Wingdings" w:char="F078"/>
            </w:r>
            <w:r w:rsidRPr="002D2880">
              <w:rPr>
                <w:rFonts w:ascii="Times New Roman" w:eastAsia="MS Minngs" w:hAnsi="Times New Roman" w:cs="Times New Roman"/>
                <w:b/>
                <w:bCs/>
                <w:sz w:val="24"/>
                <w:szCs w:val="24"/>
                <w:lang w:val="fr-FR"/>
              </w:rPr>
              <w:t xml:space="preserve"> </w:t>
            </w:r>
            <w:r w:rsidRPr="002D2880">
              <w:rPr>
                <w:rFonts w:ascii="Times New Roman" w:hAnsi="Times New Roman" w:cs="Times New Roman"/>
                <w:b/>
                <w:sz w:val="24"/>
                <w:szCs w:val="24"/>
              </w:rPr>
              <w:t xml:space="preserve">Bruxelles  </w:t>
            </w:r>
            <w:r w:rsidRPr="002D2880">
              <w:rPr>
                <w:rFonts w:ascii="Times New Roman" w:eastAsia="MS Minngs" w:hAnsi="Times New Roman" w:cs="Times New Roman"/>
                <w:b/>
                <w:bCs/>
                <w:sz w:val="24"/>
                <w:szCs w:val="24"/>
                <w:lang w:val="fr-FR"/>
              </w:rPr>
              <w:sym w:font="Wingdings 2" w:char="F0A3"/>
            </w:r>
            <w:r w:rsidRPr="002D2880">
              <w:rPr>
                <w:rFonts w:ascii="Times New Roman" w:eastAsia="MS Minngs" w:hAnsi="Times New Roman" w:cs="Times New Roman"/>
                <w:b/>
                <w:bCs/>
                <w:sz w:val="24"/>
                <w:szCs w:val="24"/>
                <w:lang w:val="fr-FR"/>
              </w:rPr>
              <w:t xml:space="preserve"> </w:t>
            </w:r>
            <w:r w:rsidRPr="002D2880">
              <w:rPr>
                <w:rFonts w:ascii="Times New Roman" w:hAnsi="Times New Roman" w:cs="Times New Roman"/>
                <w:b/>
                <w:sz w:val="24"/>
                <w:szCs w:val="24"/>
              </w:rPr>
              <w:t xml:space="preserve">Luxembourg  </w:t>
            </w:r>
            <w:r w:rsidRPr="002D2880">
              <w:rPr>
                <w:rFonts w:ascii="Times New Roman" w:eastAsia="MS Minngs" w:hAnsi="Times New Roman" w:cs="Times New Roman"/>
                <w:b/>
                <w:bCs/>
                <w:sz w:val="24"/>
                <w:szCs w:val="24"/>
                <w:lang w:val="fr-FR"/>
              </w:rPr>
              <w:sym w:font="Wingdings 2" w:char="F0A3"/>
            </w:r>
            <w:r w:rsidRPr="002D2880">
              <w:rPr>
                <w:rFonts w:ascii="Times New Roman" w:eastAsia="MS Minngs" w:hAnsi="Times New Roman" w:cs="Times New Roman"/>
                <w:b/>
                <w:bCs/>
                <w:sz w:val="24"/>
                <w:szCs w:val="24"/>
                <w:lang w:val="fr-FR"/>
              </w:rPr>
              <w:t xml:space="preserve"> A</w:t>
            </w:r>
            <w:proofErr w:type="spellStart"/>
            <w:r w:rsidRPr="002D2880">
              <w:rPr>
                <w:rFonts w:ascii="Times New Roman" w:hAnsi="Times New Roman" w:cs="Times New Roman"/>
                <w:b/>
                <w:sz w:val="24"/>
                <w:szCs w:val="24"/>
              </w:rPr>
              <w:t>utre</w:t>
            </w:r>
            <w:proofErr w:type="spellEnd"/>
            <w:r w:rsidRPr="002D2880">
              <w:rPr>
                <w:rFonts w:ascii="Times New Roman" w:hAnsi="Times New Roman" w:cs="Times New Roman"/>
                <w:b/>
                <w:sz w:val="24"/>
                <w:szCs w:val="24"/>
              </w:rPr>
              <w:t>: …………..</w:t>
            </w:r>
          </w:p>
        </w:tc>
      </w:tr>
      <w:tr w:rsidR="002D2880"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2D2880" w:rsidRPr="00745B97" w:rsidRDefault="002D2880"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2D2880" w:rsidRPr="002D2880" w:rsidRDefault="002D2880" w:rsidP="00900246">
            <w:pPr>
              <w:rPr>
                <w:rFonts w:ascii="Times New Roman" w:hAnsi="Times New Roman" w:cs="Times New Roman"/>
                <w:b/>
                <w:sz w:val="24"/>
                <w:szCs w:val="24"/>
              </w:rPr>
            </w:pPr>
            <w:r w:rsidRPr="002D2880">
              <w:rPr>
                <w:rFonts w:ascii="Times New Roman" w:eastAsia="MS Minngs" w:hAnsi="Times New Roman" w:cs="Times New Roman"/>
                <w:b/>
                <w:bCs/>
                <w:sz w:val="24"/>
                <w:szCs w:val="24"/>
                <w:lang w:val="fr-FR"/>
              </w:rPr>
              <w:sym w:font="Wingdings" w:char="F078"/>
            </w:r>
            <w:r w:rsidRPr="002D2880">
              <w:rPr>
                <w:rStyle w:val="Strong"/>
                <w:rFonts w:ascii="Times New Roman" w:hAnsi="Times New Roman" w:cs="Times New Roman"/>
                <w:b w:val="0"/>
                <w:sz w:val="24"/>
                <w:szCs w:val="24"/>
              </w:rPr>
              <w:t xml:space="preserve">    </w:t>
            </w:r>
            <w:r w:rsidRPr="002D2880">
              <w:rPr>
                <w:rFonts w:ascii="Times New Roman" w:hAnsi="Times New Roman" w:cs="Times New Roman"/>
                <w:b/>
                <w:sz w:val="24"/>
                <w:szCs w:val="24"/>
              </w:rPr>
              <w:t xml:space="preserve">Avec indemnités                </w:t>
            </w:r>
            <w:r w:rsidRPr="002D2880">
              <w:rPr>
                <w:rFonts w:ascii="Times New Roman" w:eastAsia="MS Minngs" w:hAnsi="Times New Roman" w:cs="Times New Roman"/>
                <w:b/>
                <w:bCs/>
                <w:sz w:val="24"/>
                <w:szCs w:val="24"/>
                <w:lang w:val="fr-FR"/>
              </w:rPr>
              <w:sym w:font="Wingdings 2" w:char="F0A3"/>
            </w:r>
            <w:r w:rsidRPr="002D2880">
              <w:rPr>
                <w:rFonts w:ascii="Times New Roman" w:eastAsia="MS Minngs" w:hAnsi="Times New Roman" w:cs="Times New Roman"/>
                <w:b/>
                <w:bCs/>
                <w:sz w:val="24"/>
                <w:szCs w:val="24"/>
                <w:lang w:val="fr-FR"/>
              </w:rPr>
              <w:t xml:space="preserve">   </w:t>
            </w:r>
            <w:r w:rsidRPr="002D2880">
              <w:rPr>
                <w:rStyle w:val="Strong"/>
                <w:rFonts w:ascii="Times New Roman" w:hAnsi="Times New Roman" w:cs="Times New Roman"/>
                <w:b w:val="0"/>
                <w:sz w:val="24"/>
                <w:szCs w:val="24"/>
              </w:rPr>
              <w:t> </w:t>
            </w:r>
            <w:r w:rsidRPr="002D2880">
              <w:rPr>
                <w:rFonts w:ascii="Times New Roman" w:eastAsia="MS Minngs" w:hAnsi="Times New Roman" w:cs="Times New Roman"/>
                <w:b/>
                <w:bCs/>
                <w:sz w:val="24"/>
                <w:szCs w:val="24"/>
                <w:lang w:val="fr-FR"/>
              </w:rPr>
              <w:t xml:space="preserve"> </w:t>
            </w:r>
            <w:r w:rsidRPr="002D2880">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2880" w:rsidRPr="002D2880" w:rsidRDefault="002D2880" w:rsidP="002D2880">
      <w:pPr>
        <w:spacing w:after="0" w:line="240" w:lineRule="auto"/>
        <w:ind w:left="426"/>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 xml:space="preserve">L’expert va soutenir l’unité de politique et recherche spatiales dans le développement et la mise en </w:t>
      </w:r>
      <w:r>
        <w:rPr>
          <w:rFonts w:ascii="Times New Roman" w:eastAsia="Times New Roman" w:hAnsi="Times New Roman" w:cs="Times New Roman"/>
          <w:lang w:eastAsia="en-GB"/>
        </w:rPr>
        <w:t xml:space="preserve">œuvre </w:t>
      </w:r>
      <w:r w:rsidRPr="002D2880">
        <w:rPr>
          <w:rFonts w:ascii="Times New Roman" w:eastAsia="Times New Roman" w:hAnsi="Times New Roman" w:cs="Times New Roman"/>
          <w:lang w:eastAsia="en-GB"/>
        </w:rPr>
        <w:t>des compétences de l’UE en matière de politique spatiale comme définies dans l’article 189TFUE.</w:t>
      </w:r>
      <w:r w:rsidRPr="002D2880">
        <w:rPr>
          <w:rFonts w:ascii="Times New Roman" w:eastAsia="Times New Roman" w:hAnsi="Times New Roman" w:cs="Times New Roman"/>
          <w:lang w:eastAsia="en-GB"/>
        </w:rPr>
        <w:br/>
      </w:r>
    </w:p>
    <w:p w:rsidR="002D2880" w:rsidRPr="002D2880" w:rsidRDefault="002D2880" w:rsidP="002D2880">
      <w:pPr>
        <w:spacing w:after="0" w:line="240" w:lineRule="auto"/>
        <w:ind w:left="426"/>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Dans ce contexte, l’expert va contribuer au travail de l’Unité en effectuant les tâches suivantes :</w:t>
      </w:r>
    </w:p>
    <w:p w:rsidR="002D2880" w:rsidRPr="002D2880" w:rsidRDefault="002D2880" w:rsidP="002D2880">
      <w:pPr>
        <w:spacing w:after="0" w:line="240" w:lineRule="auto"/>
        <w:ind w:left="426"/>
        <w:rPr>
          <w:rFonts w:ascii="Times New Roman" w:eastAsia="Times New Roman" w:hAnsi="Times New Roman" w:cs="Times New Roman"/>
          <w:lang w:eastAsia="en-GB"/>
        </w:rPr>
      </w:pPr>
    </w:p>
    <w:p w:rsidR="002D2880" w:rsidRPr="002D2880" w:rsidRDefault="002D2880" w:rsidP="002D2880">
      <w:pPr>
        <w:numPr>
          <w:ilvl w:val="0"/>
          <w:numId w:val="1"/>
        </w:numPr>
        <w:spacing w:after="0" w:line="240" w:lineRule="auto"/>
        <w:ind w:left="786"/>
        <w:contextualSpacing/>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Contribution à la mise en œuvre du programme de travail de l’Unité ; </w:t>
      </w:r>
    </w:p>
    <w:p w:rsidR="002D2880" w:rsidRPr="002D2880" w:rsidRDefault="002D2880" w:rsidP="002D2880">
      <w:pPr>
        <w:numPr>
          <w:ilvl w:val="0"/>
          <w:numId w:val="1"/>
        </w:numPr>
        <w:spacing w:after="0" w:line="240" w:lineRule="auto"/>
        <w:ind w:left="786"/>
        <w:contextualSpacing/>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Préparation et mise en œuvre du programme de recherche H2020/Horizon Europe pour le volet espace ;</w:t>
      </w:r>
    </w:p>
    <w:p w:rsidR="002D2880" w:rsidRPr="002D2880" w:rsidRDefault="002D2880" w:rsidP="002D2880">
      <w:pPr>
        <w:numPr>
          <w:ilvl w:val="0"/>
          <w:numId w:val="1"/>
        </w:numPr>
        <w:spacing w:after="0" w:line="240" w:lineRule="auto"/>
        <w:ind w:left="786"/>
        <w:contextualSpacing/>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Traitement de dossiers sur les technologies dans le domaine spatial ;</w:t>
      </w:r>
    </w:p>
    <w:p w:rsidR="002D2880" w:rsidRPr="002D2880" w:rsidRDefault="002D2880" w:rsidP="002D2880">
      <w:pPr>
        <w:numPr>
          <w:ilvl w:val="0"/>
          <w:numId w:val="1"/>
        </w:numPr>
        <w:spacing w:after="0" w:line="240" w:lineRule="auto"/>
        <w:ind w:left="786"/>
        <w:contextualSpacing/>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Contacts avec l’industrie et les Etats membres.</w:t>
      </w:r>
    </w:p>
    <w:p w:rsidR="002D2880" w:rsidRPr="002D2880" w:rsidRDefault="002D2880" w:rsidP="002D2880">
      <w:pPr>
        <w:spacing w:after="0" w:line="240" w:lineRule="auto"/>
        <w:ind w:left="426"/>
        <w:contextualSpacing/>
        <w:rPr>
          <w:rFonts w:ascii="Times New Roman" w:eastAsia="Times New Roman" w:hAnsi="Times New Roman" w:cs="Times New Roman"/>
          <w:lang w:eastAsia="en-GB"/>
        </w:rPr>
      </w:pPr>
    </w:p>
    <w:p w:rsidR="002D2880" w:rsidRPr="002D2880" w:rsidRDefault="002D2880" w:rsidP="002D2880">
      <w:pPr>
        <w:spacing w:after="0" w:line="240" w:lineRule="auto"/>
        <w:ind w:left="426"/>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En relation avec ces domaines, l’expert préparera et contribuera aux divers documents de politique et aux briefings sur les questions de politique spatiale.</w:t>
      </w:r>
    </w:p>
    <w:p w:rsidR="002D2880" w:rsidRPr="002D2880" w:rsidRDefault="002D2880" w:rsidP="002D2880">
      <w:pPr>
        <w:spacing w:after="0" w:line="240" w:lineRule="auto"/>
        <w:ind w:left="426"/>
        <w:rPr>
          <w:rFonts w:ascii="Times New Roman" w:eastAsia="Times New Roman" w:hAnsi="Times New Roman" w:cs="Times New Roman"/>
          <w:lang w:eastAsia="en-GB"/>
        </w:rPr>
      </w:pPr>
    </w:p>
    <w:p w:rsidR="00745B97" w:rsidRPr="00745B97" w:rsidRDefault="002D2880" w:rsidP="002D2880">
      <w:pPr>
        <w:spacing w:after="0" w:line="240" w:lineRule="auto"/>
        <w:ind w:left="426"/>
        <w:rPr>
          <w:rFonts w:ascii="Times New Roman" w:eastAsia="Times New Roman" w:hAnsi="Times New Roman" w:cs="Times New Roman"/>
          <w:lang w:eastAsia="en-GB"/>
        </w:rPr>
      </w:pPr>
      <w:r w:rsidRPr="002D2880">
        <w:rPr>
          <w:rFonts w:ascii="Times New Roman" w:eastAsia="Times New Roman" w:hAnsi="Times New Roman" w:cs="Times New Roman"/>
          <w:color w:val="000000" w:themeColor="text1"/>
          <w:lang w:eastAsia="en-GB"/>
        </w:rPr>
        <w:t>Les tâches mentionnées ci-dessus seront ajustées sur la base du profil de l’expert pour bénéficier de son expertise.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D2880" w:rsidRPr="002D2880">
        <w:rPr>
          <w:rFonts w:ascii="Times New Roman" w:eastAsia="Times New Roman" w:hAnsi="Times New Roman" w:cs="Times New Roman"/>
          <w:lang w:eastAsia="en-GB"/>
        </w:rPr>
        <w:t>ingénierie (aérospatial, électronique, télécommunications ou similaire).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D2880" w:rsidRPr="002D2880" w:rsidRDefault="002D2880" w:rsidP="002D2880">
      <w:pPr>
        <w:numPr>
          <w:ilvl w:val="0"/>
          <w:numId w:val="2"/>
        </w:numPr>
        <w:tabs>
          <w:tab w:val="left" w:pos="709"/>
        </w:tabs>
        <w:spacing w:after="0" w:line="240" w:lineRule="auto"/>
        <w:ind w:left="1069" w:right="60"/>
        <w:contextualSpacing/>
        <w:jc w:val="both"/>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Bonne connaissance des programmes spatiaux européens et des initiatives spatiales internationales.</w:t>
      </w:r>
    </w:p>
    <w:p w:rsidR="002D2880" w:rsidRPr="002D2880" w:rsidRDefault="002D2880" w:rsidP="002D2880">
      <w:pPr>
        <w:tabs>
          <w:tab w:val="left" w:pos="709"/>
        </w:tabs>
        <w:spacing w:after="0" w:line="240" w:lineRule="auto"/>
        <w:ind w:left="1069" w:right="60"/>
        <w:contextualSpacing/>
        <w:jc w:val="both"/>
        <w:rPr>
          <w:rFonts w:ascii="Times New Roman" w:eastAsia="Times New Roman" w:hAnsi="Times New Roman" w:cs="Times New Roman"/>
          <w:lang w:eastAsia="en-GB"/>
        </w:rPr>
      </w:pPr>
    </w:p>
    <w:p w:rsidR="002D2880" w:rsidRPr="002D2880" w:rsidRDefault="002D2880" w:rsidP="002D2880">
      <w:pPr>
        <w:numPr>
          <w:ilvl w:val="0"/>
          <w:numId w:val="2"/>
        </w:numPr>
        <w:tabs>
          <w:tab w:val="left" w:pos="709"/>
        </w:tabs>
        <w:spacing w:after="0" w:line="240" w:lineRule="auto"/>
        <w:ind w:left="1069" w:right="60"/>
        <w:contextualSpacing/>
        <w:jc w:val="both"/>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Expérience dans la rédaction de documents et la participation à des projets spatiaux (à un niveau national et international).</w:t>
      </w:r>
    </w:p>
    <w:p w:rsidR="002D2880" w:rsidRPr="002D2880" w:rsidRDefault="002D2880" w:rsidP="002D2880">
      <w:pPr>
        <w:spacing w:after="0" w:line="240" w:lineRule="auto"/>
        <w:ind w:left="720"/>
        <w:contextualSpacing/>
        <w:rPr>
          <w:rFonts w:ascii="Times New Roman" w:eastAsia="Times New Roman" w:hAnsi="Times New Roman" w:cs="Times New Roman"/>
          <w:lang w:eastAsia="en-GB"/>
        </w:rPr>
      </w:pPr>
    </w:p>
    <w:p w:rsidR="002D2880" w:rsidRPr="002D2880" w:rsidRDefault="002D2880" w:rsidP="002D2880">
      <w:pPr>
        <w:numPr>
          <w:ilvl w:val="0"/>
          <w:numId w:val="2"/>
        </w:numPr>
        <w:tabs>
          <w:tab w:val="left" w:pos="709"/>
        </w:tabs>
        <w:spacing w:after="0" w:line="240" w:lineRule="auto"/>
        <w:ind w:left="1069" w:right="60"/>
        <w:contextualSpacing/>
        <w:jc w:val="both"/>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Flexibilité d’adaptation aux changements de priorités de l’unité et capacité à travailler en équipe.</w:t>
      </w:r>
    </w:p>
    <w:p w:rsidR="002D2880" w:rsidRPr="002D2880" w:rsidRDefault="002D2880" w:rsidP="002D2880">
      <w:pPr>
        <w:spacing w:after="0" w:line="240" w:lineRule="auto"/>
        <w:ind w:left="720"/>
        <w:contextualSpacing/>
        <w:rPr>
          <w:rFonts w:ascii="Times New Roman" w:eastAsia="Times New Roman" w:hAnsi="Times New Roman" w:cs="Times New Roman"/>
          <w:lang w:eastAsia="en-GB"/>
        </w:rPr>
      </w:pPr>
    </w:p>
    <w:p w:rsidR="00745B97" w:rsidRPr="00745B97" w:rsidRDefault="002D2880" w:rsidP="002D2880">
      <w:pPr>
        <w:tabs>
          <w:tab w:val="left" w:pos="709"/>
        </w:tabs>
        <w:spacing w:after="0" w:line="240" w:lineRule="auto"/>
        <w:ind w:left="709" w:right="60"/>
        <w:jc w:val="both"/>
        <w:rPr>
          <w:rFonts w:ascii="Times New Roman" w:eastAsia="Times New Roman" w:hAnsi="Times New Roman" w:cs="Times New Roman"/>
          <w:u w:val="single"/>
          <w:lang w:eastAsia="en-GB"/>
        </w:rPr>
      </w:pPr>
      <w:r w:rsidRPr="002D2880">
        <w:rPr>
          <w:rFonts w:ascii="Times New Roman" w:eastAsia="Times New Roman" w:hAnsi="Times New Roman" w:cs="Times New Roman"/>
          <w:lang w:eastAsia="en-GB"/>
        </w:rPr>
        <w:t>Une expérience solide et significative au niveau national ou européen en relation avec l’espace, notamment en matière de technologie, recherche, politique industrielle, programmes et activités,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D2880" w:rsidRDefault="002D2880" w:rsidP="00745B97">
      <w:pPr>
        <w:tabs>
          <w:tab w:val="left" w:pos="709"/>
        </w:tabs>
        <w:spacing w:after="0" w:line="240" w:lineRule="auto"/>
        <w:ind w:left="709" w:right="60"/>
        <w:jc w:val="both"/>
        <w:rPr>
          <w:rFonts w:ascii="Times New Roman" w:eastAsia="Times New Roman" w:hAnsi="Times New Roman" w:cs="Times New Roman"/>
          <w:lang w:eastAsia="en-GB"/>
        </w:rPr>
      </w:pPr>
      <w:r w:rsidRPr="002D2880">
        <w:rPr>
          <w:rFonts w:ascii="Times New Roman" w:eastAsia="Times New Roman" w:hAnsi="Times New Roman" w:cs="Times New Roman"/>
          <w:lang w:eastAsia="en-GB"/>
        </w:rPr>
        <w:t>Anglais, français</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D288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2D2880" w:rsidRDefault="002D2880"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34532"/>
    <w:multiLevelType w:val="hybridMultilevel"/>
    <w:tmpl w:val="8A0C8CE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2EAB013F"/>
    <w:multiLevelType w:val="hybridMultilevel"/>
    <w:tmpl w:val="09E289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D2880"/>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2D28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2D28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1353</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2019-11-07T11:11:00Z</dcterms:created>
  <dcterms:modified xsi:type="dcterms:W3CDTF">2019-11-07T11:11:00Z</dcterms:modified>
</cp:coreProperties>
</file>