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132953" w:rsidRPr="00745B97" w:rsidTr="00EC6FF0">
        <w:trPr>
          <w:trHeight w:val="611"/>
          <w:jc w:val="center"/>
        </w:trPr>
        <w:tc>
          <w:tcPr>
            <w:tcW w:w="4359" w:type="dxa"/>
          </w:tcPr>
          <w:p w:rsidR="00132953" w:rsidRPr="00745B97" w:rsidRDefault="00132953"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132953" w:rsidRPr="00745B97" w:rsidRDefault="00132953"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2953" w:rsidRPr="00132953" w:rsidRDefault="001C31E2" w:rsidP="001C31E2">
            <w:pPr>
              <w:rPr>
                <w:rFonts w:ascii="Times New Roman" w:eastAsia="Times New Roman" w:hAnsi="Times New Roman" w:cs="Times New Roman"/>
                <w:b/>
                <w:sz w:val="24"/>
                <w:szCs w:val="24"/>
                <w:lang w:eastAsia="en-GB"/>
              </w:rPr>
            </w:pPr>
            <w:r>
              <w:rPr>
                <w:rFonts w:ascii="Times New Roman" w:hAnsi="Times New Roman" w:cs="Times New Roman"/>
                <w:b/>
                <w:sz w:val="24"/>
                <w:szCs w:val="24"/>
              </w:rPr>
              <w:t>RTD-</w:t>
            </w:r>
            <w:r w:rsidR="00132953" w:rsidRPr="00132953">
              <w:rPr>
                <w:rFonts w:ascii="Times New Roman" w:hAnsi="Times New Roman" w:cs="Times New Roman"/>
                <w:b/>
                <w:sz w:val="24"/>
                <w:szCs w:val="24"/>
              </w:rPr>
              <w:t>E</w:t>
            </w:r>
            <w:r>
              <w:rPr>
                <w:rFonts w:ascii="Times New Roman" w:hAnsi="Times New Roman" w:cs="Times New Roman"/>
                <w:b/>
                <w:sz w:val="24"/>
                <w:szCs w:val="24"/>
              </w:rPr>
              <w:t>-</w:t>
            </w:r>
            <w:bookmarkStart w:id="0" w:name="_GoBack"/>
            <w:bookmarkEnd w:id="0"/>
            <w:r w:rsidR="00132953" w:rsidRPr="00132953">
              <w:rPr>
                <w:rFonts w:ascii="Times New Roman" w:hAnsi="Times New Roman" w:cs="Times New Roman"/>
                <w:b/>
                <w:sz w:val="24"/>
                <w:szCs w:val="24"/>
              </w:rPr>
              <w:t>4</w:t>
            </w:r>
          </w:p>
        </w:tc>
      </w:tr>
      <w:tr w:rsidR="00132953" w:rsidRPr="00745B97" w:rsidTr="00EC6FF0">
        <w:trPr>
          <w:trHeight w:val="1977"/>
          <w:jc w:val="center"/>
        </w:trPr>
        <w:tc>
          <w:tcPr>
            <w:tcW w:w="4359" w:type="dxa"/>
            <w:tcBorders>
              <w:bottom w:val="nil"/>
            </w:tcBorders>
          </w:tcPr>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Chef d’unité :</w:t>
            </w:r>
          </w:p>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Adresse e-mail :</w:t>
            </w:r>
          </w:p>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Téléphone :</w:t>
            </w:r>
          </w:p>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Nombre de postes disponibles:</w:t>
            </w:r>
          </w:p>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Prise de fonction souhaitée :</w:t>
            </w:r>
          </w:p>
          <w:p w:rsidR="00132953" w:rsidRPr="00132953" w:rsidRDefault="00132953" w:rsidP="00745B97">
            <w:pPr>
              <w:tabs>
                <w:tab w:val="left" w:pos="1697"/>
              </w:tabs>
              <w:ind w:right="-1739"/>
              <w:jc w:val="both"/>
              <w:rPr>
                <w:rFonts w:ascii="Times New Roman" w:eastAsia="Times New Roman" w:hAnsi="Times New Roman" w:cs="Times New Roman"/>
                <w:b/>
                <w:sz w:val="24"/>
                <w:szCs w:val="24"/>
                <w:lang w:eastAsia="en-GB"/>
              </w:rPr>
            </w:pPr>
            <w:r w:rsidRPr="00132953">
              <w:rPr>
                <w:rFonts w:ascii="Times New Roman" w:eastAsia="Times New Roman" w:hAnsi="Times New Roman" w:cs="Times New Roman"/>
                <w:b/>
                <w:sz w:val="24"/>
                <w:szCs w:val="24"/>
                <w:lang w:eastAsia="en-GB"/>
              </w:rPr>
              <w:t>Durée initiale souhaitée :</w:t>
            </w:r>
          </w:p>
          <w:p w:rsidR="00132953" w:rsidRPr="00745B97" w:rsidRDefault="00132953" w:rsidP="00745B97">
            <w:pPr>
              <w:rPr>
                <w:rFonts w:ascii="Times New Roman" w:eastAsia="Times New Roman" w:hAnsi="Times New Roman" w:cs="Times New Roman"/>
                <w:sz w:val="24"/>
                <w:szCs w:val="20"/>
                <w:lang w:eastAsia="en-GB"/>
              </w:rPr>
            </w:pPr>
            <w:r w:rsidRPr="00132953">
              <w:rPr>
                <w:rFonts w:ascii="Times New Roman" w:eastAsia="Times New Roman" w:hAnsi="Times New Roman" w:cs="Times New Roman"/>
                <w:b/>
                <w:sz w:val="24"/>
                <w:szCs w:val="24"/>
                <w:lang w:eastAsia="en-GB"/>
              </w:rPr>
              <w:t>Lieu d’affectation :</w:t>
            </w:r>
          </w:p>
        </w:tc>
        <w:tc>
          <w:tcPr>
            <w:tcW w:w="5597" w:type="dxa"/>
          </w:tcPr>
          <w:p w:rsidR="00132953" w:rsidRPr="00132953" w:rsidRDefault="00132953" w:rsidP="00234A35">
            <w:pPr>
              <w:rPr>
                <w:rFonts w:ascii="Times New Roman" w:eastAsia="Times New Roman" w:hAnsi="Times New Roman" w:cs="Times New Roman"/>
                <w:b/>
                <w:sz w:val="24"/>
                <w:szCs w:val="24"/>
                <w:lang w:val="nn-NO" w:eastAsia="en-GB"/>
              </w:rPr>
            </w:pPr>
            <w:r w:rsidRPr="00132953">
              <w:rPr>
                <w:rFonts w:ascii="Times New Roman" w:hAnsi="Times New Roman" w:cs="Times New Roman"/>
                <w:b/>
                <w:sz w:val="24"/>
                <w:szCs w:val="24"/>
                <w:lang w:val="nn-NO" w:eastAsia="en-GB"/>
              </w:rPr>
              <w:t>Harald HARTUNG</w:t>
            </w:r>
          </w:p>
          <w:p w:rsidR="00132953" w:rsidRPr="001C31E2" w:rsidRDefault="001C31E2" w:rsidP="00234A35">
            <w:pPr>
              <w:rPr>
                <w:rFonts w:ascii="Times New Roman" w:hAnsi="Times New Roman" w:cs="Times New Roman"/>
                <w:b/>
                <w:sz w:val="24"/>
                <w:szCs w:val="24"/>
                <w:lang w:val="nn-NO"/>
              </w:rPr>
            </w:pPr>
            <w:hyperlink r:id="rId8" w:history="1">
              <w:r w:rsidR="00132953" w:rsidRPr="001C31E2">
                <w:rPr>
                  <w:rStyle w:val="Hyperlink"/>
                  <w:rFonts w:ascii="Times New Roman" w:hAnsi="Times New Roman" w:cs="Times New Roman"/>
                  <w:b/>
                  <w:sz w:val="24"/>
                  <w:szCs w:val="24"/>
                  <w:lang w:val="nn-NO"/>
                </w:rPr>
                <w:t>harald.hartung@ec.europa.eu</w:t>
              </w:r>
            </w:hyperlink>
            <w:r w:rsidR="00132953" w:rsidRPr="001C31E2">
              <w:rPr>
                <w:rFonts w:ascii="Times New Roman" w:hAnsi="Times New Roman" w:cs="Times New Roman"/>
                <w:b/>
                <w:sz w:val="24"/>
                <w:szCs w:val="24"/>
                <w:lang w:val="nn-NO"/>
              </w:rPr>
              <w:t xml:space="preserve"> </w:t>
            </w:r>
          </w:p>
          <w:p w:rsidR="00132953" w:rsidRPr="00132953" w:rsidRDefault="00132953" w:rsidP="00234A35">
            <w:pPr>
              <w:rPr>
                <w:rFonts w:ascii="Times New Roman" w:hAnsi="Times New Roman" w:cs="Times New Roman"/>
                <w:b/>
                <w:sz w:val="24"/>
                <w:szCs w:val="24"/>
                <w:lang w:val="fr-FR"/>
              </w:rPr>
            </w:pPr>
            <w:r w:rsidRPr="00132953">
              <w:rPr>
                <w:rFonts w:ascii="Times New Roman" w:hAnsi="Times New Roman" w:cs="Times New Roman"/>
                <w:b/>
                <w:sz w:val="24"/>
                <w:szCs w:val="24"/>
                <w:lang w:val="fr-FR"/>
              </w:rPr>
              <w:t>+32 2 2965450</w:t>
            </w:r>
          </w:p>
          <w:p w:rsidR="00132953" w:rsidRPr="00132953" w:rsidRDefault="00132953" w:rsidP="00234A35">
            <w:pPr>
              <w:rPr>
                <w:rFonts w:ascii="Times New Roman" w:eastAsia="Times New Roman" w:hAnsi="Times New Roman" w:cs="Times New Roman"/>
                <w:b/>
                <w:sz w:val="24"/>
                <w:szCs w:val="24"/>
                <w:lang w:val="fr-FR" w:eastAsia="en-GB"/>
              </w:rPr>
            </w:pPr>
            <w:r w:rsidRPr="00132953">
              <w:rPr>
                <w:rFonts w:ascii="Times New Roman" w:hAnsi="Times New Roman" w:cs="Times New Roman"/>
                <w:b/>
                <w:sz w:val="24"/>
                <w:szCs w:val="24"/>
                <w:lang w:val="fr-FR"/>
              </w:rPr>
              <w:t>1</w:t>
            </w:r>
          </w:p>
          <w:p w:rsidR="00132953" w:rsidRPr="00132953" w:rsidRDefault="00132953" w:rsidP="00234A35">
            <w:pPr>
              <w:ind w:right="1317"/>
              <w:jc w:val="both"/>
              <w:rPr>
                <w:rFonts w:ascii="Times New Roman" w:eastAsia="Times New Roman" w:hAnsi="Times New Roman" w:cs="Times New Roman"/>
                <w:b/>
                <w:sz w:val="24"/>
                <w:szCs w:val="24"/>
                <w:lang w:val="fr-FR" w:eastAsia="en-GB"/>
              </w:rPr>
            </w:pPr>
            <w:r w:rsidRPr="00132953">
              <w:rPr>
                <w:rFonts w:ascii="Times New Roman" w:hAnsi="Times New Roman" w:cs="Times New Roman"/>
                <w:b/>
                <w:sz w:val="24"/>
                <w:szCs w:val="24"/>
              </w:rPr>
              <w:t>2</w:t>
            </w:r>
            <w:r w:rsidRPr="00132953">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132953">
              <w:rPr>
                <w:rFonts w:ascii="Times New Roman" w:eastAsia="Times New Roman" w:hAnsi="Times New Roman" w:cs="Times New Roman"/>
                <w:b/>
                <w:sz w:val="24"/>
                <w:szCs w:val="24"/>
                <w:lang w:val="fr-FR" w:eastAsia="en-GB"/>
              </w:rPr>
              <w:t>trimestre 20</w:t>
            </w:r>
            <w:r w:rsidRPr="00132953">
              <w:rPr>
                <w:rFonts w:ascii="Times New Roman" w:hAnsi="Times New Roman" w:cs="Times New Roman"/>
                <w:b/>
                <w:sz w:val="24"/>
                <w:szCs w:val="24"/>
                <w:lang w:val="fr-FR"/>
              </w:rPr>
              <w:t>20</w:t>
            </w:r>
            <w:r w:rsidRPr="00132953">
              <w:rPr>
                <w:rFonts w:ascii="Times New Roman" w:eastAsia="Times New Roman" w:hAnsi="Times New Roman" w:cs="Times New Roman"/>
                <w:b/>
                <w:sz w:val="24"/>
                <w:szCs w:val="24"/>
                <w:vertAlign w:val="superscript"/>
                <w:lang w:eastAsia="en-GB"/>
              </w:rPr>
              <w:footnoteReference w:id="1"/>
            </w:r>
          </w:p>
          <w:p w:rsidR="00132953" w:rsidRPr="00132953" w:rsidRDefault="00132953" w:rsidP="00234A35">
            <w:pPr>
              <w:ind w:right="1317"/>
              <w:jc w:val="both"/>
              <w:rPr>
                <w:rFonts w:ascii="Times New Roman" w:eastAsia="Times New Roman" w:hAnsi="Times New Roman" w:cs="Times New Roman"/>
                <w:b/>
                <w:sz w:val="24"/>
                <w:szCs w:val="24"/>
                <w:lang w:val="fr-FR" w:eastAsia="en-GB"/>
              </w:rPr>
            </w:pPr>
            <w:r w:rsidRPr="00132953">
              <w:rPr>
                <w:rFonts w:ascii="Times New Roman" w:eastAsia="Times New Roman" w:hAnsi="Times New Roman" w:cs="Times New Roman"/>
                <w:b/>
                <w:sz w:val="24"/>
                <w:szCs w:val="24"/>
                <w:lang w:val="fr-FR" w:eastAsia="en-GB"/>
              </w:rPr>
              <w:t>2 ans</w:t>
            </w:r>
            <w:r w:rsidRPr="00132953">
              <w:rPr>
                <w:rFonts w:ascii="Times New Roman" w:eastAsia="Times New Roman" w:hAnsi="Times New Roman" w:cs="Times New Roman"/>
                <w:b/>
                <w:sz w:val="24"/>
                <w:szCs w:val="24"/>
                <w:vertAlign w:val="superscript"/>
                <w:lang w:val="fr-FR" w:eastAsia="en-GB"/>
              </w:rPr>
              <w:t>1</w:t>
            </w:r>
          </w:p>
          <w:p w:rsidR="00132953" w:rsidRPr="00132953" w:rsidRDefault="00132953" w:rsidP="00234A35">
            <w:pPr>
              <w:rPr>
                <w:rFonts w:ascii="Times New Roman" w:eastAsia="Times New Roman" w:hAnsi="Times New Roman" w:cs="Times New Roman"/>
                <w:b/>
                <w:sz w:val="24"/>
                <w:szCs w:val="24"/>
                <w:lang w:val="fr-FR" w:eastAsia="en-GB"/>
              </w:rPr>
            </w:pPr>
            <w:r w:rsidRPr="00132953">
              <w:rPr>
                <w:rFonts w:ascii="Times New Roman" w:hAnsi="Times New Roman" w:cs="Times New Roman"/>
                <w:b/>
                <w:sz w:val="24"/>
                <w:szCs w:val="24"/>
                <w:lang w:val="fr-FR"/>
              </w:rPr>
              <w:t>X</w:t>
            </w:r>
            <w:r w:rsidRPr="00132953">
              <w:rPr>
                <w:rFonts w:ascii="Times New Roman" w:eastAsia="MS Minngs" w:hAnsi="Times New Roman" w:cs="Times New Roman"/>
                <w:b/>
                <w:bCs/>
                <w:sz w:val="24"/>
                <w:szCs w:val="24"/>
                <w:lang w:val="fr-FR" w:eastAsia="en-GB"/>
              </w:rPr>
              <w:t xml:space="preserve"> </w:t>
            </w:r>
            <w:r w:rsidRPr="00132953">
              <w:rPr>
                <w:rFonts w:ascii="Times New Roman" w:eastAsia="Times New Roman" w:hAnsi="Times New Roman" w:cs="Times New Roman"/>
                <w:b/>
                <w:sz w:val="24"/>
                <w:szCs w:val="24"/>
                <w:lang w:val="fr-FR" w:eastAsia="en-GB"/>
              </w:rPr>
              <w:t xml:space="preserve">Bruxelles  </w:t>
            </w:r>
            <w:r w:rsidRPr="00132953">
              <w:rPr>
                <w:rFonts w:ascii="Times New Roman" w:eastAsia="MS Minngs" w:hAnsi="Times New Roman" w:cs="Times New Roman"/>
                <w:b/>
                <w:bCs/>
                <w:sz w:val="24"/>
                <w:szCs w:val="24"/>
                <w:lang w:val="fr-FR" w:eastAsia="en-GB"/>
              </w:rPr>
              <w:sym w:font="Wingdings 2" w:char="F0A3"/>
            </w:r>
            <w:r w:rsidRPr="00132953">
              <w:rPr>
                <w:rFonts w:ascii="Times New Roman" w:eastAsia="MS Minngs" w:hAnsi="Times New Roman" w:cs="Times New Roman"/>
                <w:b/>
                <w:bCs/>
                <w:sz w:val="24"/>
                <w:szCs w:val="24"/>
                <w:lang w:val="fr-FR" w:eastAsia="en-GB"/>
              </w:rPr>
              <w:t xml:space="preserve"> </w:t>
            </w:r>
            <w:r w:rsidRPr="00132953">
              <w:rPr>
                <w:rFonts w:ascii="Times New Roman" w:eastAsia="Times New Roman" w:hAnsi="Times New Roman" w:cs="Times New Roman"/>
                <w:b/>
                <w:sz w:val="24"/>
                <w:szCs w:val="24"/>
                <w:lang w:val="fr-FR" w:eastAsia="en-GB"/>
              </w:rPr>
              <w:t xml:space="preserve">Luxembourg  </w:t>
            </w:r>
            <w:r w:rsidRPr="00132953">
              <w:rPr>
                <w:rFonts w:ascii="Times New Roman" w:eastAsia="MS Minngs" w:hAnsi="Times New Roman" w:cs="Times New Roman"/>
                <w:b/>
                <w:bCs/>
                <w:sz w:val="24"/>
                <w:szCs w:val="24"/>
                <w:lang w:val="fr-FR" w:eastAsia="en-GB"/>
              </w:rPr>
              <w:sym w:font="Wingdings 2" w:char="F0A3"/>
            </w:r>
            <w:r w:rsidRPr="00132953">
              <w:rPr>
                <w:rFonts w:ascii="Times New Roman" w:eastAsia="MS Minngs" w:hAnsi="Times New Roman" w:cs="Times New Roman"/>
                <w:b/>
                <w:bCs/>
                <w:sz w:val="24"/>
                <w:szCs w:val="24"/>
                <w:lang w:val="fr-FR" w:eastAsia="en-GB"/>
              </w:rPr>
              <w:t xml:space="preserve"> A</w:t>
            </w:r>
            <w:r w:rsidRPr="00132953">
              <w:rPr>
                <w:rFonts w:ascii="Times New Roman" w:eastAsia="Times New Roman" w:hAnsi="Times New Roman" w:cs="Times New Roman"/>
                <w:b/>
                <w:sz w:val="24"/>
                <w:szCs w:val="24"/>
                <w:lang w:val="fr-FR" w:eastAsia="en-GB"/>
              </w:rPr>
              <w:t>utre: ……………..</w:t>
            </w:r>
          </w:p>
        </w:tc>
      </w:tr>
      <w:tr w:rsidR="00132953"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132953" w:rsidRPr="00745B97" w:rsidRDefault="00132953"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2953" w:rsidRPr="00132953" w:rsidRDefault="00132953" w:rsidP="00234A35">
            <w:pPr>
              <w:rPr>
                <w:rFonts w:ascii="Times New Roman" w:eastAsia="Times New Roman" w:hAnsi="Times New Roman" w:cs="Times New Roman"/>
                <w:b/>
                <w:sz w:val="24"/>
                <w:szCs w:val="24"/>
                <w:lang w:eastAsia="en-GB"/>
              </w:rPr>
            </w:pPr>
            <w:r w:rsidRPr="00132953">
              <w:rPr>
                <w:rFonts w:ascii="Times New Roman" w:hAnsi="Times New Roman" w:cs="Times New Roman"/>
                <w:b/>
                <w:sz w:val="24"/>
                <w:szCs w:val="24"/>
              </w:rPr>
              <w:t>X</w:t>
            </w:r>
            <w:r w:rsidRPr="00132953">
              <w:rPr>
                <w:rFonts w:ascii="Times New Roman" w:eastAsia="Times New Roman" w:hAnsi="Times New Roman" w:cs="Times New Roman"/>
                <w:b/>
                <w:bCs/>
                <w:sz w:val="24"/>
                <w:szCs w:val="24"/>
                <w:lang w:eastAsia="en-GB"/>
              </w:rPr>
              <w:t xml:space="preserve">   </w:t>
            </w:r>
            <w:r w:rsidRPr="00132953">
              <w:rPr>
                <w:rFonts w:ascii="Times New Roman" w:eastAsia="Times New Roman" w:hAnsi="Times New Roman" w:cs="Times New Roman"/>
                <w:b/>
                <w:sz w:val="24"/>
                <w:szCs w:val="24"/>
                <w:lang w:eastAsia="en-GB"/>
              </w:rPr>
              <w:t xml:space="preserve">Avec indemnités                </w:t>
            </w:r>
            <w:r w:rsidRPr="00132953">
              <w:rPr>
                <w:rFonts w:ascii="Times New Roman" w:eastAsia="MS Minngs" w:hAnsi="Times New Roman" w:cs="Times New Roman"/>
                <w:b/>
                <w:bCs/>
                <w:sz w:val="24"/>
                <w:szCs w:val="24"/>
                <w:lang w:val="fr-FR" w:eastAsia="en-GB"/>
              </w:rPr>
              <w:sym w:font="Wingdings 2" w:char="F0A3"/>
            </w:r>
            <w:r w:rsidRPr="00132953">
              <w:rPr>
                <w:rFonts w:ascii="Times New Roman" w:eastAsia="MS Minngs" w:hAnsi="Times New Roman" w:cs="Times New Roman"/>
                <w:b/>
                <w:bCs/>
                <w:sz w:val="24"/>
                <w:szCs w:val="24"/>
                <w:lang w:val="fr-FR" w:eastAsia="en-GB"/>
              </w:rPr>
              <w:t xml:space="preserve">   </w:t>
            </w:r>
            <w:r w:rsidRPr="00132953">
              <w:rPr>
                <w:rFonts w:ascii="Times New Roman" w:eastAsia="Times New Roman" w:hAnsi="Times New Roman" w:cs="Times New Roman"/>
                <w:b/>
                <w:bCs/>
                <w:sz w:val="24"/>
                <w:szCs w:val="24"/>
                <w:lang w:eastAsia="en-GB"/>
              </w:rPr>
              <w:t> </w:t>
            </w:r>
            <w:r w:rsidRPr="00132953">
              <w:rPr>
                <w:rFonts w:ascii="Times New Roman" w:eastAsia="MS Minngs" w:hAnsi="Times New Roman" w:cs="Times New Roman"/>
                <w:b/>
                <w:bCs/>
                <w:sz w:val="24"/>
                <w:szCs w:val="24"/>
                <w:lang w:val="fr-FR" w:eastAsia="en-GB"/>
              </w:rPr>
              <w:t xml:space="preserve"> </w:t>
            </w:r>
            <w:r w:rsidRPr="00132953">
              <w:rPr>
                <w:rFonts w:ascii="Times New Roman" w:eastAsia="Times New Roman" w:hAnsi="Times New Roman" w:cs="Times New Roman"/>
                <w:b/>
                <w:sz w:val="24"/>
                <w:szCs w:val="24"/>
                <w:lang w:eastAsia="en-GB"/>
              </w:rPr>
              <w:t>Sans frais</w:t>
            </w:r>
          </w:p>
        </w:tc>
      </w:tr>
      <w:tr w:rsidR="00132953"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132953" w:rsidRPr="00745B97" w:rsidRDefault="00132953"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2953" w:rsidRPr="00745B97" w:rsidRDefault="00132953" w:rsidP="00745B97">
            <w:pPr>
              <w:rPr>
                <w:rFonts w:ascii="Times New Roman" w:eastAsia="Times New Roman" w:hAnsi="Times New Roman" w:cs="Times New Roman"/>
                <w:b/>
                <w:lang w:eastAsia="en-GB"/>
              </w:rPr>
            </w:pPr>
          </w:p>
          <w:p w:rsidR="00132953" w:rsidRPr="00745B97" w:rsidRDefault="00132953" w:rsidP="00745B97">
            <w:pPr>
              <w:rPr>
                <w:rFonts w:ascii="Times New Roman" w:eastAsia="Times New Roman" w:hAnsi="Times New Roman" w:cs="Times New Roman"/>
                <w:b/>
                <w:bCs/>
                <w:lang w:eastAsia="en-GB"/>
              </w:rPr>
            </w:pPr>
            <w:r>
              <w:rPr>
                <w:rFonts w:ascii="Times New Roman" w:eastAsia="Times New Roman" w:hAnsi="Times New Roman" w:cs="Times New Roman"/>
                <w:b/>
                <w:sz w:val="24"/>
                <w:szCs w:val="24"/>
                <w:lang w:val="fr-FR" w:eastAsia="en-GB"/>
              </w:rPr>
              <w:sym w:font="Wingdings" w:char="F078"/>
            </w:r>
            <w:r w:rsidRPr="00745B97">
              <w:rPr>
                <w:rFonts w:ascii="Times New Roman" w:eastAsia="Times New Roman" w:hAnsi="Times New Roman" w:cs="Times New Roman"/>
                <w:b/>
                <w:bCs/>
                <w:lang w:eastAsia="en-GB"/>
              </w:rPr>
              <w:t>    aux pays AELE suivants :</w:t>
            </w:r>
          </w:p>
          <w:p w:rsidR="00132953" w:rsidRPr="00745B97" w:rsidRDefault="00132953"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Pr>
                <w:rFonts w:ascii="Times New Roman" w:eastAsia="Times New Roman" w:hAnsi="Times New Roman" w:cs="Times New Roman"/>
                <w:b/>
                <w:sz w:val="24"/>
                <w:szCs w:val="24"/>
                <w:lang w:val="fr-FR" w:eastAsia="en-GB"/>
              </w:rPr>
              <w:sym w:font="Wingdings" w:char="F078"/>
            </w:r>
            <w:r w:rsidRPr="00745B97">
              <w:rPr>
                <w:rFonts w:ascii="Times New Roman" w:eastAsia="Times New Roman" w:hAnsi="Times New Roman" w:cs="Times New Roman"/>
                <w:b/>
                <w:lang w:eastAsia="en-GB"/>
              </w:rPr>
              <w:t xml:space="preserve"> Islande </w:t>
            </w:r>
            <w:r>
              <w:rPr>
                <w:rFonts w:ascii="Times New Roman" w:eastAsia="Times New Roman" w:hAnsi="Times New Roman" w:cs="Times New Roman"/>
                <w:b/>
                <w:sz w:val="24"/>
                <w:szCs w:val="24"/>
                <w:lang w:val="fr-FR" w:eastAsia="en-GB"/>
              </w:rPr>
              <w:sym w:font="Wingdings" w:char="F078"/>
            </w:r>
            <w:r w:rsidRPr="00745B97">
              <w:rPr>
                <w:rFonts w:ascii="Times New Roman" w:eastAsia="Times New Roman" w:hAnsi="Times New Roman" w:cs="Times New Roman"/>
                <w:b/>
                <w:lang w:eastAsia="en-GB"/>
              </w:rPr>
              <w:t xml:space="preserve"> Liechtenstein </w:t>
            </w:r>
            <w:r>
              <w:rPr>
                <w:rFonts w:ascii="Times New Roman" w:eastAsia="Times New Roman" w:hAnsi="Times New Roman" w:cs="Times New Roman"/>
                <w:b/>
                <w:sz w:val="24"/>
                <w:szCs w:val="24"/>
                <w:lang w:val="fr-FR" w:eastAsia="en-GB"/>
              </w:rPr>
              <w:sym w:font="Wingdings" w:char="F078"/>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2953" w:rsidRPr="00745B97" w:rsidRDefault="00132953"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2953" w:rsidRPr="00745B97" w:rsidRDefault="00132953"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 xml:space="preserve">L'expert national détaché assistera les fonctionnaires dans le développement, la mise en œuvre et le monitorage d’activités du ressort des sciences économiques contribuant aux importants défis sociétaux tels que repris parmi les priorités de la Présidente-élue Ursula </w:t>
      </w:r>
      <w:proofErr w:type="spellStart"/>
      <w:r w:rsidRPr="00132953">
        <w:rPr>
          <w:rFonts w:ascii="Times New Roman" w:hAnsi="Times New Roman" w:cs="Times New Roman"/>
        </w:rPr>
        <w:t>v</w:t>
      </w:r>
      <w:r w:rsidRPr="00132953">
        <w:rPr>
          <w:rFonts w:ascii="Times New Roman" w:hAnsi="Times New Roman" w:cs="Times New Roman"/>
          <w:lang w:eastAsia="en-GB"/>
        </w:rPr>
        <w:t>on</w:t>
      </w:r>
      <w:proofErr w:type="spellEnd"/>
      <w:r w:rsidRPr="00132953">
        <w:rPr>
          <w:rFonts w:ascii="Times New Roman" w:hAnsi="Times New Roman" w:cs="Times New Roman"/>
          <w:lang w:eastAsia="en-GB"/>
        </w:rPr>
        <w:t xml:space="preserve"> der </w:t>
      </w:r>
      <w:proofErr w:type="spellStart"/>
      <w:r w:rsidRPr="00132953">
        <w:rPr>
          <w:rFonts w:ascii="Times New Roman" w:hAnsi="Times New Roman" w:cs="Times New Roman"/>
          <w:lang w:eastAsia="en-GB"/>
        </w:rPr>
        <w:t>Leyen</w:t>
      </w:r>
      <w:proofErr w:type="spellEnd"/>
      <w:r w:rsidRPr="00132953">
        <w:rPr>
          <w:rFonts w:ascii="Times New Roman" w:hAnsi="Times New Roman" w:cs="Times New Roman"/>
          <w:lang w:eastAsia="en-GB"/>
        </w:rPr>
        <w:t>. Ceci concerne l’élaboration d’options de politique fondées sur des preuves, par le moyen de la recherche scientifique. Une attention particulière sera portée sur les Sociétés Equitables et Inclusives développées par le Challenge Social 6 (CS6) du présent Programme-cadre Horizon 2020 ainsi que par le future Cluster 2 du prochain Programme-cadre Horizon Europe.</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 xml:space="preserve"> Il/elle fournira d’analyses et d’évaluations de politiques contribuant à l'identification de nouveaux objectifs de recherche et aussi, priorités pour le programme de recherche en sciences Socio-économiques et Humanités (SSH). Il/elle contribuera à l'exécution des parties pertinentes de la mission de la Direction E "Personnes" et en particulier à la mise en œuvre des politiques et programmes RDT de l’Union européenne (UE) relatifs à la recherche dans les sciences SSH, particulièrement sur les thématiques de politique suivantes : recherche économique en matière de PIB et au-delà, économie comportementale, macro-économie, économie du travail, économétrie. De plus, il/elle réalisera des évaluations ex-post d’activités afin de développer des perspectives de recherche de mi- et long- terme dans le domaine socio-économique.</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Ces tâches incluent par exemple les activités suivantes :</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Rédaction de discours, briefings, études, rapports d’analyse ;</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La dissémination et la valorisation des résultats de la recherche et de l’innovation ;</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La préparation et la mise en œuvre d’événements, de rapports, de comptes rendus et des présentations ;</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Activités de coordination.</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lastRenderedPageBreak/>
        <w:t>Bon esprit d’analyse, de communication et de rédaction sont nécessaires.</w:t>
      </w:r>
    </w:p>
    <w:p w:rsidR="00132953" w:rsidRPr="00132953" w:rsidRDefault="00132953" w:rsidP="00132953">
      <w:pPr>
        <w:spacing w:line="240" w:lineRule="auto"/>
        <w:jc w:val="both"/>
        <w:rPr>
          <w:rFonts w:ascii="Times New Roman" w:hAnsi="Times New Roman" w:cs="Times New Roman"/>
          <w:lang w:eastAsia="en-GB"/>
        </w:rPr>
      </w:pPr>
      <w:r w:rsidRPr="00132953">
        <w:rPr>
          <w:rFonts w:ascii="Times New Roman" w:hAnsi="Times New Roman" w:cs="Times New Roman"/>
          <w:lang w:eastAsia="en-GB"/>
        </w:rPr>
        <w:t>Il/elle travaillera sous la supervision d’un administrateur. Sans préjudice du principe de coopération loyale entre le national/régional et les administrations européennes, le SNE ne pourra pas travailler sur des cas individuels qui auraient des implications avec des fichiers qu’il/elle aurait dû traiter dans son administration nationale dans les deux ans précédent son entrée à la Commission, ou des cas directement adjacents.</w:t>
      </w:r>
    </w:p>
    <w:p w:rsidR="00132953" w:rsidRPr="00132953" w:rsidRDefault="00132953" w:rsidP="00132953">
      <w:pPr>
        <w:tabs>
          <w:tab w:val="left" w:pos="426"/>
        </w:tabs>
        <w:spacing w:after="0" w:line="240" w:lineRule="auto"/>
        <w:jc w:val="both"/>
        <w:rPr>
          <w:rFonts w:ascii="Times New Roman" w:hAnsi="Times New Roman" w:cs="Times New Roman"/>
        </w:rPr>
      </w:pPr>
      <w:r w:rsidRPr="00132953">
        <w:rPr>
          <w:rFonts w:ascii="Times New Roman" w:hAnsi="Times New Roman" w:cs="Times New Roman"/>
          <w:lang w:eastAsia="en-GB"/>
        </w:rPr>
        <w:t>En aucun cas, il</w:t>
      </w:r>
      <w:r>
        <w:rPr>
          <w:rFonts w:ascii="Times New Roman" w:hAnsi="Times New Roman" w:cs="Times New Roman"/>
          <w:lang w:eastAsia="en-GB"/>
        </w:rPr>
        <w:t xml:space="preserve">/elle </w:t>
      </w:r>
      <w:r w:rsidRPr="00132953">
        <w:rPr>
          <w:rFonts w:ascii="Times New Roman" w:hAnsi="Times New Roman" w:cs="Times New Roman"/>
          <w:lang w:eastAsia="en-GB"/>
        </w:rPr>
        <w:t>ne représente</w:t>
      </w:r>
      <w:r>
        <w:rPr>
          <w:rFonts w:ascii="Times New Roman" w:hAnsi="Times New Roman" w:cs="Times New Roman"/>
          <w:lang w:eastAsia="en-GB"/>
        </w:rPr>
        <w:t>ra</w:t>
      </w:r>
      <w:r w:rsidRPr="00132953">
        <w:rPr>
          <w:rFonts w:ascii="Times New Roman" w:hAnsi="Times New Roman" w:cs="Times New Roman"/>
          <w:lang w:eastAsia="en-GB"/>
        </w:rPr>
        <w:t xml:space="preserve"> la Commission pour prendre des engagements financiers ou autres, ou négocier au nom de la Commission. </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32953" w:rsidRPr="00132953">
        <w:rPr>
          <w:rFonts w:ascii="Times New Roman" w:eastAsia="Times New Roman" w:hAnsi="Times New Roman" w:cs="Times New Roman"/>
          <w:lang w:eastAsia="en-GB"/>
        </w:rPr>
        <w:t>relatif(s) au poste</w:t>
      </w:r>
      <w:r w:rsidR="0013295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132953" w:rsidRDefault="00132953" w:rsidP="00745B97">
      <w:pPr>
        <w:tabs>
          <w:tab w:val="left" w:pos="709"/>
        </w:tabs>
        <w:spacing w:after="0" w:line="240" w:lineRule="auto"/>
        <w:ind w:left="709" w:right="60"/>
        <w:jc w:val="both"/>
        <w:rPr>
          <w:rFonts w:ascii="Times New Roman" w:eastAsia="Times New Roman" w:hAnsi="Times New Roman" w:cs="Times New Roman"/>
          <w:lang w:eastAsia="en-GB"/>
        </w:rPr>
      </w:pPr>
      <w:r w:rsidRPr="00132953">
        <w:rPr>
          <w:rFonts w:ascii="Times New Roman" w:eastAsia="Times New Roman" w:hAnsi="Times New Roman" w:cs="Times New Roman"/>
          <w:lang w:eastAsia="en-GB"/>
        </w:rPr>
        <w:t>Connaissance(s) approfondie(s) du paysage et de la politique de recherche et d’innovation d’au moins un Etat membre ; bonne connaissance des institutions de l’UE et de leur fonctionnement ; bonne capacité à collaborer efficacement avec les acteurs concernés au niveau de l’UE ; bonne aptitudes de communication orale et par écrit pour l’analyse politique et les présentations.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132953"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132953">
        <w:rPr>
          <w:rFonts w:ascii="Times New Roman" w:eastAsia="Times New Roman" w:hAnsi="Times New Roman" w:cs="Times New Roman"/>
          <w:lang w:eastAsia="en-GB"/>
        </w:rPr>
        <w:t>Anglais et une ou plusieurs langues officielles de l’Union européenne sont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C31E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132953" w:rsidRDefault="00132953"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2953"/>
    <w:rsid w:val="0019598C"/>
    <w:rsid w:val="001C31E2"/>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1270</Words>
  <Characters>9022</Characters>
  <Application>Microsoft Office Word</Application>
  <DocSecurity>0</DocSecurity>
  <Lines>265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2019-11-11T16:19:00Z</dcterms:created>
  <dcterms:modified xsi:type="dcterms:W3CDTF">2019-11-11T16:29:00Z</dcterms:modified>
</cp:coreProperties>
</file>