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1B0858" w:rsidRPr="001B0858" w:rsidTr="00EC6FF0">
        <w:trPr>
          <w:trHeight w:val="611"/>
          <w:jc w:val="center"/>
        </w:trPr>
        <w:tc>
          <w:tcPr>
            <w:tcW w:w="4359" w:type="dxa"/>
          </w:tcPr>
          <w:p w:rsidR="001B0858" w:rsidRPr="00950BA5" w:rsidRDefault="001B0858"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1B0858" w:rsidRPr="00950BA5" w:rsidRDefault="001B0858"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1B0858" w:rsidRPr="001B0858" w:rsidRDefault="001B0858" w:rsidP="00234A35">
            <w:pPr>
              <w:rPr>
                <w:rFonts w:ascii="Times New Roman" w:hAnsi="Times New Roman" w:cs="Times New Roman"/>
                <w:b/>
                <w:sz w:val="24"/>
                <w:szCs w:val="24"/>
                <w:lang w:val="de-DE"/>
              </w:rPr>
            </w:pPr>
            <w:r w:rsidRPr="001B0858">
              <w:rPr>
                <w:rFonts w:ascii="Times New Roman" w:hAnsi="Times New Roman" w:cs="Times New Roman"/>
                <w:b/>
                <w:sz w:val="24"/>
                <w:szCs w:val="24"/>
                <w:lang w:val="de-DE"/>
              </w:rPr>
              <w:t xml:space="preserve">DEVCO-B-2–Resilienz, </w:t>
            </w:r>
            <w:proofErr w:type="spellStart"/>
            <w:r w:rsidRPr="001B0858">
              <w:rPr>
                <w:rFonts w:ascii="Times New Roman" w:hAnsi="Times New Roman" w:cs="Times New Roman"/>
                <w:b/>
                <w:sz w:val="24"/>
                <w:szCs w:val="24"/>
                <w:lang w:val="pt-PT"/>
              </w:rPr>
              <w:t>Fragilität</w:t>
            </w:r>
            <w:proofErr w:type="spellEnd"/>
          </w:p>
        </w:tc>
      </w:tr>
      <w:tr w:rsidR="001B0858" w:rsidRPr="001B0858" w:rsidTr="00EC6FF0">
        <w:trPr>
          <w:trHeight w:val="1977"/>
          <w:jc w:val="center"/>
        </w:trPr>
        <w:tc>
          <w:tcPr>
            <w:tcW w:w="4359" w:type="dxa"/>
            <w:tcBorders>
              <w:bottom w:val="nil"/>
            </w:tcBorders>
          </w:tcPr>
          <w:p w:rsidR="001B0858" w:rsidRPr="001B0858" w:rsidRDefault="001B0858" w:rsidP="00950BA5">
            <w:pPr>
              <w:tabs>
                <w:tab w:val="left" w:pos="1697"/>
              </w:tabs>
              <w:ind w:right="-1739"/>
              <w:jc w:val="both"/>
              <w:rPr>
                <w:rFonts w:ascii="Times New Roman" w:eastAsia="Times New Roman" w:hAnsi="Times New Roman" w:cs="Times New Roman"/>
                <w:b/>
                <w:sz w:val="24"/>
                <w:szCs w:val="24"/>
                <w:lang w:val="de-DE" w:eastAsia="en-GB"/>
              </w:rPr>
            </w:pPr>
            <w:r w:rsidRPr="001B0858">
              <w:rPr>
                <w:rFonts w:ascii="Times New Roman" w:eastAsia="Times New Roman" w:hAnsi="Times New Roman" w:cs="Times New Roman"/>
                <w:b/>
                <w:sz w:val="24"/>
                <w:szCs w:val="24"/>
                <w:lang w:val="de-DE" w:eastAsia="en-GB"/>
              </w:rPr>
              <w:t>Referatsleiter:</w:t>
            </w:r>
          </w:p>
          <w:p w:rsidR="001B0858" w:rsidRPr="001B0858" w:rsidRDefault="001B0858" w:rsidP="00950BA5">
            <w:pPr>
              <w:tabs>
                <w:tab w:val="left" w:pos="1697"/>
              </w:tabs>
              <w:ind w:right="-1739"/>
              <w:jc w:val="both"/>
              <w:rPr>
                <w:rFonts w:ascii="Times New Roman" w:eastAsia="Times New Roman" w:hAnsi="Times New Roman" w:cs="Times New Roman"/>
                <w:b/>
                <w:sz w:val="24"/>
                <w:szCs w:val="24"/>
                <w:lang w:val="de-DE" w:eastAsia="en-GB"/>
              </w:rPr>
            </w:pPr>
            <w:r w:rsidRPr="001B0858">
              <w:rPr>
                <w:rFonts w:ascii="Times New Roman" w:eastAsia="Times New Roman" w:hAnsi="Times New Roman" w:cs="Times New Roman"/>
                <w:b/>
                <w:sz w:val="24"/>
                <w:szCs w:val="24"/>
                <w:lang w:val="de-DE" w:eastAsia="en-GB"/>
              </w:rPr>
              <w:t>E-Mail-Adresse:</w:t>
            </w:r>
          </w:p>
          <w:p w:rsidR="001B0858" w:rsidRPr="001B0858" w:rsidRDefault="001B0858" w:rsidP="00950BA5">
            <w:pPr>
              <w:tabs>
                <w:tab w:val="left" w:pos="1697"/>
              </w:tabs>
              <w:ind w:right="-1739"/>
              <w:jc w:val="both"/>
              <w:rPr>
                <w:rFonts w:ascii="Times New Roman" w:eastAsia="Times New Roman" w:hAnsi="Times New Roman" w:cs="Times New Roman"/>
                <w:b/>
                <w:sz w:val="24"/>
                <w:szCs w:val="24"/>
                <w:lang w:val="de-DE" w:eastAsia="en-GB"/>
              </w:rPr>
            </w:pPr>
            <w:r w:rsidRPr="001B0858">
              <w:rPr>
                <w:rFonts w:ascii="Times New Roman" w:eastAsia="Times New Roman" w:hAnsi="Times New Roman" w:cs="Times New Roman"/>
                <w:b/>
                <w:sz w:val="24"/>
                <w:szCs w:val="24"/>
                <w:lang w:val="de-DE" w:eastAsia="en-GB"/>
              </w:rPr>
              <w:t>Telefon:</w:t>
            </w:r>
          </w:p>
          <w:p w:rsidR="001B0858" w:rsidRPr="001B0858" w:rsidRDefault="001B0858" w:rsidP="00950BA5">
            <w:pPr>
              <w:tabs>
                <w:tab w:val="left" w:pos="1697"/>
              </w:tabs>
              <w:ind w:right="-1739"/>
              <w:jc w:val="both"/>
              <w:rPr>
                <w:rFonts w:ascii="Times New Roman" w:eastAsia="Times New Roman" w:hAnsi="Times New Roman" w:cs="Times New Roman"/>
                <w:sz w:val="24"/>
                <w:szCs w:val="24"/>
                <w:lang w:val="de-DE" w:eastAsia="en-GB"/>
              </w:rPr>
            </w:pPr>
            <w:r w:rsidRPr="001B0858">
              <w:rPr>
                <w:rFonts w:ascii="Times New Roman" w:eastAsia="Times New Roman" w:hAnsi="Times New Roman" w:cs="Times New Roman"/>
                <w:b/>
                <w:sz w:val="24"/>
                <w:szCs w:val="24"/>
                <w:lang w:val="de-DE" w:eastAsia="en-GB"/>
              </w:rPr>
              <w:t>Anzahl der zu besetzenden Stellen:</w:t>
            </w:r>
          </w:p>
          <w:p w:rsidR="001B0858" w:rsidRPr="001B0858" w:rsidRDefault="001B0858" w:rsidP="00950BA5">
            <w:pPr>
              <w:tabs>
                <w:tab w:val="left" w:pos="1697"/>
              </w:tabs>
              <w:ind w:right="-1739"/>
              <w:jc w:val="both"/>
              <w:rPr>
                <w:rFonts w:ascii="Times New Roman" w:eastAsia="Times New Roman" w:hAnsi="Times New Roman" w:cs="Times New Roman"/>
                <w:b/>
                <w:sz w:val="24"/>
                <w:szCs w:val="24"/>
                <w:lang w:val="de-DE" w:eastAsia="en-GB"/>
              </w:rPr>
            </w:pPr>
            <w:r w:rsidRPr="001B0858">
              <w:rPr>
                <w:rFonts w:ascii="Times New Roman" w:eastAsia="Times New Roman" w:hAnsi="Times New Roman" w:cs="Times New Roman"/>
                <w:b/>
                <w:sz w:val="24"/>
                <w:szCs w:val="24"/>
                <w:lang w:val="de-DE" w:eastAsia="en-GB"/>
              </w:rPr>
              <w:t>Gewünschter Dienstantritt:</w:t>
            </w:r>
          </w:p>
          <w:p w:rsidR="001B0858" w:rsidRPr="001B0858" w:rsidRDefault="001B0858" w:rsidP="00950BA5">
            <w:pPr>
              <w:tabs>
                <w:tab w:val="left" w:pos="1697"/>
              </w:tabs>
              <w:ind w:right="-1739"/>
              <w:jc w:val="both"/>
              <w:rPr>
                <w:rFonts w:ascii="Times New Roman" w:eastAsia="Times New Roman" w:hAnsi="Times New Roman" w:cs="Times New Roman"/>
                <w:b/>
                <w:sz w:val="24"/>
                <w:szCs w:val="24"/>
                <w:lang w:val="de-DE" w:eastAsia="en-GB"/>
              </w:rPr>
            </w:pPr>
            <w:r w:rsidRPr="001B0858">
              <w:rPr>
                <w:rFonts w:ascii="Times New Roman" w:eastAsia="Times New Roman" w:hAnsi="Times New Roman" w:cs="Times New Roman"/>
                <w:b/>
                <w:sz w:val="24"/>
                <w:szCs w:val="24"/>
                <w:lang w:val="de-DE" w:eastAsia="en-GB"/>
              </w:rPr>
              <w:t>Gewünschte Dauer der</w:t>
            </w:r>
          </w:p>
          <w:p w:rsidR="001B0858" w:rsidRPr="001B0858" w:rsidRDefault="001B0858" w:rsidP="00950BA5">
            <w:pPr>
              <w:tabs>
                <w:tab w:val="left" w:pos="1697"/>
              </w:tabs>
              <w:ind w:right="-1739"/>
              <w:jc w:val="both"/>
              <w:rPr>
                <w:rFonts w:ascii="Times New Roman" w:eastAsia="Times New Roman" w:hAnsi="Times New Roman" w:cs="Times New Roman"/>
                <w:sz w:val="24"/>
                <w:szCs w:val="24"/>
                <w:lang w:val="de-DE" w:eastAsia="en-GB"/>
              </w:rPr>
            </w:pPr>
            <w:r w:rsidRPr="001B0858">
              <w:rPr>
                <w:rFonts w:ascii="Times New Roman" w:eastAsia="Times New Roman" w:hAnsi="Times New Roman" w:cs="Times New Roman"/>
                <w:b/>
                <w:sz w:val="24"/>
                <w:szCs w:val="24"/>
                <w:lang w:val="de-DE" w:eastAsia="en-GB"/>
              </w:rPr>
              <w:t>1. Abordnung:</w:t>
            </w:r>
          </w:p>
          <w:p w:rsidR="001B0858" w:rsidRPr="00950BA5" w:rsidRDefault="001B0858" w:rsidP="00950BA5">
            <w:pPr>
              <w:tabs>
                <w:tab w:val="left" w:pos="1697"/>
              </w:tabs>
              <w:ind w:right="-1739"/>
              <w:jc w:val="both"/>
              <w:rPr>
                <w:rFonts w:ascii="Times New Roman" w:eastAsia="Times New Roman" w:hAnsi="Times New Roman" w:cs="Times New Roman"/>
                <w:lang w:val="de-DE" w:eastAsia="en-GB"/>
              </w:rPr>
            </w:pPr>
            <w:r w:rsidRPr="001B0858">
              <w:rPr>
                <w:rFonts w:ascii="Times New Roman" w:eastAsia="Times New Roman" w:hAnsi="Times New Roman" w:cs="Times New Roman"/>
                <w:b/>
                <w:sz w:val="24"/>
                <w:szCs w:val="24"/>
                <w:lang w:val="de-DE" w:eastAsia="en-GB"/>
              </w:rPr>
              <w:t>Dienstort:</w:t>
            </w:r>
          </w:p>
        </w:tc>
        <w:tc>
          <w:tcPr>
            <w:tcW w:w="5597" w:type="dxa"/>
          </w:tcPr>
          <w:p w:rsidR="001B0858" w:rsidRPr="001B0858" w:rsidRDefault="001B0858" w:rsidP="00234A35">
            <w:pPr>
              <w:suppressAutoHyphens/>
              <w:ind w:right="1317"/>
              <w:jc w:val="both"/>
              <w:rPr>
                <w:rFonts w:ascii="Times New Roman" w:eastAsia="Calibri" w:hAnsi="Times New Roman" w:cs="Times New Roman"/>
                <w:b/>
                <w:sz w:val="24"/>
                <w:szCs w:val="24"/>
                <w:lang w:val="it-IT" w:eastAsia="zh-CN"/>
              </w:rPr>
            </w:pPr>
            <w:r w:rsidRPr="001B0858">
              <w:rPr>
                <w:rFonts w:ascii="Times New Roman" w:hAnsi="Times New Roman" w:cs="Times New Roman"/>
                <w:b/>
                <w:sz w:val="24"/>
                <w:szCs w:val="24"/>
                <w:lang w:val="it-IT"/>
              </w:rPr>
              <w:t>Mario Ronconi</w:t>
            </w:r>
          </w:p>
          <w:p w:rsidR="001B0858" w:rsidRPr="001B0858" w:rsidRDefault="001B0858" w:rsidP="00234A35">
            <w:pPr>
              <w:suppressAutoHyphens/>
              <w:ind w:right="1317"/>
              <w:jc w:val="both"/>
              <w:rPr>
                <w:rFonts w:ascii="Times New Roman" w:hAnsi="Times New Roman" w:cs="Times New Roman"/>
                <w:b/>
                <w:color w:val="0000FF"/>
                <w:sz w:val="24"/>
                <w:szCs w:val="24"/>
                <w:u w:val="single"/>
                <w:lang w:val="it-IT"/>
              </w:rPr>
            </w:pPr>
            <w:hyperlink r:id="rId9" w:history="1">
              <w:r w:rsidRPr="001B0858">
                <w:rPr>
                  <w:rStyle w:val="Hyperlink"/>
                  <w:rFonts w:ascii="Times New Roman" w:hAnsi="Times New Roman" w:cs="Times New Roman"/>
                  <w:b/>
                  <w:sz w:val="24"/>
                  <w:szCs w:val="24"/>
                  <w:lang w:val="it-IT"/>
                </w:rPr>
                <w:t>Mario.Ronconi@ec.europa.eu</w:t>
              </w:r>
            </w:hyperlink>
          </w:p>
          <w:p w:rsidR="001B0858" w:rsidRPr="001B0858" w:rsidRDefault="001B0858" w:rsidP="00234A35">
            <w:pPr>
              <w:suppressAutoHyphens/>
              <w:ind w:right="1317"/>
              <w:jc w:val="both"/>
              <w:rPr>
                <w:rFonts w:ascii="Times New Roman" w:hAnsi="Times New Roman" w:cs="Times New Roman"/>
                <w:b/>
                <w:sz w:val="24"/>
                <w:szCs w:val="24"/>
                <w:lang w:val="de-DE"/>
              </w:rPr>
            </w:pPr>
            <w:r w:rsidRPr="001B0858">
              <w:rPr>
                <w:rFonts w:ascii="Times New Roman" w:hAnsi="Times New Roman" w:cs="Times New Roman"/>
                <w:b/>
                <w:sz w:val="24"/>
                <w:szCs w:val="24"/>
                <w:lang w:val="de-DE"/>
              </w:rPr>
              <w:t>+ 32 2-2982140</w:t>
            </w:r>
          </w:p>
          <w:p w:rsidR="001B0858" w:rsidRPr="001B0858" w:rsidRDefault="001B0858" w:rsidP="00234A35">
            <w:pPr>
              <w:rPr>
                <w:rFonts w:ascii="Times New Roman" w:hAnsi="Times New Roman" w:cs="Times New Roman"/>
                <w:b/>
                <w:sz w:val="24"/>
                <w:szCs w:val="24"/>
                <w:lang w:val="de-DE"/>
              </w:rPr>
            </w:pPr>
            <w:r w:rsidRPr="001B0858">
              <w:rPr>
                <w:rFonts w:ascii="Times New Roman" w:hAnsi="Times New Roman" w:cs="Times New Roman"/>
                <w:b/>
                <w:sz w:val="24"/>
                <w:szCs w:val="24"/>
                <w:lang w:val="de-DE"/>
              </w:rPr>
              <w:t>2</w:t>
            </w:r>
          </w:p>
          <w:p w:rsidR="001B0858" w:rsidRPr="001B0858" w:rsidRDefault="001B0858" w:rsidP="00234A35">
            <w:pPr>
              <w:ind w:left="34" w:right="1317"/>
              <w:jc w:val="both"/>
              <w:rPr>
                <w:rFonts w:ascii="Times New Roman" w:hAnsi="Times New Roman" w:cs="Times New Roman"/>
                <w:b/>
                <w:sz w:val="24"/>
                <w:szCs w:val="24"/>
                <w:lang w:val="de-DE"/>
              </w:rPr>
            </w:pPr>
            <w:r w:rsidRPr="001B0858">
              <w:rPr>
                <w:rFonts w:ascii="Times New Roman" w:hAnsi="Times New Roman" w:cs="Times New Roman"/>
                <w:b/>
                <w:sz w:val="24"/>
                <w:szCs w:val="24"/>
                <w:lang w:val="de-DE"/>
              </w:rPr>
              <w:t>1</w:t>
            </w:r>
            <w:r>
              <w:rPr>
                <w:rFonts w:ascii="Times New Roman" w:hAnsi="Times New Roman" w:cs="Times New Roman"/>
                <w:b/>
                <w:sz w:val="24"/>
                <w:szCs w:val="24"/>
                <w:lang w:val="de-DE"/>
              </w:rPr>
              <w:t>.</w:t>
            </w:r>
            <w:r w:rsidRPr="001B0858">
              <w:rPr>
                <w:rFonts w:ascii="Times New Roman" w:hAnsi="Times New Roman" w:cs="Times New Roman"/>
                <w:b/>
                <w:sz w:val="24"/>
                <w:szCs w:val="24"/>
                <w:lang w:val="de-DE"/>
              </w:rPr>
              <w:t xml:space="preserve"> Quartal 2020</w:t>
            </w:r>
            <w:r w:rsidRPr="001B0858">
              <w:rPr>
                <w:rFonts w:ascii="Times New Roman" w:hAnsi="Times New Roman" w:cs="Times New Roman"/>
                <w:b/>
                <w:sz w:val="24"/>
                <w:szCs w:val="24"/>
                <w:vertAlign w:val="superscript"/>
                <w:lang w:val="de-DE"/>
              </w:rPr>
              <w:footnoteReference w:id="1"/>
            </w:r>
          </w:p>
          <w:p w:rsidR="001B0858" w:rsidRPr="001B0858" w:rsidRDefault="001B0858" w:rsidP="00234A35">
            <w:pPr>
              <w:ind w:right="1317"/>
              <w:jc w:val="both"/>
              <w:rPr>
                <w:rFonts w:ascii="Times New Roman" w:hAnsi="Times New Roman" w:cs="Times New Roman"/>
                <w:b/>
                <w:sz w:val="24"/>
                <w:szCs w:val="24"/>
                <w:lang w:val="de-DE"/>
              </w:rPr>
            </w:pPr>
            <w:r w:rsidRPr="001B0858">
              <w:rPr>
                <w:rFonts w:ascii="Times New Roman" w:hAnsi="Times New Roman" w:cs="Times New Roman"/>
                <w:b/>
                <w:sz w:val="24"/>
                <w:szCs w:val="24"/>
                <w:lang w:val="de-DE"/>
              </w:rPr>
              <w:t>2 Jahre</w:t>
            </w:r>
            <w:r w:rsidRPr="001B0858">
              <w:rPr>
                <w:rFonts w:ascii="Times New Roman" w:hAnsi="Times New Roman" w:cs="Times New Roman"/>
                <w:b/>
                <w:sz w:val="24"/>
                <w:szCs w:val="24"/>
                <w:vertAlign w:val="superscript"/>
                <w:lang w:val="de-DE"/>
              </w:rPr>
              <w:t>1</w:t>
            </w:r>
          </w:p>
          <w:p w:rsidR="001B0858" w:rsidRPr="001B0858" w:rsidRDefault="001B0858" w:rsidP="00234A35">
            <w:pPr>
              <w:ind w:right="1317"/>
              <w:jc w:val="both"/>
              <w:rPr>
                <w:rFonts w:ascii="Times New Roman" w:hAnsi="Times New Roman" w:cs="Times New Roman"/>
                <w:b/>
                <w:sz w:val="24"/>
                <w:szCs w:val="24"/>
                <w:lang w:val="de-DE"/>
              </w:rPr>
            </w:pPr>
          </w:p>
          <w:p w:rsidR="001B0858" w:rsidRPr="001B0858" w:rsidRDefault="001B0858" w:rsidP="001B0858">
            <w:pPr>
              <w:rPr>
                <w:rFonts w:ascii="Times New Roman" w:hAnsi="Times New Roman" w:cs="Times New Roman"/>
                <w:b/>
                <w:sz w:val="24"/>
                <w:szCs w:val="24"/>
                <w:lang w:val="de-DE"/>
              </w:rPr>
            </w:pPr>
            <w:r w:rsidRPr="001B0858">
              <w:rPr>
                <w:rFonts w:ascii="Times New Roman" w:eastAsia="MS Minngs" w:hAnsi="Times New Roman" w:cs="Times New Roman"/>
                <w:b/>
                <w:bCs/>
                <w:sz w:val="24"/>
                <w:szCs w:val="24"/>
                <w:lang w:val="de-DE"/>
              </w:rPr>
              <w:t xml:space="preserve">X   </w:t>
            </w:r>
            <w:r w:rsidRPr="001B0858">
              <w:rPr>
                <w:rFonts w:ascii="Times New Roman" w:hAnsi="Times New Roman" w:cs="Times New Roman"/>
                <w:b/>
                <w:sz w:val="24"/>
                <w:szCs w:val="24"/>
                <w:lang w:val="de-DE"/>
              </w:rPr>
              <w:t>Brüssel</w:t>
            </w:r>
            <w:r w:rsidRPr="001B0858">
              <w:rPr>
                <w:rFonts w:ascii="Times New Roman" w:hAnsi="Times New Roman" w:cs="Times New Roman"/>
                <w:b/>
                <w:sz w:val="24"/>
                <w:szCs w:val="24"/>
                <w:lang w:val="de-DE"/>
              </w:rPr>
              <w:tab/>
            </w:r>
            <w:r w:rsidRPr="001B0858">
              <w:rPr>
                <w:rFonts w:ascii="Times New Roman" w:eastAsia="MS Minngs" w:hAnsi="Times New Roman" w:cs="Times New Roman"/>
                <w:b/>
                <w:bCs/>
                <w:sz w:val="24"/>
                <w:szCs w:val="24"/>
                <w:lang w:val="fr-FR"/>
              </w:rPr>
              <w:sym w:font="Wingdings 2" w:char="F0A3"/>
            </w:r>
            <w:r w:rsidRPr="001B0858">
              <w:rPr>
                <w:rFonts w:ascii="Times New Roman" w:eastAsia="MS Minngs" w:hAnsi="Times New Roman" w:cs="Times New Roman"/>
                <w:b/>
                <w:bCs/>
                <w:sz w:val="24"/>
                <w:szCs w:val="24"/>
                <w:lang w:val="de-DE"/>
              </w:rPr>
              <w:t xml:space="preserve">   </w:t>
            </w:r>
            <w:r w:rsidRPr="001B0858">
              <w:rPr>
                <w:rFonts w:ascii="Times New Roman" w:hAnsi="Times New Roman" w:cs="Times New Roman"/>
                <w:b/>
                <w:sz w:val="24"/>
                <w:szCs w:val="24"/>
                <w:lang w:val="de-DE"/>
              </w:rPr>
              <w:t xml:space="preserve">Luxemburg   </w:t>
            </w:r>
            <w:r w:rsidRPr="001B0858">
              <w:rPr>
                <w:rFonts w:ascii="Times New Roman" w:eastAsia="MS Minngs" w:hAnsi="Times New Roman" w:cs="Times New Roman"/>
                <w:b/>
                <w:bCs/>
                <w:sz w:val="24"/>
                <w:szCs w:val="24"/>
                <w:lang w:val="fr-FR"/>
              </w:rPr>
              <w:sym w:font="Wingdings 2" w:char="F0A3"/>
            </w:r>
            <w:r w:rsidRPr="001B0858">
              <w:rPr>
                <w:rFonts w:ascii="Times New Roman" w:eastAsia="MS Minngs" w:hAnsi="Times New Roman" w:cs="Times New Roman"/>
                <w:b/>
                <w:bCs/>
                <w:sz w:val="24"/>
                <w:szCs w:val="24"/>
                <w:lang w:val="de-DE"/>
              </w:rPr>
              <w:t xml:space="preserve"> </w:t>
            </w:r>
            <w:r w:rsidRPr="001B0858">
              <w:rPr>
                <w:rFonts w:ascii="Times New Roman" w:hAnsi="Times New Roman" w:cs="Times New Roman"/>
                <w:b/>
                <w:sz w:val="24"/>
                <w:szCs w:val="24"/>
                <w:lang w:val="de-DE"/>
              </w:rPr>
              <w:t>Anderer:………..</w:t>
            </w:r>
          </w:p>
        </w:tc>
      </w:tr>
      <w:tr w:rsidR="001B0858" w:rsidRPr="001B0858" w:rsidTr="00EC6FF0">
        <w:trPr>
          <w:trHeight w:val="545"/>
          <w:jc w:val="center"/>
        </w:trPr>
        <w:tc>
          <w:tcPr>
            <w:tcW w:w="4359" w:type="dxa"/>
            <w:tcBorders>
              <w:top w:val="nil"/>
              <w:left w:val="single" w:sz="4" w:space="0" w:color="auto"/>
              <w:bottom w:val="single" w:sz="4" w:space="0" w:color="auto"/>
              <w:right w:val="single" w:sz="4" w:space="0" w:color="auto"/>
            </w:tcBorders>
          </w:tcPr>
          <w:p w:rsidR="001B0858" w:rsidRPr="00950BA5" w:rsidRDefault="001B0858"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1B0858" w:rsidRPr="001B0858" w:rsidRDefault="001B0858" w:rsidP="00234A35">
            <w:pPr>
              <w:rPr>
                <w:rFonts w:ascii="Times New Roman" w:hAnsi="Times New Roman" w:cs="Times New Roman"/>
                <w:b/>
                <w:sz w:val="24"/>
                <w:szCs w:val="24"/>
                <w:lang w:val="de-DE"/>
              </w:rPr>
            </w:pPr>
            <w:r w:rsidRPr="001B0858">
              <w:rPr>
                <w:rFonts w:ascii="Times New Roman" w:eastAsia="MS Minngs" w:hAnsi="Times New Roman" w:cs="Times New Roman"/>
                <w:b/>
                <w:bCs/>
                <w:sz w:val="24"/>
                <w:szCs w:val="24"/>
                <w:lang w:val="de-DE"/>
              </w:rPr>
              <w:t xml:space="preserve">X  </w:t>
            </w:r>
            <w:r w:rsidRPr="001B0858">
              <w:rPr>
                <w:rFonts w:ascii="Times New Roman" w:hAnsi="Times New Roman" w:cs="Times New Roman"/>
                <w:b/>
                <w:sz w:val="24"/>
                <w:szCs w:val="24"/>
                <w:lang w:val="de-DE"/>
              </w:rPr>
              <w:t xml:space="preserve">Mit Vergütungen   </w:t>
            </w:r>
            <w:r w:rsidRPr="001B0858">
              <w:rPr>
                <w:rFonts w:ascii="Times New Roman" w:eastAsia="MS Minngs" w:hAnsi="Times New Roman" w:cs="Times New Roman"/>
                <w:b/>
                <w:bCs/>
                <w:sz w:val="24"/>
                <w:szCs w:val="24"/>
                <w:lang w:val="fr-FR"/>
              </w:rPr>
              <w:sym w:font="Wingdings 2" w:char="F0A3"/>
            </w:r>
            <w:r w:rsidRPr="001B0858">
              <w:rPr>
                <w:rFonts w:ascii="Times New Roman" w:hAnsi="Times New Roman" w:cs="Times New Roman"/>
                <w:b/>
                <w:sz w:val="24"/>
                <w:szCs w:val="24"/>
                <w:lang w:val="de-DE"/>
              </w:rPr>
              <w:t xml:space="preserve">  Unentgeltlich Abgeordnet</w:t>
            </w:r>
          </w:p>
        </w:tc>
      </w:tr>
      <w:tr w:rsidR="00950BA5" w:rsidRPr="001B085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1B0858" w:rsidP="00950BA5">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folgender zwischenstaatlicher Organisationen bewerben:</w:t>
            </w:r>
            <w:r w:rsidRPr="001B0858">
              <w:rPr>
                <w:lang w:val="de-DE"/>
              </w:rPr>
              <w:t xml:space="preserve"> </w:t>
            </w:r>
            <w:r w:rsidRPr="001B0858">
              <w:rPr>
                <w:rFonts w:ascii="Times New Roman" w:eastAsia="Times New Roman" w:hAnsi="Times New Roman" w:cs="Times New Roman"/>
                <w:b/>
                <w:bCs/>
                <w:lang w:val="de-DE" w:eastAsia="en-GB"/>
              </w:rPr>
              <w:t>UN, WB, IMF, OECD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Die Generaldirektion Internationale Zusammenarbeit und Entwicklung – GD DEVCO – ist für die Ausarbeitung und Umsetzung der EU-Entwicklungspolitik zuständig. </w:t>
      </w: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Innerhalb der Direktion B „Menschen und Frieden“ hat das Referat B2 „Resilienz, Fragilität“ die Aufgabe, zu einer nachhaltigen Entwicklung und zum Frieden beizutragen, durch:</w:t>
      </w: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Einbeziehung von Konfliktsensitivität, Friedenskonsolidierung und Resilienz in die EU-Politik für internationale Zusammenarbeit und</w:t>
      </w: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Bereitstellung von Unterstützung, Orientierung und Instrumenten,</w:t>
      </w: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Erleichterung des Übergangs der Partnerländer von Fragilität zu Resilienz und/oder von Konflikt zu dauerhaftem Frieden.</w:t>
      </w:r>
    </w:p>
    <w:p w:rsidR="001B0858" w:rsidRPr="001B0858" w:rsidRDefault="001B0858" w:rsidP="001B0858">
      <w:pPr>
        <w:suppressAutoHyphens/>
        <w:spacing w:after="0" w:line="240" w:lineRule="auto"/>
        <w:ind w:left="426" w:right="-14"/>
        <w:jc w:val="both"/>
        <w:rPr>
          <w:rFonts w:ascii="Times New Roman" w:eastAsia="Times New Roman" w:hAnsi="Times New Roman" w:cs="Times New Roman"/>
          <w:lang w:val="de-DE" w:eastAsia="en-GB"/>
        </w:rPr>
      </w:pPr>
    </w:p>
    <w:p w:rsidR="001B0858" w:rsidRPr="001B0858" w:rsidRDefault="001B0858" w:rsidP="001B0858">
      <w:pPr>
        <w:suppressAutoHyphens/>
        <w:spacing w:after="0" w:line="240" w:lineRule="auto"/>
        <w:ind w:left="426" w:right="-14"/>
        <w:jc w:val="both"/>
        <w:rPr>
          <w:rFonts w:ascii="Calibri" w:eastAsia="Calibri" w:hAnsi="Calibri" w:cs="Times New Roman"/>
          <w:lang w:val="de-DE" w:eastAsia="zh-CN"/>
        </w:rPr>
      </w:pPr>
      <w:r w:rsidRPr="001B0858">
        <w:rPr>
          <w:rFonts w:ascii="Times New Roman" w:eastAsia="Times New Roman" w:hAnsi="Times New Roman" w:cs="Times New Roman"/>
          <w:lang w:val="de-DE" w:eastAsia="en-GB"/>
        </w:rPr>
        <w:t xml:space="preserve">Ein wichtiges Element in der Zusammenarbeit mit fragilen Staaten ist die Behandlung der Fragen im Zusammenhang mit den öffentlichen Haushalten, der Gesellschaft und der Widerstandsfähigkeit des Staates durch die Analyse der Ursachen der Fragilität und die Ermittlung der Triebkräfte der Resilienz (auch in Situationen, die mit der Konfliktprävention und der Stabilisierung nach Konflikten zusammenhängen). </w:t>
      </w:r>
    </w:p>
    <w:p w:rsidR="001B0858" w:rsidRPr="001B0858" w:rsidRDefault="001B0858" w:rsidP="001B0858">
      <w:pPr>
        <w:suppressAutoHyphens/>
        <w:spacing w:after="0" w:line="240" w:lineRule="auto"/>
        <w:ind w:left="426" w:right="-14"/>
        <w:jc w:val="both"/>
        <w:rPr>
          <w:rFonts w:ascii="Times New Roman" w:eastAsia="Times New Roman" w:hAnsi="Times New Roman" w:cs="Times New Roman"/>
          <w:lang w:val="de-DE" w:eastAsia="en-GB"/>
        </w:rPr>
      </w:pP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In diesem Zusammenhang arbeitet das Referat B2 an der Verfeinerung von Methoden und Instrumenten zur Bewertung der verschiedenen Arten von Fragilität, an den geeigneten Gegenmaßnahmen, deren Verbreitung innerhalb der GD DEVCO und den EU-Delegationen sowie an der Unterstützung der Planung der erforderlichen Maßnahmen. Dazu gehören Schulungen sowie die Unterstützung für operationell arbeitende Kollegen und EU-Delegationen bei der praktischen Umsetzung durch Programmplanung, Implementierung und Evaluation. </w:t>
      </w: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p>
    <w:p w:rsidR="001B0858" w:rsidRPr="001B0858" w:rsidRDefault="001B0858" w:rsidP="001B0858">
      <w:pPr>
        <w:spacing w:after="0" w:line="240" w:lineRule="auto"/>
        <w:ind w:left="426" w:right="-14"/>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Naturkatastrophen, Ernährungssicherheitsprobleme, Finanzkrisen, makroökonomische Schwierigkeiten, mangelndes Wirtschaftswachstum, Klimawandel und damit verbundene Probleme haben die Resilienz von Ländern und gefährdeten Gemeinschaften zu einem zunehmend wichtigen politischen Thema mit Relevanz für politische Praxis gemacht.</w:t>
      </w:r>
    </w:p>
    <w:p w:rsidR="001B0858" w:rsidRPr="001B0858" w:rsidRDefault="001B0858" w:rsidP="001B0858">
      <w:pPr>
        <w:suppressAutoHyphens/>
        <w:spacing w:after="0" w:line="240" w:lineRule="auto"/>
        <w:ind w:left="426"/>
        <w:jc w:val="both"/>
        <w:rPr>
          <w:rFonts w:ascii="Times New Roman" w:eastAsia="Times New Roman" w:hAnsi="Times New Roman" w:cs="Times New Roman"/>
          <w:lang w:val="de-DE" w:eastAsia="en-GB"/>
        </w:rPr>
      </w:pPr>
    </w:p>
    <w:p w:rsidR="001B0858" w:rsidRPr="001B0858" w:rsidRDefault="001B0858" w:rsidP="001B0858">
      <w:pPr>
        <w:spacing w:after="0" w:line="240" w:lineRule="auto"/>
        <w:ind w:left="426" w:right="-14"/>
        <w:jc w:val="both"/>
        <w:rPr>
          <w:rFonts w:ascii="Calibri" w:eastAsia="Calibri" w:hAnsi="Calibri" w:cs="Times New Roman"/>
          <w:lang w:val="de-DE" w:eastAsia="zh-CN"/>
        </w:rPr>
      </w:pPr>
      <w:r w:rsidRPr="001B0858">
        <w:rPr>
          <w:rFonts w:ascii="Times New Roman" w:eastAsia="Times New Roman" w:hAnsi="Times New Roman" w:cs="Times New Roman"/>
          <w:lang w:val="de-DE" w:eastAsia="en-GB"/>
        </w:rPr>
        <w:t xml:space="preserve">Während die gesamte GD DEVCO an der Implementierung von Resilienz arbeitet, behält das „Resilienz, Fragilität“ -Referat bei der Umsetzung und Überwachung der </w:t>
      </w:r>
      <w:proofErr w:type="spellStart"/>
      <w:r w:rsidRPr="001B0858">
        <w:rPr>
          <w:rFonts w:ascii="Times New Roman" w:eastAsia="Times New Roman" w:hAnsi="Times New Roman" w:cs="Times New Roman"/>
          <w:lang w:val="de-DE" w:eastAsia="en-GB"/>
        </w:rPr>
        <w:t>Resilienzstrategie</w:t>
      </w:r>
      <w:proofErr w:type="spellEnd"/>
      <w:r w:rsidRPr="001B0858">
        <w:rPr>
          <w:rFonts w:ascii="Times New Roman" w:eastAsia="Times New Roman" w:hAnsi="Times New Roman" w:cs="Times New Roman"/>
          <w:lang w:val="de-DE" w:eastAsia="en-GB"/>
        </w:rPr>
        <w:t xml:space="preserve"> der EU die Führungsrolle, indem sie die spezifischen Fragen in ihrer eigenen Zuständigkeit behandelt und in Bezug auf die Kohärenz und Komplementarität aller Maßnahmen, die für ein bestimmtes Land oder eine bestimmte Region konzipiert sind, beratend tätig ist.</w:t>
      </w:r>
    </w:p>
    <w:p w:rsidR="001B0858" w:rsidRPr="001B0858" w:rsidRDefault="001B0858" w:rsidP="001B0858">
      <w:pPr>
        <w:suppressAutoHyphens/>
        <w:spacing w:after="0" w:line="240" w:lineRule="auto"/>
        <w:ind w:left="426"/>
        <w:jc w:val="both"/>
        <w:rPr>
          <w:rFonts w:ascii="Times New Roman" w:eastAsia="Times New Roman" w:hAnsi="Times New Roman" w:cs="Times New Roman"/>
          <w:lang w:val="de-DE" w:eastAsia="en-GB"/>
        </w:rPr>
      </w:pPr>
    </w:p>
    <w:p w:rsidR="001B0858" w:rsidRPr="001B0858" w:rsidRDefault="001B0858" w:rsidP="001B0858">
      <w:pPr>
        <w:suppressAutoHyphens/>
        <w:spacing w:after="0" w:line="240" w:lineRule="auto"/>
        <w:ind w:left="426"/>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Der erfolgreiche Bewerber/die erfolgreiche Bewerberin wird Teil eines Teams von derzeit 10 Kollegen unter einem Referatsleiter sein. Er/sie wird: </w:t>
      </w:r>
    </w:p>
    <w:p w:rsidR="001B0858" w:rsidRPr="001B0858" w:rsidRDefault="001B0858" w:rsidP="001B0858">
      <w:pPr>
        <w:pStyle w:val="ListParagraph"/>
        <w:numPr>
          <w:ilvl w:val="0"/>
          <w:numId w:val="1"/>
        </w:numPr>
        <w:suppressAutoHyphens/>
        <w:spacing w:after="0" w:line="240" w:lineRule="auto"/>
        <w:ind w:left="709" w:hanging="283"/>
        <w:jc w:val="both"/>
        <w:rPr>
          <w:rFonts w:ascii="Times New Roman" w:eastAsia="Times New Roman" w:hAnsi="Times New Roman" w:cs="Times New Roman"/>
          <w:lang w:val="de-DE" w:eastAsia="en-GB"/>
        </w:rPr>
      </w:pPr>
      <w:proofErr w:type="spellStart"/>
      <w:r w:rsidRPr="001B0858">
        <w:rPr>
          <w:rFonts w:ascii="Times New Roman" w:eastAsia="Times New Roman" w:hAnsi="Times New Roman" w:cs="Times New Roman"/>
          <w:lang w:val="de-DE" w:eastAsia="en-GB"/>
        </w:rPr>
        <w:t>Unterstuetzung</w:t>
      </w:r>
      <w:proofErr w:type="spellEnd"/>
      <w:r w:rsidRPr="001B0858">
        <w:rPr>
          <w:rFonts w:ascii="Times New Roman" w:eastAsia="Times New Roman" w:hAnsi="Times New Roman" w:cs="Times New Roman"/>
          <w:lang w:val="de-DE" w:eastAsia="en-GB"/>
        </w:rPr>
        <w:t xml:space="preserve"> bei der Ermittlung der Bedürfnisse fragiler und von Konflikten betroffener Länder in Bereichen, der sozioökonomischen Bedingungen</w:t>
      </w:r>
    </w:p>
    <w:p w:rsidR="001B0858" w:rsidRPr="001B0858" w:rsidRDefault="001B0858" w:rsidP="001B0858">
      <w:pPr>
        <w:pStyle w:val="ListParagraph"/>
        <w:numPr>
          <w:ilvl w:val="0"/>
          <w:numId w:val="1"/>
        </w:numPr>
        <w:suppressAutoHyphens/>
        <w:spacing w:after="0" w:line="240" w:lineRule="auto"/>
        <w:ind w:left="709" w:hanging="283"/>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zur EU-Politik im Hinblick auf Resilienz und Fragilität sowie Konfliktprävention und Wiederaufbau beitragen;</w:t>
      </w:r>
    </w:p>
    <w:p w:rsidR="001B0858" w:rsidRPr="001B0858" w:rsidRDefault="001B0858" w:rsidP="001B0858">
      <w:pPr>
        <w:pStyle w:val="ListParagraph"/>
        <w:numPr>
          <w:ilvl w:val="0"/>
          <w:numId w:val="1"/>
        </w:numPr>
        <w:suppressAutoHyphens/>
        <w:spacing w:after="0" w:line="240" w:lineRule="auto"/>
        <w:ind w:left="709" w:hanging="283"/>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verschiedenen Politikdialogen mit Partnerländern auf bilateraler und regionaler Ebene folgen und dazu beitragen; </w:t>
      </w:r>
    </w:p>
    <w:p w:rsidR="001B0858" w:rsidRPr="001B0858" w:rsidRDefault="001B0858" w:rsidP="001B0858">
      <w:pPr>
        <w:pStyle w:val="ListParagraph"/>
        <w:numPr>
          <w:ilvl w:val="0"/>
          <w:numId w:val="1"/>
        </w:numPr>
        <w:spacing w:after="0" w:line="240" w:lineRule="auto"/>
        <w:ind w:left="709" w:right="-14" w:hanging="283"/>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andere Referate der GD DEVCO (geografisch und thematisch) und die EU-Delegationen bei den privaten Investitionsdimensionen in fragilen und von Konflikten betroffenen Ländern und bei der Nutzung von Finanzinstrumenten und Aspekten zur Stärkung der Resilienz in allen politischen Maßnahmen und Programmen der EU beraten und unterstützen; </w:t>
      </w:r>
    </w:p>
    <w:p w:rsidR="001B0858" w:rsidRPr="001B0858" w:rsidRDefault="001B0858" w:rsidP="001B0858">
      <w:pPr>
        <w:pStyle w:val="ListParagraph"/>
        <w:numPr>
          <w:ilvl w:val="0"/>
          <w:numId w:val="1"/>
        </w:numPr>
        <w:spacing w:after="0" w:line="240" w:lineRule="auto"/>
        <w:ind w:left="709" w:right="-14" w:hanging="283"/>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andere Referate der GD DEVCO und die EU-Delegationen für ein spezifisches geografisches Gebiet (noch festzulegen) in Bezug auf die allgemeine Konfliktsensitivität, Friedenskonsolidierung und Resilienz für alle politischen Maßnahmen und Programme der EU beraten und unterstützen; </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im Bereich:</w:t>
      </w:r>
      <w:r w:rsidR="001B0858" w:rsidRPr="001B0858">
        <w:rPr>
          <w:lang w:val="de-DE"/>
        </w:rPr>
        <w:t xml:space="preserve"> </w:t>
      </w:r>
      <w:r w:rsidR="001B0858" w:rsidRPr="001B0858">
        <w:rPr>
          <w:rFonts w:ascii="Times New Roman" w:eastAsia="Times New Roman" w:hAnsi="Times New Roman" w:cs="Times New Roman"/>
          <w:lang w:val="de-DE" w:eastAsia="en-GB"/>
        </w:rPr>
        <w:t>Wirtschaft (Makro- oder Mikroökonomie) ist von Vorteil</w:t>
      </w:r>
      <w:r w:rsidR="001B085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B0858" w:rsidRPr="001B0858" w:rsidRDefault="001B0858" w:rsidP="001B0858">
      <w:pPr>
        <w:spacing w:after="0" w:line="240" w:lineRule="auto"/>
        <w:ind w:left="709"/>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Eine solider Hintergrund in Wirtschaftspolitik (Makroökonomie) und wirtschaftlicher </w:t>
      </w:r>
      <w:r w:rsidRPr="001B0858">
        <w:rPr>
          <w:rFonts w:ascii="Times New Roman" w:eastAsia="Times New Roman" w:hAnsi="Times New Roman" w:cs="Times New Roman"/>
          <w:lang w:val="de-DE" w:eastAsia="en-GB"/>
        </w:rPr>
        <w:tab/>
        <w:t>Stabilität ist von entscheidender Bedeutung. Erfahrung in multilateralen Finanzinstitutionen (z.B.: IWF) ist wünschenswert. Ein solider Hintergrund in Entwicklungspolitik und der wirtschaftlichen Realität fragiler Staaten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1B0858" w:rsidRDefault="001B085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B0858">
        <w:rPr>
          <w:rFonts w:ascii="Times New Roman" w:eastAsia="Times New Roman" w:hAnsi="Times New Roman" w:cs="Times New Roman"/>
          <w:lang w:val="de-DE" w:eastAsia="en-GB"/>
        </w:rPr>
        <w:t xml:space="preserve">Englisch ist erforderlich, Französisch </w:t>
      </w:r>
      <w:r w:rsidRPr="001B0858">
        <w:rPr>
          <w:rFonts w:ascii="Times New Roman" w:eastAsia="Times New Roman" w:hAnsi="Times New Roman" w:cs="Times New Roman"/>
          <w:lang w:val="de-DE" w:eastAsia="en-GB"/>
        </w:rPr>
        <w:tab/>
        <w:t>ist wünschenswert.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0858">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1B0858" w:rsidRPr="008C30A2" w:rsidRDefault="001B0858"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24075"/>
    <w:multiLevelType w:val="hybridMultilevel"/>
    <w:tmpl w:val="F5BE1054"/>
    <w:lvl w:ilvl="0" w:tplc="040C0017">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
    <w:nsid w:val="67FF71F9"/>
    <w:multiLevelType w:val="hybridMultilevel"/>
    <w:tmpl w:val="E312AE6E"/>
    <w:lvl w:ilvl="0" w:tplc="FF200FF0">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B0858"/>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1B0858"/>
    <w:rPr>
      <w:color w:val="0000FF"/>
      <w:u w:val="single"/>
    </w:rPr>
  </w:style>
  <w:style w:type="paragraph" w:styleId="ListParagraph">
    <w:name w:val="List Paragraph"/>
    <w:basedOn w:val="Normal"/>
    <w:uiPriority w:val="34"/>
    <w:qFormat/>
    <w:rsid w:val="001B08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1B0858"/>
    <w:rPr>
      <w:color w:val="0000FF"/>
      <w:u w:val="single"/>
    </w:rPr>
  </w:style>
  <w:style w:type="paragraph" w:styleId="ListParagraph">
    <w:name w:val="List Paragraph"/>
    <w:basedOn w:val="Normal"/>
    <w:uiPriority w:val="34"/>
    <w:qFormat/>
    <w:rsid w:val="001B0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rio.Ronc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1425</Words>
  <Characters>10120</Characters>
  <Application>Microsoft Office Word</Application>
  <DocSecurity>0</DocSecurity>
  <Lines>297</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2019-11-11T16:54:00Z</dcterms:created>
  <dcterms:modified xsi:type="dcterms:W3CDTF">2019-11-11T16:54:00Z</dcterms:modified>
</cp:coreProperties>
</file>