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6D15F6" w:rsidRPr="006D15F6" w:rsidTr="00EC6FF0">
        <w:trPr>
          <w:trHeight w:val="611"/>
          <w:jc w:val="center"/>
        </w:trPr>
        <w:tc>
          <w:tcPr>
            <w:tcW w:w="4359" w:type="dxa"/>
          </w:tcPr>
          <w:p w:rsidR="006D15F6" w:rsidRPr="00950BA5" w:rsidRDefault="006D15F6"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6D15F6" w:rsidRPr="00950BA5" w:rsidRDefault="006D15F6"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6D15F6" w:rsidRPr="006D15F6" w:rsidRDefault="006D15F6" w:rsidP="0052633B">
            <w:pPr>
              <w:rPr>
                <w:rFonts w:ascii="Times New Roman" w:eastAsia="Times New Roman" w:hAnsi="Times New Roman" w:cs="Times New Roman"/>
                <w:sz w:val="24"/>
                <w:szCs w:val="24"/>
                <w:lang w:val="de-DE" w:eastAsia="en-GB"/>
              </w:rPr>
            </w:pPr>
            <w:r w:rsidRPr="006D15F6">
              <w:rPr>
                <w:rFonts w:ascii="Times New Roman" w:eastAsia="Times New Roman" w:hAnsi="Times New Roman" w:cs="Times New Roman"/>
                <w:b/>
                <w:sz w:val="24"/>
                <w:szCs w:val="24"/>
                <w:lang w:val="de-DE" w:eastAsia="en-GB"/>
              </w:rPr>
              <w:t>HOME-C-4</w:t>
            </w:r>
          </w:p>
        </w:tc>
      </w:tr>
      <w:tr w:rsidR="006D15F6" w:rsidRPr="006D15F6" w:rsidTr="00EC6FF0">
        <w:trPr>
          <w:trHeight w:val="1977"/>
          <w:jc w:val="center"/>
        </w:trPr>
        <w:tc>
          <w:tcPr>
            <w:tcW w:w="4359" w:type="dxa"/>
            <w:tcBorders>
              <w:bottom w:val="nil"/>
            </w:tcBorders>
          </w:tcPr>
          <w:p w:rsidR="006D15F6" w:rsidRPr="006D15F6" w:rsidRDefault="006D15F6" w:rsidP="00950BA5">
            <w:pPr>
              <w:tabs>
                <w:tab w:val="left" w:pos="1697"/>
              </w:tabs>
              <w:ind w:right="-1739"/>
              <w:jc w:val="both"/>
              <w:rPr>
                <w:rFonts w:ascii="Times New Roman" w:eastAsia="Times New Roman" w:hAnsi="Times New Roman" w:cs="Times New Roman"/>
                <w:b/>
                <w:sz w:val="24"/>
                <w:szCs w:val="24"/>
                <w:lang w:val="de-DE" w:eastAsia="en-GB"/>
              </w:rPr>
            </w:pPr>
            <w:r w:rsidRPr="006D15F6">
              <w:rPr>
                <w:rFonts w:ascii="Times New Roman" w:eastAsia="Times New Roman" w:hAnsi="Times New Roman" w:cs="Times New Roman"/>
                <w:b/>
                <w:sz w:val="24"/>
                <w:szCs w:val="24"/>
                <w:lang w:val="de-DE" w:eastAsia="en-GB"/>
              </w:rPr>
              <w:t>Referatsleiter:</w:t>
            </w:r>
          </w:p>
          <w:p w:rsidR="006D15F6" w:rsidRPr="006D15F6" w:rsidRDefault="006D15F6" w:rsidP="00950BA5">
            <w:pPr>
              <w:tabs>
                <w:tab w:val="left" w:pos="1697"/>
              </w:tabs>
              <w:ind w:right="-1739"/>
              <w:jc w:val="both"/>
              <w:rPr>
                <w:rFonts w:ascii="Times New Roman" w:eastAsia="Times New Roman" w:hAnsi="Times New Roman" w:cs="Times New Roman"/>
                <w:b/>
                <w:sz w:val="24"/>
                <w:szCs w:val="24"/>
                <w:lang w:val="de-DE" w:eastAsia="en-GB"/>
              </w:rPr>
            </w:pPr>
            <w:r w:rsidRPr="006D15F6">
              <w:rPr>
                <w:rFonts w:ascii="Times New Roman" w:eastAsia="Times New Roman" w:hAnsi="Times New Roman" w:cs="Times New Roman"/>
                <w:b/>
                <w:sz w:val="24"/>
                <w:szCs w:val="24"/>
                <w:lang w:val="de-DE" w:eastAsia="en-GB"/>
              </w:rPr>
              <w:t>E-Mail-Adresse:</w:t>
            </w:r>
          </w:p>
          <w:p w:rsidR="006D15F6" w:rsidRPr="006D15F6" w:rsidRDefault="006D15F6" w:rsidP="00950BA5">
            <w:pPr>
              <w:tabs>
                <w:tab w:val="left" w:pos="1697"/>
              </w:tabs>
              <w:ind w:right="-1739"/>
              <w:jc w:val="both"/>
              <w:rPr>
                <w:rFonts w:ascii="Times New Roman" w:eastAsia="Times New Roman" w:hAnsi="Times New Roman" w:cs="Times New Roman"/>
                <w:b/>
                <w:sz w:val="24"/>
                <w:szCs w:val="24"/>
                <w:lang w:val="de-DE" w:eastAsia="en-GB"/>
              </w:rPr>
            </w:pPr>
            <w:r w:rsidRPr="006D15F6">
              <w:rPr>
                <w:rFonts w:ascii="Times New Roman" w:eastAsia="Times New Roman" w:hAnsi="Times New Roman" w:cs="Times New Roman"/>
                <w:b/>
                <w:sz w:val="24"/>
                <w:szCs w:val="24"/>
                <w:lang w:val="de-DE" w:eastAsia="en-GB"/>
              </w:rPr>
              <w:t>Telefon:</w:t>
            </w:r>
          </w:p>
          <w:p w:rsidR="006D15F6" w:rsidRPr="006D15F6" w:rsidRDefault="006D15F6" w:rsidP="00950BA5">
            <w:pPr>
              <w:tabs>
                <w:tab w:val="left" w:pos="1697"/>
              </w:tabs>
              <w:ind w:right="-1739"/>
              <w:jc w:val="both"/>
              <w:rPr>
                <w:rFonts w:ascii="Times New Roman" w:eastAsia="Times New Roman" w:hAnsi="Times New Roman" w:cs="Times New Roman"/>
                <w:sz w:val="24"/>
                <w:szCs w:val="24"/>
                <w:lang w:val="de-DE" w:eastAsia="en-GB"/>
              </w:rPr>
            </w:pPr>
            <w:r w:rsidRPr="006D15F6">
              <w:rPr>
                <w:rFonts w:ascii="Times New Roman" w:eastAsia="Times New Roman" w:hAnsi="Times New Roman" w:cs="Times New Roman"/>
                <w:b/>
                <w:sz w:val="24"/>
                <w:szCs w:val="24"/>
                <w:lang w:val="de-DE" w:eastAsia="en-GB"/>
              </w:rPr>
              <w:t>Anzahl der zu besetzenden Stellen:</w:t>
            </w:r>
          </w:p>
          <w:p w:rsidR="006D15F6" w:rsidRPr="006D15F6" w:rsidRDefault="006D15F6" w:rsidP="00950BA5">
            <w:pPr>
              <w:tabs>
                <w:tab w:val="left" w:pos="1697"/>
              </w:tabs>
              <w:ind w:right="-1739"/>
              <w:jc w:val="both"/>
              <w:rPr>
                <w:rFonts w:ascii="Times New Roman" w:eastAsia="Times New Roman" w:hAnsi="Times New Roman" w:cs="Times New Roman"/>
                <w:b/>
                <w:sz w:val="24"/>
                <w:szCs w:val="24"/>
                <w:lang w:val="de-DE" w:eastAsia="en-GB"/>
              </w:rPr>
            </w:pPr>
            <w:r w:rsidRPr="006D15F6">
              <w:rPr>
                <w:rFonts w:ascii="Times New Roman" w:eastAsia="Times New Roman" w:hAnsi="Times New Roman" w:cs="Times New Roman"/>
                <w:b/>
                <w:sz w:val="24"/>
                <w:szCs w:val="24"/>
                <w:lang w:val="de-DE" w:eastAsia="en-GB"/>
              </w:rPr>
              <w:t>Gewünschter Dienstantritt:</w:t>
            </w:r>
          </w:p>
          <w:p w:rsidR="006D15F6" w:rsidRPr="006D15F6" w:rsidRDefault="006D15F6" w:rsidP="00950BA5">
            <w:pPr>
              <w:tabs>
                <w:tab w:val="left" w:pos="1697"/>
              </w:tabs>
              <w:ind w:right="-1739"/>
              <w:jc w:val="both"/>
              <w:rPr>
                <w:rFonts w:ascii="Times New Roman" w:eastAsia="Times New Roman" w:hAnsi="Times New Roman" w:cs="Times New Roman"/>
                <w:b/>
                <w:sz w:val="24"/>
                <w:szCs w:val="24"/>
                <w:lang w:val="de-DE" w:eastAsia="en-GB"/>
              </w:rPr>
            </w:pPr>
            <w:r w:rsidRPr="006D15F6">
              <w:rPr>
                <w:rFonts w:ascii="Times New Roman" w:eastAsia="Times New Roman" w:hAnsi="Times New Roman" w:cs="Times New Roman"/>
                <w:b/>
                <w:sz w:val="24"/>
                <w:szCs w:val="24"/>
                <w:lang w:val="de-DE" w:eastAsia="en-GB"/>
              </w:rPr>
              <w:t>Gewünschte Dauer der</w:t>
            </w:r>
          </w:p>
          <w:p w:rsidR="006D15F6" w:rsidRPr="006D15F6" w:rsidRDefault="006D15F6" w:rsidP="00950BA5">
            <w:pPr>
              <w:tabs>
                <w:tab w:val="left" w:pos="1697"/>
              </w:tabs>
              <w:ind w:right="-1739"/>
              <w:jc w:val="both"/>
              <w:rPr>
                <w:rFonts w:ascii="Times New Roman" w:eastAsia="Times New Roman" w:hAnsi="Times New Roman" w:cs="Times New Roman"/>
                <w:sz w:val="24"/>
                <w:szCs w:val="24"/>
                <w:lang w:val="de-DE" w:eastAsia="en-GB"/>
              </w:rPr>
            </w:pPr>
            <w:r w:rsidRPr="006D15F6">
              <w:rPr>
                <w:rFonts w:ascii="Times New Roman" w:eastAsia="Times New Roman" w:hAnsi="Times New Roman" w:cs="Times New Roman"/>
                <w:b/>
                <w:sz w:val="24"/>
                <w:szCs w:val="24"/>
                <w:lang w:val="de-DE" w:eastAsia="en-GB"/>
              </w:rPr>
              <w:t>1. Abordnung:</w:t>
            </w:r>
          </w:p>
          <w:p w:rsidR="006D15F6" w:rsidRPr="00950BA5" w:rsidRDefault="006D15F6" w:rsidP="00950BA5">
            <w:pPr>
              <w:tabs>
                <w:tab w:val="left" w:pos="1697"/>
              </w:tabs>
              <w:ind w:right="-1739"/>
              <w:jc w:val="both"/>
              <w:rPr>
                <w:rFonts w:ascii="Times New Roman" w:eastAsia="Times New Roman" w:hAnsi="Times New Roman" w:cs="Times New Roman"/>
                <w:lang w:val="de-DE" w:eastAsia="en-GB"/>
              </w:rPr>
            </w:pPr>
            <w:r w:rsidRPr="006D15F6">
              <w:rPr>
                <w:rFonts w:ascii="Times New Roman" w:eastAsia="Times New Roman" w:hAnsi="Times New Roman" w:cs="Times New Roman"/>
                <w:b/>
                <w:sz w:val="24"/>
                <w:szCs w:val="24"/>
                <w:lang w:val="de-DE" w:eastAsia="en-GB"/>
              </w:rPr>
              <w:t>Dienstort:</w:t>
            </w:r>
          </w:p>
        </w:tc>
        <w:tc>
          <w:tcPr>
            <w:tcW w:w="5597" w:type="dxa"/>
          </w:tcPr>
          <w:p w:rsidR="006D15F6" w:rsidRPr="006D15F6" w:rsidRDefault="006D15F6" w:rsidP="0052633B">
            <w:pPr>
              <w:rPr>
                <w:rFonts w:ascii="Times New Roman" w:eastAsia="Times New Roman" w:hAnsi="Times New Roman" w:cs="Times New Roman"/>
                <w:b/>
                <w:sz w:val="24"/>
                <w:szCs w:val="24"/>
                <w:lang w:val="de-DE" w:eastAsia="en-GB"/>
              </w:rPr>
            </w:pPr>
            <w:r w:rsidRPr="006D15F6">
              <w:rPr>
                <w:rFonts w:ascii="Times New Roman" w:eastAsia="Times New Roman" w:hAnsi="Times New Roman" w:cs="Times New Roman"/>
                <w:b/>
                <w:sz w:val="24"/>
                <w:szCs w:val="24"/>
                <w:lang w:val="de-DE" w:eastAsia="en-GB"/>
              </w:rPr>
              <w:t xml:space="preserve">Martin </w:t>
            </w:r>
            <w:proofErr w:type="spellStart"/>
            <w:r w:rsidRPr="006D15F6">
              <w:rPr>
                <w:rFonts w:ascii="Times New Roman" w:eastAsia="Times New Roman" w:hAnsi="Times New Roman" w:cs="Times New Roman"/>
                <w:b/>
                <w:sz w:val="24"/>
                <w:szCs w:val="24"/>
                <w:lang w:val="de-DE" w:eastAsia="en-GB"/>
              </w:rPr>
              <w:t>Schieffer</w:t>
            </w:r>
            <w:proofErr w:type="spellEnd"/>
          </w:p>
          <w:p w:rsidR="006D15F6" w:rsidRPr="006D15F6" w:rsidRDefault="006D15F6" w:rsidP="0052633B">
            <w:pPr>
              <w:rPr>
                <w:rFonts w:ascii="Times New Roman" w:eastAsia="Times New Roman" w:hAnsi="Times New Roman" w:cs="Times New Roman"/>
                <w:b/>
                <w:sz w:val="24"/>
                <w:szCs w:val="24"/>
                <w:lang w:val="de-DE" w:eastAsia="en-GB"/>
              </w:rPr>
            </w:pPr>
            <w:hyperlink r:id="rId8" w:history="1">
              <w:r w:rsidRPr="006D15F6">
                <w:rPr>
                  <w:rStyle w:val="Hyperlink"/>
                  <w:rFonts w:ascii="Times New Roman" w:eastAsia="Times New Roman" w:hAnsi="Times New Roman" w:cs="Times New Roman"/>
                  <w:b/>
                  <w:sz w:val="24"/>
                  <w:szCs w:val="24"/>
                  <w:lang w:val="de-DE" w:eastAsia="en-GB"/>
                </w:rPr>
                <w:t>Martin.schieffer@ec.europa.eu</w:t>
              </w:r>
            </w:hyperlink>
            <w:r w:rsidRPr="006D15F6">
              <w:rPr>
                <w:rFonts w:ascii="Times New Roman" w:eastAsia="Times New Roman" w:hAnsi="Times New Roman" w:cs="Times New Roman"/>
                <w:b/>
                <w:sz w:val="24"/>
                <w:szCs w:val="24"/>
                <w:lang w:val="de-DE" w:eastAsia="en-GB"/>
              </w:rPr>
              <w:t xml:space="preserve"> </w:t>
            </w:r>
          </w:p>
          <w:p w:rsidR="006D15F6" w:rsidRPr="006D15F6" w:rsidRDefault="006D15F6" w:rsidP="0052633B">
            <w:pPr>
              <w:rPr>
                <w:rFonts w:ascii="Times New Roman" w:eastAsia="Times New Roman" w:hAnsi="Times New Roman" w:cs="Times New Roman"/>
                <w:b/>
                <w:sz w:val="24"/>
                <w:szCs w:val="24"/>
                <w:lang w:val="de-DE" w:eastAsia="en-GB"/>
              </w:rPr>
            </w:pPr>
            <w:r w:rsidRPr="006D15F6">
              <w:rPr>
                <w:rFonts w:ascii="Times New Roman" w:eastAsia="Times New Roman" w:hAnsi="Times New Roman" w:cs="Times New Roman"/>
                <w:b/>
                <w:sz w:val="24"/>
                <w:szCs w:val="24"/>
                <w:lang w:val="de-DE" w:eastAsia="en-GB"/>
              </w:rPr>
              <w:t>+32 2 2991313</w:t>
            </w:r>
          </w:p>
          <w:p w:rsidR="006D15F6" w:rsidRPr="006D15F6" w:rsidRDefault="006D15F6" w:rsidP="0052633B">
            <w:pPr>
              <w:rPr>
                <w:rFonts w:ascii="Times New Roman" w:eastAsia="Times New Roman" w:hAnsi="Times New Roman" w:cs="Times New Roman"/>
                <w:sz w:val="24"/>
                <w:szCs w:val="24"/>
                <w:lang w:val="de-DE" w:eastAsia="en-GB"/>
              </w:rPr>
            </w:pPr>
            <w:r w:rsidRPr="006D15F6">
              <w:rPr>
                <w:rFonts w:ascii="Times New Roman" w:eastAsia="Times New Roman" w:hAnsi="Times New Roman" w:cs="Times New Roman"/>
                <w:sz w:val="24"/>
                <w:szCs w:val="24"/>
                <w:lang w:val="de-DE" w:eastAsia="en-GB"/>
              </w:rPr>
              <w:t>1</w:t>
            </w:r>
          </w:p>
          <w:p w:rsidR="006D15F6" w:rsidRPr="006D15F6" w:rsidRDefault="006D15F6" w:rsidP="0052633B">
            <w:pPr>
              <w:ind w:left="34" w:right="1317"/>
              <w:jc w:val="both"/>
              <w:rPr>
                <w:rFonts w:ascii="Times New Roman" w:eastAsia="Times New Roman" w:hAnsi="Times New Roman" w:cs="Times New Roman"/>
                <w:b/>
                <w:sz w:val="24"/>
                <w:szCs w:val="24"/>
                <w:lang w:val="de-DE" w:eastAsia="en-GB"/>
              </w:rPr>
            </w:pPr>
            <w:r w:rsidRPr="006D15F6">
              <w:rPr>
                <w:rFonts w:ascii="Times New Roman" w:eastAsia="Times New Roman" w:hAnsi="Times New Roman" w:cs="Times New Roman"/>
                <w:b/>
                <w:sz w:val="24"/>
                <w:szCs w:val="24"/>
                <w:lang w:val="de-DE" w:eastAsia="en-GB"/>
              </w:rPr>
              <w:t>1. Quartal 2020</w:t>
            </w:r>
            <w:r w:rsidRPr="006D15F6">
              <w:rPr>
                <w:rFonts w:ascii="Times New Roman" w:eastAsia="Times New Roman" w:hAnsi="Times New Roman" w:cs="Times New Roman"/>
                <w:b/>
                <w:sz w:val="24"/>
                <w:szCs w:val="24"/>
                <w:vertAlign w:val="superscript"/>
                <w:lang w:val="de-DE" w:eastAsia="en-GB"/>
              </w:rPr>
              <w:footnoteReference w:id="1"/>
            </w:r>
          </w:p>
          <w:p w:rsidR="006D15F6" w:rsidRPr="006D15F6" w:rsidRDefault="006D15F6" w:rsidP="0052633B">
            <w:pPr>
              <w:ind w:right="1317"/>
              <w:jc w:val="both"/>
              <w:rPr>
                <w:rFonts w:ascii="Times New Roman" w:eastAsia="Times New Roman" w:hAnsi="Times New Roman" w:cs="Times New Roman"/>
                <w:b/>
                <w:sz w:val="24"/>
                <w:szCs w:val="24"/>
                <w:lang w:val="de-DE" w:eastAsia="en-GB"/>
              </w:rPr>
            </w:pPr>
            <w:r w:rsidRPr="006D15F6">
              <w:rPr>
                <w:rFonts w:ascii="Times New Roman" w:eastAsia="Times New Roman" w:hAnsi="Times New Roman" w:cs="Times New Roman"/>
                <w:b/>
                <w:sz w:val="24"/>
                <w:szCs w:val="24"/>
                <w:lang w:val="de-DE" w:eastAsia="en-GB"/>
              </w:rPr>
              <w:t>2 Jahre</w:t>
            </w:r>
            <w:r w:rsidRPr="006D15F6">
              <w:rPr>
                <w:rFonts w:ascii="Times New Roman" w:eastAsia="Times New Roman" w:hAnsi="Times New Roman" w:cs="Times New Roman"/>
                <w:b/>
                <w:sz w:val="24"/>
                <w:szCs w:val="24"/>
                <w:vertAlign w:val="superscript"/>
                <w:lang w:val="de-DE" w:eastAsia="en-GB"/>
              </w:rPr>
              <w:t>1</w:t>
            </w:r>
          </w:p>
          <w:p w:rsidR="006D15F6" w:rsidRPr="006D15F6" w:rsidRDefault="006D15F6" w:rsidP="0052633B">
            <w:pPr>
              <w:ind w:right="1317"/>
              <w:jc w:val="both"/>
              <w:rPr>
                <w:rFonts w:ascii="Times New Roman" w:eastAsia="Times New Roman" w:hAnsi="Times New Roman" w:cs="Times New Roman"/>
                <w:b/>
                <w:sz w:val="24"/>
                <w:szCs w:val="24"/>
                <w:lang w:val="de-DE" w:eastAsia="en-GB"/>
              </w:rPr>
            </w:pPr>
          </w:p>
          <w:p w:rsidR="006D15F6" w:rsidRPr="006D15F6" w:rsidRDefault="006D15F6" w:rsidP="006D15F6">
            <w:pPr>
              <w:rPr>
                <w:rFonts w:ascii="Times New Roman" w:eastAsia="Times New Roman" w:hAnsi="Times New Roman" w:cs="Times New Roman"/>
                <w:sz w:val="24"/>
                <w:szCs w:val="24"/>
                <w:lang w:val="de-DE" w:eastAsia="en-GB"/>
              </w:rPr>
            </w:pPr>
            <w:r w:rsidRPr="006D15F6">
              <w:rPr>
                <w:rFonts w:ascii="Times New Roman" w:eastAsia="MS Minngs" w:hAnsi="Times New Roman" w:cs="Times New Roman"/>
                <w:b/>
                <w:bCs/>
                <w:sz w:val="24"/>
                <w:szCs w:val="24"/>
                <w:lang w:val="fr-FR" w:eastAsia="en-GB"/>
              </w:rPr>
              <w:t>X</w:t>
            </w:r>
            <w:r w:rsidRPr="006D15F6">
              <w:rPr>
                <w:rFonts w:ascii="Times New Roman" w:eastAsia="MS Minngs" w:hAnsi="Times New Roman" w:cs="Times New Roman"/>
                <w:bCs/>
                <w:sz w:val="24"/>
                <w:szCs w:val="24"/>
                <w:lang w:val="de-DE" w:eastAsia="en-GB"/>
              </w:rPr>
              <w:t xml:space="preserve">   </w:t>
            </w:r>
            <w:r w:rsidRPr="006D15F6">
              <w:rPr>
                <w:rFonts w:ascii="Times New Roman" w:eastAsia="Times New Roman" w:hAnsi="Times New Roman" w:cs="Times New Roman"/>
                <w:b/>
                <w:sz w:val="24"/>
                <w:szCs w:val="24"/>
                <w:lang w:val="de-DE" w:eastAsia="en-GB"/>
              </w:rPr>
              <w:t>Brüssel</w:t>
            </w:r>
            <w:r w:rsidRPr="006D15F6">
              <w:rPr>
                <w:rFonts w:ascii="Times New Roman" w:eastAsia="Times New Roman" w:hAnsi="Times New Roman" w:cs="Times New Roman"/>
                <w:b/>
                <w:sz w:val="24"/>
                <w:szCs w:val="24"/>
                <w:lang w:val="de-DE" w:eastAsia="en-GB"/>
              </w:rPr>
              <w:tab/>
            </w:r>
            <w:r w:rsidRPr="006D15F6">
              <w:rPr>
                <w:rFonts w:ascii="Times New Roman" w:eastAsia="MS Minngs" w:hAnsi="Times New Roman" w:cs="Times New Roman"/>
                <w:bCs/>
                <w:sz w:val="24"/>
                <w:szCs w:val="24"/>
                <w:lang w:val="fr-FR" w:eastAsia="en-GB"/>
              </w:rPr>
              <w:sym w:font="Wingdings 2" w:char="F0A3"/>
            </w:r>
            <w:r w:rsidRPr="006D15F6">
              <w:rPr>
                <w:rFonts w:ascii="Times New Roman" w:eastAsia="MS Minngs" w:hAnsi="Times New Roman" w:cs="Times New Roman"/>
                <w:bCs/>
                <w:sz w:val="24"/>
                <w:szCs w:val="24"/>
                <w:lang w:val="de-DE" w:eastAsia="en-GB"/>
              </w:rPr>
              <w:t xml:space="preserve">   </w:t>
            </w:r>
            <w:r w:rsidRPr="006D15F6">
              <w:rPr>
                <w:rFonts w:ascii="Times New Roman" w:eastAsia="Times New Roman" w:hAnsi="Times New Roman" w:cs="Times New Roman"/>
                <w:b/>
                <w:sz w:val="24"/>
                <w:szCs w:val="24"/>
                <w:lang w:val="de-DE" w:eastAsia="en-GB"/>
              </w:rPr>
              <w:t xml:space="preserve">Luxemburg   </w:t>
            </w:r>
            <w:r w:rsidRPr="006D15F6">
              <w:rPr>
                <w:rFonts w:ascii="Times New Roman" w:eastAsia="MS Minngs" w:hAnsi="Times New Roman" w:cs="Times New Roman"/>
                <w:bCs/>
                <w:sz w:val="24"/>
                <w:szCs w:val="24"/>
                <w:lang w:val="fr-FR" w:eastAsia="en-GB"/>
              </w:rPr>
              <w:sym w:font="Wingdings 2" w:char="F0A3"/>
            </w:r>
            <w:r w:rsidRPr="006D15F6">
              <w:rPr>
                <w:rFonts w:ascii="Times New Roman" w:eastAsia="MS Minngs" w:hAnsi="Times New Roman" w:cs="Times New Roman"/>
                <w:bCs/>
                <w:sz w:val="24"/>
                <w:szCs w:val="24"/>
                <w:lang w:val="de-DE" w:eastAsia="en-GB"/>
              </w:rPr>
              <w:t xml:space="preserve"> </w:t>
            </w:r>
            <w:r w:rsidRPr="006D15F6">
              <w:rPr>
                <w:rFonts w:ascii="Times New Roman" w:eastAsia="Times New Roman" w:hAnsi="Times New Roman" w:cs="Times New Roman"/>
                <w:b/>
                <w:sz w:val="24"/>
                <w:szCs w:val="24"/>
                <w:lang w:val="de-DE" w:eastAsia="en-GB"/>
              </w:rPr>
              <w:t>Anderer:………..</w:t>
            </w:r>
          </w:p>
        </w:tc>
      </w:tr>
      <w:tr w:rsidR="006D15F6" w:rsidRPr="006D15F6" w:rsidTr="00EC6FF0">
        <w:trPr>
          <w:trHeight w:val="545"/>
          <w:jc w:val="center"/>
        </w:trPr>
        <w:tc>
          <w:tcPr>
            <w:tcW w:w="4359" w:type="dxa"/>
            <w:tcBorders>
              <w:top w:val="nil"/>
              <w:left w:val="single" w:sz="4" w:space="0" w:color="auto"/>
              <w:bottom w:val="single" w:sz="4" w:space="0" w:color="auto"/>
              <w:right w:val="single" w:sz="4" w:space="0" w:color="auto"/>
            </w:tcBorders>
          </w:tcPr>
          <w:p w:rsidR="006D15F6" w:rsidRPr="00950BA5" w:rsidRDefault="006D15F6"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6D15F6" w:rsidRPr="006D15F6" w:rsidRDefault="006D15F6" w:rsidP="0052633B">
            <w:pPr>
              <w:rPr>
                <w:rFonts w:ascii="Times New Roman" w:eastAsia="Times New Roman" w:hAnsi="Times New Roman" w:cs="Times New Roman"/>
                <w:sz w:val="24"/>
                <w:szCs w:val="24"/>
                <w:lang w:val="de-DE" w:eastAsia="en-GB"/>
              </w:rPr>
            </w:pPr>
            <w:r w:rsidRPr="006D15F6">
              <w:rPr>
                <w:rFonts w:ascii="Times New Roman" w:eastAsia="MS Minngs" w:hAnsi="Times New Roman" w:cs="Times New Roman"/>
                <w:b/>
                <w:bCs/>
                <w:sz w:val="24"/>
                <w:szCs w:val="24"/>
                <w:lang w:val="de-DE" w:eastAsia="en-GB"/>
              </w:rPr>
              <w:t>X</w:t>
            </w:r>
            <w:r w:rsidRPr="006D15F6">
              <w:rPr>
                <w:rFonts w:ascii="Times New Roman" w:eastAsia="MS Minngs" w:hAnsi="Times New Roman" w:cs="Times New Roman"/>
                <w:bCs/>
                <w:sz w:val="24"/>
                <w:szCs w:val="24"/>
                <w:lang w:val="de-DE" w:eastAsia="en-GB"/>
              </w:rPr>
              <w:t xml:space="preserve">  </w:t>
            </w:r>
            <w:r w:rsidRPr="006D15F6">
              <w:rPr>
                <w:rFonts w:ascii="Times New Roman" w:eastAsia="Times New Roman" w:hAnsi="Times New Roman" w:cs="Times New Roman"/>
                <w:b/>
                <w:sz w:val="24"/>
                <w:szCs w:val="24"/>
                <w:lang w:val="de-DE" w:eastAsia="en-GB"/>
              </w:rPr>
              <w:t xml:space="preserve">Mit Vergütungen   </w:t>
            </w:r>
            <w:r w:rsidRPr="006D15F6">
              <w:rPr>
                <w:rFonts w:ascii="Times New Roman" w:eastAsia="MS Minngs" w:hAnsi="Times New Roman" w:cs="Times New Roman"/>
                <w:bCs/>
                <w:sz w:val="24"/>
                <w:szCs w:val="24"/>
                <w:lang w:val="fr-FR" w:eastAsia="en-GB"/>
              </w:rPr>
              <w:sym w:font="Wingdings 2" w:char="F0A3"/>
            </w:r>
            <w:r w:rsidRPr="006D15F6">
              <w:rPr>
                <w:rFonts w:ascii="Times New Roman" w:eastAsia="Times New Roman" w:hAnsi="Times New Roman" w:cs="Times New Roman"/>
                <w:b/>
                <w:sz w:val="24"/>
                <w:szCs w:val="24"/>
                <w:lang w:val="de-DE" w:eastAsia="en-GB"/>
              </w:rPr>
              <w:t xml:space="preserve">  Unentgeltlich Abgeordnet</w:t>
            </w:r>
          </w:p>
        </w:tc>
      </w:tr>
      <w:tr w:rsidR="006D15F6" w:rsidRPr="006D15F6" w:rsidTr="00EC6FF0">
        <w:trPr>
          <w:trHeight w:val="2112"/>
          <w:jc w:val="center"/>
        </w:trPr>
        <w:tc>
          <w:tcPr>
            <w:tcW w:w="9956" w:type="dxa"/>
            <w:gridSpan w:val="2"/>
            <w:tcBorders>
              <w:top w:val="nil"/>
              <w:left w:val="single" w:sz="4" w:space="0" w:color="auto"/>
              <w:bottom w:val="single" w:sz="4" w:space="0" w:color="auto"/>
            </w:tcBorders>
            <w:vAlign w:val="center"/>
          </w:tcPr>
          <w:p w:rsidR="006D15F6" w:rsidRPr="00950BA5" w:rsidRDefault="006D15F6"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6D15F6" w:rsidRPr="00950BA5" w:rsidRDefault="006D15F6" w:rsidP="00950BA5">
            <w:pPr>
              <w:rPr>
                <w:rFonts w:ascii="Times New Roman" w:eastAsia="Times New Roman" w:hAnsi="Times New Roman" w:cs="Times New Roman"/>
                <w:b/>
                <w:lang w:val="de-DE" w:eastAsia="en-GB"/>
              </w:rPr>
            </w:pPr>
          </w:p>
          <w:p w:rsidR="006D15F6" w:rsidRPr="00950BA5" w:rsidRDefault="006D15F6"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6D15F6" w:rsidRPr="00950BA5" w:rsidRDefault="006D15F6"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6D15F6" w:rsidRPr="00950BA5" w:rsidRDefault="006D15F6"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D15F6" w:rsidRPr="006D15F6" w:rsidRDefault="006D15F6" w:rsidP="006D15F6">
      <w:pPr>
        <w:spacing w:after="0" w:line="240" w:lineRule="auto"/>
        <w:ind w:left="426"/>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Operative horizontale Unterstützung der Migrationssteuerung:</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Beitrag zur Entwicklung von Maßnahmen der Generaldirektion und der Kommission im Bereich Migration und Asyl durch operative Unterstützung der Migrationssteuerung, wie in der Europäischen Migrationsagenda festgelegt, einschließlich der Umsetzung des „Hotspot“ -Konzepts, der Aufnahmesysteme, der Asyl- und Umsiedlungsmaßnahmen;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Mitwirkung an der Einrichtung und Überwachung der Modalitäten der Zusammenarbeit an den Hotspots zur Unterstützung des Einsatzmitgliedstaats in Zusammenarbeit mit den zuständigen EU-Agenturen und den Sachverständigen der Mitgliedstaaten, einschließlich der Koordinierung der Tätigkeiten der Teams zur Migrationssteuerung.</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Bereitstellung einer angemessenen Berichterstattung, Analyse und Bewertung der Funktionsweise des Systems zur Steuerung der Migration, einschließlich Hotspots, in den betroffenen Mitgliedstaaten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Rechtliche und politische Beratung zu Fragen im Zusammenhang mit der Migrationssteuerung in den betroffenen Mitgliedstaaten.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Verfolgung der politischen Entwicklungen in den betroffenen Mitgliedstaaten und auf internationaler Ebene in den Bereichen Migration und Asyl.</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Spezifische Unterstützung für das für zentrale Fragen des Mittelmeerraums zuständige Referat (Italien, Malta):</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Teilnahme an der Arbeit des Teams, das Fragen im Zusammenhang mit der Migrationsroute über den zentralen Mittelmeerraum behandelt</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 xml:space="preserve">Beitrag zur operativen Unterstützung Italiens und Maltas im Bereich Migrationssteuerung, insbesondere in Bezug auf die Umsetzung von Umsiedlungsbeschlüssen und anderen Verteilungsmechanismen, die </w:t>
      </w:r>
      <w:r w:rsidRPr="006D15F6">
        <w:rPr>
          <w:rFonts w:ascii="Times New Roman" w:eastAsia="Times New Roman" w:hAnsi="Times New Roman" w:cs="Times New Roman"/>
          <w:lang w:val="de-DE" w:eastAsia="en-GB"/>
        </w:rPr>
        <w:lastRenderedPageBreak/>
        <w:t>Erleichterung der effektiven Rückkehr, die Verbesserung des Grenzmanagements, den Schutz unbegleiteter Minderjähriger und anderer gefährdeter Gruppen sowie die Schaffung ausreichender Aufnahmekapazitäten.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Bei Bedarf einen Beitrag zur operativen Umsetzung der freiwilligen Umsiedlungsmaßnahmen Italiens und/oder Maltas</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Beitrag zur Überwachung der von der EU finanzierten Projekte im Bereich Asyl, Migration und Integration in Italien und Malta in Zusammenarbeit mit den einschlägigen Finanz- und Politikreferaten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Regelmäßige Kontakte mit dem in Italien stationierten Team pflegen, auch durch regelmäßige Dienstreisen in die betreffenden Mitgliedstaaten (z. B. Italien, Malta)</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Interne und externe Koordinierungsmaßnahmen: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Einrichtung und Pflege regelmäßiger Kontakte zu anderen Generaldirektionen und Dienststellen der Kommission, die für die Tätigkeiten des Referats und insbesondere des Teams für das zentrale Mittelmeer von Bedeutung sind</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Teilnahme unter der Aufsicht eines Beamten an einschlägigen dienststellenübergreifenden Sitzungen, Expertengruppen und Ausschüssen.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Pflege regelmäßiger Kontakte zu anderen einschlägigen Interessenträgern.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Interne und externe Kommunikation: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Berichterstattung, Information und Kurzleitung über rechtliche und/oder politische Entwicklungen und Ergebnisse der Diskussionen im Zusammenhang mit der Umsetzung der Europäischen Migrationsagenda.</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Verfassen von Briefings, Vermerken und Reden zu den oben genannten Politikbereichen.</w:t>
      </w:r>
    </w:p>
    <w:p w:rsidR="006D15F6" w:rsidRPr="006D15F6"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Beantwortung von Auskunftsverlangen, Fragen oder Beschwerden der anderen EU-Organe, der Mitgliedstaaten oder der breiten Öffentlichkeit.</w:t>
      </w:r>
    </w:p>
    <w:p w:rsidR="00950BA5" w:rsidRPr="00950BA5" w:rsidRDefault="006D15F6" w:rsidP="006D15F6">
      <w:pPr>
        <w:spacing w:after="0" w:line="240" w:lineRule="auto"/>
        <w:ind w:left="709" w:hanging="283"/>
        <w:jc w:val="both"/>
        <w:rPr>
          <w:rFonts w:ascii="Times New Roman" w:eastAsia="Times New Roman" w:hAnsi="Times New Roman" w:cs="Times New Roman"/>
          <w:lang w:val="de-DE" w:eastAsia="en-GB"/>
        </w:rPr>
      </w:pPr>
      <w:r w:rsidRPr="006D15F6">
        <w:rPr>
          <w:rFonts w:ascii="Times New Roman" w:eastAsia="Times New Roman" w:hAnsi="Times New Roman" w:cs="Times New Roman"/>
          <w:lang w:val="de-DE" w:eastAsia="en-GB"/>
        </w:rPr>
        <w:t>•</w:t>
      </w:r>
      <w:r w:rsidRPr="006D15F6">
        <w:rPr>
          <w:rFonts w:ascii="Times New Roman" w:eastAsia="Times New Roman" w:hAnsi="Times New Roman" w:cs="Times New Roman"/>
          <w:lang w:val="de-DE" w:eastAsia="en-GB"/>
        </w:rPr>
        <w:tab/>
        <w:t>Erläuterung der Tätigkeiten der Generaldirektion, insbesondere des Referats, der Mitgliedstaaten, Dritter und der Öffentlichkeit im Allgemeinen durch Präsentationen auf Konferenzen, Seminaren, Workshops usw.</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D15F6" w:rsidRPr="006D15F6">
        <w:rPr>
          <w:lang w:val="de-DE"/>
        </w:rPr>
        <w:t xml:space="preserve"> </w:t>
      </w:r>
      <w:r w:rsidR="006D15F6" w:rsidRPr="006D15F6">
        <w:rPr>
          <w:rFonts w:ascii="Times New Roman" w:eastAsia="Times New Roman" w:hAnsi="Times New Roman" w:cs="Times New Roman"/>
          <w:lang w:val="de-DE" w:eastAsia="en-GB"/>
        </w:rPr>
        <w:t>Rechtswissenschaften, Politikwissenschaften, Soziologie oder Wirtschaftswissenschaften.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6D15F6" w:rsidRDefault="006D15F6"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6D15F6">
        <w:rPr>
          <w:rFonts w:ascii="Times New Roman" w:eastAsia="Times New Roman" w:hAnsi="Times New Roman" w:cs="Times New Roman"/>
          <w:lang w:val="de-DE" w:eastAsia="en-GB"/>
        </w:rPr>
        <w:t>indestens dreijährige Berufserfahrung in den Bereichen Migration, Asyl oder Grenzmanagement. Die Erfahrung in Italien oder Malta wäre von Vorteil. Erfahrung mit der Funktionsweise von EU-Finanzierungsinstrumenten wäre von Vorteil</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6D15F6" w:rsidRDefault="006D15F6"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Z</w:t>
      </w:r>
      <w:r w:rsidRPr="006D15F6">
        <w:rPr>
          <w:rFonts w:ascii="Times New Roman" w:eastAsia="Times New Roman" w:hAnsi="Times New Roman" w:cs="Times New Roman"/>
          <w:lang w:val="de-DE" w:eastAsia="en-GB"/>
        </w:rPr>
        <w:t>wei EU-Amtssprachen, darunter Englisch oder Französisch. Kenntnisse beider Sprachen sind von Vorteil. Die Kenntnisse des italienischen Rechts wären von großem Vorteil</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D15F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6D15F6" w:rsidRPr="008C30A2" w:rsidRDefault="006D15F6"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6D15F6"/>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15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15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schieff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1425</Words>
  <Characters>10124</Characters>
  <Application>Microsoft Office Word</Application>
  <DocSecurity>0</DocSecurity>
  <Lines>297</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2019-11-11T10:33:00Z</dcterms:created>
  <dcterms:modified xsi:type="dcterms:W3CDTF">2019-11-11T10:33:00Z</dcterms:modified>
</cp:coreProperties>
</file>