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DF0D21" w:rsidRPr="00AF7D78" w:rsidTr="00EC6FF0">
        <w:trPr>
          <w:trHeight w:val="611"/>
          <w:jc w:val="center"/>
        </w:trPr>
        <w:tc>
          <w:tcPr>
            <w:tcW w:w="4359" w:type="dxa"/>
          </w:tcPr>
          <w:p w:rsidR="00DF0D21" w:rsidRPr="00AF7D78" w:rsidRDefault="00DF0D21"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DF0D21" w:rsidRPr="00AF7D78" w:rsidRDefault="00DF0D21"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DF0D21" w:rsidRPr="00DF0D21" w:rsidRDefault="00DF0D21" w:rsidP="0052633B">
            <w:pPr>
              <w:rPr>
                <w:rFonts w:ascii="Times New Roman" w:eastAsia="Times New Roman" w:hAnsi="Times New Roman" w:cs="Times New Roman"/>
                <w:b/>
                <w:sz w:val="24"/>
                <w:szCs w:val="24"/>
                <w:lang w:eastAsia="en-GB"/>
              </w:rPr>
            </w:pPr>
            <w:r w:rsidRPr="00DF0D21">
              <w:rPr>
                <w:rFonts w:ascii="Times New Roman" w:eastAsia="Times New Roman" w:hAnsi="Times New Roman" w:cs="Times New Roman"/>
                <w:b/>
                <w:sz w:val="24"/>
                <w:szCs w:val="24"/>
                <w:lang w:val="en-US" w:eastAsia="en-GB"/>
              </w:rPr>
              <w:t>HOME-C-4</w:t>
            </w:r>
          </w:p>
        </w:tc>
      </w:tr>
      <w:tr w:rsidR="00DF0D21" w:rsidRPr="00DF0D21" w:rsidTr="00EC6FF0">
        <w:trPr>
          <w:trHeight w:val="1977"/>
          <w:jc w:val="center"/>
        </w:trPr>
        <w:tc>
          <w:tcPr>
            <w:tcW w:w="4359" w:type="dxa"/>
            <w:tcBorders>
              <w:bottom w:val="nil"/>
            </w:tcBorders>
          </w:tcPr>
          <w:p w:rsidR="00DF0D21" w:rsidRPr="00DF0D21" w:rsidRDefault="00DF0D21" w:rsidP="00AF7D78">
            <w:pPr>
              <w:tabs>
                <w:tab w:val="left" w:pos="1697"/>
              </w:tabs>
              <w:ind w:right="-1739"/>
              <w:jc w:val="both"/>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Head of Unit:</w:t>
            </w:r>
          </w:p>
          <w:p w:rsidR="00DF0D21" w:rsidRPr="00DF0D21" w:rsidRDefault="00DF0D21" w:rsidP="00AF7D78">
            <w:pPr>
              <w:tabs>
                <w:tab w:val="left" w:pos="1697"/>
              </w:tabs>
              <w:ind w:right="-1739"/>
              <w:jc w:val="both"/>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Email address:</w:t>
            </w:r>
          </w:p>
          <w:p w:rsidR="00DF0D21" w:rsidRPr="00DF0D21" w:rsidRDefault="00DF0D21" w:rsidP="00AF7D78">
            <w:pPr>
              <w:tabs>
                <w:tab w:val="left" w:pos="1697"/>
              </w:tabs>
              <w:ind w:right="-1739"/>
              <w:jc w:val="both"/>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Telephone:</w:t>
            </w:r>
          </w:p>
          <w:p w:rsidR="00DF0D21" w:rsidRPr="00DF0D21" w:rsidRDefault="00DF0D21" w:rsidP="00AF7D78">
            <w:pPr>
              <w:tabs>
                <w:tab w:val="left" w:pos="1697"/>
              </w:tabs>
              <w:ind w:right="-1739"/>
              <w:jc w:val="both"/>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Number of available posts:</w:t>
            </w:r>
          </w:p>
          <w:p w:rsidR="00DF0D21" w:rsidRPr="00DF0D21" w:rsidRDefault="00DF0D21" w:rsidP="00AF7D78">
            <w:pPr>
              <w:tabs>
                <w:tab w:val="left" w:pos="1697"/>
              </w:tabs>
              <w:ind w:right="-1739"/>
              <w:jc w:val="both"/>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Suggested taking up duty:</w:t>
            </w:r>
          </w:p>
          <w:p w:rsidR="00DF0D21" w:rsidRPr="00DF0D21" w:rsidRDefault="00DF0D21" w:rsidP="00AF7D78">
            <w:pPr>
              <w:tabs>
                <w:tab w:val="left" w:pos="1697"/>
              </w:tabs>
              <w:ind w:right="-1739"/>
              <w:jc w:val="both"/>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Suggested initial duration:</w:t>
            </w:r>
          </w:p>
          <w:p w:rsidR="00DF0D21" w:rsidRPr="00AF7D78" w:rsidRDefault="00DF0D21" w:rsidP="00AF7D78">
            <w:pPr>
              <w:tabs>
                <w:tab w:val="left" w:pos="1697"/>
              </w:tabs>
              <w:ind w:right="-1739"/>
              <w:jc w:val="both"/>
              <w:rPr>
                <w:rFonts w:ascii="Times New Roman" w:eastAsia="Times New Roman" w:hAnsi="Times New Roman" w:cs="Times New Roman"/>
                <w:b/>
                <w:sz w:val="24"/>
                <w:szCs w:val="20"/>
                <w:lang w:eastAsia="en-GB"/>
              </w:rPr>
            </w:pPr>
            <w:r w:rsidRPr="00DF0D21">
              <w:rPr>
                <w:rFonts w:ascii="Times New Roman" w:eastAsia="Times New Roman" w:hAnsi="Times New Roman" w:cs="Times New Roman"/>
                <w:b/>
                <w:sz w:val="24"/>
                <w:szCs w:val="24"/>
                <w:lang w:val="en-US" w:eastAsia="en-GB"/>
              </w:rPr>
              <w:t>Place of secondment:</w:t>
            </w:r>
          </w:p>
        </w:tc>
        <w:tc>
          <w:tcPr>
            <w:tcW w:w="5597" w:type="dxa"/>
          </w:tcPr>
          <w:p w:rsidR="00DF0D21" w:rsidRPr="00DF0D21" w:rsidRDefault="00DF0D21" w:rsidP="0052633B">
            <w:pPr>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Martin Schieffer</w:t>
            </w:r>
          </w:p>
          <w:p w:rsidR="00DF0D21" w:rsidRPr="00DF0D21" w:rsidRDefault="00DF0D21" w:rsidP="0052633B">
            <w:pPr>
              <w:rPr>
                <w:rFonts w:ascii="Times New Roman" w:eastAsia="Times New Roman" w:hAnsi="Times New Roman" w:cs="Times New Roman"/>
                <w:b/>
                <w:sz w:val="24"/>
                <w:szCs w:val="24"/>
                <w:lang w:val="en-US" w:eastAsia="en-GB"/>
              </w:rPr>
            </w:pPr>
            <w:hyperlink r:id="rId9" w:history="1">
              <w:r w:rsidRPr="00C31298">
                <w:rPr>
                  <w:rStyle w:val="Hyperlink"/>
                  <w:rFonts w:ascii="Times New Roman" w:eastAsia="Times New Roman" w:hAnsi="Times New Roman" w:cs="Times New Roman"/>
                  <w:b/>
                  <w:sz w:val="24"/>
                  <w:szCs w:val="24"/>
                  <w:lang w:val="en-US" w:eastAsia="en-GB"/>
                </w:rPr>
                <w:t>Martin.schieffer@ec.europa.eu</w:t>
              </w:r>
            </w:hyperlink>
            <w:r>
              <w:rPr>
                <w:rFonts w:ascii="Times New Roman" w:eastAsia="Times New Roman" w:hAnsi="Times New Roman" w:cs="Times New Roman"/>
                <w:b/>
                <w:sz w:val="24"/>
                <w:szCs w:val="24"/>
                <w:lang w:val="en-US" w:eastAsia="en-GB"/>
              </w:rPr>
              <w:t xml:space="preserve"> </w:t>
            </w:r>
          </w:p>
          <w:p w:rsidR="00DF0D21" w:rsidRPr="00DF0D21" w:rsidRDefault="00DF0D21" w:rsidP="0052633B">
            <w:pPr>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+32 2 2991313</w:t>
            </w:r>
          </w:p>
          <w:p w:rsidR="00DF0D21" w:rsidRPr="00DF0D21" w:rsidRDefault="00DF0D21" w:rsidP="0052633B">
            <w:pPr>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1</w:t>
            </w:r>
          </w:p>
          <w:p w:rsidR="00DF0D21" w:rsidRPr="00DF0D21" w:rsidRDefault="00DF0D21" w:rsidP="0052633B">
            <w:pPr>
              <w:ind w:right="1317"/>
              <w:jc w:val="both"/>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1</w:t>
            </w:r>
            <w:r w:rsidRPr="00DF0D21">
              <w:rPr>
                <w:rFonts w:ascii="Times New Roman" w:eastAsia="Times New Roman" w:hAnsi="Times New Roman" w:cs="Times New Roman"/>
                <w:b/>
                <w:sz w:val="24"/>
                <w:szCs w:val="24"/>
                <w:vertAlign w:val="superscript"/>
                <w:lang w:val="en-US" w:eastAsia="en-GB"/>
              </w:rPr>
              <w:t>st</w:t>
            </w:r>
            <w:r w:rsidRPr="00DF0D21">
              <w:rPr>
                <w:rFonts w:ascii="Times New Roman" w:eastAsia="Times New Roman" w:hAnsi="Times New Roman" w:cs="Times New Roman"/>
                <w:b/>
                <w:sz w:val="24"/>
                <w:szCs w:val="24"/>
                <w:lang w:val="en-US" w:eastAsia="en-GB"/>
              </w:rPr>
              <w:t xml:space="preserve"> quarter 2020 </w:t>
            </w:r>
            <w:r w:rsidRPr="00DF0D21">
              <w:rPr>
                <w:rFonts w:ascii="Times New Roman" w:eastAsia="Times New Roman" w:hAnsi="Times New Roman" w:cs="Times New Roman"/>
                <w:b/>
                <w:sz w:val="24"/>
                <w:szCs w:val="24"/>
                <w:vertAlign w:val="superscript"/>
                <w:lang w:eastAsia="en-GB"/>
              </w:rPr>
              <w:footnoteReference w:id="1"/>
            </w:r>
          </w:p>
          <w:p w:rsidR="00DF0D21" w:rsidRPr="00DF0D21" w:rsidRDefault="00DF0D21" w:rsidP="0052633B">
            <w:pPr>
              <w:ind w:right="1317"/>
              <w:jc w:val="both"/>
              <w:rPr>
                <w:rFonts w:ascii="Times New Roman" w:eastAsia="Times New Roman" w:hAnsi="Times New Roman" w:cs="Times New Roman"/>
                <w:b/>
                <w:sz w:val="24"/>
                <w:szCs w:val="24"/>
                <w:lang w:val="en-US" w:eastAsia="en-GB"/>
              </w:rPr>
            </w:pPr>
            <w:r w:rsidRPr="00DF0D21">
              <w:rPr>
                <w:rFonts w:ascii="Times New Roman" w:eastAsia="Times New Roman" w:hAnsi="Times New Roman" w:cs="Times New Roman"/>
                <w:b/>
                <w:sz w:val="24"/>
                <w:szCs w:val="24"/>
                <w:lang w:val="en-US" w:eastAsia="en-GB"/>
              </w:rPr>
              <w:t>2 years</w:t>
            </w:r>
            <w:r w:rsidRPr="00DF0D21">
              <w:rPr>
                <w:rFonts w:ascii="Times New Roman" w:eastAsia="Times New Roman" w:hAnsi="Times New Roman" w:cs="Times New Roman"/>
                <w:b/>
                <w:sz w:val="24"/>
                <w:szCs w:val="24"/>
                <w:vertAlign w:val="superscript"/>
                <w:lang w:val="en-US" w:eastAsia="en-GB"/>
              </w:rPr>
              <w:t>1</w:t>
            </w:r>
          </w:p>
          <w:p w:rsidR="00DF0D21" w:rsidRPr="00DF0D21" w:rsidRDefault="00DF0D21" w:rsidP="0052633B">
            <w:pPr>
              <w:rPr>
                <w:rFonts w:ascii="Times New Roman" w:eastAsia="Times New Roman" w:hAnsi="Times New Roman" w:cs="Times New Roman"/>
                <w:b/>
                <w:sz w:val="24"/>
                <w:szCs w:val="24"/>
                <w:lang w:val="en-US" w:eastAsia="en-GB"/>
              </w:rPr>
            </w:pPr>
            <w:r w:rsidRPr="00DF0D21">
              <w:rPr>
                <w:rFonts w:ascii="Times New Roman" w:eastAsia="MS Minngs" w:hAnsi="Times New Roman" w:cs="Times New Roman"/>
                <w:b/>
                <w:bCs/>
                <w:sz w:val="24"/>
                <w:szCs w:val="24"/>
                <w:lang w:val="en-IE" w:eastAsia="en-GB"/>
              </w:rPr>
              <w:t>X</w:t>
            </w:r>
            <w:r w:rsidRPr="00DF0D21">
              <w:rPr>
                <w:rFonts w:ascii="Times New Roman" w:eastAsia="MS Minngs" w:hAnsi="Times New Roman" w:cs="Times New Roman"/>
                <w:b/>
                <w:bCs/>
                <w:sz w:val="24"/>
                <w:szCs w:val="24"/>
                <w:lang w:val="en-US" w:eastAsia="en-GB"/>
              </w:rPr>
              <w:t xml:space="preserve"> </w:t>
            </w:r>
            <w:r w:rsidRPr="00DF0D21">
              <w:rPr>
                <w:rFonts w:ascii="Times New Roman" w:eastAsia="Times New Roman" w:hAnsi="Times New Roman" w:cs="Times New Roman"/>
                <w:b/>
                <w:sz w:val="24"/>
                <w:szCs w:val="24"/>
                <w:lang w:val="en-US" w:eastAsia="en-GB"/>
              </w:rPr>
              <w:t xml:space="preserve">Brussels  </w:t>
            </w:r>
            <w:r w:rsidRPr="00DF0D21">
              <w:rPr>
                <w:rFonts w:ascii="Times New Roman" w:eastAsia="MS Minngs" w:hAnsi="Times New Roman" w:cs="Times New Roman"/>
                <w:b/>
                <w:bCs/>
                <w:sz w:val="24"/>
                <w:szCs w:val="24"/>
                <w:lang w:val="fr-FR" w:eastAsia="en-GB"/>
              </w:rPr>
              <w:sym w:font="Wingdings 2" w:char="F0A3"/>
            </w:r>
            <w:r w:rsidRPr="00DF0D21">
              <w:rPr>
                <w:rFonts w:ascii="Times New Roman" w:eastAsia="MS Minngs" w:hAnsi="Times New Roman" w:cs="Times New Roman"/>
                <w:b/>
                <w:bCs/>
                <w:sz w:val="24"/>
                <w:szCs w:val="24"/>
                <w:lang w:val="en-US" w:eastAsia="en-GB"/>
              </w:rPr>
              <w:t xml:space="preserve"> </w:t>
            </w:r>
            <w:r w:rsidRPr="00DF0D21">
              <w:rPr>
                <w:rFonts w:ascii="Times New Roman" w:eastAsia="Times New Roman" w:hAnsi="Times New Roman" w:cs="Times New Roman"/>
                <w:b/>
                <w:sz w:val="24"/>
                <w:szCs w:val="24"/>
                <w:lang w:val="en-US" w:eastAsia="en-GB"/>
              </w:rPr>
              <w:t xml:space="preserve">Luxemburg  </w:t>
            </w:r>
            <w:r w:rsidRPr="00DF0D21">
              <w:rPr>
                <w:rFonts w:ascii="Times New Roman" w:eastAsia="MS Minngs" w:hAnsi="Times New Roman" w:cs="Times New Roman"/>
                <w:b/>
                <w:bCs/>
                <w:sz w:val="24"/>
                <w:szCs w:val="24"/>
                <w:lang w:val="fr-FR" w:eastAsia="en-GB"/>
              </w:rPr>
              <w:sym w:font="Wingdings 2" w:char="F0A3"/>
            </w:r>
            <w:r w:rsidRPr="00DF0D21">
              <w:rPr>
                <w:rFonts w:ascii="Times New Roman" w:eastAsia="MS Minngs" w:hAnsi="Times New Roman" w:cs="Times New Roman"/>
                <w:b/>
                <w:bCs/>
                <w:sz w:val="24"/>
                <w:szCs w:val="24"/>
                <w:lang w:val="en-US" w:eastAsia="en-GB"/>
              </w:rPr>
              <w:t xml:space="preserve"> Other</w:t>
            </w:r>
            <w:r w:rsidRPr="00DF0D21">
              <w:rPr>
                <w:rFonts w:ascii="Times New Roman" w:eastAsia="Times New Roman" w:hAnsi="Times New Roman" w:cs="Times New Roman"/>
                <w:b/>
                <w:sz w:val="24"/>
                <w:szCs w:val="24"/>
                <w:lang w:val="en-US" w:eastAsia="en-GB"/>
              </w:rPr>
              <w:t>: ……………..</w:t>
            </w:r>
          </w:p>
        </w:tc>
      </w:tr>
      <w:tr w:rsidR="00DF0D21" w:rsidRPr="00DF0D21" w:rsidTr="00EC6FF0">
        <w:trPr>
          <w:trHeight w:val="545"/>
          <w:jc w:val="center"/>
        </w:trPr>
        <w:tc>
          <w:tcPr>
            <w:tcW w:w="4359" w:type="dxa"/>
            <w:tcBorders>
              <w:top w:val="nil"/>
              <w:left w:val="single" w:sz="4" w:space="0" w:color="auto"/>
              <w:bottom w:val="single" w:sz="4" w:space="0" w:color="auto"/>
              <w:right w:val="single" w:sz="4" w:space="0" w:color="auto"/>
            </w:tcBorders>
          </w:tcPr>
          <w:p w:rsidR="00DF0D21" w:rsidRPr="00AF7D78" w:rsidRDefault="00DF0D21"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DF0D21" w:rsidRPr="00DF0D21" w:rsidRDefault="00DF0D21" w:rsidP="0052633B">
            <w:pPr>
              <w:rPr>
                <w:rFonts w:ascii="Times New Roman" w:eastAsia="Times New Roman" w:hAnsi="Times New Roman" w:cs="Times New Roman"/>
                <w:b/>
                <w:sz w:val="24"/>
                <w:szCs w:val="24"/>
                <w:lang w:val="en-US" w:eastAsia="en-GB"/>
              </w:rPr>
            </w:pPr>
            <w:r w:rsidRPr="00DF0D21">
              <w:rPr>
                <w:rFonts w:ascii="Times New Roman" w:eastAsia="MS Minngs" w:hAnsi="Times New Roman" w:cs="Times New Roman"/>
                <w:b/>
                <w:bCs/>
                <w:sz w:val="24"/>
                <w:szCs w:val="24"/>
                <w:lang w:val="en-US" w:eastAsia="en-GB"/>
              </w:rPr>
              <w:t>X</w:t>
            </w:r>
            <w:r w:rsidRPr="00DF0D21">
              <w:rPr>
                <w:rFonts w:ascii="Times New Roman" w:eastAsia="Times New Roman" w:hAnsi="Times New Roman" w:cs="Times New Roman"/>
                <w:b/>
                <w:bCs/>
                <w:sz w:val="24"/>
                <w:szCs w:val="24"/>
                <w:lang w:val="en-US" w:eastAsia="en-GB"/>
              </w:rPr>
              <w:t xml:space="preserve">    </w:t>
            </w:r>
            <w:r w:rsidRPr="00DF0D21">
              <w:rPr>
                <w:rFonts w:ascii="Times New Roman" w:eastAsia="Times New Roman" w:hAnsi="Times New Roman" w:cs="Times New Roman"/>
                <w:b/>
                <w:sz w:val="24"/>
                <w:szCs w:val="24"/>
                <w:lang w:val="en-US" w:eastAsia="en-GB"/>
              </w:rPr>
              <w:t xml:space="preserve">With allowances                </w:t>
            </w:r>
            <w:r w:rsidRPr="00DF0D21">
              <w:rPr>
                <w:rFonts w:ascii="Times New Roman" w:eastAsia="MS Minngs" w:hAnsi="Times New Roman" w:cs="Times New Roman"/>
                <w:b/>
                <w:bCs/>
                <w:sz w:val="24"/>
                <w:szCs w:val="24"/>
                <w:lang w:val="fr-FR" w:eastAsia="en-GB"/>
              </w:rPr>
              <w:sym w:font="Wingdings 2" w:char="F0A3"/>
            </w:r>
            <w:r w:rsidRPr="00DF0D21">
              <w:rPr>
                <w:rFonts w:ascii="Times New Roman" w:eastAsia="MS Minngs" w:hAnsi="Times New Roman" w:cs="Times New Roman"/>
                <w:b/>
                <w:bCs/>
                <w:sz w:val="24"/>
                <w:szCs w:val="24"/>
                <w:lang w:val="en-US" w:eastAsia="en-GB"/>
              </w:rPr>
              <w:t xml:space="preserve">   </w:t>
            </w:r>
            <w:r w:rsidRPr="00DF0D21">
              <w:rPr>
                <w:rFonts w:ascii="Times New Roman" w:eastAsia="Times New Roman" w:hAnsi="Times New Roman" w:cs="Times New Roman"/>
                <w:b/>
                <w:bCs/>
                <w:sz w:val="24"/>
                <w:szCs w:val="24"/>
                <w:lang w:val="en-US" w:eastAsia="en-GB"/>
              </w:rPr>
              <w:t> </w:t>
            </w:r>
            <w:r w:rsidRPr="00DF0D21">
              <w:rPr>
                <w:rFonts w:ascii="Times New Roman" w:eastAsia="MS Minngs" w:hAnsi="Times New Roman" w:cs="Times New Roman"/>
                <w:b/>
                <w:bCs/>
                <w:sz w:val="24"/>
                <w:szCs w:val="24"/>
                <w:lang w:val="en-US" w:eastAsia="en-GB"/>
              </w:rPr>
              <w:t xml:space="preserve"> </w:t>
            </w:r>
            <w:r w:rsidRPr="00DF0D21">
              <w:rPr>
                <w:rFonts w:ascii="Times New Roman" w:eastAsia="Times New Roman" w:hAnsi="Times New Roman" w:cs="Times New Roman"/>
                <w:b/>
                <w:sz w:val="24"/>
                <w:szCs w:val="24"/>
                <w:lang w:val="en-US" w:eastAsia="en-GB"/>
              </w:rPr>
              <w:t>Cost-free</w:t>
            </w:r>
          </w:p>
        </w:tc>
      </w:tr>
      <w:tr w:rsidR="00DF0D21" w:rsidRPr="00DF0D21" w:rsidTr="00EC6FF0">
        <w:trPr>
          <w:trHeight w:val="2112"/>
          <w:jc w:val="center"/>
        </w:trPr>
        <w:tc>
          <w:tcPr>
            <w:tcW w:w="9956" w:type="dxa"/>
            <w:gridSpan w:val="2"/>
            <w:tcBorders>
              <w:top w:val="nil"/>
              <w:left w:val="single" w:sz="4" w:space="0" w:color="auto"/>
              <w:bottom w:val="single" w:sz="4" w:space="0" w:color="auto"/>
            </w:tcBorders>
            <w:vAlign w:val="center"/>
          </w:tcPr>
          <w:p w:rsidR="00DF0D21" w:rsidRPr="00AF7D78" w:rsidRDefault="00DF0D21"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DF0D21" w:rsidRPr="00AF7D78" w:rsidRDefault="00DF0D21" w:rsidP="00AF7D78">
            <w:pPr>
              <w:rPr>
                <w:rFonts w:ascii="Times New Roman" w:eastAsia="Times New Roman" w:hAnsi="Times New Roman" w:cs="Times New Roman"/>
                <w:b/>
                <w:lang w:val="en-US" w:eastAsia="en-GB"/>
              </w:rPr>
            </w:pPr>
          </w:p>
          <w:p w:rsidR="00DF0D21" w:rsidRPr="00AF7D78" w:rsidRDefault="00DF0D21"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DF0D21"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DF0D21">
        <w:rPr>
          <w:rFonts w:ascii="Times New Roman" w:eastAsia="Times New Roman" w:hAnsi="Times New Roman" w:cs="Times New Roman"/>
          <w:b/>
          <w:sz w:val="24"/>
          <w:szCs w:val="20"/>
          <w:lang w:val="en-US" w:eastAsia="en-GB"/>
        </w:rPr>
        <w:t>1.</w:t>
      </w:r>
      <w:r w:rsidRPr="00DF0D21">
        <w:rPr>
          <w:rFonts w:ascii="Times New Roman" w:eastAsia="Times New Roman" w:hAnsi="Times New Roman" w:cs="Times New Roman"/>
          <w:b/>
          <w:sz w:val="24"/>
          <w:szCs w:val="20"/>
          <w:lang w:val="en-US" w:eastAsia="en-GB"/>
        </w:rPr>
        <w:tab/>
      </w:r>
      <w:r w:rsidRPr="00DF0D21">
        <w:rPr>
          <w:rFonts w:ascii="Times New Roman" w:eastAsia="Times New Roman" w:hAnsi="Times New Roman" w:cs="Times New Roman"/>
          <w:b/>
          <w:sz w:val="24"/>
          <w:szCs w:val="20"/>
          <w:u w:val="single"/>
          <w:lang w:val="en-US" w:eastAsia="en-GB"/>
        </w:rPr>
        <w:t>Nature of the tasks</w:t>
      </w:r>
    </w:p>
    <w:p w:rsidR="00AF7D78" w:rsidRPr="00DF0D21" w:rsidRDefault="00AF7D78" w:rsidP="00AF7D78">
      <w:pPr>
        <w:spacing w:after="0" w:line="240" w:lineRule="auto"/>
        <w:rPr>
          <w:rFonts w:ascii="Times New Roman" w:eastAsia="Times New Roman" w:hAnsi="Times New Roman" w:cs="Times New Roman"/>
          <w:sz w:val="24"/>
          <w:szCs w:val="20"/>
          <w:lang w:val="en-US" w:eastAsia="en-GB"/>
        </w:rPr>
      </w:pPr>
    </w:p>
    <w:p w:rsidR="00DF0D21" w:rsidRPr="00DF0D21" w:rsidRDefault="00DF0D21" w:rsidP="00DF0D21">
      <w:pPr>
        <w:spacing w:after="0" w:line="240" w:lineRule="auto"/>
        <w:ind w:left="426"/>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Horizontal operational support to migration management:</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Contribute to the development of policies of the Directorate General and the Commission in the field of migration and asylum through operational support for migration management as identified in the European Agenda on Migration, including implementation of the "hotspot" approach, reception systems, asylum and relocation.</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 xml:space="preserve">Contribute to establishing and monitoring the modalities of cooperation at the hotspot areas to support the host Member State, in cooperation with relevant EU Agencies and Member State experts, including coordination of the activities of the migration management teams. </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Provide appropriate reporting, analysis and evaluation of the functioning of the migration management system, including hotspots, in the concerned Member States</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Provide legal and policy advice on issues related to migration management in Member States concerned.</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Follow policy developments in Member States concerned and at international level, in the field of migration and asylum.</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Specific support to the Unit team working on Central Mediterranean issues (Italy, Malta):</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Participate in the work of the team dealing with issues related to Central Mediterranean migratory route.</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Horizontal operational support to migration management:</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Contribute to the development of policies of the Directorate General and the Commission in the field of migration and asylum through operational support for migration management as identified in the European Agenda on Migration, including implementation of the "hotspot" approach, reception systems, asylum and relocation.</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 xml:space="preserve">Contribute to establishing and monitoring the modalities of cooperation at the hotspot areas to support the host Member State, in cooperation with relevant EU Agencies and Member State experts, including coordination of the activities of the migration management teams. </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lastRenderedPageBreak/>
        <w:t>•</w:t>
      </w:r>
      <w:r w:rsidRPr="00DF0D21">
        <w:rPr>
          <w:rFonts w:ascii="Times New Roman" w:eastAsia="Times New Roman" w:hAnsi="Times New Roman" w:cs="Times New Roman"/>
          <w:lang w:val="en-US" w:eastAsia="en-GB"/>
        </w:rPr>
        <w:tab/>
        <w:t>Provide appropriate reporting, analysis and evaluation of the functioning of the migration management system, including hotspots, in the concerned Member States</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Provide legal and policy advice on issues related to migration management in Member States concerned.</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Follow policy developments in Member States concerned and at international level, in the field of migration and asylum.</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Specific support to the Unit team working on Central Mediterranean issues (Italy, Malta):</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Participate in the work of the team dealing with issues related to Central Mediterranean migratory route.</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Contribute to the operational support on migration management to Italy and Malta, in particular as regards implementation of relocation decisions and other distribution mechanisms, facilitation of effective returns, improvement of border management, protection of unaccompanied minors and other vulnerable groups and creation of sufficient reception capacity.</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Contribute to the operational implementation of voluntary relocation exercises from Italy and/or Malta, as needed.</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Contribute to monitoring of EU-funded projects in the field of asylum, migration and integration in Italy and Malta, in cooperation with relevant financial and policy units.</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Maintain regular contacts with the team based in Italy, including through regular missions to the concerned Member States (e.g. Italy, Malta) as needed.</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Internal and external co-ordination activities:</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 xml:space="preserve">Establish and maintain regular contacts with other DGs and services of the Commission which are relevant for the activities of the Unit and more specifically, of the Central Mediterranean team </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 xml:space="preserve">Participate, under the supervision of an Official, in relevant inter-service meetings, expert groups and committees. </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Maintain regular contacts with other relevant stakeholders.</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Internal and external communication:</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Report to, inform and brief management and colleagues on legal and/ or policy developments and outcomes of discussions linked to the implementation of the European Agenda on Migration.</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Draft briefings, policy notes and speeches on the policy domains referred to above.</w:t>
      </w:r>
    </w:p>
    <w:p w:rsidR="00DF0D21" w:rsidRPr="00DF0D21"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Reply to requests for information, questions or complaints from other European Institutions, Member States and the public in general.</w:t>
      </w:r>
    </w:p>
    <w:p w:rsidR="00AF7D78" w:rsidRPr="00AF7D78" w:rsidRDefault="00DF0D21" w:rsidP="00DF0D21">
      <w:pPr>
        <w:spacing w:after="0" w:line="240" w:lineRule="auto"/>
        <w:ind w:left="709" w:hanging="283"/>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w:t>
      </w:r>
      <w:r w:rsidRPr="00DF0D21">
        <w:rPr>
          <w:rFonts w:ascii="Times New Roman" w:eastAsia="Times New Roman" w:hAnsi="Times New Roman" w:cs="Times New Roman"/>
          <w:lang w:val="en-US" w:eastAsia="en-GB"/>
        </w:rPr>
        <w:tab/>
        <w:t>Explain the activities of the Directorate General, and in particular of the Unit, to Member States, third parties and the public in general, through presentations at conferences, seminars, workshops etc.</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lastRenderedPageBreak/>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DF0D21" w:rsidRPr="00DF0D21">
        <w:rPr>
          <w:lang w:val="en-US"/>
        </w:rPr>
        <w:t xml:space="preserve"> </w:t>
      </w:r>
      <w:r w:rsidR="00DF0D21" w:rsidRPr="00DF0D21">
        <w:rPr>
          <w:rFonts w:ascii="Times New Roman" w:eastAsia="Times New Roman" w:hAnsi="Times New Roman" w:cs="Times New Roman"/>
          <w:lang w:val="en-US" w:eastAsia="en-GB"/>
        </w:rPr>
        <w:t>Law, Political Science, Sociology or Economics.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DF0D21" w:rsidRDefault="00DF0D21"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F0D21">
        <w:rPr>
          <w:rFonts w:ascii="Times New Roman" w:eastAsia="Times New Roman" w:hAnsi="Times New Roman" w:cs="Times New Roman"/>
          <w:lang w:val="en-US" w:eastAsia="en-GB"/>
        </w:rPr>
        <w:t>At least three years' professional experience in the field of migration, asylum or border management. Experience in Italy or Malta would be an asset. Experience with functioning of EU funding instruments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DF0D21" w:rsidRDefault="00DF0D21"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DF0D21">
        <w:rPr>
          <w:rFonts w:ascii="Times New Roman" w:eastAsia="Times New Roman" w:hAnsi="Times New Roman" w:cs="Times New Roman"/>
          <w:lang w:val="en-US" w:eastAsia="en-GB"/>
        </w:rPr>
        <w:t>wo EU official languages, one being English or French. Knowledge of both would be an asset. Knowledge of Italian would be a strong asse</w:t>
      </w:r>
      <w:r>
        <w:rPr>
          <w:rFonts w:ascii="Times New Roman" w:eastAsia="Times New Roman" w:hAnsi="Times New Roman" w:cs="Times New Roman"/>
          <w:lang w:val="en-US" w:eastAsia="en-GB"/>
        </w:rPr>
        <w:t>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F0D2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DF0D21" w:rsidRPr="006C5664" w:rsidRDefault="00DF0D21"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AF7D78"/>
    <w:rsid w:val="00BC14A5"/>
    <w:rsid w:val="00CF677F"/>
    <w:rsid w:val="00D37EF6"/>
    <w:rsid w:val="00DF0D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DF0D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DF0D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rtin.schieff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1741</Words>
  <Characters>9599</Characters>
  <Application>Microsoft Office Word</Application>
  <DocSecurity>0</DocSecurity>
  <Lines>319</Lines>
  <Paragraphs>121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2019-11-11T10:26:00Z</dcterms:created>
  <dcterms:modified xsi:type="dcterms:W3CDTF">2019-11-11T10:26:00Z</dcterms:modified>
</cp:coreProperties>
</file>