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450182248"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450182248"/>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20199042"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D93129" w:rsidRDefault="00EE1399" w:rsidP="00EE1399">
            <w:pPr>
              <w:rPr>
                <w:b/>
                <w:lang w:val="de-DE"/>
              </w:rPr>
            </w:pPr>
            <w:r w:rsidRPr="00D93129">
              <w:rPr>
                <w:b/>
                <w:lang w:val="de-DE"/>
              </w:rPr>
              <w:t>HR-E-2</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2129754700" w:edGrp="everyone" w:colFirst="1" w:colLast="1"/>
            <w:permEnd w:id="120199042"/>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EE1399" w:rsidRPr="00D93129" w:rsidRDefault="00EE1399" w:rsidP="00EE1399">
            <w:pPr>
              <w:rPr>
                <w:b/>
                <w:sz w:val="22"/>
                <w:szCs w:val="22"/>
                <w:lang w:val="pt-PT"/>
              </w:rPr>
            </w:pPr>
            <w:r w:rsidRPr="00D93129">
              <w:rPr>
                <w:b/>
                <w:sz w:val="22"/>
                <w:szCs w:val="22"/>
                <w:lang w:val="pt-PT"/>
              </w:rPr>
              <w:t xml:space="preserve">Lars </w:t>
            </w:r>
            <w:proofErr w:type="spellStart"/>
            <w:r w:rsidRPr="00D93129">
              <w:rPr>
                <w:b/>
                <w:sz w:val="22"/>
                <w:szCs w:val="22"/>
                <w:lang w:val="pt-PT"/>
              </w:rPr>
              <w:t>Albath</w:t>
            </w:r>
            <w:proofErr w:type="spellEnd"/>
          </w:p>
          <w:p w:rsidR="00EE1399" w:rsidRPr="00D93129" w:rsidRDefault="00EE1399" w:rsidP="00EE1399">
            <w:pPr>
              <w:rPr>
                <w:b/>
                <w:sz w:val="22"/>
                <w:szCs w:val="22"/>
                <w:lang w:val="pt-PT"/>
              </w:rPr>
            </w:pPr>
            <w:proofErr w:type="gramStart"/>
            <w:r w:rsidRPr="00D93129">
              <w:rPr>
                <w:b/>
                <w:sz w:val="22"/>
                <w:szCs w:val="22"/>
                <w:lang w:val="pt-PT"/>
              </w:rPr>
              <w:t>lars.albath@ec.europa.eu</w:t>
            </w:r>
            <w:proofErr w:type="gramEnd"/>
          </w:p>
          <w:p w:rsidR="00EE1399" w:rsidRPr="00D93129" w:rsidRDefault="00EE1399" w:rsidP="00EE1399">
            <w:pPr>
              <w:rPr>
                <w:b/>
                <w:sz w:val="22"/>
                <w:szCs w:val="22"/>
                <w:lang w:val="pt-PT"/>
              </w:rPr>
            </w:pPr>
            <w:r w:rsidRPr="00D93129">
              <w:rPr>
                <w:b/>
                <w:sz w:val="22"/>
                <w:szCs w:val="22"/>
                <w:lang w:val="pt-PT"/>
              </w:rPr>
              <w:t>+32 2 29 69401</w:t>
            </w:r>
          </w:p>
          <w:p w:rsidR="00EE1399" w:rsidRPr="00D93129" w:rsidRDefault="00EE1399" w:rsidP="00EE1399">
            <w:pPr>
              <w:rPr>
                <w:b/>
                <w:sz w:val="22"/>
                <w:szCs w:val="22"/>
                <w:lang w:val="pt-PT"/>
              </w:rPr>
            </w:pPr>
            <w:r w:rsidRPr="00D93129">
              <w:rPr>
                <w:b/>
                <w:sz w:val="22"/>
                <w:szCs w:val="22"/>
                <w:lang w:val="pt-PT"/>
              </w:rPr>
              <w:t>1</w:t>
            </w:r>
          </w:p>
          <w:p w:rsidR="00EE1399" w:rsidRPr="00D93129" w:rsidRDefault="00EE1399" w:rsidP="00EE1399">
            <w:pPr>
              <w:ind w:right="1317"/>
              <w:jc w:val="both"/>
              <w:rPr>
                <w:b/>
                <w:sz w:val="22"/>
                <w:szCs w:val="22"/>
                <w:lang w:val="pt-PT"/>
              </w:rPr>
            </w:pPr>
            <w:r w:rsidRPr="00D93129">
              <w:rPr>
                <w:b/>
                <w:sz w:val="22"/>
                <w:szCs w:val="22"/>
                <w:lang w:val="pt-PT"/>
              </w:rPr>
              <w:t xml:space="preserve">1. </w:t>
            </w:r>
            <w:proofErr w:type="spellStart"/>
            <w:r w:rsidRPr="00D93129">
              <w:rPr>
                <w:b/>
                <w:sz w:val="22"/>
                <w:szCs w:val="22"/>
                <w:lang w:val="pt-PT"/>
              </w:rPr>
              <w:t>Quartal</w:t>
            </w:r>
            <w:proofErr w:type="spellEnd"/>
            <w:r w:rsidRPr="00D93129">
              <w:rPr>
                <w:b/>
                <w:sz w:val="22"/>
                <w:szCs w:val="22"/>
                <w:lang w:val="pt-PT"/>
              </w:rPr>
              <w:t xml:space="preserve"> 2020</w:t>
            </w:r>
            <w:r w:rsidRPr="00D93129">
              <w:rPr>
                <w:b/>
                <w:sz w:val="22"/>
                <w:szCs w:val="22"/>
                <w:vertAlign w:val="superscript"/>
                <w:lang w:val="de-DE"/>
              </w:rPr>
              <w:footnoteReference w:id="1"/>
            </w:r>
          </w:p>
          <w:p w:rsidR="00EE1399" w:rsidRPr="00D93129" w:rsidRDefault="00EE1399" w:rsidP="00EE1399">
            <w:pPr>
              <w:ind w:right="1317"/>
              <w:jc w:val="both"/>
              <w:rPr>
                <w:b/>
                <w:sz w:val="22"/>
                <w:szCs w:val="22"/>
                <w:lang w:val="de-DE"/>
              </w:rPr>
            </w:pPr>
            <w:r w:rsidRPr="00D93129">
              <w:rPr>
                <w:b/>
                <w:sz w:val="22"/>
                <w:szCs w:val="22"/>
                <w:lang w:val="de-DE"/>
              </w:rPr>
              <w:t>2 Jahre</w:t>
            </w:r>
            <w:r w:rsidRPr="00D93129">
              <w:rPr>
                <w:b/>
                <w:sz w:val="22"/>
                <w:szCs w:val="22"/>
                <w:vertAlign w:val="superscript"/>
                <w:lang w:val="de-DE"/>
              </w:rPr>
              <w:t>1</w:t>
            </w:r>
          </w:p>
          <w:p w:rsidR="00EE1399" w:rsidRPr="00D93129" w:rsidRDefault="00EE1399" w:rsidP="00EE1399">
            <w:pPr>
              <w:ind w:right="1317"/>
              <w:jc w:val="both"/>
              <w:rPr>
                <w:b/>
                <w:sz w:val="22"/>
                <w:szCs w:val="22"/>
                <w:lang w:val="de-DE"/>
              </w:rPr>
            </w:pPr>
          </w:p>
          <w:p w:rsidR="0007548B" w:rsidRPr="0007548B" w:rsidRDefault="00EE1399" w:rsidP="00D93129">
            <w:pPr>
              <w:rPr>
                <w:lang w:val="de-DE"/>
              </w:rPr>
            </w:pPr>
            <w:r w:rsidRPr="00D93129">
              <w:rPr>
                <w:rFonts w:eastAsia="MS Minngs"/>
                <w:sz w:val="22"/>
                <w:szCs w:val="22"/>
                <w:lang w:val="fr-FR"/>
              </w:rPr>
              <w:sym w:font="Wingdings 2" w:char="F0A2"/>
            </w:r>
            <w:r w:rsidRPr="00D93129">
              <w:rPr>
                <w:rFonts w:eastAsia="MS Minngs"/>
                <w:bCs/>
                <w:sz w:val="22"/>
                <w:szCs w:val="22"/>
                <w:lang w:val="de-DE"/>
              </w:rPr>
              <w:t xml:space="preserve">   </w:t>
            </w:r>
            <w:r w:rsidRPr="00D93129">
              <w:rPr>
                <w:b/>
                <w:sz w:val="22"/>
                <w:szCs w:val="22"/>
                <w:lang w:val="de-DE"/>
              </w:rPr>
              <w:t>Brüssel</w:t>
            </w:r>
            <w:r w:rsidRPr="00D93129">
              <w:rPr>
                <w:b/>
                <w:sz w:val="22"/>
                <w:szCs w:val="22"/>
                <w:lang w:val="de-DE"/>
              </w:rPr>
              <w:tab/>
            </w:r>
            <w:r w:rsidRPr="00D93129">
              <w:rPr>
                <w:rFonts w:eastAsia="MS Minngs"/>
                <w:bCs/>
                <w:sz w:val="22"/>
                <w:szCs w:val="22"/>
                <w:lang w:val="fr-FR"/>
              </w:rPr>
              <w:sym w:font="Wingdings 2" w:char="F0A3"/>
            </w:r>
            <w:r w:rsidRPr="00D93129">
              <w:rPr>
                <w:rFonts w:eastAsia="MS Minngs"/>
                <w:bCs/>
                <w:sz w:val="22"/>
                <w:szCs w:val="22"/>
                <w:lang w:val="de-DE"/>
              </w:rPr>
              <w:t xml:space="preserve">   </w:t>
            </w:r>
            <w:r w:rsidRPr="00D93129">
              <w:rPr>
                <w:b/>
                <w:sz w:val="22"/>
                <w:szCs w:val="22"/>
                <w:lang w:val="de-DE"/>
              </w:rPr>
              <w:t xml:space="preserve">Luxemburg   </w:t>
            </w:r>
            <w:r w:rsidRPr="00D93129">
              <w:rPr>
                <w:rFonts w:eastAsia="MS Minngs"/>
                <w:bCs/>
                <w:sz w:val="22"/>
                <w:szCs w:val="22"/>
                <w:lang w:val="fr-FR"/>
              </w:rPr>
              <w:sym w:font="Wingdings 2" w:char="F0A3"/>
            </w:r>
            <w:r w:rsidRPr="00D93129">
              <w:rPr>
                <w:rFonts w:eastAsia="MS Minngs"/>
                <w:bCs/>
                <w:sz w:val="22"/>
                <w:szCs w:val="22"/>
                <w:lang w:val="de-DE"/>
              </w:rPr>
              <w:t xml:space="preserve"> </w:t>
            </w:r>
            <w:r w:rsidRPr="00D93129">
              <w:rPr>
                <w:b/>
                <w:sz w:val="22"/>
                <w:szCs w:val="22"/>
                <w:lang w:val="de-DE"/>
              </w:rPr>
              <w:t>Anderer:………</w:t>
            </w:r>
            <w:r w:rsidR="00D93129">
              <w:rPr>
                <w:b/>
                <w:sz w:val="22"/>
                <w:szCs w:val="22"/>
                <w:lang w:val="de-DE"/>
              </w:rPr>
              <w:t>…</w:t>
            </w:r>
            <w:r w:rsidRPr="00D93129">
              <w:rPr>
                <w:rFonts w:eastAsiaTheme="minorHAnsi"/>
                <w:sz w:val="22"/>
                <w:szCs w:val="22"/>
                <w:lang w:val="de-DE" w:eastAsia="en-IE"/>
              </w:rPr>
              <w:t xml:space="preserve">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2005218286" w:edGrp="everyone" w:colFirst="1" w:colLast="1"/>
            <w:permEnd w:id="2129754700"/>
          </w:p>
        </w:tc>
        <w:tc>
          <w:tcPr>
            <w:tcW w:w="5597" w:type="dxa"/>
            <w:tcBorders>
              <w:left w:val="single" w:sz="4" w:space="0" w:color="auto"/>
            </w:tcBorders>
            <w:vAlign w:val="center"/>
          </w:tcPr>
          <w:p w:rsidR="004E1C73" w:rsidRPr="00D93129" w:rsidRDefault="00EE1399" w:rsidP="006C5664">
            <w:pPr>
              <w:rPr>
                <w:lang w:val="de-DE"/>
              </w:rPr>
            </w:pPr>
            <w:r>
              <w:rPr>
                <w:rFonts w:eastAsia="MS Minngs"/>
                <w:lang w:val="fr-FR"/>
              </w:rPr>
              <w:sym w:font="Wingdings 2" w:char="F0A2"/>
            </w:r>
            <w:r>
              <w:rPr>
                <w:rFonts w:eastAsia="MS Minngs"/>
                <w:bCs/>
                <w:sz w:val="22"/>
                <w:szCs w:val="22"/>
                <w:lang w:val="de-DE"/>
              </w:rPr>
              <w:t xml:space="preserve">  </w:t>
            </w:r>
            <w:r>
              <w:rPr>
                <w:b/>
                <w:sz w:val="22"/>
                <w:szCs w:val="22"/>
                <w:lang w:val="de-DE"/>
              </w:rPr>
              <w:t xml:space="preserve">Mit Vergütungen   </w:t>
            </w:r>
            <w:r>
              <w:rPr>
                <w:rFonts w:eastAsia="MS Minngs"/>
                <w:bCs/>
                <w:sz w:val="22"/>
                <w:szCs w:val="22"/>
                <w:lang w:val="fr-FR"/>
              </w:rPr>
              <w:sym w:font="Wingdings 2" w:char="F0A3"/>
            </w:r>
            <w:r>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D93129" w:rsidRDefault="00D93129" w:rsidP="00D93129">
            <w:pPr>
              <w:rPr>
                <w:b/>
                <w:sz w:val="22"/>
                <w:szCs w:val="22"/>
                <w:lang w:val="de-DE"/>
              </w:rPr>
            </w:pPr>
            <w:permStart w:id="56719791" w:edGrp="everyone" w:colFirst="0" w:colLast="0"/>
            <w:permEnd w:id="2005218286"/>
            <w:r w:rsidRPr="00527871">
              <w:rPr>
                <w:b/>
                <w:sz w:val="22"/>
                <w:szCs w:val="22"/>
                <w:lang w:val="de-DE"/>
              </w:rPr>
              <w:t>Auf diese Stellenausschreibung können sich auch</w:t>
            </w:r>
          </w:p>
          <w:p w:rsidR="00D93129" w:rsidRPr="00527871" w:rsidRDefault="00D93129" w:rsidP="00D93129">
            <w:pPr>
              <w:rPr>
                <w:b/>
                <w:sz w:val="22"/>
                <w:szCs w:val="22"/>
                <w:lang w:val="de-DE"/>
              </w:rPr>
            </w:pPr>
          </w:p>
          <w:p w:rsidR="00D93129" w:rsidRPr="00527871" w:rsidRDefault="00D93129" w:rsidP="00D93129">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D93129" w:rsidRPr="00527871" w:rsidRDefault="00D93129" w:rsidP="00D93129">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EE1399" w:rsidRDefault="00D93129" w:rsidP="00D93129">
            <w:pPr>
              <w:rPr>
                <w:b/>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56719791"/>
    </w:tbl>
    <w:p w:rsidR="00AC55BD" w:rsidRPr="00AD37BB" w:rsidRDefault="00D93129">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EE1399" w:rsidRPr="00D93129" w:rsidRDefault="00EE1399" w:rsidP="00D93129">
      <w:pPr>
        <w:ind w:left="426" w:right="-2"/>
        <w:jc w:val="both"/>
        <w:rPr>
          <w:sz w:val="22"/>
          <w:szCs w:val="22"/>
          <w:lang w:val="de-DE"/>
        </w:rPr>
      </w:pPr>
      <w:permStart w:id="1859402858" w:edGrp="everyone"/>
      <w:r w:rsidRPr="00D93129">
        <w:rPr>
          <w:sz w:val="22"/>
          <w:szCs w:val="22"/>
          <w:lang w:val="de-DE"/>
        </w:rPr>
        <w:t>Das Referat HR.E.2 "Beschwerden und Verfahrensüberwachung“ der Europäischen Kommission ist ein dynamisches, effizientes und eingespieltes Team. Es besteht aus 10 Juristen und 7 Assistenten, die auf dem weitgefächerten und abwechslungsreichen Gebiet des europäischen öffentlichen Dienstrechts arbeiten und ein breites Spektrum von Fällen abdecken. In diesem Zusammenhang sind Offenheit, Kundenorientierung, exzellentes schriftliches Ausdrucksvermögen sowie die ausgeprägte Fähigkeit zum Zuhören gleichermaßen notwendige wie auch menschlich sehr bereichernde Charaktereigenschaften, um sich der vorprozessualen Phase dienstrechtlicher Streitigkeiten anzunehmen.</w:t>
      </w:r>
    </w:p>
    <w:p w:rsidR="00EE1399" w:rsidRPr="00D93129" w:rsidRDefault="00EE1399" w:rsidP="00D93129">
      <w:pPr>
        <w:ind w:left="426" w:right="-2"/>
        <w:jc w:val="both"/>
        <w:rPr>
          <w:b/>
          <w:sz w:val="22"/>
          <w:szCs w:val="22"/>
          <w:lang w:val="de-DE"/>
        </w:rPr>
      </w:pPr>
    </w:p>
    <w:p w:rsidR="00EE1399" w:rsidRPr="00D93129" w:rsidRDefault="00EE1399" w:rsidP="00D93129">
      <w:pPr>
        <w:ind w:left="426" w:right="-2"/>
        <w:jc w:val="both"/>
        <w:rPr>
          <w:sz w:val="22"/>
          <w:szCs w:val="22"/>
          <w:lang w:val="de-DE"/>
        </w:rPr>
      </w:pPr>
      <w:r w:rsidRPr="00D93129">
        <w:rPr>
          <w:sz w:val="22"/>
          <w:szCs w:val="22"/>
          <w:lang w:val="de-DE"/>
        </w:rPr>
        <w:t xml:space="preserve">Die maßgeblichen Verfahren sind verschiedenartig und interessant. Sie beginnen mit einer Beschwerde gegen eine Verwaltungsentscheidung oder einem Antrag auf Erlass einer Entscheidung. </w:t>
      </w:r>
    </w:p>
    <w:p w:rsidR="00EE1399" w:rsidRPr="00D93129" w:rsidRDefault="00EE1399" w:rsidP="00D93129">
      <w:pPr>
        <w:ind w:left="426" w:right="-2"/>
        <w:jc w:val="both"/>
        <w:rPr>
          <w:sz w:val="22"/>
          <w:szCs w:val="22"/>
          <w:lang w:val="de-DE"/>
        </w:rPr>
      </w:pPr>
    </w:p>
    <w:p w:rsidR="00EE1399" w:rsidRPr="00D93129" w:rsidRDefault="00EE1399" w:rsidP="00D93129">
      <w:pPr>
        <w:ind w:left="426" w:right="-2"/>
        <w:jc w:val="both"/>
        <w:rPr>
          <w:b/>
          <w:sz w:val="22"/>
          <w:szCs w:val="22"/>
          <w:lang w:val="de-DE"/>
        </w:rPr>
      </w:pPr>
      <w:r w:rsidRPr="00D93129">
        <w:rPr>
          <w:sz w:val="22"/>
          <w:szCs w:val="22"/>
          <w:lang w:val="de-DE"/>
        </w:rPr>
        <w:t>Das Referat HR.E.2 ist ferner zuständig für die Bearbeitung von Anträgen eines Beamten oder anderen Bediensteten auf Beistand gegen Handlungen Dritter, denen sie aufgrund ihrer Dienststellung oder ihres Amtes ausgesetzt sind. Diese Tätigkeit umfasst auch die Bearbeitung von Mobbingvorwürfen.</w:t>
      </w:r>
    </w:p>
    <w:p w:rsidR="00EE1399" w:rsidRPr="00D93129" w:rsidRDefault="00EE1399" w:rsidP="00D93129">
      <w:pPr>
        <w:ind w:left="426" w:right="-2"/>
        <w:jc w:val="both"/>
        <w:rPr>
          <w:b/>
          <w:sz w:val="22"/>
          <w:szCs w:val="22"/>
          <w:lang w:val="de-DE"/>
        </w:rPr>
      </w:pPr>
    </w:p>
    <w:p w:rsidR="00EE1399" w:rsidRDefault="00EE1399" w:rsidP="00D93129">
      <w:pPr>
        <w:ind w:left="426" w:right="-2"/>
        <w:jc w:val="both"/>
        <w:rPr>
          <w:b/>
          <w:sz w:val="20"/>
          <w:lang w:val="de-DE"/>
        </w:rPr>
      </w:pPr>
      <w:r w:rsidRPr="00D93129">
        <w:rPr>
          <w:sz w:val="22"/>
          <w:szCs w:val="22"/>
          <w:lang w:val="de-DE"/>
        </w:rPr>
        <w:t>Das Referat "Beschwerden und Verfahrensüberwachung" sucht eine(n) abgeordnete(n) nationale(n) Sachverständige(n) (ANS), dessen/deren Aufgabe es sein wird, selbständig die vorprozessualen Fälle zu analysieren und die Entscheidungsentwürfe zu verfassen und dabei gleichzeitig mit den anderen Mitgliedern des Teams eng zusammenzuarbeiten. Die Fallbearbeitung sowie die Erledigung sämtlicher damit verbundener Korrespondenz innerhalb der bestehenden Fristen sind wichtige Aufgaben, die der ausgewählten Person anvertraut werden. Eine zügige und präzise Arbeitsweise ist eine Schlüsselkompetenz für das Gelingen der Aufgab</w:t>
      </w:r>
      <w:r>
        <w:rPr>
          <w:sz w:val="20"/>
          <w:lang w:val="de-DE"/>
        </w:rPr>
        <w:t>en.</w:t>
      </w:r>
    </w:p>
    <w:permEnd w:id="1859402858"/>
    <w:p w:rsidR="00E83D1A" w:rsidRPr="005F324D" w:rsidRDefault="00E83D1A" w:rsidP="00E83D1A">
      <w:pPr>
        <w:tabs>
          <w:tab w:val="left" w:pos="426"/>
        </w:tabs>
        <w:rPr>
          <w:b/>
          <w:u w:val="single"/>
          <w:lang w:val="de-DE"/>
        </w:rPr>
      </w:pPr>
      <w:r w:rsidRPr="005F324D">
        <w:rPr>
          <w:b/>
          <w:lang w:val="de-DE"/>
        </w:rPr>
        <w:lastRenderedPageBreak/>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5F324D" w:rsidRDefault="00D93129" w:rsidP="00E83D1A">
      <w:pPr>
        <w:tabs>
          <w:tab w:val="left" w:pos="709"/>
        </w:tabs>
        <w:ind w:left="709" w:right="60"/>
        <w:jc w:val="both"/>
        <w:rPr>
          <w:sz w:val="22"/>
          <w:szCs w:val="22"/>
          <w:lang w:val="de-DE"/>
        </w:rPr>
      </w:pPr>
      <w:permStart w:id="2012943210" w:edGrp="everyone"/>
      <w:r>
        <w:rPr>
          <w:sz w:val="22"/>
          <w:szCs w:val="22"/>
          <w:lang w:val="de-DE"/>
        </w:rPr>
        <w:t xml:space="preserve">  </w:t>
      </w:r>
      <w:r w:rsidR="00EE1399">
        <w:rPr>
          <w:sz w:val="22"/>
          <w:szCs w:val="22"/>
          <w:lang w:val="de-DE"/>
        </w:rPr>
        <w:t>Rechtswissenschaften.</w:t>
      </w:r>
    </w:p>
    <w:p w:rsidR="00E83D1A" w:rsidRPr="005F324D" w:rsidRDefault="00E83D1A" w:rsidP="00E83D1A">
      <w:pPr>
        <w:tabs>
          <w:tab w:val="left" w:pos="709"/>
        </w:tabs>
        <w:ind w:left="709" w:right="60"/>
        <w:jc w:val="both"/>
        <w:rPr>
          <w:sz w:val="22"/>
          <w:szCs w:val="22"/>
          <w:lang w:val="de-DE"/>
        </w:rPr>
      </w:pPr>
    </w:p>
    <w:permEnd w:id="2012943210"/>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E1399" w:rsidRPr="00D93129" w:rsidRDefault="00EE1399" w:rsidP="00EE1399">
      <w:pPr>
        <w:tabs>
          <w:tab w:val="left" w:pos="709"/>
        </w:tabs>
        <w:ind w:left="709" w:right="60"/>
        <w:jc w:val="both"/>
        <w:rPr>
          <w:sz w:val="22"/>
          <w:szCs w:val="22"/>
          <w:u w:val="single"/>
          <w:lang w:val="de-DE"/>
        </w:rPr>
      </w:pPr>
      <w:permStart w:id="2132749341" w:edGrp="everyone"/>
      <w:r w:rsidRPr="00D93129">
        <w:rPr>
          <w:sz w:val="22"/>
          <w:szCs w:val="22"/>
          <w:lang w:val="de-DE"/>
        </w:rPr>
        <w:t>Mindestens ein Jahr im Bereich des öffentlichen Dienstrechts oder im Bereich der Justiz eines Mitgliedstaats</w:t>
      </w:r>
      <w:r w:rsidR="00D93129">
        <w:rPr>
          <w:sz w:val="22"/>
          <w:szCs w:val="22"/>
          <w:lang w:val="de-DE"/>
        </w:rPr>
        <w:t>.</w:t>
      </w:r>
      <w:bookmarkStart w:id="0" w:name="_GoBack"/>
      <w:bookmarkEnd w:id="0"/>
    </w:p>
    <w:p w:rsidR="00EE1399" w:rsidRPr="00D93129" w:rsidRDefault="00EE1399" w:rsidP="00EE1399">
      <w:pPr>
        <w:tabs>
          <w:tab w:val="left" w:pos="709"/>
        </w:tabs>
        <w:ind w:left="709" w:right="60"/>
        <w:jc w:val="both"/>
        <w:rPr>
          <w:sz w:val="22"/>
          <w:szCs w:val="22"/>
          <w:u w:val="single"/>
          <w:lang w:val="de-DE"/>
        </w:rPr>
      </w:pPr>
    </w:p>
    <w:p w:rsidR="00EE1399" w:rsidRPr="00D93129" w:rsidRDefault="00EE1399" w:rsidP="00EE1399">
      <w:pPr>
        <w:tabs>
          <w:tab w:val="left" w:pos="709"/>
        </w:tabs>
        <w:ind w:left="709" w:right="60"/>
        <w:jc w:val="both"/>
        <w:rPr>
          <w:sz w:val="22"/>
          <w:szCs w:val="22"/>
          <w:u w:val="single"/>
          <w:lang w:val="de-DE"/>
        </w:rPr>
      </w:pPr>
      <w:r w:rsidRPr="00D93129">
        <w:rPr>
          <w:sz w:val="22"/>
          <w:szCs w:val="22"/>
          <w:lang w:val="de-DE"/>
        </w:rPr>
        <w:t>Fähigkeit zur Arbeit in einem multikulturellen Umfeld und in einem Team</w:t>
      </w:r>
      <w:r w:rsidR="00D93129">
        <w:rPr>
          <w:sz w:val="22"/>
          <w:szCs w:val="22"/>
          <w:lang w:val="de-DE"/>
        </w:rPr>
        <w:t>.</w:t>
      </w:r>
    </w:p>
    <w:p w:rsidR="00E83D1A" w:rsidRPr="00D93129" w:rsidRDefault="00E83D1A" w:rsidP="00E83D1A">
      <w:pPr>
        <w:tabs>
          <w:tab w:val="left" w:pos="709"/>
        </w:tabs>
        <w:ind w:left="709" w:right="60"/>
        <w:jc w:val="both"/>
        <w:rPr>
          <w:sz w:val="22"/>
          <w:szCs w:val="22"/>
          <w:u w:val="single"/>
          <w:lang w:val="de-DE"/>
        </w:rPr>
      </w:pPr>
    </w:p>
    <w:permEnd w:id="2132749341"/>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E1399" w:rsidRPr="00D93129" w:rsidRDefault="00EE1399" w:rsidP="00EE1399">
      <w:pPr>
        <w:tabs>
          <w:tab w:val="left" w:pos="709"/>
        </w:tabs>
        <w:ind w:left="709" w:right="60"/>
        <w:jc w:val="both"/>
        <w:rPr>
          <w:sz w:val="22"/>
          <w:szCs w:val="22"/>
          <w:lang w:val="de-DE"/>
        </w:rPr>
      </w:pPr>
      <w:permStart w:id="507844092" w:edGrp="everyone"/>
      <w:r w:rsidRPr="00D93129">
        <w:rPr>
          <w:sz w:val="22"/>
          <w:szCs w:val="22"/>
          <w:lang w:val="de-DE"/>
        </w:rPr>
        <w:t xml:space="preserve">Englisch </w:t>
      </w:r>
      <w:r w:rsidR="00D93129">
        <w:rPr>
          <w:sz w:val="22"/>
          <w:szCs w:val="22"/>
          <w:lang w:val="de-DE"/>
        </w:rPr>
        <w:t>und/</w:t>
      </w:r>
      <w:r w:rsidRPr="00D93129">
        <w:rPr>
          <w:sz w:val="22"/>
          <w:szCs w:val="22"/>
          <w:lang w:val="de-DE"/>
        </w:rPr>
        <w:t>oder Französisch</w:t>
      </w:r>
      <w:r w:rsidR="00D93129">
        <w:rPr>
          <w:sz w:val="22"/>
          <w:szCs w:val="22"/>
          <w:lang w:val="de-DE"/>
        </w:rPr>
        <w:t xml:space="preserve"> und/oder Deutsch.</w:t>
      </w:r>
    </w:p>
    <w:p w:rsidR="00E83D1A" w:rsidRPr="005F324D" w:rsidRDefault="00E83D1A" w:rsidP="00E83D1A">
      <w:pPr>
        <w:tabs>
          <w:tab w:val="left" w:pos="709"/>
        </w:tabs>
        <w:ind w:left="709" w:right="60"/>
        <w:jc w:val="both"/>
        <w:rPr>
          <w:sz w:val="22"/>
          <w:szCs w:val="22"/>
          <w:lang w:val="de-DE"/>
        </w:rPr>
      </w:pPr>
    </w:p>
    <w:permEnd w:id="507844092"/>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9"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1"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2"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3"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w:t>
      </w:r>
      <w:r w:rsidRPr="00054396">
        <w:rPr>
          <w:sz w:val="22"/>
          <w:szCs w:val="22"/>
          <w:lang w:val="de-DE"/>
        </w:rPr>
        <w:lastRenderedPageBreak/>
        <w:t xml:space="preserve">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EE1399" w:rsidRDefault="00EE1399" w:rsidP="00EE1399">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34042"/>
    <w:rsid w:val="005F324D"/>
    <w:rsid w:val="006C5664"/>
    <w:rsid w:val="00753946"/>
    <w:rsid w:val="007E0E61"/>
    <w:rsid w:val="00817929"/>
    <w:rsid w:val="00AB667F"/>
    <w:rsid w:val="00AD37BB"/>
    <w:rsid w:val="00BC14A5"/>
    <w:rsid w:val="00CB43F6"/>
    <w:rsid w:val="00CF677F"/>
    <w:rsid w:val="00D93129"/>
    <w:rsid w:val="00DE62D4"/>
    <w:rsid w:val="00E83D1A"/>
    <w:rsid w:val="00EE13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7927">
      <w:bodyDiv w:val="1"/>
      <w:marLeft w:val="0"/>
      <w:marRight w:val="0"/>
      <w:marTop w:val="0"/>
      <w:marBottom w:val="0"/>
      <w:divBdr>
        <w:top w:val="none" w:sz="0" w:space="0" w:color="auto"/>
        <w:left w:val="none" w:sz="0" w:space="0" w:color="auto"/>
        <w:bottom w:val="none" w:sz="0" w:space="0" w:color="auto"/>
        <w:right w:val="none" w:sz="0" w:space="0" w:color="auto"/>
      </w:divBdr>
    </w:div>
    <w:div w:id="741215740">
      <w:bodyDiv w:val="1"/>
      <w:marLeft w:val="0"/>
      <w:marRight w:val="0"/>
      <w:marTop w:val="0"/>
      <w:marBottom w:val="0"/>
      <w:divBdr>
        <w:top w:val="none" w:sz="0" w:space="0" w:color="auto"/>
        <w:left w:val="none" w:sz="0" w:space="0" w:color="auto"/>
        <w:bottom w:val="none" w:sz="0" w:space="0" w:color="auto"/>
        <w:right w:val="none" w:sz="0" w:space="0" w:color="auto"/>
      </w:divBdr>
    </w:div>
    <w:div w:id="1021394014">
      <w:bodyDiv w:val="1"/>
      <w:marLeft w:val="0"/>
      <w:marRight w:val="0"/>
      <w:marTop w:val="0"/>
      <w:marBottom w:val="0"/>
      <w:divBdr>
        <w:top w:val="none" w:sz="0" w:space="0" w:color="auto"/>
        <w:left w:val="none" w:sz="0" w:space="0" w:color="auto"/>
        <w:bottom w:val="none" w:sz="0" w:space="0" w:color="auto"/>
        <w:right w:val="none" w:sz="0" w:space="0" w:color="auto"/>
      </w:divBdr>
    </w:div>
    <w:div w:id="1500735400">
      <w:bodyDiv w:val="1"/>
      <w:marLeft w:val="0"/>
      <w:marRight w:val="0"/>
      <w:marTop w:val="0"/>
      <w:marBottom w:val="0"/>
      <w:divBdr>
        <w:top w:val="none" w:sz="0" w:space="0" w:color="auto"/>
        <w:left w:val="none" w:sz="0" w:space="0" w:color="auto"/>
        <w:bottom w:val="none" w:sz="0" w:space="0" w:color="auto"/>
        <w:right w:val="none" w:sz="0" w:space="0" w:color="auto"/>
      </w:divBdr>
    </w:div>
    <w:div w:id="19633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de.htm" TargetMode="External"/><Relationship Id="rId4" Type="http://schemas.openxmlformats.org/officeDocument/2006/relationships/settings" Target="settings.xml"/><Relationship Id="rId9" Type="http://schemas.openxmlformats.org/officeDocument/2006/relationships/hyperlink" Target="http://europass.cedefop.europa.eu/de/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8253</Characters>
  <Application>Microsoft Office Word</Application>
  <DocSecurity>12</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2019-10-10T15:03:00Z</dcterms:created>
  <dcterms:modified xsi:type="dcterms:W3CDTF">2019-10-10T15:03:00Z</dcterms:modified>
</cp:coreProperties>
</file>