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786018850"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786018850"/>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991715982"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9E7A92" w:rsidRPr="007B6DD5" w:rsidRDefault="009E7A92" w:rsidP="004E1C73">
            <w:pPr>
              <w:rPr>
                <w:b/>
                <w:lang w:val="de-DE"/>
              </w:rPr>
            </w:pPr>
            <w:r w:rsidRPr="009E7A92">
              <w:rPr>
                <w:b/>
                <w:lang w:val="de-DE"/>
              </w:rPr>
              <w:t>TAXUD-D-2</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900732733" w:edGrp="everyone" w:colFirst="1" w:colLast="1"/>
            <w:permEnd w:id="1991715982"/>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5C6B7B" w:rsidRPr="007B6DD5" w:rsidRDefault="005C6B7B" w:rsidP="005C6B7B">
            <w:pPr>
              <w:ind w:right="1317"/>
              <w:jc w:val="both"/>
              <w:rPr>
                <w:b/>
                <w:sz w:val="22"/>
                <w:szCs w:val="22"/>
                <w:lang w:val="sv-SE"/>
              </w:rPr>
            </w:pPr>
            <w:r w:rsidRPr="007B6DD5">
              <w:rPr>
                <w:b/>
                <w:sz w:val="22"/>
                <w:szCs w:val="22"/>
                <w:lang w:val="sv-SE"/>
              </w:rPr>
              <w:t>Tom NEALE</w:t>
            </w:r>
          </w:p>
          <w:p w:rsidR="005C6B7B" w:rsidRPr="007B6DD5" w:rsidRDefault="007B6DD5" w:rsidP="005C6B7B">
            <w:pPr>
              <w:ind w:right="1317"/>
              <w:jc w:val="both"/>
              <w:rPr>
                <w:b/>
                <w:sz w:val="22"/>
                <w:szCs w:val="22"/>
                <w:lang w:val="sv-SE"/>
              </w:rPr>
            </w:pPr>
            <w:hyperlink r:id="rId9" w:history="1">
              <w:r w:rsidRPr="0043317D">
                <w:rPr>
                  <w:rStyle w:val="Hyperlink"/>
                  <w:b/>
                  <w:sz w:val="22"/>
                  <w:szCs w:val="22"/>
                  <w:lang w:val="sv-SE"/>
                </w:rPr>
                <w:t>Thomas.Neale@ec.europa.eu</w:t>
              </w:r>
            </w:hyperlink>
            <w:r>
              <w:rPr>
                <w:b/>
                <w:sz w:val="22"/>
                <w:szCs w:val="22"/>
                <w:lang w:val="sv-SE"/>
              </w:rPr>
              <w:t xml:space="preserve"> </w:t>
            </w:r>
          </w:p>
          <w:p w:rsidR="005C6B7B" w:rsidRPr="006211C0" w:rsidRDefault="005C6B7B" w:rsidP="005C6B7B">
            <w:pPr>
              <w:ind w:right="1317"/>
              <w:jc w:val="both"/>
              <w:rPr>
                <w:b/>
                <w:sz w:val="22"/>
                <w:szCs w:val="22"/>
                <w:lang w:val="de-DE"/>
              </w:rPr>
            </w:pPr>
            <w:r w:rsidRPr="006211C0">
              <w:rPr>
                <w:b/>
                <w:sz w:val="22"/>
                <w:szCs w:val="22"/>
                <w:lang w:val="de-DE"/>
              </w:rPr>
              <w:t>+32 2 2954705</w:t>
            </w:r>
          </w:p>
          <w:p w:rsidR="005C6B7B" w:rsidRPr="006211C0" w:rsidRDefault="005C6B7B" w:rsidP="005C6B7B">
            <w:pPr>
              <w:ind w:right="1317"/>
              <w:jc w:val="both"/>
              <w:rPr>
                <w:b/>
                <w:sz w:val="22"/>
                <w:szCs w:val="22"/>
                <w:lang w:val="de-DE"/>
              </w:rPr>
            </w:pPr>
            <w:r w:rsidRPr="006211C0">
              <w:rPr>
                <w:b/>
                <w:sz w:val="22"/>
                <w:szCs w:val="22"/>
                <w:lang w:val="de-DE"/>
              </w:rPr>
              <w:t>1</w:t>
            </w:r>
          </w:p>
          <w:p w:rsidR="005C6B7B" w:rsidRDefault="005C6B7B" w:rsidP="005C6B7B">
            <w:pPr>
              <w:ind w:left="34" w:right="1317"/>
              <w:jc w:val="both"/>
              <w:rPr>
                <w:b/>
                <w:sz w:val="22"/>
                <w:szCs w:val="22"/>
                <w:lang w:val="de-DE"/>
              </w:rPr>
            </w:pPr>
          </w:p>
          <w:p w:rsidR="005C6B7B" w:rsidRDefault="005C6B7B" w:rsidP="005C6B7B">
            <w:pPr>
              <w:ind w:left="34" w:right="1317"/>
              <w:jc w:val="both"/>
              <w:rPr>
                <w:b/>
                <w:sz w:val="22"/>
                <w:szCs w:val="22"/>
                <w:lang w:val="de-DE"/>
              </w:rPr>
            </w:pPr>
            <w:r w:rsidRPr="006211C0">
              <w:rPr>
                <w:b/>
                <w:sz w:val="22"/>
                <w:szCs w:val="22"/>
                <w:lang w:val="de-DE"/>
              </w:rPr>
              <w:t xml:space="preserve">1. </w:t>
            </w:r>
            <w:r>
              <w:rPr>
                <w:b/>
                <w:sz w:val="22"/>
                <w:szCs w:val="22"/>
                <w:lang w:val="de-DE"/>
              </w:rPr>
              <w:t>Quartal</w:t>
            </w:r>
            <w:r w:rsidRPr="006211C0">
              <w:rPr>
                <w:b/>
                <w:sz w:val="22"/>
                <w:szCs w:val="22"/>
                <w:lang w:val="de-DE"/>
              </w:rPr>
              <w:t xml:space="preserve"> 2020</w:t>
            </w:r>
            <w:r w:rsidRPr="002723A8">
              <w:rPr>
                <w:b/>
                <w:sz w:val="22"/>
                <w:szCs w:val="22"/>
                <w:vertAlign w:val="superscript"/>
              </w:rPr>
              <w:footnoteReference w:id="1"/>
            </w:r>
          </w:p>
          <w:p w:rsidR="005C6B7B" w:rsidRPr="006211C0" w:rsidRDefault="005C6B7B" w:rsidP="005C6B7B">
            <w:pPr>
              <w:ind w:right="1317"/>
              <w:jc w:val="both"/>
              <w:rPr>
                <w:b/>
                <w:sz w:val="22"/>
                <w:szCs w:val="22"/>
                <w:lang w:val="de-DE"/>
              </w:rPr>
            </w:pPr>
            <w:r w:rsidRPr="006211C0">
              <w:rPr>
                <w:b/>
                <w:sz w:val="22"/>
                <w:szCs w:val="22"/>
                <w:lang w:val="de-DE"/>
              </w:rPr>
              <w:t xml:space="preserve">2 </w:t>
            </w:r>
            <w:r>
              <w:rPr>
                <w:b/>
                <w:sz w:val="22"/>
                <w:szCs w:val="22"/>
                <w:lang w:val="de-DE"/>
              </w:rPr>
              <w:t>Jahre</w:t>
            </w:r>
            <w:r w:rsidRPr="006211C0">
              <w:rPr>
                <w:b/>
                <w:sz w:val="22"/>
                <w:szCs w:val="22"/>
                <w:vertAlign w:val="superscript"/>
                <w:lang w:val="de-DE"/>
              </w:rPr>
              <w:t>1</w:t>
            </w:r>
          </w:p>
          <w:p w:rsidR="0007548B" w:rsidRPr="0007548B" w:rsidRDefault="0007548B" w:rsidP="0007548B">
            <w:pPr>
              <w:ind w:right="1317"/>
              <w:jc w:val="both"/>
              <w:rPr>
                <w:b/>
                <w:sz w:val="22"/>
                <w:szCs w:val="22"/>
                <w:lang w:val="de-DE"/>
              </w:rPr>
            </w:pPr>
          </w:p>
          <w:p w:rsidR="0007548B" w:rsidRPr="0007548B" w:rsidRDefault="005C6B7B" w:rsidP="0007548B">
            <w:pPr>
              <w:rPr>
                <w:lang w:val="de-DE"/>
              </w:rPr>
            </w:pPr>
            <w:r w:rsidRPr="007B6DD5">
              <w:rPr>
                <w:rFonts w:eastAsia="MS Minngs"/>
                <w:b/>
                <w:bCs/>
                <w:sz w:val="22"/>
                <w:szCs w:val="22"/>
                <w:lang w:val="de-DE"/>
              </w:rPr>
              <w:t>X</w:t>
            </w:r>
            <w:r w:rsidR="0007548B">
              <w:rPr>
                <w:rFonts w:eastAsia="MS Minngs"/>
                <w:bCs/>
                <w:sz w:val="22"/>
                <w:szCs w:val="22"/>
                <w:lang w:val="de-DE"/>
              </w:rPr>
              <w:t xml:space="preserve">   </w:t>
            </w:r>
            <w:r w:rsidR="0007548B" w:rsidRPr="0007548B">
              <w:rPr>
                <w:b/>
                <w:sz w:val="22"/>
                <w:szCs w:val="22"/>
                <w:lang w:val="de-DE"/>
              </w:rPr>
              <w:t>Brüssel</w:t>
            </w:r>
            <w:r w:rsidR="0007548B" w:rsidRPr="0007548B">
              <w:rPr>
                <w:b/>
                <w:sz w:val="22"/>
                <w:szCs w:val="22"/>
                <w:lang w:val="de-DE"/>
              </w:rPr>
              <w:tab/>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Luxemburg</w:t>
            </w:r>
            <w:r w:rsidR="0007548B">
              <w:rPr>
                <w:b/>
                <w:sz w:val="22"/>
                <w:szCs w:val="22"/>
                <w:lang w:val="de-DE"/>
              </w:rPr>
              <w:t xml:space="preserve">   </w:t>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Anderer:………</w:t>
            </w:r>
            <w:r w:rsidR="0007548B">
              <w:rPr>
                <w:b/>
                <w:sz w:val="22"/>
                <w:szCs w:val="22"/>
                <w:lang w:val="de-DE"/>
              </w:rPr>
              <w:t>…</w:t>
            </w:r>
            <w:r w:rsidR="0007548B" w:rsidRPr="0007548B">
              <w:rPr>
                <w:b/>
                <w:sz w:val="22"/>
                <w:szCs w:val="22"/>
                <w:lang w:val="de-DE"/>
              </w:rPr>
              <w:t>..</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512119420" w:edGrp="everyone" w:colFirst="1" w:colLast="1"/>
            <w:permEnd w:id="900732733"/>
          </w:p>
        </w:tc>
        <w:tc>
          <w:tcPr>
            <w:tcW w:w="5597" w:type="dxa"/>
            <w:tcBorders>
              <w:left w:val="single" w:sz="4" w:space="0" w:color="auto"/>
            </w:tcBorders>
            <w:vAlign w:val="center"/>
          </w:tcPr>
          <w:p w:rsidR="004E1C73" w:rsidRPr="007B6DD5" w:rsidRDefault="007B6DD5" w:rsidP="006C5664">
            <w:pPr>
              <w:rPr>
                <w:lang w:val="de-DE"/>
              </w:rPr>
            </w:pPr>
            <w:r w:rsidRPr="007B6DD5">
              <w:rPr>
                <w:rFonts w:eastAsia="MS Minngs"/>
                <w:b/>
                <w:bCs/>
                <w:sz w:val="22"/>
                <w:szCs w:val="22"/>
                <w:lang w:val="de-DE"/>
              </w:rPr>
              <w:t>X</w:t>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886071920" w:edGrp="everyone" w:colFirst="0" w:colLast="0"/>
            <w:permEnd w:id="512119420"/>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886071920"/>
    </w:tbl>
    <w:p w:rsidR="00AC55BD" w:rsidRPr="00AD37BB" w:rsidRDefault="007B6DD5">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F73D2B" w:rsidRPr="000569F2" w:rsidRDefault="00F73D2B" w:rsidP="007B6DD5">
      <w:pPr>
        <w:suppressAutoHyphens/>
        <w:ind w:left="426" w:right="295"/>
        <w:jc w:val="both"/>
        <w:rPr>
          <w:sz w:val="22"/>
          <w:szCs w:val="22"/>
          <w:lang w:val="de-AT"/>
        </w:rPr>
      </w:pPr>
      <w:permStart w:id="1629190988" w:edGrp="everyone"/>
      <w:r w:rsidRPr="000569F2">
        <w:rPr>
          <w:sz w:val="22"/>
          <w:szCs w:val="22"/>
          <w:lang w:val="de-AT"/>
        </w:rPr>
        <w:t xml:space="preserve">Als Mitglied unseres Referats tragen Sie zur Gestaltung verschiedener direkter steuerpolitischer Maßnahmen innerhalb und außerhalb der Kommission bei. Unser Team ist in verschiedenen internationalen steuerpolitischen Dossiers aktiv, darunter Unternehmensbesteuerung, Verwaltungszusammenarbeit, Informationsaustausch, gemeinsame Steuerprüfungen, Streitbeilegung, Steuerabkommen, Verrechnungspreise, Grenzüberschreitende Prüfung der Einhaltung von Steuervorschriften durch die Steuerzahler und deren Identifizierung. </w:t>
      </w:r>
    </w:p>
    <w:p w:rsidR="00F73D2B" w:rsidRPr="000569F2" w:rsidRDefault="00F73D2B" w:rsidP="007B6DD5">
      <w:pPr>
        <w:suppressAutoHyphens/>
        <w:ind w:left="426" w:right="295"/>
        <w:jc w:val="both"/>
        <w:rPr>
          <w:sz w:val="22"/>
          <w:szCs w:val="22"/>
          <w:lang w:val="de-AT"/>
        </w:rPr>
      </w:pPr>
    </w:p>
    <w:p w:rsidR="00F73D2B" w:rsidRPr="000569F2" w:rsidRDefault="00F73D2B" w:rsidP="007B6DD5">
      <w:pPr>
        <w:suppressAutoHyphens/>
        <w:ind w:left="426" w:right="295"/>
        <w:jc w:val="both"/>
        <w:rPr>
          <w:sz w:val="22"/>
          <w:szCs w:val="22"/>
          <w:lang w:val="de-AT"/>
        </w:rPr>
      </w:pPr>
      <w:r w:rsidRPr="000569F2">
        <w:rPr>
          <w:sz w:val="22"/>
          <w:szCs w:val="22"/>
          <w:lang w:val="de-AT"/>
        </w:rPr>
        <w:t>Die ausgeschriebene Stelle erfordert Berufserfahrung in der Regierung, Verwaltung oder einer Regulierungsbehörde sowie die Fähigkeit, komplexe technische und politische Herausforderungen zu bewältigen.</w:t>
      </w:r>
    </w:p>
    <w:p w:rsidR="00E83D1A" w:rsidRPr="00F73D2B" w:rsidRDefault="00E83D1A" w:rsidP="007B6DD5">
      <w:pPr>
        <w:ind w:left="426"/>
        <w:rPr>
          <w:sz w:val="22"/>
          <w:szCs w:val="22"/>
          <w:lang w:val="de-AT"/>
        </w:rPr>
      </w:pPr>
    </w:p>
    <w:p w:rsidR="00F73D2B" w:rsidRDefault="00F73D2B" w:rsidP="007B6DD5">
      <w:pPr>
        <w:suppressAutoHyphens/>
        <w:ind w:left="426" w:right="295"/>
        <w:jc w:val="both"/>
        <w:rPr>
          <w:sz w:val="22"/>
          <w:szCs w:val="22"/>
          <w:lang w:val="de-AT"/>
        </w:rPr>
      </w:pPr>
      <w:r w:rsidRPr="000569F2">
        <w:rPr>
          <w:sz w:val="22"/>
          <w:szCs w:val="22"/>
          <w:lang w:val="de-AT"/>
        </w:rPr>
        <w:t>Die Zuständigkeiten können je nach Ihrem spezifischen Profil variieren, aber im Allgemeinen werden Sie in folgenden Bereichen tätig sein:</w:t>
      </w:r>
    </w:p>
    <w:p w:rsidR="007B6DD5" w:rsidRPr="000569F2" w:rsidRDefault="007B6DD5" w:rsidP="007B6DD5">
      <w:pPr>
        <w:suppressAutoHyphens/>
        <w:ind w:left="426" w:right="295"/>
        <w:jc w:val="both"/>
        <w:rPr>
          <w:sz w:val="22"/>
          <w:szCs w:val="22"/>
          <w:lang w:val="de-AT"/>
        </w:rPr>
      </w:pPr>
    </w:p>
    <w:p w:rsidR="00F73D2B" w:rsidRPr="000569F2" w:rsidRDefault="00F73D2B" w:rsidP="007B6DD5">
      <w:pPr>
        <w:numPr>
          <w:ilvl w:val="0"/>
          <w:numId w:val="3"/>
        </w:numPr>
        <w:tabs>
          <w:tab w:val="left" w:pos="10206"/>
        </w:tabs>
        <w:suppressAutoHyphens/>
        <w:ind w:right="-2" w:hanging="294"/>
        <w:jc w:val="both"/>
        <w:rPr>
          <w:sz w:val="22"/>
          <w:szCs w:val="22"/>
          <w:lang w:val="de-AT"/>
        </w:rPr>
      </w:pPr>
      <w:r w:rsidRPr="000569F2">
        <w:rPr>
          <w:sz w:val="22"/>
          <w:szCs w:val="22"/>
          <w:lang w:val="de-AT"/>
        </w:rPr>
        <w:t>Erstellung und Bearbeitung direkter steuerpolitischer Dossiers in allen Bereichen, in denen unser Referat tätig ist: Unternehmensbesteuerung, Verwaltungszusammenarbeit, Informationsaustausch, gemeinsame Steuerprüfungen, Streitbeilegung, Steuerabkommen, Grenzüberschreitende Prüfung der Einhaltung von</w:t>
      </w:r>
      <w:r w:rsidRPr="00F73D2B">
        <w:rPr>
          <w:sz w:val="22"/>
          <w:szCs w:val="22"/>
          <w:lang w:val="de-AT"/>
        </w:rPr>
        <w:t xml:space="preserve"> </w:t>
      </w:r>
      <w:r w:rsidRPr="000569F2">
        <w:rPr>
          <w:sz w:val="22"/>
          <w:szCs w:val="22"/>
          <w:lang w:val="de-AT"/>
        </w:rPr>
        <w:t>Steuervorschriften durch die Steuerzahler und deren Identifizierung.</w:t>
      </w:r>
    </w:p>
    <w:p w:rsidR="00F73D2B" w:rsidRPr="000569F2" w:rsidRDefault="00F73D2B" w:rsidP="007B6DD5">
      <w:pPr>
        <w:numPr>
          <w:ilvl w:val="0"/>
          <w:numId w:val="3"/>
        </w:numPr>
        <w:tabs>
          <w:tab w:val="left" w:pos="10206"/>
        </w:tabs>
        <w:suppressAutoHyphens/>
        <w:ind w:right="-2" w:hanging="294"/>
        <w:jc w:val="both"/>
        <w:rPr>
          <w:sz w:val="22"/>
          <w:szCs w:val="22"/>
          <w:lang w:val="de-AT"/>
        </w:rPr>
      </w:pPr>
      <w:r w:rsidRPr="000569F2">
        <w:rPr>
          <w:sz w:val="22"/>
          <w:szCs w:val="22"/>
          <w:lang w:val="de-AT"/>
        </w:rPr>
        <w:t>Sich direkt mit politischen Entscheidungsträgern in den Mitgliedstaaten, der Kommission und anderen Organisationen (hauptsächlich der OECD) und anderen Interessenträgern über auftretende Herausforderungen zu befassen.</w:t>
      </w:r>
      <w:r>
        <w:rPr>
          <w:rStyle w:val="FootnoteReference"/>
          <w:sz w:val="22"/>
          <w:szCs w:val="22"/>
          <w:lang w:val="de-AT"/>
        </w:rPr>
        <w:footnoteReference w:id="2"/>
      </w:r>
    </w:p>
    <w:p w:rsidR="00E83D1A" w:rsidRPr="00F73D2B" w:rsidRDefault="00F73D2B" w:rsidP="007B6DD5">
      <w:pPr>
        <w:numPr>
          <w:ilvl w:val="0"/>
          <w:numId w:val="3"/>
        </w:numPr>
        <w:tabs>
          <w:tab w:val="left" w:pos="10206"/>
        </w:tabs>
        <w:suppressAutoHyphens/>
        <w:ind w:right="-2" w:hanging="294"/>
        <w:jc w:val="both"/>
        <w:rPr>
          <w:sz w:val="22"/>
          <w:szCs w:val="22"/>
          <w:lang w:val="de-DE"/>
        </w:rPr>
      </w:pPr>
      <w:r w:rsidRPr="000569F2">
        <w:rPr>
          <w:sz w:val="22"/>
          <w:szCs w:val="22"/>
          <w:lang w:val="de-AT"/>
        </w:rPr>
        <w:lastRenderedPageBreak/>
        <w:t>Zusammenarbeit als Mitglied von Teams aus mehreren Referaten im Rahmen der Entwicklung und Bereitstellung anderer Projekte, die für die GD TAXUD und die Kommission von Bedeutung sind (z. B. Europäisches Semester)</w:t>
      </w:r>
      <w:r w:rsidR="007B6DD5">
        <w:rPr>
          <w:sz w:val="22"/>
          <w:szCs w:val="22"/>
          <w:lang w:val="de-AT"/>
        </w:rPr>
        <w:t>.</w:t>
      </w:r>
    </w:p>
    <w:p w:rsidR="00E83D1A" w:rsidRPr="005F324D" w:rsidRDefault="00E83D1A">
      <w:pPr>
        <w:rPr>
          <w:sz w:val="22"/>
          <w:szCs w:val="22"/>
          <w:lang w:val="de-DE"/>
        </w:rPr>
      </w:pPr>
    </w:p>
    <w:permEnd w:id="1629190988"/>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7B6DD5" w:rsidRDefault="007B6DD5" w:rsidP="00F73D2B">
      <w:pPr>
        <w:tabs>
          <w:tab w:val="left" w:pos="709"/>
        </w:tabs>
        <w:ind w:left="709" w:right="60"/>
        <w:jc w:val="both"/>
        <w:rPr>
          <w:sz w:val="22"/>
          <w:szCs w:val="22"/>
          <w:lang w:val="de-DE"/>
        </w:rPr>
      </w:pPr>
      <w:permStart w:id="843061553" w:edGrp="everyone"/>
      <w:r>
        <w:rPr>
          <w:sz w:val="22"/>
          <w:szCs w:val="22"/>
          <w:lang w:val="de-DE"/>
        </w:rPr>
        <w:t xml:space="preserve">  </w:t>
      </w:r>
      <w:r w:rsidR="00F73D2B" w:rsidRPr="007B6DD5">
        <w:rPr>
          <w:sz w:val="22"/>
          <w:szCs w:val="22"/>
          <w:lang w:val="de-DE"/>
        </w:rPr>
        <w:t>Betriebswirtschaftliche Steuerlehre; Steuerrecht</w:t>
      </w:r>
    </w:p>
    <w:p w:rsidR="006C5664" w:rsidRPr="005F324D" w:rsidRDefault="006C5664" w:rsidP="00E83D1A">
      <w:pPr>
        <w:tabs>
          <w:tab w:val="left" w:pos="709"/>
        </w:tabs>
        <w:ind w:left="709" w:right="60"/>
        <w:jc w:val="both"/>
        <w:rPr>
          <w:sz w:val="22"/>
          <w:szCs w:val="22"/>
          <w:lang w:val="de-DE"/>
        </w:rPr>
      </w:pPr>
    </w:p>
    <w:permEnd w:id="843061553"/>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F73D2B" w:rsidRPr="00AA19F4" w:rsidRDefault="00F73D2B" w:rsidP="00F73D2B">
      <w:pPr>
        <w:tabs>
          <w:tab w:val="left" w:pos="709"/>
        </w:tabs>
        <w:ind w:left="709" w:right="60"/>
        <w:jc w:val="both"/>
        <w:rPr>
          <w:sz w:val="22"/>
          <w:szCs w:val="22"/>
          <w:lang w:val="de-AT"/>
        </w:rPr>
      </w:pPr>
      <w:permStart w:id="1872325945" w:edGrp="everyone"/>
      <w:r w:rsidRPr="00AA19F4">
        <w:rPr>
          <w:sz w:val="22"/>
          <w:szCs w:val="22"/>
          <w:lang w:val="de-DE"/>
        </w:rPr>
        <w:t xml:space="preserve">Mindestens drei Jahre Erfahrung im Bereich der direkten Steuerpolitik, in einem oder mehreren der folgenden Bereiche, in denen das Referat tätig ist: Unternehmensbesteuerung, </w:t>
      </w:r>
      <w:r w:rsidRPr="00AA19F4">
        <w:rPr>
          <w:sz w:val="22"/>
          <w:szCs w:val="22"/>
          <w:lang w:val="de-AT"/>
        </w:rPr>
        <w:t xml:space="preserve">Verwaltungszusammenarbeit, Informationsaustausch, gemeinsame Steuerprüfungen, Streitbeilegung, Steuerabkommen, Verrechnungspreise, Grenzüberschreitende Prüfung der Einhaltung von Steuervorschriften durch die Steuerzahler und deren Identifizierung, Datenschutz der Steuerzahler, Steuerpolitik und Maßnahmen zur Bekämpfung der Geldwäsche. </w:t>
      </w:r>
    </w:p>
    <w:p w:rsidR="00E83D1A" w:rsidRPr="00AA19F4" w:rsidRDefault="00E83D1A" w:rsidP="00E83D1A">
      <w:pPr>
        <w:tabs>
          <w:tab w:val="left" w:pos="709"/>
        </w:tabs>
        <w:ind w:left="709" w:right="60"/>
        <w:jc w:val="both"/>
        <w:rPr>
          <w:sz w:val="22"/>
          <w:szCs w:val="22"/>
          <w:lang w:val="de-AT"/>
        </w:rPr>
      </w:pPr>
    </w:p>
    <w:p w:rsidR="00F73D2B" w:rsidRPr="00AA19F4" w:rsidRDefault="00F73D2B" w:rsidP="00F73D2B">
      <w:pPr>
        <w:tabs>
          <w:tab w:val="left" w:pos="709"/>
        </w:tabs>
        <w:ind w:left="709" w:right="60"/>
        <w:jc w:val="both"/>
        <w:rPr>
          <w:sz w:val="22"/>
          <w:szCs w:val="22"/>
          <w:lang w:val="de-AT"/>
        </w:rPr>
      </w:pPr>
      <w:r w:rsidRPr="00AA19F4">
        <w:rPr>
          <w:sz w:val="22"/>
          <w:szCs w:val="22"/>
          <w:lang w:val="de-AT"/>
        </w:rPr>
        <w:t>Die erfolgreichen Bewerber/innen sind aufgeschlossen, haben gute analytische, organisatorische, kommunikative und redaktionelle Kompetenz in englischer Sprache und arbeiten gerne in einem multidisziplinären Team. Er/sie ist in der Lage, bei der Lösung komplexer technischer Fragen einen kreativen Ansatz zu wählen. Weitere Informationen über den Arbeitsbereich finden Sie auf den Webseiten der GD:</w:t>
      </w:r>
    </w:p>
    <w:p w:rsidR="00F73D2B" w:rsidRPr="00F73D2B" w:rsidRDefault="007B6DD5" w:rsidP="00F73D2B">
      <w:pPr>
        <w:tabs>
          <w:tab w:val="left" w:pos="709"/>
        </w:tabs>
        <w:ind w:left="709" w:right="60"/>
        <w:jc w:val="both"/>
        <w:rPr>
          <w:sz w:val="22"/>
          <w:szCs w:val="22"/>
          <w:u w:val="single"/>
          <w:lang w:val="de-AT"/>
        </w:rPr>
      </w:pPr>
      <w:hyperlink r:id="rId10" w:history="1">
        <w:r w:rsidR="00F73D2B" w:rsidRPr="00F73D2B">
          <w:rPr>
            <w:rStyle w:val="Hyperlink"/>
            <w:sz w:val="22"/>
            <w:szCs w:val="22"/>
            <w:lang w:val="de-AT"/>
          </w:rPr>
          <w:t>http://europa.eu/rapid/press-release_IP-17-5193_en.htm</w:t>
        </w:r>
      </w:hyperlink>
    </w:p>
    <w:p w:rsidR="00E83D1A" w:rsidRDefault="007B6DD5" w:rsidP="00F73D2B">
      <w:pPr>
        <w:tabs>
          <w:tab w:val="left" w:pos="709"/>
        </w:tabs>
        <w:ind w:left="709" w:right="60"/>
        <w:jc w:val="both"/>
        <w:rPr>
          <w:sz w:val="22"/>
          <w:szCs w:val="22"/>
          <w:u w:val="single"/>
          <w:lang w:val="de-AT"/>
        </w:rPr>
      </w:pPr>
      <w:hyperlink r:id="rId11" w:history="1">
        <w:r w:rsidR="00F73D2B" w:rsidRPr="00F73D2B">
          <w:rPr>
            <w:rStyle w:val="Hyperlink"/>
            <w:sz w:val="22"/>
            <w:szCs w:val="22"/>
            <w:lang w:val="de-AT"/>
          </w:rPr>
          <w:t>https://ec.europa.eu/taxation_customs/individuals/personal-taxation/taxation-securities-income-received-individuals/taxation-dividends-received-individuals_en</w:t>
        </w:r>
      </w:hyperlink>
    </w:p>
    <w:p w:rsidR="00F73D2B" w:rsidRPr="00F73D2B" w:rsidRDefault="00F73D2B" w:rsidP="00F73D2B">
      <w:pPr>
        <w:tabs>
          <w:tab w:val="left" w:pos="709"/>
        </w:tabs>
        <w:ind w:left="709" w:right="60"/>
        <w:jc w:val="both"/>
        <w:rPr>
          <w:sz w:val="22"/>
          <w:szCs w:val="22"/>
          <w:u w:val="single"/>
          <w:lang w:val="de-AT"/>
        </w:rPr>
      </w:pPr>
    </w:p>
    <w:p w:rsidR="006C5664" w:rsidRPr="00AA19F4" w:rsidRDefault="00F73D2B" w:rsidP="00F73D2B">
      <w:pPr>
        <w:tabs>
          <w:tab w:val="left" w:pos="709"/>
        </w:tabs>
        <w:ind w:left="709" w:right="60"/>
        <w:jc w:val="both"/>
        <w:rPr>
          <w:sz w:val="22"/>
          <w:szCs w:val="22"/>
          <w:lang w:val="de-DE"/>
        </w:rPr>
      </w:pPr>
      <w:r w:rsidRPr="00AA19F4">
        <w:rPr>
          <w:sz w:val="22"/>
          <w:szCs w:val="22"/>
          <w:lang w:val="de-AT"/>
        </w:rPr>
        <w:t>Die Bewerber/innen werden gebeten, ihren Lebenslauf zusammen mit einem einseitigen Bewerbungsschreiben einzureichen, in dem sie ihr Interesse an der Stelle bekunden und insbesondere darlegen, inwiefern ihre Qualifikationen und Erfahrungen für diesen Posten relevant sind.</w:t>
      </w:r>
    </w:p>
    <w:permEnd w:id="1872325945"/>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lastRenderedPageBreak/>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AA19F4" w:rsidRPr="00AA19F4" w:rsidRDefault="00AA19F4" w:rsidP="00AA19F4">
      <w:pPr>
        <w:tabs>
          <w:tab w:val="left" w:pos="709"/>
        </w:tabs>
        <w:ind w:left="709" w:right="60"/>
        <w:jc w:val="both"/>
        <w:rPr>
          <w:sz w:val="22"/>
          <w:szCs w:val="22"/>
          <w:lang w:val="de-DE"/>
        </w:rPr>
      </w:pPr>
      <w:permStart w:id="1833270860" w:edGrp="everyone"/>
      <w:r w:rsidRPr="00AA19F4">
        <w:rPr>
          <w:sz w:val="22"/>
          <w:szCs w:val="22"/>
          <w:lang w:val="de-DE"/>
        </w:rPr>
        <w:t>Exzellente schriftliche und mündliche Englischkenntnisse sind erforderlich. Französisch- bzw. Deutschkenntnisse wären von Vorteil.</w:t>
      </w:r>
    </w:p>
    <w:p w:rsidR="00E83D1A" w:rsidRPr="005F324D" w:rsidRDefault="00E83D1A" w:rsidP="00E83D1A">
      <w:pPr>
        <w:tabs>
          <w:tab w:val="left" w:pos="709"/>
        </w:tabs>
        <w:ind w:left="709" w:right="60"/>
        <w:jc w:val="both"/>
        <w:rPr>
          <w:sz w:val="22"/>
          <w:szCs w:val="22"/>
          <w:lang w:val="de-DE"/>
        </w:rPr>
      </w:pPr>
      <w:bookmarkStart w:id="0" w:name="_GoBack"/>
      <w:bookmarkEnd w:id="0"/>
    </w:p>
    <w:permEnd w:id="1833270860"/>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2"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3"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lastRenderedPageBreak/>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4"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5"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6"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5C6B7B" w:rsidRPr="007B6D3C" w:rsidRDefault="005C6B7B" w:rsidP="005C6B7B">
      <w:pPr>
        <w:pStyle w:val="FootnoteText"/>
        <w:ind w:right="1175"/>
        <w:jc w:val="both"/>
        <w:rPr>
          <w:lang w:val="de-DE"/>
        </w:rPr>
      </w:pPr>
      <w:r>
        <w:rPr>
          <w:rStyle w:val="FootnoteReference"/>
        </w:rPr>
        <w:footnoteRef/>
      </w:r>
      <w:r w:rsidRPr="007B6D3C">
        <w:rPr>
          <w:lang w:val="de-DE"/>
        </w:rPr>
        <w:t xml:space="preserve"> Diese Erwähnungen sind nur als Anhaltspunkt zu verstehen (Artikel 4 der </w:t>
      </w:r>
      <w:r>
        <w:rPr>
          <w:lang w:val="de-DE"/>
        </w:rPr>
        <w:t xml:space="preserve">END </w:t>
      </w:r>
      <w:r w:rsidRPr="007B6D3C">
        <w:rPr>
          <w:lang w:val="de-DE"/>
        </w:rPr>
        <w:t>Entscheidung).</w:t>
      </w:r>
    </w:p>
  </w:footnote>
  <w:footnote w:id="2">
    <w:p w:rsidR="00F73D2B" w:rsidRPr="007B6D3C" w:rsidRDefault="00F73D2B" w:rsidP="00F73D2B">
      <w:pPr>
        <w:pStyle w:val="FootnoteText"/>
        <w:rPr>
          <w:lang w:val="de-DE"/>
        </w:rPr>
      </w:pPr>
      <w:r>
        <w:rPr>
          <w:rStyle w:val="FootnoteReference"/>
        </w:rPr>
        <w:footnoteRef/>
      </w:r>
      <w:r w:rsidRPr="007B6D3C">
        <w:rPr>
          <w:lang w:val="de-DE"/>
        </w:rPr>
        <w:t xml:space="preserve"> </w:t>
      </w:r>
      <w:r w:rsidRPr="000901FD">
        <w:rPr>
          <w:lang w:val="de-DE"/>
        </w:rPr>
        <w:t>Gemäß Artikel 6 der END Entscheidung.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663F"/>
    <w:multiLevelType w:val="hybridMultilevel"/>
    <w:tmpl w:val="993E5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7E6D"/>
    <w:rsid w:val="004E1C73"/>
    <w:rsid w:val="00532D8E"/>
    <w:rsid w:val="00534042"/>
    <w:rsid w:val="005C6B7B"/>
    <w:rsid w:val="005F324D"/>
    <w:rsid w:val="006C5664"/>
    <w:rsid w:val="00753946"/>
    <w:rsid w:val="007B6DD5"/>
    <w:rsid w:val="007E0E61"/>
    <w:rsid w:val="00817929"/>
    <w:rsid w:val="009E7A92"/>
    <w:rsid w:val="00AA19F4"/>
    <w:rsid w:val="00AD37BB"/>
    <w:rsid w:val="00BC14A5"/>
    <w:rsid w:val="00CB43F6"/>
    <w:rsid w:val="00CF677F"/>
    <w:rsid w:val="00DE62D4"/>
    <w:rsid w:val="00E83D1A"/>
    <w:rsid w:val="00F73D2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90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civil_service/job/sne/index_de.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ropass.cedefop.europa.eu/de/documents/curriculum-vita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c.europa.eu/taxation_customs/individuals/personal-taxation/taxation-securities-income-received-individuals/taxation-dividends-received-individuals_en" TargetMode="External"/><Relationship Id="rId5" Type="http://schemas.openxmlformats.org/officeDocument/2006/relationships/webSettings" Target="webSettings.xml"/><Relationship Id="rId15" Type="http://schemas.openxmlformats.org/officeDocument/2006/relationships/hyperlink" Target="mailto:DATA-PROTECTION-OFFICER@ec.europa.eu" TargetMode="External"/><Relationship Id="rId10" Type="http://schemas.openxmlformats.org/officeDocument/2006/relationships/hyperlink" Target="http://europa.eu/rapid/press-release_IP-17-5193_en.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homas.Neale@ec.europa.eu" TargetMode="External"/><Relationship Id="rId14" Type="http://schemas.openxmlformats.org/officeDocument/2006/relationships/hyperlink" Target="mailto:HR-MAIL-B4@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1734</Words>
  <Characters>9543</Characters>
  <Application>Microsoft Office Word</Application>
  <DocSecurity>12</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2019-10-10T15:11:00Z</dcterms:created>
  <dcterms:modified xsi:type="dcterms:W3CDTF">2019-10-10T15:11:00Z</dcterms:modified>
</cp:coreProperties>
</file>