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363413454"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363413454"/>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657071630"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07548B" w:rsidRDefault="00C73C5D" w:rsidP="006E4781">
            <w:pPr>
              <w:rPr>
                <w:lang w:val="de-DE"/>
              </w:rPr>
            </w:pPr>
            <w:r w:rsidRPr="0035660D">
              <w:rPr>
                <w:b/>
                <w:szCs w:val="24"/>
                <w:lang w:val="de-DE"/>
              </w:rPr>
              <w:t>TAXUD</w:t>
            </w:r>
            <w:r w:rsidR="006E4781">
              <w:rPr>
                <w:b/>
                <w:szCs w:val="24"/>
                <w:lang w:val="de-DE"/>
              </w:rPr>
              <w:t>-</w:t>
            </w:r>
            <w:r w:rsidRPr="0035660D">
              <w:rPr>
                <w:b/>
                <w:szCs w:val="24"/>
                <w:lang w:val="de-DE"/>
              </w:rPr>
              <w:t>B</w:t>
            </w:r>
            <w:r w:rsidR="006E4781">
              <w:rPr>
                <w:b/>
                <w:szCs w:val="24"/>
                <w:lang w:val="de-DE"/>
              </w:rPr>
              <w:t>-</w:t>
            </w:r>
            <w:r w:rsidRPr="0035660D">
              <w:rPr>
                <w:b/>
                <w:szCs w:val="24"/>
                <w:lang w:val="de-DE"/>
              </w:rPr>
              <w:t xml:space="preserve">2 </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1415717318" w:edGrp="everyone" w:colFirst="1" w:colLast="1"/>
            <w:r w:rsidRPr="0007548B">
              <w:rPr>
                <w:b/>
                <w:sz w:val="22"/>
                <w:szCs w:val="22"/>
                <w:lang w:val="de-DE"/>
              </w:rPr>
              <w:t>R</w:t>
            </w:r>
            <w:permEnd w:id="657071630"/>
            <w:r w:rsidRPr="0007548B">
              <w:rPr>
                <w:b/>
                <w:sz w:val="22"/>
                <w:szCs w:val="22"/>
                <w:lang w:val="de-DE"/>
              </w:rPr>
              <w:t>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7908E5" w:rsidRPr="006E4781" w:rsidRDefault="007908E5" w:rsidP="007908E5">
            <w:pPr>
              <w:rPr>
                <w:b/>
                <w:lang w:val="de-DE"/>
              </w:rPr>
            </w:pPr>
            <w:r w:rsidRPr="006E4781">
              <w:rPr>
                <w:b/>
                <w:lang w:val="de-DE"/>
              </w:rPr>
              <w:t xml:space="preserve">Diego PAPALDO – amtierend </w:t>
            </w:r>
          </w:p>
          <w:p w:rsidR="007908E5" w:rsidRPr="006E4781" w:rsidRDefault="006E4781" w:rsidP="007908E5">
            <w:pPr>
              <w:rPr>
                <w:b/>
                <w:lang w:val="de-DE"/>
              </w:rPr>
            </w:pPr>
            <w:hyperlink r:id="rId10" w:history="1">
              <w:r w:rsidRPr="0043317D">
                <w:rPr>
                  <w:rStyle w:val="Hyperlink"/>
                  <w:b/>
                  <w:lang w:val="de-DE"/>
                </w:rPr>
                <w:t>Diego.Papaldo@ec.europa.eu</w:t>
              </w:r>
            </w:hyperlink>
            <w:r>
              <w:rPr>
                <w:b/>
                <w:lang w:val="de-DE"/>
              </w:rPr>
              <w:t xml:space="preserve"> </w:t>
            </w:r>
          </w:p>
          <w:p w:rsidR="0007548B" w:rsidRPr="006E4781" w:rsidRDefault="007908E5">
            <w:pPr>
              <w:rPr>
                <w:b/>
                <w:lang w:val="de-DE"/>
              </w:rPr>
            </w:pPr>
            <w:r w:rsidRPr="006E4781">
              <w:rPr>
                <w:b/>
                <w:lang w:val="de-DE"/>
              </w:rPr>
              <w:t>+32 229-64901</w:t>
            </w:r>
          </w:p>
          <w:p w:rsidR="0007548B" w:rsidRPr="0007548B" w:rsidRDefault="006E4781" w:rsidP="0007548B">
            <w:pPr>
              <w:ind w:left="34" w:right="1317"/>
              <w:jc w:val="both"/>
              <w:rPr>
                <w:b/>
                <w:sz w:val="22"/>
                <w:szCs w:val="22"/>
                <w:lang w:val="de-DE"/>
              </w:rPr>
            </w:pPr>
            <w:r>
              <w:rPr>
                <w:b/>
                <w:sz w:val="22"/>
                <w:szCs w:val="22"/>
                <w:lang w:val="de-DE"/>
              </w:rPr>
              <w:t>1.</w:t>
            </w:r>
            <w:r w:rsidR="0007548B" w:rsidRPr="0007548B">
              <w:rPr>
                <w:b/>
                <w:sz w:val="22"/>
                <w:szCs w:val="22"/>
                <w:lang w:val="de-DE"/>
              </w:rPr>
              <w:t xml:space="preserve"> Quartal </w:t>
            </w:r>
            <w:r w:rsidR="00D9726C">
              <w:rPr>
                <w:b/>
                <w:sz w:val="22"/>
                <w:szCs w:val="22"/>
                <w:lang w:val="de-DE"/>
              </w:rPr>
              <w:t>2020</w:t>
            </w:r>
            <w:r w:rsidR="0007548B" w:rsidRPr="0007548B">
              <w:rPr>
                <w:b/>
                <w:sz w:val="22"/>
                <w:szCs w:val="22"/>
                <w:vertAlign w:val="superscript"/>
                <w:lang w:val="de-DE"/>
              </w:rPr>
              <w:footnoteReference w:id="1"/>
            </w:r>
          </w:p>
          <w:p w:rsidR="0007548B" w:rsidRPr="0007548B" w:rsidRDefault="007908E5" w:rsidP="0007548B">
            <w:pPr>
              <w:ind w:right="1317"/>
              <w:jc w:val="both"/>
              <w:rPr>
                <w:b/>
                <w:sz w:val="22"/>
                <w:szCs w:val="22"/>
                <w:lang w:val="de-DE"/>
              </w:rPr>
            </w:pPr>
            <w:r>
              <w:rPr>
                <w:b/>
                <w:sz w:val="22"/>
                <w:szCs w:val="22"/>
                <w:lang w:val="de-DE"/>
              </w:rPr>
              <w:t>2</w:t>
            </w:r>
            <w:r w:rsidR="0007548B" w:rsidRPr="0007548B">
              <w:rPr>
                <w:b/>
                <w:sz w:val="22"/>
                <w:szCs w:val="22"/>
                <w:lang w:val="de-DE"/>
              </w:rPr>
              <w:t xml:space="preserve"> Jahre</w:t>
            </w:r>
            <w:r w:rsidR="0007548B" w:rsidRPr="0007548B">
              <w:rPr>
                <w:b/>
                <w:sz w:val="22"/>
                <w:szCs w:val="22"/>
                <w:vertAlign w:val="superscript"/>
                <w:lang w:val="de-DE"/>
              </w:rPr>
              <w:t>1</w:t>
            </w:r>
          </w:p>
          <w:p w:rsidR="0007548B" w:rsidRPr="0007548B" w:rsidRDefault="0007548B" w:rsidP="0007548B">
            <w:pPr>
              <w:ind w:right="1317"/>
              <w:jc w:val="both"/>
              <w:rPr>
                <w:b/>
                <w:sz w:val="22"/>
                <w:szCs w:val="22"/>
                <w:lang w:val="de-DE"/>
              </w:rPr>
            </w:pPr>
          </w:p>
          <w:p w:rsidR="0007548B" w:rsidRPr="0007548B" w:rsidRDefault="007908E5" w:rsidP="0007548B">
            <w:pPr>
              <w:rPr>
                <w:lang w:val="de-DE"/>
              </w:rPr>
            </w:pPr>
            <w:r w:rsidRPr="006E4781">
              <w:rPr>
                <w:rFonts w:eastAsia="MS Minngs"/>
                <w:b/>
                <w:bCs/>
                <w:sz w:val="22"/>
                <w:szCs w:val="22"/>
                <w:lang w:val="fr-FR"/>
              </w:rPr>
              <w:sym w:font="Wingdings 2" w:char="F053"/>
            </w:r>
            <w:r w:rsidR="0007548B">
              <w:rPr>
                <w:rFonts w:eastAsia="MS Minngs"/>
                <w:bCs/>
                <w:sz w:val="22"/>
                <w:szCs w:val="22"/>
                <w:lang w:val="de-DE"/>
              </w:rPr>
              <w:t xml:space="preserve">   </w:t>
            </w:r>
            <w:r w:rsidR="0007548B" w:rsidRPr="0007548B">
              <w:rPr>
                <w:b/>
                <w:sz w:val="22"/>
                <w:szCs w:val="22"/>
                <w:lang w:val="de-DE"/>
              </w:rPr>
              <w:t>Brüssel</w:t>
            </w:r>
            <w:r w:rsidR="0007548B" w:rsidRPr="0007548B">
              <w:rPr>
                <w:b/>
                <w:sz w:val="22"/>
                <w:szCs w:val="22"/>
                <w:lang w:val="de-DE"/>
              </w:rPr>
              <w:tab/>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Luxemburg</w:t>
            </w:r>
            <w:r w:rsidR="0007548B">
              <w:rPr>
                <w:b/>
                <w:sz w:val="22"/>
                <w:szCs w:val="22"/>
                <w:lang w:val="de-DE"/>
              </w:rPr>
              <w:t xml:space="preserve">   </w:t>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Anderer:………</w:t>
            </w:r>
            <w:r w:rsidR="0007548B">
              <w:rPr>
                <w:b/>
                <w:sz w:val="22"/>
                <w:szCs w:val="22"/>
                <w:lang w:val="de-DE"/>
              </w:rPr>
              <w:t>…</w:t>
            </w:r>
            <w:r w:rsidR="0007548B" w:rsidRPr="0007548B">
              <w:rPr>
                <w:b/>
                <w:sz w:val="22"/>
                <w:szCs w:val="22"/>
                <w:lang w:val="de-DE"/>
              </w:rPr>
              <w:t>..</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1501461477" w:edGrp="everyone" w:colFirst="1" w:colLast="1"/>
            <w:permEnd w:id="1415717318"/>
          </w:p>
        </w:tc>
        <w:tc>
          <w:tcPr>
            <w:tcW w:w="5597" w:type="dxa"/>
            <w:tcBorders>
              <w:left w:val="single" w:sz="4" w:space="0" w:color="auto"/>
            </w:tcBorders>
            <w:vAlign w:val="center"/>
          </w:tcPr>
          <w:p w:rsidR="004E1C73" w:rsidRDefault="007908E5" w:rsidP="006C5664">
            <w:r w:rsidRPr="006E4781">
              <w:rPr>
                <w:rFonts w:eastAsia="MS Minngs"/>
                <w:b/>
                <w:bCs/>
                <w:sz w:val="22"/>
                <w:szCs w:val="22"/>
                <w:lang w:val="fr-FR"/>
              </w:rPr>
              <w:sym w:font="Wingdings 2" w:char="F053"/>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979831245" w:edGrp="everyone" w:colFirst="0" w:colLast="0"/>
            <w:permEnd w:id="1501461477"/>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979831245"/>
    </w:tbl>
    <w:p w:rsidR="00AC55BD" w:rsidRPr="00AD37BB" w:rsidRDefault="006E4781">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7908E5" w:rsidRPr="007908E5" w:rsidRDefault="007908E5" w:rsidP="006E4781">
      <w:pPr>
        <w:ind w:left="426"/>
        <w:jc w:val="both"/>
        <w:rPr>
          <w:sz w:val="22"/>
          <w:szCs w:val="22"/>
          <w:lang w:val="de-DE"/>
        </w:rPr>
      </w:pPr>
      <w:permStart w:id="491736913" w:edGrp="everyone"/>
      <w:r w:rsidRPr="007908E5">
        <w:rPr>
          <w:sz w:val="22"/>
          <w:szCs w:val="22"/>
          <w:lang w:val="de-DE"/>
        </w:rPr>
        <w:t xml:space="preserve">Der Bewerber wird als Projektleiter in den EAS-Sektors („Enterprise IT </w:t>
      </w:r>
      <w:proofErr w:type="spellStart"/>
      <w:r w:rsidRPr="007908E5">
        <w:rPr>
          <w:sz w:val="22"/>
          <w:szCs w:val="22"/>
          <w:lang w:val="de-DE"/>
        </w:rPr>
        <w:t>Architecture</w:t>
      </w:r>
      <w:proofErr w:type="spellEnd"/>
      <w:r w:rsidRPr="007908E5">
        <w:rPr>
          <w:sz w:val="22"/>
          <w:szCs w:val="22"/>
          <w:lang w:val="de-DE"/>
        </w:rPr>
        <w:t xml:space="preserve"> &amp; </w:t>
      </w:r>
      <w:proofErr w:type="spellStart"/>
      <w:r w:rsidRPr="007908E5">
        <w:rPr>
          <w:sz w:val="22"/>
          <w:szCs w:val="22"/>
          <w:lang w:val="de-DE"/>
        </w:rPr>
        <w:t>Strategy</w:t>
      </w:r>
      <w:proofErr w:type="spellEnd"/>
      <w:r w:rsidRPr="007908E5">
        <w:rPr>
          <w:sz w:val="22"/>
          <w:szCs w:val="22"/>
          <w:lang w:val="de-DE"/>
        </w:rPr>
        <w:t xml:space="preserve">”) integriert, dieser Sektor ist Teil des TAXUD.B.2-Referats (Architektur &amp; digitale Dienste). </w:t>
      </w:r>
    </w:p>
    <w:p w:rsidR="007908E5" w:rsidRPr="007908E5" w:rsidRDefault="007908E5" w:rsidP="006E4781">
      <w:pPr>
        <w:ind w:left="426"/>
        <w:jc w:val="both"/>
        <w:rPr>
          <w:sz w:val="22"/>
          <w:szCs w:val="22"/>
          <w:lang w:val="de-DE"/>
        </w:rPr>
      </w:pPr>
      <w:r w:rsidRPr="007908E5">
        <w:rPr>
          <w:sz w:val="22"/>
          <w:szCs w:val="22"/>
          <w:lang w:val="de-DE"/>
        </w:rPr>
        <w:t xml:space="preserve">TAXUD.B ist zuständig für die Strategie, Planung und Gestaltung digitaler transeuropäischer Systeme in den Bereichen Zoll und Steuern. Der EAS-Sektor ist für die Unternehmensarchitektur sowie für die Entwicklung und die Bereitstellung der von der GD TAXUD genutzten IT-Plattformen zuständig. </w:t>
      </w:r>
    </w:p>
    <w:p w:rsidR="007908E5" w:rsidRPr="007908E5" w:rsidRDefault="007908E5" w:rsidP="006E4781">
      <w:pPr>
        <w:ind w:left="426"/>
        <w:jc w:val="both"/>
        <w:rPr>
          <w:sz w:val="22"/>
          <w:szCs w:val="22"/>
          <w:lang w:val="de-DE"/>
        </w:rPr>
      </w:pPr>
      <w:r w:rsidRPr="007908E5">
        <w:rPr>
          <w:sz w:val="22"/>
          <w:szCs w:val="22"/>
          <w:lang w:val="de-DE"/>
        </w:rPr>
        <w:t xml:space="preserve">Der Projektmanager ist für einige der laufenden Projekte des Sektors zuständig, und zwar TSOAP/CDCO („TAXUD SOA </w:t>
      </w:r>
      <w:proofErr w:type="spellStart"/>
      <w:r w:rsidRPr="007908E5">
        <w:rPr>
          <w:sz w:val="22"/>
          <w:szCs w:val="22"/>
          <w:lang w:val="de-DE"/>
        </w:rPr>
        <w:t>Platform</w:t>
      </w:r>
      <w:proofErr w:type="spellEnd"/>
      <w:r w:rsidRPr="007908E5">
        <w:rPr>
          <w:sz w:val="22"/>
          <w:szCs w:val="22"/>
          <w:lang w:val="de-DE"/>
        </w:rPr>
        <w:t>“ und seine Nachfolger, „</w:t>
      </w:r>
      <w:proofErr w:type="spellStart"/>
      <w:r w:rsidRPr="007908E5">
        <w:rPr>
          <w:sz w:val="22"/>
          <w:szCs w:val="22"/>
          <w:lang w:val="de-DE"/>
        </w:rPr>
        <w:t>Centrally</w:t>
      </w:r>
      <w:proofErr w:type="spellEnd"/>
      <w:r w:rsidRPr="007908E5">
        <w:rPr>
          <w:sz w:val="22"/>
          <w:szCs w:val="22"/>
          <w:lang w:val="de-DE"/>
        </w:rPr>
        <w:t xml:space="preserve"> </w:t>
      </w:r>
      <w:proofErr w:type="spellStart"/>
      <w:r w:rsidRPr="007908E5">
        <w:rPr>
          <w:sz w:val="22"/>
          <w:szCs w:val="22"/>
          <w:lang w:val="de-DE"/>
        </w:rPr>
        <w:t>Deployed</w:t>
      </w:r>
      <w:proofErr w:type="spellEnd"/>
      <w:r w:rsidRPr="007908E5">
        <w:rPr>
          <w:sz w:val="22"/>
          <w:szCs w:val="22"/>
          <w:lang w:val="de-DE"/>
        </w:rPr>
        <w:t xml:space="preserve"> </w:t>
      </w:r>
      <w:proofErr w:type="spellStart"/>
      <w:r w:rsidRPr="007908E5">
        <w:rPr>
          <w:sz w:val="22"/>
          <w:szCs w:val="22"/>
          <w:lang w:val="de-DE"/>
        </w:rPr>
        <w:t>Centrally</w:t>
      </w:r>
      <w:proofErr w:type="spellEnd"/>
      <w:r w:rsidRPr="007908E5">
        <w:rPr>
          <w:sz w:val="22"/>
          <w:szCs w:val="22"/>
          <w:lang w:val="de-DE"/>
        </w:rPr>
        <w:t xml:space="preserve"> </w:t>
      </w:r>
      <w:proofErr w:type="spellStart"/>
      <w:r w:rsidRPr="007908E5">
        <w:rPr>
          <w:sz w:val="22"/>
          <w:szCs w:val="22"/>
          <w:lang w:val="de-DE"/>
        </w:rPr>
        <w:t>Operated</w:t>
      </w:r>
      <w:proofErr w:type="spellEnd"/>
      <w:r w:rsidRPr="007908E5">
        <w:rPr>
          <w:sz w:val="22"/>
          <w:szCs w:val="22"/>
          <w:lang w:val="de-DE"/>
        </w:rPr>
        <w:t>“), SSV („</w:t>
      </w:r>
      <w:proofErr w:type="spellStart"/>
      <w:r w:rsidRPr="007908E5">
        <w:rPr>
          <w:sz w:val="22"/>
          <w:szCs w:val="22"/>
          <w:lang w:val="de-DE"/>
        </w:rPr>
        <w:t>Shared</w:t>
      </w:r>
      <w:proofErr w:type="spellEnd"/>
      <w:r w:rsidRPr="007908E5">
        <w:rPr>
          <w:sz w:val="22"/>
          <w:szCs w:val="22"/>
          <w:lang w:val="de-DE"/>
        </w:rPr>
        <w:t xml:space="preserve"> Services“), TAPAS („TAXUD Access Point </w:t>
      </w:r>
      <w:proofErr w:type="spellStart"/>
      <w:r w:rsidRPr="007908E5">
        <w:rPr>
          <w:sz w:val="22"/>
          <w:szCs w:val="22"/>
          <w:lang w:val="de-DE"/>
        </w:rPr>
        <w:t>for</w:t>
      </w:r>
      <w:proofErr w:type="spellEnd"/>
      <w:r w:rsidRPr="007908E5">
        <w:rPr>
          <w:sz w:val="22"/>
          <w:szCs w:val="22"/>
          <w:lang w:val="de-DE"/>
        </w:rPr>
        <w:t xml:space="preserve"> AS4“) und elektronische Archivierung, die derzeit jeweils einer Architekturüberprüfung unterliegen. Darüber hinaus wird der Projektmanager für die Projektbegleitung von CCN2 („Common Communication Network 2“) zuständig sein. </w:t>
      </w:r>
    </w:p>
    <w:p w:rsidR="007908E5" w:rsidRPr="007908E5" w:rsidRDefault="007908E5" w:rsidP="006E4781">
      <w:pPr>
        <w:ind w:left="426"/>
        <w:jc w:val="both"/>
        <w:rPr>
          <w:sz w:val="22"/>
          <w:szCs w:val="22"/>
          <w:lang w:val="de-DE"/>
        </w:rPr>
      </w:pPr>
      <w:r w:rsidRPr="007908E5">
        <w:rPr>
          <w:sz w:val="22"/>
          <w:szCs w:val="22"/>
          <w:lang w:val="de-DE"/>
        </w:rPr>
        <w:t>Die Position deckt ein breites Spektrum von Tätigkeiten ab, darunter Softwareentwicklung und -pflege, IT-Infrastrukturausbau, Projektmanagement und Beziehungen zu den Mitgliedstaaten</w:t>
      </w:r>
      <w:r>
        <w:rPr>
          <w:rStyle w:val="FootnoteReference"/>
          <w:sz w:val="22"/>
          <w:szCs w:val="22"/>
          <w:lang w:val="de-DE"/>
        </w:rPr>
        <w:footnoteReference w:id="2"/>
      </w:r>
      <w:r w:rsidRPr="007908E5">
        <w:rPr>
          <w:sz w:val="22"/>
          <w:szCs w:val="22"/>
          <w:lang w:val="de-DE"/>
        </w:rPr>
        <w:t>.</w:t>
      </w:r>
    </w:p>
    <w:p w:rsidR="007908E5" w:rsidRPr="007908E5" w:rsidRDefault="007908E5" w:rsidP="006E4781">
      <w:pPr>
        <w:ind w:left="426"/>
        <w:jc w:val="both"/>
        <w:rPr>
          <w:sz w:val="22"/>
          <w:szCs w:val="22"/>
          <w:lang w:val="de-DE"/>
        </w:rPr>
      </w:pPr>
    </w:p>
    <w:p w:rsidR="007908E5" w:rsidRDefault="007908E5" w:rsidP="006E4781">
      <w:pPr>
        <w:ind w:left="426"/>
        <w:jc w:val="both"/>
        <w:rPr>
          <w:sz w:val="22"/>
          <w:szCs w:val="22"/>
          <w:lang w:val="de-DE"/>
        </w:rPr>
      </w:pPr>
      <w:r w:rsidRPr="007908E5">
        <w:rPr>
          <w:sz w:val="22"/>
          <w:szCs w:val="22"/>
          <w:lang w:val="de-DE"/>
        </w:rPr>
        <w:t xml:space="preserve">Insbesondere wird sie/er mit folgenden Aufgaben betraut: </w:t>
      </w:r>
    </w:p>
    <w:p w:rsidR="006E4781" w:rsidRPr="007908E5" w:rsidRDefault="006E4781" w:rsidP="006E4781">
      <w:pPr>
        <w:ind w:left="426"/>
        <w:jc w:val="both"/>
        <w:rPr>
          <w:sz w:val="22"/>
          <w:szCs w:val="22"/>
          <w:lang w:val="de-DE"/>
        </w:rPr>
      </w:pPr>
    </w:p>
    <w:p w:rsidR="007908E5" w:rsidRPr="007908E5" w:rsidRDefault="007908E5" w:rsidP="006E4781">
      <w:pPr>
        <w:ind w:left="709" w:hanging="283"/>
        <w:jc w:val="both"/>
        <w:rPr>
          <w:sz w:val="22"/>
          <w:szCs w:val="22"/>
          <w:lang w:val="de-DE"/>
        </w:rPr>
      </w:pPr>
      <w:r w:rsidRPr="007908E5">
        <w:rPr>
          <w:sz w:val="22"/>
          <w:szCs w:val="22"/>
          <w:lang w:val="de-DE"/>
        </w:rPr>
        <w:t>•</w:t>
      </w:r>
      <w:r w:rsidRPr="007908E5">
        <w:rPr>
          <w:sz w:val="22"/>
          <w:szCs w:val="22"/>
          <w:lang w:val="de-DE"/>
        </w:rPr>
        <w:tab/>
        <w:t>Durchführung des Projektmanagements der Projekte, die Gegenstand des Anwendungsbereichs sind, in allen Phasen ihres Lebenszyklus (Anfangs-, Entwurfs-, Bau- und Übergangsphasen);</w:t>
      </w:r>
    </w:p>
    <w:p w:rsidR="007908E5" w:rsidRPr="007908E5" w:rsidRDefault="007908E5" w:rsidP="006E4781">
      <w:pPr>
        <w:ind w:left="709" w:hanging="283"/>
        <w:jc w:val="both"/>
        <w:rPr>
          <w:sz w:val="22"/>
          <w:szCs w:val="22"/>
          <w:lang w:val="de-DE"/>
        </w:rPr>
      </w:pPr>
      <w:r w:rsidRPr="007908E5">
        <w:rPr>
          <w:sz w:val="22"/>
          <w:szCs w:val="22"/>
          <w:lang w:val="de-DE"/>
        </w:rPr>
        <w:t>•</w:t>
      </w:r>
      <w:r w:rsidRPr="007908E5">
        <w:rPr>
          <w:sz w:val="22"/>
          <w:szCs w:val="22"/>
          <w:lang w:val="de-DE"/>
        </w:rPr>
        <w:tab/>
        <w:t>Koordinierung der verschiedenen Akteure (Teams auf Geschäfts- und IT-Ebene der GD TAXUD, Teams von Auftragnehmern, COTS-Anbieter, Vertreter der Mitgliedstaaten usw.);</w:t>
      </w:r>
    </w:p>
    <w:p w:rsidR="007908E5" w:rsidRPr="007908E5" w:rsidRDefault="007908E5" w:rsidP="006E4781">
      <w:pPr>
        <w:ind w:left="709" w:hanging="283"/>
        <w:jc w:val="both"/>
        <w:rPr>
          <w:sz w:val="22"/>
          <w:szCs w:val="22"/>
          <w:lang w:val="de-DE"/>
        </w:rPr>
      </w:pPr>
      <w:r w:rsidRPr="007908E5">
        <w:rPr>
          <w:sz w:val="22"/>
          <w:szCs w:val="22"/>
          <w:lang w:val="de-DE"/>
        </w:rPr>
        <w:t>•</w:t>
      </w:r>
      <w:r w:rsidRPr="007908E5">
        <w:rPr>
          <w:sz w:val="22"/>
          <w:szCs w:val="22"/>
          <w:lang w:val="de-DE"/>
        </w:rPr>
        <w:tab/>
        <w:t>Überwachung der Vertragsleistung (Fristen, Spezifikationen, Ausgaben usw.);</w:t>
      </w:r>
    </w:p>
    <w:p w:rsidR="007908E5" w:rsidRPr="007908E5" w:rsidRDefault="007908E5" w:rsidP="006E4781">
      <w:pPr>
        <w:ind w:left="709" w:hanging="283"/>
        <w:jc w:val="both"/>
        <w:rPr>
          <w:sz w:val="22"/>
          <w:szCs w:val="22"/>
          <w:lang w:val="de-DE"/>
        </w:rPr>
      </w:pPr>
      <w:r w:rsidRPr="007908E5">
        <w:rPr>
          <w:sz w:val="22"/>
          <w:szCs w:val="22"/>
          <w:lang w:val="de-DE"/>
        </w:rPr>
        <w:lastRenderedPageBreak/>
        <w:t>•</w:t>
      </w:r>
      <w:r w:rsidRPr="007908E5">
        <w:rPr>
          <w:sz w:val="22"/>
          <w:szCs w:val="22"/>
          <w:lang w:val="de-DE"/>
        </w:rPr>
        <w:tab/>
        <w:t>Zuweisung von Aufgaben/Zuständigkeiten an das Projektteam: Arbeitspensum, Arbeitsorganisation, Zeitpläne und Prioritäten;</w:t>
      </w:r>
    </w:p>
    <w:p w:rsidR="007908E5" w:rsidRPr="007908E5" w:rsidRDefault="007908E5" w:rsidP="006E4781">
      <w:pPr>
        <w:ind w:left="709" w:hanging="283"/>
        <w:jc w:val="both"/>
        <w:rPr>
          <w:sz w:val="22"/>
          <w:szCs w:val="22"/>
          <w:lang w:val="de-DE"/>
        </w:rPr>
      </w:pPr>
      <w:r w:rsidRPr="007908E5">
        <w:rPr>
          <w:sz w:val="22"/>
          <w:szCs w:val="22"/>
          <w:lang w:val="de-DE"/>
        </w:rPr>
        <w:t>•</w:t>
      </w:r>
      <w:r w:rsidRPr="007908E5">
        <w:rPr>
          <w:sz w:val="22"/>
          <w:szCs w:val="22"/>
          <w:lang w:val="de-DE"/>
        </w:rPr>
        <w:tab/>
        <w:t>Den Auftragnehmern Rückmeldungen und Orientierungshilfen zu geben, damit sie die Erwartungen erfüllen;</w:t>
      </w:r>
    </w:p>
    <w:p w:rsidR="007908E5" w:rsidRPr="007908E5" w:rsidRDefault="007908E5" w:rsidP="006E4781">
      <w:pPr>
        <w:ind w:left="709" w:hanging="283"/>
        <w:jc w:val="both"/>
        <w:rPr>
          <w:sz w:val="22"/>
          <w:szCs w:val="22"/>
          <w:lang w:val="de-DE"/>
        </w:rPr>
      </w:pPr>
      <w:r w:rsidRPr="007908E5">
        <w:rPr>
          <w:sz w:val="22"/>
          <w:szCs w:val="22"/>
          <w:lang w:val="de-DE"/>
        </w:rPr>
        <w:t>•</w:t>
      </w:r>
      <w:r w:rsidRPr="007908E5">
        <w:rPr>
          <w:sz w:val="22"/>
          <w:szCs w:val="22"/>
          <w:lang w:val="de-DE"/>
        </w:rPr>
        <w:tab/>
        <w:t>Festlegung der Spezifikationen (d. h. technischer, prozeduraler, budgetärer...) der Anträge auf Schätzung und Bewertung der eingegangenen Angebote;</w:t>
      </w:r>
    </w:p>
    <w:p w:rsidR="007908E5" w:rsidRPr="007908E5" w:rsidRDefault="007908E5" w:rsidP="006E4781">
      <w:pPr>
        <w:ind w:left="709" w:hanging="283"/>
        <w:jc w:val="both"/>
        <w:rPr>
          <w:sz w:val="22"/>
          <w:szCs w:val="22"/>
          <w:lang w:val="de-DE"/>
        </w:rPr>
      </w:pPr>
      <w:r w:rsidRPr="007908E5">
        <w:rPr>
          <w:sz w:val="22"/>
          <w:szCs w:val="22"/>
          <w:lang w:val="de-DE"/>
        </w:rPr>
        <w:t>•</w:t>
      </w:r>
      <w:r w:rsidRPr="007908E5">
        <w:rPr>
          <w:sz w:val="22"/>
          <w:szCs w:val="22"/>
          <w:lang w:val="de-DE"/>
        </w:rPr>
        <w:tab/>
        <w:t>Verständnis der technologischen Aspekte des Projekts, einschließlich der Risiken und der Erfolgsfaktoren. Mit Lösungsarchitekten/IT-Analysten komplexe Fragen bearbeiten;</w:t>
      </w:r>
    </w:p>
    <w:p w:rsidR="007908E5" w:rsidRPr="007908E5" w:rsidRDefault="007908E5" w:rsidP="006E4781">
      <w:pPr>
        <w:ind w:left="709" w:hanging="283"/>
        <w:jc w:val="both"/>
        <w:rPr>
          <w:sz w:val="22"/>
          <w:szCs w:val="22"/>
          <w:lang w:val="de-DE"/>
        </w:rPr>
      </w:pPr>
      <w:r w:rsidRPr="007908E5">
        <w:rPr>
          <w:sz w:val="22"/>
          <w:szCs w:val="22"/>
          <w:lang w:val="de-DE"/>
        </w:rPr>
        <w:t>•</w:t>
      </w:r>
      <w:r w:rsidRPr="007908E5">
        <w:rPr>
          <w:sz w:val="22"/>
          <w:szCs w:val="22"/>
          <w:lang w:val="de-DE"/>
        </w:rPr>
        <w:tab/>
        <w:t>Leitung und Betreuung der internen Berater: Arbeitsprogramm, Arbeitspensum, Arbeitsorganisation, Zeitpläne, Prioritäten, Überprüfung der zu erbringenden Leistungen;</w:t>
      </w:r>
    </w:p>
    <w:p w:rsidR="00E83D1A" w:rsidRPr="005F324D" w:rsidRDefault="007908E5" w:rsidP="006E4781">
      <w:pPr>
        <w:ind w:left="709" w:hanging="283"/>
        <w:jc w:val="both"/>
        <w:rPr>
          <w:sz w:val="22"/>
          <w:szCs w:val="22"/>
          <w:lang w:val="de-DE"/>
        </w:rPr>
      </w:pPr>
      <w:r w:rsidRPr="007908E5">
        <w:rPr>
          <w:sz w:val="22"/>
          <w:szCs w:val="22"/>
          <w:lang w:val="de-DE"/>
        </w:rPr>
        <w:t>•</w:t>
      </w:r>
      <w:r w:rsidRPr="007908E5">
        <w:rPr>
          <w:sz w:val="22"/>
          <w:szCs w:val="22"/>
          <w:lang w:val="de-DE"/>
        </w:rPr>
        <w:tab/>
        <w:t>Die Hierarchie in Bezug auf die Entwicklung der unter seine Verantwortung fallenden Dienste und Projekte, und auf alle Ereignisse die ihre Aufmerksamkeit verdienen, zu unterrichten.</w:t>
      </w:r>
    </w:p>
    <w:p w:rsidR="00E83D1A" w:rsidRPr="005F324D" w:rsidRDefault="00E83D1A">
      <w:pPr>
        <w:rPr>
          <w:sz w:val="22"/>
          <w:szCs w:val="22"/>
          <w:lang w:val="de-DE"/>
        </w:rPr>
      </w:pPr>
    </w:p>
    <w:permEnd w:id="491736913"/>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E83D1A" w:rsidRPr="005F324D" w:rsidRDefault="007908E5" w:rsidP="006E4781">
      <w:pPr>
        <w:tabs>
          <w:tab w:val="left" w:pos="851"/>
        </w:tabs>
        <w:ind w:left="851" w:right="60"/>
        <w:jc w:val="both"/>
        <w:rPr>
          <w:sz w:val="22"/>
          <w:szCs w:val="22"/>
          <w:lang w:val="de-DE"/>
        </w:rPr>
      </w:pPr>
      <w:permStart w:id="1789008826" w:edGrp="everyone"/>
      <w:r w:rsidRPr="007908E5">
        <w:rPr>
          <w:sz w:val="22"/>
          <w:szCs w:val="22"/>
          <w:lang w:val="de-DE"/>
        </w:rPr>
        <w:t>Informationstechnologie, Telekommunikation, Elektronisches Ingenieurwesen sowie verwandtentechnologischen Bereichen.</w:t>
      </w:r>
    </w:p>
    <w:p w:rsidR="006C5664" w:rsidRPr="005F324D" w:rsidRDefault="006C5664" w:rsidP="00E83D1A">
      <w:pPr>
        <w:tabs>
          <w:tab w:val="left" w:pos="709"/>
        </w:tabs>
        <w:ind w:left="709" w:right="60"/>
        <w:jc w:val="both"/>
        <w:rPr>
          <w:sz w:val="22"/>
          <w:szCs w:val="22"/>
          <w:lang w:val="de-DE"/>
        </w:rPr>
      </w:pPr>
    </w:p>
    <w:permEnd w:id="1789008826"/>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7908E5" w:rsidRDefault="007908E5" w:rsidP="007908E5">
      <w:pPr>
        <w:tabs>
          <w:tab w:val="left" w:pos="709"/>
        </w:tabs>
        <w:ind w:left="709" w:right="60"/>
        <w:jc w:val="both"/>
        <w:rPr>
          <w:sz w:val="22"/>
          <w:szCs w:val="22"/>
          <w:lang w:val="de-DE"/>
        </w:rPr>
      </w:pPr>
      <w:permStart w:id="41557607" w:edGrp="everyone"/>
      <w:r>
        <w:rPr>
          <w:sz w:val="22"/>
          <w:szCs w:val="22"/>
          <w:lang w:val="de-DE"/>
        </w:rPr>
        <w:t xml:space="preserve">- </w:t>
      </w:r>
      <w:r w:rsidRPr="007908E5">
        <w:rPr>
          <w:sz w:val="22"/>
          <w:szCs w:val="22"/>
          <w:lang w:val="de-DE"/>
        </w:rPr>
        <w:t>Mindestens 4 Jahre Erfahrung mit IT-Projektmanagement;</w:t>
      </w:r>
    </w:p>
    <w:p w:rsidR="007908E5" w:rsidRPr="007908E5" w:rsidRDefault="007908E5" w:rsidP="007908E5">
      <w:pPr>
        <w:tabs>
          <w:tab w:val="left" w:pos="709"/>
        </w:tabs>
        <w:ind w:left="709" w:right="60"/>
        <w:jc w:val="both"/>
        <w:rPr>
          <w:sz w:val="22"/>
          <w:szCs w:val="22"/>
          <w:lang w:val="de-DE"/>
        </w:rPr>
      </w:pPr>
      <w:r>
        <w:rPr>
          <w:sz w:val="22"/>
          <w:szCs w:val="22"/>
          <w:lang w:val="de-DE"/>
        </w:rPr>
        <w:t xml:space="preserve">- </w:t>
      </w:r>
      <w:r w:rsidRPr="007908E5">
        <w:rPr>
          <w:sz w:val="22"/>
          <w:szCs w:val="22"/>
          <w:lang w:val="de-DE"/>
        </w:rPr>
        <w:t>Erfahrung im Bereich der Technologien von Middleware-Plattformen mit Technologien wie (aber nicht beschränkt auf) Webdienste, Webanwendungen, SOA, Oracle Service Bus, Datenbanktechnologien (ORACLE), Message-Queuing-Dienste (</w:t>
      </w:r>
      <w:proofErr w:type="spellStart"/>
      <w:r w:rsidRPr="007908E5">
        <w:rPr>
          <w:sz w:val="22"/>
          <w:szCs w:val="22"/>
          <w:lang w:val="de-DE"/>
        </w:rPr>
        <w:t>MQSeries</w:t>
      </w:r>
      <w:proofErr w:type="spellEnd"/>
      <w:r w:rsidRPr="007908E5">
        <w:rPr>
          <w:sz w:val="22"/>
          <w:szCs w:val="22"/>
          <w:lang w:val="de-DE"/>
        </w:rPr>
        <w:t>), XML, SOAP, REST, Message-Dienste, Speicher- und Datensicherungs-Dienste, Anwendungs-Infrastrukturdienste und damit verbundene Bereiche sind sehr von Vorteil;</w:t>
      </w:r>
    </w:p>
    <w:p w:rsidR="007908E5" w:rsidRPr="007908E5" w:rsidRDefault="007908E5" w:rsidP="007908E5">
      <w:pPr>
        <w:tabs>
          <w:tab w:val="left" w:pos="709"/>
        </w:tabs>
        <w:ind w:left="709" w:right="60"/>
        <w:jc w:val="both"/>
        <w:rPr>
          <w:sz w:val="22"/>
          <w:szCs w:val="22"/>
          <w:lang w:val="de-DE"/>
        </w:rPr>
      </w:pPr>
      <w:r>
        <w:rPr>
          <w:sz w:val="22"/>
          <w:szCs w:val="22"/>
          <w:lang w:val="de-DE"/>
        </w:rPr>
        <w:t xml:space="preserve">- </w:t>
      </w:r>
      <w:r w:rsidRPr="007908E5">
        <w:rPr>
          <w:sz w:val="22"/>
          <w:szCs w:val="22"/>
          <w:lang w:val="de-DE"/>
        </w:rPr>
        <w:t xml:space="preserve">Erfahrung in IT-Infrastrukturbereichen mit Themen wie (aber nicht nur) Datenzentren-Infrastruktur, IT-Sicherheit, IP-Netze, Telekommunikationsdienste, Verwaltung von Diensten, IT-Monitoring, </w:t>
      </w:r>
      <w:proofErr w:type="spellStart"/>
      <w:r w:rsidRPr="007908E5">
        <w:rPr>
          <w:sz w:val="22"/>
          <w:szCs w:val="22"/>
          <w:lang w:val="de-DE"/>
        </w:rPr>
        <w:lastRenderedPageBreak/>
        <w:t>Virtualisierungstechnologien</w:t>
      </w:r>
      <w:proofErr w:type="spellEnd"/>
      <w:r w:rsidRPr="007908E5">
        <w:rPr>
          <w:sz w:val="22"/>
          <w:szCs w:val="22"/>
          <w:lang w:val="de-DE"/>
        </w:rPr>
        <w:t>, Anwendungsinfrastrukturen, Speicherung, Softwareentwicklung ist von Vorteil;</w:t>
      </w:r>
    </w:p>
    <w:p w:rsidR="007908E5" w:rsidRPr="007908E5" w:rsidRDefault="007908E5" w:rsidP="007908E5">
      <w:pPr>
        <w:tabs>
          <w:tab w:val="left" w:pos="709"/>
        </w:tabs>
        <w:ind w:left="709" w:right="60"/>
        <w:jc w:val="both"/>
        <w:rPr>
          <w:sz w:val="22"/>
          <w:szCs w:val="22"/>
          <w:lang w:val="de-DE"/>
        </w:rPr>
      </w:pPr>
      <w:r>
        <w:rPr>
          <w:sz w:val="22"/>
          <w:szCs w:val="22"/>
          <w:lang w:val="de-DE"/>
        </w:rPr>
        <w:t xml:space="preserve">- </w:t>
      </w:r>
      <w:r w:rsidRPr="007908E5">
        <w:rPr>
          <w:sz w:val="22"/>
          <w:szCs w:val="22"/>
          <w:lang w:val="de-DE"/>
        </w:rPr>
        <w:t>Die Erfahrung mit Technologien, die sowohl von der GD TAXUD als auch von den Mitgliedstaaten in Zoll- und/oder Steuerbereichen verwendet werden, ist sehr von Vorteil;</w:t>
      </w:r>
    </w:p>
    <w:p w:rsidR="007908E5" w:rsidRPr="007908E5" w:rsidRDefault="007908E5" w:rsidP="007908E5">
      <w:pPr>
        <w:tabs>
          <w:tab w:val="left" w:pos="709"/>
        </w:tabs>
        <w:ind w:left="709" w:right="60"/>
        <w:jc w:val="both"/>
        <w:rPr>
          <w:sz w:val="22"/>
          <w:szCs w:val="22"/>
          <w:lang w:val="de-DE"/>
        </w:rPr>
      </w:pPr>
      <w:r>
        <w:rPr>
          <w:sz w:val="22"/>
          <w:szCs w:val="22"/>
          <w:lang w:val="de-DE"/>
        </w:rPr>
        <w:t xml:space="preserve">- </w:t>
      </w:r>
      <w:r w:rsidRPr="007908E5">
        <w:rPr>
          <w:sz w:val="22"/>
          <w:szCs w:val="22"/>
          <w:lang w:val="de-DE"/>
        </w:rPr>
        <w:t>Erfahrung mit der Vergabe öffentlicher Aufträge, der Verwaltung von Verträgen und der Verwaltung von Dienstleistungen ist von Vorteil;</w:t>
      </w:r>
    </w:p>
    <w:p w:rsidR="00E83D1A" w:rsidRDefault="007908E5" w:rsidP="007908E5">
      <w:pPr>
        <w:tabs>
          <w:tab w:val="left" w:pos="709"/>
        </w:tabs>
        <w:ind w:left="709" w:right="60"/>
        <w:jc w:val="both"/>
        <w:rPr>
          <w:sz w:val="22"/>
          <w:szCs w:val="22"/>
          <w:lang w:val="de-DE"/>
        </w:rPr>
      </w:pPr>
      <w:r>
        <w:rPr>
          <w:sz w:val="22"/>
          <w:szCs w:val="22"/>
          <w:lang w:val="de-DE"/>
        </w:rPr>
        <w:t xml:space="preserve">- </w:t>
      </w:r>
      <w:r w:rsidRPr="007908E5">
        <w:rPr>
          <w:sz w:val="22"/>
          <w:szCs w:val="22"/>
          <w:lang w:val="de-DE"/>
        </w:rPr>
        <w:t>Andere IT-Zertifizierungen und/oder einschlägige Ausbildungen sind von Vorteil.</w:t>
      </w:r>
    </w:p>
    <w:p w:rsidR="00E83D1A" w:rsidRPr="005F324D" w:rsidRDefault="00E83D1A" w:rsidP="00E83D1A">
      <w:pPr>
        <w:tabs>
          <w:tab w:val="left" w:pos="709"/>
        </w:tabs>
        <w:ind w:left="709" w:right="60"/>
        <w:jc w:val="both"/>
        <w:rPr>
          <w:sz w:val="22"/>
          <w:szCs w:val="22"/>
          <w:u w:val="single"/>
          <w:lang w:val="de-DE"/>
        </w:rPr>
      </w:pPr>
      <w:bookmarkStart w:id="0" w:name="_GoBack"/>
      <w:bookmarkEnd w:id="0"/>
    </w:p>
    <w:permEnd w:id="41557607"/>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83D1A" w:rsidRDefault="0035660D" w:rsidP="0035660D">
      <w:pPr>
        <w:tabs>
          <w:tab w:val="left" w:pos="317"/>
        </w:tabs>
        <w:ind w:left="709" w:right="212" w:hanging="1"/>
        <w:rPr>
          <w:sz w:val="22"/>
          <w:szCs w:val="22"/>
          <w:lang w:val="de-DE"/>
        </w:rPr>
      </w:pPr>
      <w:permStart w:id="825370817" w:edGrp="everyone"/>
      <w:r w:rsidRPr="0000530F">
        <w:rPr>
          <w:sz w:val="22"/>
          <w:szCs w:val="22"/>
          <w:lang w:val="de-DE"/>
        </w:rPr>
        <w:t>Gute Ken</w:t>
      </w:r>
      <w:r>
        <w:rPr>
          <w:sz w:val="22"/>
          <w:szCs w:val="22"/>
          <w:lang w:val="de-DE"/>
        </w:rPr>
        <w:t>ntnisse der englischen Sprache ist erforderlich um Aufgaben aus zu führen und Leistungen erarbeiten zu können.</w:t>
      </w:r>
      <w:r w:rsidRPr="0000530F">
        <w:rPr>
          <w:sz w:val="22"/>
          <w:szCs w:val="22"/>
          <w:lang w:val="de-DE"/>
        </w:rPr>
        <w:br/>
        <w:t xml:space="preserve">Kenntnisse in einer weiteren Sprache der Europäischen Union, die für die Wahrnehmung </w:t>
      </w:r>
      <w:r>
        <w:rPr>
          <w:sz w:val="22"/>
          <w:szCs w:val="22"/>
          <w:lang w:val="de-DE"/>
        </w:rPr>
        <w:t xml:space="preserve">  </w:t>
      </w:r>
      <w:r w:rsidRPr="0000530F">
        <w:rPr>
          <w:sz w:val="22"/>
          <w:szCs w:val="22"/>
          <w:lang w:val="de-DE"/>
        </w:rPr>
        <w:t>der Aufgaben erforderlich ist, wären von Vorteil.</w:t>
      </w:r>
    </w:p>
    <w:p w:rsidR="0035660D" w:rsidRPr="005F324D" w:rsidRDefault="0035660D" w:rsidP="0035660D">
      <w:pPr>
        <w:tabs>
          <w:tab w:val="left" w:pos="317"/>
        </w:tabs>
        <w:ind w:left="709" w:right="212" w:hanging="1"/>
        <w:rPr>
          <w:sz w:val="22"/>
          <w:szCs w:val="22"/>
          <w:lang w:val="de-DE"/>
        </w:rPr>
      </w:pPr>
    </w:p>
    <w:permEnd w:id="825370817"/>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1"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2"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lastRenderedPageBreak/>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3"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4"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5"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 w:id="2">
    <w:p w:rsidR="007908E5" w:rsidRPr="0035660D" w:rsidRDefault="007908E5">
      <w:pPr>
        <w:pStyle w:val="FootnoteText"/>
        <w:rPr>
          <w:lang w:val="de-DE"/>
        </w:rPr>
      </w:pPr>
      <w:r>
        <w:rPr>
          <w:rStyle w:val="FootnoteReference"/>
        </w:rPr>
        <w:footnoteRef/>
      </w:r>
      <w:r w:rsidRPr="0035660D">
        <w:rPr>
          <w:lang w:val="de-DE"/>
        </w:rPr>
        <w:t xml:space="preserve"> Gemäß Artikel 6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306528"/>
    <w:rsid w:val="0035660D"/>
    <w:rsid w:val="00436362"/>
    <w:rsid w:val="00467E6D"/>
    <w:rsid w:val="004E1C73"/>
    <w:rsid w:val="00534042"/>
    <w:rsid w:val="005F324D"/>
    <w:rsid w:val="006C5664"/>
    <w:rsid w:val="006E4781"/>
    <w:rsid w:val="00753946"/>
    <w:rsid w:val="007908E5"/>
    <w:rsid w:val="007E0E61"/>
    <w:rsid w:val="00817929"/>
    <w:rsid w:val="00895B7E"/>
    <w:rsid w:val="009158C4"/>
    <w:rsid w:val="00AD37BB"/>
    <w:rsid w:val="00BC14A5"/>
    <w:rsid w:val="00C73C5D"/>
    <w:rsid w:val="00CB43F6"/>
    <w:rsid w:val="00CF677F"/>
    <w:rsid w:val="00D9726C"/>
    <w:rsid w:val="00DE62D4"/>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 w:type="character" w:customStyle="1" w:styleId="tlid-translation">
    <w:name w:val="tlid-translation"/>
    <w:basedOn w:val="DefaultParagraphFont"/>
    <w:rsid w:val="003566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 w:type="character" w:customStyle="1" w:styleId="tlid-translation">
    <w:name w:val="tlid-translation"/>
    <w:basedOn w:val="DefaultParagraphFont"/>
    <w:rsid w:val="00356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84840">
      <w:bodyDiv w:val="1"/>
      <w:marLeft w:val="0"/>
      <w:marRight w:val="0"/>
      <w:marTop w:val="0"/>
      <w:marBottom w:val="0"/>
      <w:divBdr>
        <w:top w:val="none" w:sz="0" w:space="0" w:color="auto"/>
        <w:left w:val="none" w:sz="0" w:space="0" w:color="auto"/>
        <w:bottom w:val="none" w:sz="0" w:space="0" w:color="auto"/>
        <w:right w:val="none" w:sz="0" w:space="0" w:color="auto"/>
      </w:divBdr>
      <w:divsChild>
        <w:div w:id="2079789781">
          <w:marLeft w:val="0"/>
          <w:marRight w:val="0"/>
          <w:marTop w:val="0"/>
          <w:marBottom w:val="0"/>
          <w:divBdr>
            <w:top w:val="none" w:sz="0" w:space="0" w:color="auto"/>
            <w:left w:val="none" w:sz="0" w:space="0" w:color="auto"/>
            <w:bottom w:val="none" w:sz="0" w:space="0" w:color="auto"/>
            <w:right w:val="none" w:sz="0" w:space="0" w:color="auto"/>
          </w:divBdr>
          <w:divsChild>
            <w:div w:id="403647718">
              <w:marLeft w:val="0"/>
              <w:marRight w:val="0"/>
              <w:marTop w:val="0"/>
              <w:marBottom w:val="0"/>
              <w:divBdr>
                <w:top w:val="none" w:sz="0" w:space="0" w:color="auto"/>
                <w:left w:val="none" w:sz="0" w:space="0" w:color="auto"/>
                <w:bottom w:val="none" w:sz="0" w:space="0" w:color="auto"/>
                <w:right w:val="none" w:sz="0" w:space="0" w:color="auto"/>
              </w:divBdr>
              <w:divsChild>
                <w:div w:id="1198930572">
                  <w:marLeft w:val="0"/>
                  <w:marRight w:val="0"/>
                  <w:marTop w:val="0"/>
                  <w:marBottom w:val="0"/>
                  <w:divBdr>
                    <w:top w:val="none" w:sz="0" w:space="0" w:color="auto"/>
                    <w:left w:val="none" w:sz="0" w:space="0" w:color="auto"/>
                    <w:bottom w:val="none" w:sz="0" w:space="0" w:color="auto"/>
                    <w:right w:val="none" w:sz="0" w:space="0" w:color="auto"/>
                  </w:divBdr>
                  <w:divsChild>
                    <w:div w:id="1802840199">
                      <w:marLeft w:val="0"/>
                      <w:marRight w:val="0"/>
                      <w:marTop w:val="0"/>
                      <w:marBottom w:val="0"/>
                      <w:divBdr>
                        <w:top w:val="none" w:sz="0" w:space="0" w:color="auto"/>
                        <w:left w:val="none" w:sz="0" w:space="0" w:color="auto"/>
                        <w:bottom w:val="none" w:sz="0" w:space="0" w:color="auto"/>
                        <w:right w:val="none" w:sz="0" w:space="0" w:color="auto"/>
                      </w:divBdr>
                      <w:divsChild>
                        <w:div w:id="1266692272">
                          <w:marLeft w:val="0"/>
                          <w:marRight w:val="0"/>
                          <w:marTop w:val="0"/>
                          <w:marBottom w:val="0"/>
                          <w:divBdr>
                            <w:top w:val="none" w:sz="0" w:space="0" w:color="auto"/>
                            <w:left w:val="none" w:sz="0" w:space="0" w:color="auto"/>
                            <w:bottom w:val="none" w:sz="0" w:space="0" w:color="auto"/>
                            <w:right w:val="none" w:sz="0" w:space="0" w:color="auto"/>
                          </w:divBdr>
                          <w:divsChild>
                            <w:div w:id="1180848916">
                              <w:marLeft w:val="0"/>
                              <w:marRight w:val="0"/>
                              <w:marTop w:val="0"/>
                              <w:marBottom w:val="0"/>
                              <w:divBdr>
                                <w:top w:val="none" w:sz="0" w:space="0" w:color="auto"/>
                                <w:left w:val="none" w:sz="0" w:space="0" w:color="auto"/>
                                <w:bottom w:val="none" w:sz="0" w:space="0" w:color="auto"/>
                                <w:right w:val="none" w:sz="0" w:space="0" w:color="auto"/>
                              </w:divBdr>
                              <w:divsChild>
                                <w:div w:id="861168322">
                                  <w:marLeft w:val="0"/>
                                  <w:marRight w:val="0"/>
                                  <w:marTop w:val="0"/>
                                  <w:marBottom w:val="0"/>
                                  <w:divBdr>
                                    <w:top w:val="none" w:sz="0" w:space="0" w:color="auto"/>
                                    <w:left w:val="none" w:sz="0" w:space="0" w:color="auto"/>
                                    <w:bottom w:val="none" w:sz="0" w:space="0" w:color="auto"/>
                                    <w:right w:val="none" w:sz="0" w:space="0" w:color="auto"/>
                                  </w:divBdr>
                                  <w:divsChild>
                                    <w:div w:id="560410161">
                                      <w:marLeft w:val="0"/>
                                      <w:marRight w:val="0"/>
                                      <w:marTop w:val="0"/>
                                      <w:marBottom w:val="0"/>
                                      <w:divBdr>
                                        <w:top w:val="none" w:sz="0" w:space="0" w:color="auto"/>
                                        <w:left w:val="none" w:sz="0" w:space="0" w:color="auto"/>
                                        <w:bottom w:val="none" w:sz="0" w:space="0" w:color="auto"/>
                                        <w:right w:val="none" w:sz="0" w:space="0" w:color="auto"/>
                                      </w:divBdr>
                                      <w:divsChild>
                                        <w:div w:id="404838013">
                                          <w:marLeft w:val="0"/>
                                          <w:marRight w:val="0"/>
                                          <w:marTop w:val="0"/>
                                          <w:marBottom w:val="495"/>
                                          <w:divBdr>
                                            <w:top w:val="none" w:sz="0" w:space="0" w:color="auto"/>
                                            <w:left w:val="none" w:sz="0" w:space="0" w:color="auto"/>
                                            <w:bottom w:val="none" w:sz="0" w:space="0" w:color="auto"/>
                                            <w:right w:val="none" w:sz="0" w:space="0" w:color="auto"/>
                                          </w:divBdr>
                                          <w:divsChild>
                                            <w:div w:id="159994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de.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de/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Diego.Papaldo@ec.europa.e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DBDCB4-A145-40DA-9FF1-7CC3D8C53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1821</Words>
  <Characters>10021</Characters>
  <Application>Microsoft Office Word</Application>
  <DocSecurity>12</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2019-10-10T14:49:00Z</dcterms:created>
  <dcterms:modified xsi:type="dcterms:W3CDTF">2019-10-10T14:49:00Z</dcterms:modified>
</cp:coreProperties>
</file>