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77298498"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Pr="00443B21" w:rsidRDefault="00443B21" w:rsidP="004E1C73">
            <w:pPr>
              <w:rPr>
                <w:b/>
              </w:rPr>
            </w:pPr>
            <w:bookmarkStart w:id="0" w:name="_GoBack"/>
            <w:bookmarkEnd w:id="0"/>
            <w:r>
              <w:rPr>
                <w:b/>
              </w:rPr>
              <w:t>MOVE-</w:t>
            </w:r>
            <w:r w:rsidR="00501F2F" w:rsidRPr="00443B21">
              <w:rPr>
                <w:b/>
              </w:rPr>
              <w:t>B</w:t>
            </w:r>
            <w:r>
              <w:rPr>
                <w:b/>
              </w:rPr>
              <w:t>-</w:t>
            </w:r>
            <w:r w:rsidR="00501F2F" w:rsidRPr="00443B21">
              <w:rPr>
                <w:b/>
              </w:rPr>
              <w:t>4</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2002524884" w:edGrp="everyone" w:colFirst="1" w:colLast="1"/>
            <w:r w:rsidRPr="009D324E">
              <w:rPr>
                <w:b/>
                <w:sz w:val="22"/>
                <w:szCs w:val="22"/>
              </w:rPr>
              <w:t>Ch</w:t>
            </w:r>
            <w:permEnd w:id="177298498"/>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4E1C73" w:rsidRPr="00443B21" w:rsidRDefault="00501F2F">
            <w:pPr>
              <w:rPr>
                <w:b/>
              </w:rPr>
            </w:pPr>
            <w:r w:rsidRPr="00443B21">
              <w:rPr>
                <w:b/>
              </w:rPr>
              <w:t>Claire DEPRE</w:t>
            </w:r>
          </w:p>
          <w:p w:rsidR="004E1C73" w:rsidRPr="00443B21" w:rsidRDefault="00443B21">
            <w:pPr>
              <w:rPr>
                <w:b/>
              </w:rPr>
            </w:pPr>
            <w:hyperlink r:id="rId9" w:history="1">
              <w:r w:rsidR="00501F2F" w:rsidRPr="00443B21">
                <w:rPr>
                  <w:rStyle w:val="Hyperlink"/>
                  <w:b/>
                </w:rPr>
                <w:t>Claire.depre@ec.europa.eu</w:t>
              </w:r>
            </w:hyperlink>
          </w:p>
          <w:p w:rsidR="00501F2F" w:rsidRPr="00443B21" w:rsidRDefault="00501F2F">
            <w:pPr>
              <w:rPr>
                <w:b/>
              </w:rPr>
            </w:pPr>
            <w:r w:rsidRPr="00443B21">
              <w:rPr>
                <w:b/>
              </w:rPr>
              <w:t>+32.2.299.84.63</w:t>
            </w:r>
          </w:p>
          <w:p w:rsidR="004E1C73" w:rsidRPr="00443B21" w:rsidRDefault="00501F2F">
            <w:pPr>
              <w:rPr>
                <w:b/>
              </w:rPr>
            </w:pPr>
            <w:r w:rsidRPr="00443B21">
              <w:rPr>
                <w:b/>
              </w:rPr>
              <w:t>1</w:t>
            </w:r>
          </w:p>
          <w:p w:rsidR="004E1C73" w:rsidRPr="004E1C73" w:rsidRDefault="00501F2F" w:rsidP="004E1C73">
            <w:pPr>
              <w:ind w:right="1317"/>
              <w:jc w:val="both"/>
              <w:rPr>
                <w:b/>
                <w:sz w:val="22"/>
                <w:szCs w:val="22"/>
                <w:lang w:val="fr-FR"/>
              </w:rPr>
            </w:pPr>
            <w:r>
              <w:rPr>
                <w:b/>
                <w:sz w:val="22"/>
                <w:szCs w:val="22"/>
              </w:rPr>
              <w:t>1</w:t>
            </w:r>
            <w:r w:rsidR="00443B21" w:rsidRPr="00443B21">
              <w:rPr>
                <w:b/>
                <w:sz w:val="22"/>
                <w:szCs w:val="22"/>
                <w:vertAlign w:val="superscript"/>
              </w:rPr>
              <w:t>er</w:t>
            </w:r>
            <w:r w:rsidR="00443B21">
              <w:rPr>
                <w:b/>
                <w:sz w:val="22"/>
                <w:szCs w:val="22"/>
              </w:rPr>
              <w:t xml:space="preserve"> </w:t>
            </w:r>
            <w:r w:rsidR="004E1C73" w:rsidRPr="004E1C73">
              <w:rPr>
                <w:b/>
                <w:sz w:val="22"/>
                <w:szCs w:val="22"/>
              </w:rPr>
              <w:t>trimestre 20</w:t>
            </w:r>
            <w:r>
              <w:rPr>
                <w:b/>
                <w:sz w:val="22"/>
                <w:szCs w:val="22"/>
              </w:rPr>
              <w:t>20</w:t>
            </w:r>
            <w:r w:rsidR="004E1C73" w:rsidRPr="004E1C73">
              <w:rPr>
                <w:b/>
                <w:sz w:val="22"/>
                <w:szCs w:val="22"/>
                <w:lang w:val="fr-FR"/>
              </w:rPr>
              <w:t xml:space="preserve"> </w:t>
            </w:r>
            <w:r w:rsidR="004E1C73" w:rsidRPr="004E1C73">
              <w:rPr>
                <w:b/>
                <w:sz w:val="22"/>
                <w:szCs w:val="22"/>
                <w:vertAlign w:val="superscript"/>
              </w:rPr>
              <w:footnoteReference w:id="1"/>
            </w:r>
          </w:p>
          <w:p w:rsidR="004E1C73" w:rsidRPr="004E1C73" w:rsidRDefault="00501F2F" w:rsidP="004E1C73">
            <w:pPr>
              <w:ind w:right="1317"/>
              <w:jc w:val="both"/>
              <w:rPr>
                <w:b/>
                <w:sz w:val="22"/>
                <w:szCs w:val="22"/>
                <w:lang w:val="fr-FR"/>
              </w:rPr>
            </w:pPr>
            <w:r>
              <w:rPr>
                <w:b/>
                <w:sz w:val="22"/>
                <w:szCs w:val="22"/>
                <w:lang w:val="fr-FR"/>
              </w:rPr>
              <w:t>1</w:t>
            </w:r>
            <w:r w:rsidR="00713D0F">
              <w:rPr>
                <w:b/>
                <w:sz w:val="22"/>
                <w:szCs w:val="22"/>
                <w:lang w:val="fr-FR"/>
              </w:rPr>
              <w:t xml:space="preserve"> </w:t>
            </w:r>
            <w:r w:rsidR="004E1C73" w:rsidRPr="004E1C73">
              <w:rPr>
                <w:b/>
                <w:sz w:val="22"/>
                <w:szCs w:val="22"/>
                <w:lang w:val="fr-FR"/>
              </w:rPr>
              <w:t>an</w:t>
            </w:r>
            <w:r w:rsidR="004E1C73" w:rsidRPr="004E1C73">
              <w:rPr>
                <w:b/>
                <w:sz w:val="22"/>
                <w:szCs w:val="22"/>
                <w:vertAlign w:val="superscript"/>
                <w:lang w:val="fr-FR"/>
              </w:rPr>
              <w:t>1</w:t>
            </w:r>
          </w:p>
          <w:p w:rsidR="004E1C73" w:rsidRDefault="00501F2F" w:rsidP="004E1C73">
            <w:r w:rsidRPr="00443B21">
              <w:rPr>
                <w:rFonts w:eastAsia="MS Minngs"/>
                <w:b/>
                <w:bCs/>
                <w:sz w:val="22"/>
                <w:szCs w:val="22"/>
                <w:lang w:val="fr-FR"/>
              </w:rPr>
              <w:sym w:font="Wingdings 2" w:char="F0CD"/>
            </w:r>
            <w:r w:rsidR="004E1C73" w:rsidRPr="004E1C73">
              <w:rPr>
                <w:rFonts w:eastAsia="MS Minngs"/>
                <w:bCs/>
                <w:sz w:val="22"/>
                <w:szCs w:val="22"/>
                <w:lang w:val="fr-FR"/>
              </w:rPr>
              <w:t xml:space="preserve"> </w:t>
            </w:r>
            <w:r w:rsidR="004E1C73" w:rsidRPr="004E1C73">
              <w:rPr>
                <w:b/>
                <w:sz w:val="22"/>
                <w:szCs w:val="22"/>
              </w:rPr>
              <w:t xml:space="preserve">Bruxelles  </w:t>
            </w:r>
            <w:r w:rsidR="004E1C73" w:rsidRPr="004E1C73">
              <w:rPr>
                <w:rFonts w:eastAsia="MS Minngs"/>
                <w:bCs/>
                <w:sz w:val="22"/>
                <w:szCs w:val="22"/>
                <w:lang w:val="fr-FR"/>
              </w:rPr>
              <w:sym w:font="Wingdings 2" w:char="F0A3"/>
            </w:r>
            <w:r w:rsidR="004E1C73" w:rsidRPr="004E1C73">
              <w:rPr>
                <w:rFonts w:eastAsia="MS Minngs"/>
                <w:bCs/>
                <w:sz w:val="22"/>
                <w:szCs w:val="22"/>
                <w:lang w:val="fr-FR"/>
              </w:rPr>
              <w:t xml:space="preserve"> </w:t>
            </w:r>
            <w:r w:rsidR="004E1C73" w:rsidRPr="004E1C73">
              <w:rPr>
                <w:b/>
                <w:sz w:val="22"/>
                <w:szCs w:val="22"/>
              </w:rPr>
              <w:t xml:space="preserve">Luxembourg  </w:t>
            </w:r>
            <w:r w:rsidR="004E1C73" w:rsidRPr="004E1C73">
              <w:rPr>
                <w:rFonts w:eastAsia="MS Minngs"/>
                <w:bCs/>
                <w:sz w:val="22"/>
                <w:szCs w:val="22"/>
                <w:lang w:val="fr-FR"/>
              </w:rPr>
              <w:sym w:font="Wingdings 2" w:char="F0A3"/>
            </w:r>
            <w:r w:rsidR="004E1C73" w:rsidRPr="004E1C73">
              <w:rPr>
                <w:rFonts w:eastAsia="MS Minngs"/>
                <w:bCs/>
                <w:sz w:val="22"/>
                <w:szCs w:val="22"/>
                <w:lang w:val="fr-FR"/>
              </w:rPr>
              <w:t xml:space="preserve"> A</w:t>
            </w:r>
            <w:proofErr w:type="spellStart"/>
            <w:r w:rsidR="004E1C73" w:rsidRPr="004E1C73">
              <w:rPr>
                <w:b/>
                <w:sz w:val="22"/>
                <w:szCs w:val="22"/>
              </w:rPr>
              <w:t>utre</w:t>
            </w:r>
            <w:proofErr w:type="spellEnd"/>
            <w:r w:rsidR="004E1C73" w:rsidRPr="004E1C73">
              <w:rPr>
                <w:b/>
                <w:sz w:val="22"/>
                <w:szCs w:val="22"/>
              </w:rPr>
              <w:t>: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1218013185" w:edGrp="everyone" w:colFirst="1" w:colLast="1"/>
            <w:permEnd w:id="2002524884"/>
          </w:p>
        </w:tc>
        <w:tc>
          <w:tcPr>
            <w:tcW w:w="5597" w:type="dxa"/>
            <w:tcBorders>
              <w:left w:val="single" w:sz="4" w:space="0" w:color="auto"/>
            </w:tcBorders>
            <w:vAlign w:val="center"/>
          </w:tcPr>
          <w:p w:rsidR="004E1C73" w:rsidRDefault="00501F2F" w:rsidP="004E1C73">
            <w:r w:rsidRPr="00443B21">
              <w:rPr>
                <w:rFonts w:eastAsia="MS Minngs"/>
                <w:b/>
                <w:lang w:val="fr-FR"/>
              </w:rPr>
              <w:sym w:font="Wingdings 2" w:char="F0CD"/>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1357207189" w:edGrp="everyone" w:colFirst="0" w:colLast="0"/>
            <w:permEnd w:id="1218013185"/>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1357207189"/>
    </w:tbl>
    <w:p w:rsidR="00AC55BD" w:rsidRDefault="00443B21"/>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501F2F" w:rsidRPr="0013549C" w:rsidRDefault="00443B21" w:rsidP="00443B21">
      <w:pPr>
        <w:ind w:left="426" w:right="208"/>
        <w:jc w:val="both"/>
        <w:rPr>
          <w:sz w:val="22"/>
          <w:szCs w:val="22"/>
        </w:rPr>
      </w:pPr>
      <w:permStart w:id="157169944" w:edGrp="everyone"/>
      <w:r>
        <w:rPr>
          <w:sz w:val="22"/>
          <w:szCs w:val="22"/>
        </w:rPr>
        <w:t>Nous recherchons u</w:t>
      </w:r>
      <w:r w:rsidR="00501F2F" w:rsidRPr="0013549C">
        <w:rPr>
          <w:sz w:val="22"/>
          <w:szCs w:val="22"/>
        </w:rPr>
        <w:t>n expert national détaché motivé et dynamique pour développer un certain nombre d'actions clés dans le domaine de la mobilité coopérative, connectée et automatisée dans le transport routier. Il / elle collaborera activement aux tâches de l'unité qui sont de concevoir, développer, mettre en œuvre et suivre les politiques européennes et les activités connexes dans le domaine des systèmes de transport intelligents et en particulier de la mobilité coopérative, connectée et automatisée. Il aidera à (1) la mise en œuvre de la stratégie européenne sur les systèmes de transport coopératifs intelligents, (2) des actions visant à la convergence des tendances actuelles dans les domaines de la mobilité coopérative, connectée et automatisée (CCAM).</w:t>
      </w:r>
    </w:p>
    <w:p w:rsidR="00501F2F" w:rsidRPr="0013549C" w:rsidRDefault="00501F2F" w:rsidP="00443B21">
      <w:pPr>
        <w:ind w:left="426" w:right="208"/>
        <w:jc w:val="both"/>
        <w:rPr>
          <w:sz w:val="22"/>
          <w:szCs w:val="22"/>
        </w:rPr>
      </w:pPr>
    </w:p>
    <w:p w:rsidR="00501F2F" w:rsidRPr="0013549C" w:rsidRDefault="00501F2F" w:rsidP="00443B21">
      <w:pPr>
        <w:ind w:left="426" w:right="208"/>
        <w:jc w:val="both"/>
        <w:rPr>
          <w:sz w:val="22"/>
          <w:szCs w:val="22"/>
        </w:rPr>
      </w:pPr>
      <w:r w:rsidRPr="0013549C">
        <w:rPr>
          <w:sz w:val="22"/>
          <w:szCs w:val="22"/>
        </w:rPr>
        <w:t>Une expérience avérée en gestion de projet et en analyse, développement, coordination et mise en œuvre de politiques est requise.</w:t>
      </w:r>
    </w:p>
    <w:p w:rsidR="00501F2F" w:rsidRPr="0013549C" w:rsidRDefault="00501F2F" w:rsidP="00443B21">
      <w:pPr>
        <w:ind w:left="426" w:right="208"/>
        <w:jc w:val="both"/>
        <w:rPr>
          <w:sz w:val="22"/>
          <w:szCs w:val="22"/>
        </w:rPr>
      </w:pPr>
    </w:p>
    <w:p w:rsidR="00501F2F" w:rsidRPr="0013549C" w:rsidRDefault="00501F2F" w:rsidP="00443B21">
      <w:pPr>
        <w:ind w:left="426" w:right="208"/>
        <w:jc w:val="both"/>
        <w:rPr>
          <w:sz w:val="22"/>
          <w:szCs w:val="22"/>
        </w:rPr>
      </w:pPr>
      <w:r w:rsidRPr="0013549C">
        <w:rPr>
          <w:sz w:val="22"/>
          <w:szCs w:val="22"/>
        </w:rPr>
        <w:t>Une connaissance générale de la politique européenne des transports associée à une bonne compréhension des défis, d'un point de vue technologique et politique, ainsi qu'une expertise et une expérience dans le domaine de la mobilité coopérative, connectée et automatisée dans le transport routier seront considérées comme un atout pour le poste.</w:t>
      </w:r>
    </w:p>
    <w:p w:rsidR="00501F2F" w:rsidRPr="0013549C" w:rsidRDefault="00501F2F" w:rsidP="00443B21">
      <w:pPr>
        <w:ind w:left="426" w:right="208"/>
        <w:jc w:val="both"/>
        <w:rPr>
          <w:sz w:val="22"/>
          <w:szCs w:val="22"/>
        </w:rPr>
      </w:pPr>
    </w:p>
    <w:p w:rsidR="00501F2F" w:rsidRPr="0013549C" w:rsidRDefault="00501F2F" w:rsidP="00443B21">
      <w:pPr>
        <w:ind w:left="426" w:right="208"/>
        <w:jc w:val="both"/>
        <w:rPr>
          <w:sz w:val="22"/>
          <w:szCs w:val="22"/>
        </w:rPr>
      </w:pPr>
      <w:r w:rsidRPr="0013549C">
        <w:rPr>
          <w:sz w:val="22"/>
          <w:szCs w:val="22"/>
        </w:rPr>
        <w:t xml:space="preserve">La personne choisie devrait être un excellent communicateur, avoir un bon esprit d'équipe et être sensible aux environnements complexes à la croisée des politiques, de la technologie et de l'économie d'entreprise. D'excellentes compétences interpersonnelles, de bonnes capacités de réseautage et une capacité à comprendre et à rédiger des textes juridiques, des notes de synthèse et des briefings sont nécessaires. Le candidat retenu doit démontrer en particulier sa capacité à traduire les questions techniques en conception et </w:t>
      </w:r>
      <w:r w:rsidRPr="0013549C">
        <w:rPr>
          <w:sz w:val="22"/>
          <w:szCs w:val="22"/>
        </w:rPr>
        <w:lastRenderedPageBreak/>
        <w:t>développement de politiques et à communiquer efficacement avec diverses parties prenantes et avec le public, oralement et par écrit.</w:t>
      </w:r>
    </w:p>
    <w:p w:rsidR="00501F2F" w:rsidRPr="0013549C" w:rsidRDefault="00501F2F" w:rsidP="00443B21">
      <w:pPr>
        <w:ind w:left="426" w:right="208"/>
        <w:jc w:val="both"/>
        <w:rPr>
          <w:sz w:val="22"/>
          <w:szCs w:val="22"/>
        </w:rPr>
      </w:pPr>
    </w:p>
    <w:p w:rsidR="00E83D1A" w:rsidRPr="00E83D1A" w:rsidRDefault="00501F2F" w:rsidP="00443B21">
      <w:pPr>
        <w:ind w:left="426" w:right="208"/>
        <w:jc w:val="both"/>
        <w:rPr>
          <w:sz w:val="22"/>
          <w:szCs w:val="22"/>
        </w:rPr>
      </w:pPr>
      <w:r w:rsidRPr="0013549C">
        <w:rPr>
          <w:sz w:val="22"/>
          <w:szCs w:val="22"/>
        </w:rPr>
        <w:t>Il / elle doit être autonome, bien organisé et avoir un sens aigu des responsabilités et de l'initiative et posséder de solides compétences en résolution de problèmes, en analyse et en coordination.</w:t>
      </w:r>
    </w:p>
    <w:p w:rsidR="00E83D1A" w:rsidRPr="00E83D1A" w:rsidRDefault="00E83D1A">
      <w:pPr>
        <w:rPr>
          <w:sz w:val="22"/>
          <w:szCs w:val="22"/>
        </w:rPr>
      </w:pPr>
    </w:p>
    <w:permEnd w:id="157169944"/>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E83D1A">
      <w:pPr>
        <w:tabs>
          <w:tab w:val="left" w:pos="709"/>
        </w:tabs>
        <w:ind w:left="709" w:right="60"/>
        <w:jc w:val="both"/>
        <w:rPr>
          <w:sz w:val="22"/>
          <w:szCs w:val="22"/>
        </w:rPr>
      </w:pPr>
      <w:permStart w:id="1961958210"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443B21">
        <w:rPr>
          <w:sz w:val="22"/>
          <w:szCs w:val="22"/>
        </w:rPr>
        <w:t>i</w:t>
      </w:r>
      <w:r w:rsidR="00501F2F">
        <w:rPr>
          <w:sz w:val="22"/>
          <w:szCs w:val="22"/>
        </w:rPr>
        <w:t>ngénierie</w:t>
      </w:r>
      <w:r w:rsidR="00443B21">
        <w:rPr>
          <w:sz w:val="22"/>
          <w:szCs w:val="22"/>
        </w:rPr>
        <w:t>.</w:t>
      </w:r>
    </w:p>
    <w:p w:rsidR="00E83D1A" w:rsidRDefault="00E83D1A" w:rsidP="00E83D1A">
      <w:pPr>
        <w:tabs>
          <w:tab w:val="left" w:pos="709"/>
        </w:tabs>
        <w:ind w:left="709" w:right="60"/>
        <w:jc w:val="both"/>
        <w:rPr>
          <w:sz w:val="22"/>
          <w:szCs w:val="22"/>
        </w:rPr>
      </w:pPr>
    </w:p>
    <w:permEnd w:id="1961958210"/>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501F2F" w:rsidRPr="0013549C" w:rsidRDefault="00501F2F" w:rsidP="00501F2F">
      <w:pPr>
        <w:numPr>
          <w:ilvl w:val="0"/>
          <w:numId w:val="2"/>
        </w:numPr>
        <w:ind w:left="1068" w:right="161"/>
        <w:jc w:val="both"/>
        <w:rPr>
          <w:sz w:val="22"/>
          <w:szCs w:val="22"/>
        </w:rPr>
      </w:pPr>
      <w:permStart w:id="128652535" w:edGrp="everyone"/>
      <w:r w:rsidRPr="0013549C">
        <w:rPr>
          <w:sz w:val="22"/>
          <w:szCs w:val="22"/>
        </w:rPr>
        <w:t>Une expérience pertinente dans le domaine du transport / systèmes de transport intelligents ainsi que des questions liées aux TIC et / ou l'innovation dans les transports et leurs technologies associées;</w:t>
      </w:r>
    </w:p>
    <w:p w:rsidR="00501F2F" w:rsidRPr="0013549C" w:rsidRDefault="00501F2F" w:rsidP="00501F2F">
      <w:pPr>
        <w:numPr>
          <w:ilvl w:val="0"/>
          <w:numId w:val="3"/>
        </w:numPr>
        <w:ind w:left="1068" w:right="161"/>
        <w:jc w:val="both"/>
        <w:rPr>
          <w:sz w:val="22"/>
          <w:szCs w:val="22"/>
        </w:rPr>
      </w:pPr>
      <w:r w:rsidRPr="0013549C">
        <w:rPr>
          <w:sz w:val="22"/>
          <w:szCs w:val="22"/>
        </w:rPr>
        <w:t>Une bonne connaissance générale des défis de la politique européenne des transports constituerait un atout précieux;</w:t>
      </w:r>
    </w:p>
    <w:p w:rsidR="00501F2F" w:rsidRPr="0013549C" w:rsidRDefault="00501F2F" w:rsidP="00501F2F">
      <w:pPr>
        <w:numPr>
          <w:ilvl w:val="0"/>
          <w:numId w:val="3"/>
        </w:numPr>
        <w:ind w:left="1068" w:right="1317"/>
        <w:jc w:val="both"/>
        <w:rPr>
          <w:sz w:val="22"/>
          <w:szCs w:val="22"/>
        </w:rPr>
      </w:pPr>
      <w:r w:rsidRPr="0013549C">
        <w:rPr>
          <w:sz w:val="22"/>
          <w:szCs w:val="22"/>
        </w:rPr>
        <w:t>Une expérience antérieure avec des projets industriels complexes serait un atout;</w:t>
      </w:r>
    </w:p>
    <w:p w:rsidR="00501F2F" w:rsidRPr="0013549C" w:rsidRDefault="00501F2F" w:rsidP="00501F2F">
      <w:pPr>
        <w:numPr>
          <w:ilvl w:val="0"/>
          <w:numId w:val="3"/>
        </w:numPr>
        <w:ind w:left="1068" w:right="161"/>
        <w:jc w:val="both"/>
        <w:rPr>
          <w:sz w:val="22"/>
          <w:szCs w:val="22"/>
        </w:rPr>
      </w:pPr>
      <w:r w:rsidRPr="0013549C">
        <w:rPr>
          <w:sz w:val="22"/>
          <w:szCs w:val="22"/>
        </w:rPr>
        <w:t>La préférence sera accordée à un candidat dynamique, bien organisé et très motivé qui possède de solides aptitudes en résolution de problèmes, en analyse, rédaction et communication, ainsi qu'un bon jugement.</w:t>
      </w:r>
    </w:p>
    <w:p w:rsidR="00E83D1A" w:rsidRDefault="00E83D1A" w:rsidP="00E83D1A">
      <w:pPr>
        <w:tabs>
          <w:tab w:val="left" w:pos="709"/>
        </w:tabs>
        <w:ind w:left="709" w:right="60"/>
        <w:jc w:val="both"/>
        <w:rPr>
          <w:sz w:val="22"/>
          <w:szCs w:val="22"/>
          <w:u w:val="single"/>
        </w:rPr>
      </w:pPr>
    </w:p>
    <w:permEnd w:id="128652535"/>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Pr="001122D9" w:rsidRDefault="00501F2F" w:rsidP="00501F2F">
      <w:pPr>
        <w:pStyle w:val="ListParagraph"/>
        <w:numPr>
          <w:ilvl w:val="0"/>
          <w:numId w:val="4"/>
        </w:numPr>
        <w:tabs>
          <w:tab w:val="left" w:pos="709"/>
        </w:tabs>
        <w:ind w:right="60"/>
        <w:jc w:val="both"/>
        <w:rPr>
          <w:sz w:val="22"/>
          <w:szCs w:val="22"/>
        </w:rPr>
      </w:pPr>
      <w:permStart w:id="1709856542" w:edGrp="everyone"/>
      <w:r w:rsidRPr="001122D9">
        <w:rPr>
          <w:sz w:val="22"/>
          <w:szCs w:val="22"/>
        </w:rPr>
        <w:t>Une très bonne maîtrise de l’anglais (y compris la rédaction) est essentielle.</w:t>
      </w:r>
    </w:p>
    <w:p w:rsidR="00501F2F" w:rsidRPr="001122D9" w:rsidRDefault="00501F2F" w:rsidP="00501F2F">
      <w:pPr>
        <w:pStyle w:val="ListParagraph"/>
        <w:numPr>
          <w:ilvl w:val="0"/>
          <w:numId w:val="4"/>
        </w:numPr>
        <w:tabs>
          <w:tab w:val="left" w:pos="709"/>
        </w:tabs>
        <w:ind w:right="60"/>
        <w:jc w:val="both"/>
        <w:rPr>
          <w:sz w:val="22"/>
          <w:szCs w:val="22"/>
        </w:rPr>
      </w:pPr>
      <w:r w:rsidRPr="001122D9">
        <w:rPr>
          <w:sz w:val="22"/>
          <w:szCs w:val="22"/>
        </w:rPr>
        <w:t>D’autres langues communautaires, en particulier le français, sont un atout.</w:t>
      </w:r>
    </w:p>
    <w:p w:rsidR="00E83D1A" w:rsidRDefault="00E83D1A" w:rsidP="00E83D1A">
      <w:pPr>
        <w:tabs>
          <w:tab w:val="left" w:pos="709"/>
        </w:tabs>
        <w:ind w:left="709" w:right="60"/>
        <w:jc w:val="both"/>
        <w:rPr>
          <w:sz w:val="22"/>
          <w:szCs w:val="22"/>
        </w:rPr>
      </w:pPr>
    </w:p>
    <w:permEnd w:id="1709856542"/>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lastRenderedPageBreak/>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lastRenderedPageBreak/>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00FCC"/>
    <w:multiLevelType w:val="hybridMultilevel"/>
    <w:tmpl w:val="4F1E8E06"/>
    <w:lvl w:ilvl="0" w:tplc="08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3F146E"/>
    <w:multiLevelType w:val="hybridMultilevel"/>
    <w:tmpl w:val="C792D060"/>
    <w:lvl w:ilvl="0" w:tplc="08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6135792E"/>
    <w:multiLevelType w:val="hybridMultilevel"/>
    <w:tmpl w:val="BF12C2FE"/>
    <w:lvl w:ilvl="0" w:tplc="F30CD1C2">
      <w:numFmt w:val="bullet"/>
      <w:lvlText w:val="-"/>
      <w:lvlJc w:val="left"/>
      <w:pPr>
        <w:ind w:left="1069" w:hanging="360"/>
      </w:pPr>
      <w:rPr>
        <w:rFonts w:ascii="Times New Roman" w:eastAsia="Times New Roman" w:hAnsi="Times New Roman" w:cs="Times New Roman"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E2A59"/>
    <w:rsid w:val="001122D9"/>
    <w:rsid w:val="0019598C"/>
    <w:rsid w:val="00436362"/>
    <w:rsid w:val="00443B21"/>
    <w:rsid w:val="00467E6D"/>
    <w:rsid w:val="004E1C73"/>
    <w:rsid w:val="00501F2F"/>
    <w:rsid w:val="0051400C"/>
    <w:rsid w:val="00534042"/>
    <w:rsid w:val="00564A4C"/>
    <w:rsid w:val="00713D0F"/>
    <w:rsid w:val="00BC14A5"/>
    <w:rsid w:val="00CB43F6"/>
    <w:rsid w:val="00CF677F"/>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01F2F"/>
    <w:pPr>
      <w:ind w:left="720"/>
      <w:contextualSpacing/>
    </w:pPr>
  </w:style>
  <w:style w:type="paragraph" w:styleId="BalloonText">
    <w:name w:val="Balloon Text"/>
    <w:basedOn w:val="Normal"/>
    <w:link w:val="BalloonTextChar"/>
    <w:uiPriority w:val="99"/>
    <w:semiHidden/>
    <w:unhideWhenUsed/>
    <w:rsid w:val="001122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22D9"/>
    <w:rPr>
      <w:rFonts w:ascii="Segoe UI" w:eastAsia="Times New Roman" w:hAnsi="Segoe UI" w:cs="Segoe UI"/>
      <w:sz w:val="18"/>
      <w:szCs w:val="1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01F2F"/>
    <w:pPr>
      <w:ind w:left="720"/>
      <w:contextualSpacing/>
    </w:pPr>
  </w:style>
  <w:style w:type="paragraph" w:styleId="BalloonText">
    <w:name w:val="Balloon Text"/>
    <w:basedOn w:val="Normal"/>
    <w:link w:val="BalloonTextChar"/>
    <w:uiPriority w:val="99"/>
    <w:semiHidden/>
    <w:unhideWhenUsed/>
    <w:rsid w:val="001122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22D9"/>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Claire.depre@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1600</Words>
  <Characters>8800</Characters>
  <Application>Microsoft Office Word</Application>
  <DocSecurity>12</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2019-10-04T09:36:00Z</cp:lastPrinted>
  <dcterms:created xsi:type="dcterms:W3CDTF">2019-10-10T14:31:00Z</dcterms:created>
  <dcterms:modified xsi:type="dcterms:W3CDTF">2019-10-10T14:31:00Z</dcterms:modified>
</cp:coreProperties>
</file>