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848982915"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4F3E09" w:rsidRDefault="00655D2A" w:rsidP="004E1C73">
            <w:pPr>
              <w:rPr>
                <w:b/>
              </w:rPr>
            </w:pPr>
            <w:r w:rsidRPr="004F3E09">
              <w:rPr>
                <w:b/>
              </w:rPr>
              <w:t>FISMA-B-2</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932330930" w:edGrp="everyone" w:colFirst="1" w:colLast="1"/>
            <w:r w:rsidRPr="009D324E">
              <w:rPr>
                <w:b/>
                <w:sz w:val="22"/>
                <w:szCs w:val="22"/>
              </w:rPr>
              <w:t>Ch</w:t>
            </w:r>
            <w:permEnd w:id="848982915"/>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655D2A" w:rsidRPr="004F3E09" w:rsidRDefault="00655D2A" w:rsidP="00655D2A">
            <w:pPr>
              <w:rPr>
                <w:b/>
                <w:sz w:val="22"/>
                <w:szCs w:val="22"/>
                <w:lang w:val="fr-FR"/>
              </w:rPr>
            </w:pPr>
            <w:r w:rsidRPr="004F3E09">
              <w:rPr>
                <w:b/>
                <w:sz w:val="22"/>
                <w:szCs w:val="22"/>
                <w:lang w:val="fr-FR"/>
              </w:rPr>
              <w:t xml:space="preserve">Martin </w:t>
            </w:r>
            <w:proofErr w:type="spellStart"/>
            <w:r w:rsidRPr="004F3E09">
              <w:rPr>
                <w:b/>
                <w:sz w:val="22"/>
                <w:szCs w:val="22"/>
                <w:lang w:val="fr-FR"/>
              </w:rPr>
              <w:t>Spolc</w:t>
            </w:r>
            <w:proofErr w:type="spellEnd"/>
          </w:p>
          <w:p w:rsidR="00655D2A" w:rsidRPr="004F3E09" w:rsidRDefault="004F3E09" w:rsidP="00655D2A">
            <w:pPr>
              <w:rPr>
                <w:b/>
                <w:sz w:val="22"/>
                <w:szCs w:val="22"/>
                <w:lang w:val="fr-FR"/>
              </w:rPr>
            </w:pPr>
            <w:hyperlink r:id="rId9" w:history="1">
              <w:r w:rsidRPr="004F3E09">
                <w:rPr>
                  <w:rStyle w:val="Hyperlink"/>
                  <w:b/>
                  <w:sz w:val="22"/>
                  <w:szCs w:val="22"/>
                  <w:lang w:val="fr-FR"/>
                </w:rPr>
                <w:t>Martin.spolc@ec.europa.eu</w:t>
              </w:r>
            </w:hyperlink>
            <w:r w:rsidRPr="004F3E09">
              <w:rPr>
                <w:b/>
                <w:sz w:val="22"/>
                <w:szCs w:val="22"/>
                <w:lang w:val="fr-FR"/>
              </w:rPr>
              <w:t xml:space="preserve"> </w:t>
            </w:r>
          </w:p>
          <w:p w:rsidR="00655D2A" w:rsidRPr="004F3E09" w:rsidRDefault="00655D2A" w:rsidP="00655D2A">
            <w:pPr>
              <w:rPr>
                <w:b/>
                <w:sz w:val="22"/>
                <w:szCs w:val="22"/>
              </w:rPr>
            </w:pPr>
            <w:r w:rsidRPr="004F3E09">
              <w:rPr>
                <w:b/>
                <w:sz w:val="22"/>
                <w:szCs w:val="22"/>
              </w:rPr>
              <w:t>+32.2.2986535</w:t>
            </w:r>
          </w:p>
          <w:p w:rsidR="00655D2A" w:rsidRPr="004F3E09" w:rsidRDefault="00655D2A" w:rsidP="00655D2A">
            <w:pPr>
              <w:rPr>
                <w:b/>
                <w:sz w:val="22"/>
                <w:szCs w:val="22"/>
              </w:rPr>
            </w:pPr>
            <w:r w:rsidRPr="004F3E09">
              <w:rPr>
                <w:b/>
                <w:sz w:val="22"/>
                <w:szCs w:val="22"/>
              </w:rPr>
              <w:t>1</w:t>
            </w:r>
          </w:p>
          <w:p w:rsidR="004E1C73" w:rsidRPr="004F3E09" w:rsidRDefault="00655D2A" w:rsidP="004E1C73">
            <w:pPr>
              <w:ind w:right="1317"/>
              <w:jc w:val="both"/>
              <w:rPr>
                <w:b/>
                <w:sz w:val="22"/>
                <w:szCs w:val="22"/>
                <w:lang w:val="fr-FR"/>
              </w:rPr>
            </w:pPr>
            <w:r w:rsidRPr="004F3E09">
              <w:rPr>
                <w:b/>
                <w:sz w:val="22"/>
                <w:szCs w:val="22"/>
              </w:rPr>
              <w:t>1</w:t>
            </w:r>
            <w:r w:rsidRPr="004F3E09">
              <w:rPr>
                <w:b/>
                <w:sz w:val="22"/>
                <w:szCs w:val="22"/>
                <w:vertAlign w:val="superscript"/>
              </w:rPr>
              <w:t>er</w:t>
            </w:r>
            <w:r w:rsidRPr="004F3E09">
              <w:rPr>
                <w:b/>
                <w:sz w:val="22"/>
                <w:szCs w:val="22"/>
              </w:rPr>
              <w:t xml:space="preserve"> trimestre 2020</w:t>
            </w:r>
            <w:r w:rsidR="004E1C73" w:rsidRPr="004F3E09">
              <w:rPr>
                <w:b/>
                <w:sz w:val="22"/>
                <w:szCs w:val="22"/>
                <w:lang w:val="fr-FR"/>
              </w:rPr>
              <w:t xml:space="preserve"> </w:t>
            </w:r>
            <w:r w:rsidR="004E1C73" w:rsidRPr="004F3E09">
              <w:rPr>
                <w:b/>
                <w:sz w:val="22"/>
                <w:szCs w:val="22"/>
                <w:vertAlign w:val="superscript"/>
              </w:rPr>
              <w:footnoteReference w:id="1"/>
            </w:r>
          </w:p>
          <w:p w:rsidR="004E1C73" w:rsidRPr="004F3E09" w:rsidRDefault="00655D2A" w:rsidP="004E1C73">
            <w:pPr>
              <w:ind w:right="1317"/>
              <w:jc w:val="both"/>
              <w:rPr>
                <w:b/>
                <w:sz w:val="22"/>
                <w:szCs w:val="22"/>
                <w:lang w:val="fr-FR"/>
              </w:rPr>
            </w:pPr>
            <w:r w:rsidRPr="004F3E09">
              <w:rPr>
                <w:b/>
                <w:sz w:val="22"/>
                <w:szCs w:val="22"/>
                <w:lang w:val="fr-FR"/>
              </w:rPr>
              <w:t>2</w:t>
            </w:r>
            <w:r w:rsidR="00713D0F" w:rsidRPr="004F3E09">
              <w:rPr>
                <w:b/>
                <w:sz w:val="22"/>
                <w:szCs w:val="22"/>
                <w:lang w:val="fr-FR"/>
              </w:rPr>
              <w:t xml:space="preserve"> </w:t>
            </w:r>
            <w:r w:rsidR="004F3E09">
              <w:rPr>
                <w:b/>
                <w:sz w:val="22"/>
                <w:szCs w:val="22"/>
                <w:lang w:val="fr-FR"/>
              </w:rPr>
              <w:t>an</w:t>
            </w:r>
            <w:r w:rsidR="004E1C73" w:rsidRPr="004F3E09">
              <w:rPr>
                <w:b/>
                <w:sz w:val="22"/>
                <w:szCs w:val="22"/>
                <w:lang w:val="fr-FR"/>
              </w:rPr>
              <w:t>s</w:t>
            </w:r>
            <w:r w:rsidR="004E1C73" w:rsidRPr="004F3E09">
              <w:rPr>
                <w:b/>
                <w:sz w:val="22"/>
                <w:szCs w:val="22"/>
                <w:vertAlign w:val="superscript"/>
                <w:lang w:val="fr-FR"/>
              </w:rPr>
              <w:t>1</w:t>
            </w:r>
          </w:p>
          <w:p w:rsidR="004E1C73" w:rsidRDefault="00655D2A" w:rsidP="004E1C73">
            <w:r w:rsidRPr="004F3E09">
              <w:rPr>
                <w:rFonts w:eastAsia="MS Minngs"/>
                <w:b/>
                <w:bCs/>
                <w:sz w:val="22"/>
                <w:szCs w:val="22"/>
                <w:lang w:val="fr-FR"/>
              </w:rPr>
              <w:sym w:font="Wingdings 2" w:char="F054"/>
            </w:r>
            <w:r w:rsidR="004E1C73" w:rsidRPr="004F3E09">
              <w:rPr>
                <w:rFonts w:eastAsia="MS Minngs"/>
                <w:b/>
                <w:bCs/>
                <w:sz w:val="22"/>
                <w:szCs w:val="22"/>
                <w:lang w:val="fr-FR"/>
              </w:rPr>
              <w:t xml:space="preserve"> </w:t>
            </w:r>
            <w:r w:rsidR="004E1C73" w:rsidRPr="004F3E09">
              <w:rPr>
                <w:b/>
                <w:sz w:val="22"/>
                <w:szCs w:val="22"/>
              </w:rPr>
              <w:t xml:space="preserve">Bruxelles  </w:t>
            </w:r>
            <w:r w:rsidR="004E1C73" w:rsidRPr="004F3E09">
              <w:rPr>
                <w:rFonts w:eastAsia="MS Minngs"/>
                <w:b/>
                <w:bCs/>
                <w:sz w:val="22"/>
                <w:szCs w:val="22"/>
                <w:lang w:val="fr-FR"/>
              </w:rPr>
              <w:sym w:font="Wingdings 2" w:char="F0A3"/>
            </w:r>
            <w:r w:rsidR="004E1C73" w:rsidRPr="004F3E09">
              <w:rPr>
                <w:rFonts w:eastAsia="MS Minngs"/>
                <w:b/>
                <w:bCs/>
                <w:sz w:val="22"/>
                <w:szCs w:val="22"/>
                <w:lang w:val="fr-FR"/>
              </w:rPr>
              <w:t xml:space="preserve"> </w:t>
            </w:r>
            <w:r w:rsidR="004E1C73" w:rsidRPr="004F3E09">
              <w:rPr>
                <w:b/>
                <w:sz w:val="22"/>
                <w:szCs w:val="22"/>
              </w:rPr>
              <w:t xml:space="preserve">Luxembourg  </w:t>
            </w:r>
            <w:r w:rsidR="004E1C73" w:rsidRPr="004F3E09">
              <w:rPr>
                <w:rFonts w:eastAsia="MS Minngs"/>
                <w:b/>
                <w:bCs/>
                <w:sz w:val="22"/>
                <w:szCs w:val="22"/>
                <w:lang w:val="fr-FR"/>
              </w:rPr>
              <w:sym w:font="Wingdings 2" w:char="F0A3"/>
            </w:r>
            <w:r w:rsidR="004E1C73" w:rsidRPr="004F3E09">
              <w:rPr>
                <w:rFonts w:eastAsia="MS Minngs"/>
                <w:b/>
                <w:bCs/>
                <w:sz w:val="22"/>
                <w:szCs w:val="22"/>
                <w:lang w:val="fr-FR"/>
              </w:rPr>
              <w:t xml:space="preserve"> A</w:t>
            </w:r>
            <w:proofErr w:type="spellStart"/>
            <w:r w:rsidR="004E1C73" w:rsidRPr="004F3E09">
              <w:rPr>
                <w:b/>
                <w:sz w:val="22"/>
                <w:szCs w:val="22"/>
              </w:rPr>
              <w:t>utre</w:t>
            </w:r>
            <w:proofErr w:type="spellEnd"/>
            <w:r w:rsidR="004E1C73" w:rsidRPr="004F3E09">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1056595675" w:edGrp="everyone" w:colFirst="1" w:colLast="1"/>
            <w:permEnd w:id="1932330930"/>
          </w:p>
        </w:tc>
        <w:tc>
          <w:tcPr>
            <w:tcW w:w="5597" w:type="dxa"/>
            <w:tcBorders>
              <w:left w:val="single" w:sz="4" w:space="0" w:color="auto"/>
            </w:tcBorders>
            <w:vAlign w:val="center"/>
          </w:tcPr>
          <w:p w:rsidR="004E1C73" w:rsidRDefault="00655D2A" w:rsidP="004E1C73">
            <w:r w:rsidRPr="004F3E09">
              <w:rPr>
                <w:rFonts w:eastAsia="MS Minngs"/>
                <w:b/>
                <w:lang w:val="fr-FR"/>
              </w:rPr>
              <w:sym w:font="Wingdings 2" w:char="F054"/>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983057677" w:edGrp="everyone" w:colFirst="0" w:colLast="0"/>
            <w:permEnd w:id="1056595675"/>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983057677"/>
    </w:tbl>
    <w:p w:rsidR="00AC55BD" w:rsidRDefault="004F3E09"/>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655D2A" w:rsidRPr="00C13E15" w:rsidRDefault="00655D2A" w:rsidP="004F3E09">
      <w:pPr>
        <w:pStyle w:val="ListParagraph"/>
        <w:numPr>
          <w:ilvl w:val="0"/>
          <w:numId w:val="2"/>
        </w:numPr>
        <w:ind w:left="709" w:hanging="283"/>
        <w:jc w:val="both"/>
        <w:rPr>
          <w:sz w:val="22"/>
          <w:szCs w:val="22"/>
        </w:rPr>
      </w:pPr>
      <w:permStart w:id="581312357" w:edGrp="everyone"/>
      <w:r w:rsidRPr="00C13E15">
        <w:rPr>
          <w:sz w:val="22"/>
          <w:szCs w:val="22"/>
        </w:rPr>
        <w:t>Contribuer à l’élaboration de politiques dans le domaine des technologies financières (</w:t>
      </w:r>
      <w:proofErr w:type="spellStart"/>
      <w:r w:rsidRPr="00C13E15">
        <w:rPr>
          <w:sz w:val="22"/>
          <w:szCs w:val="22"/>
        </w:rPr>
        <w:t>FinTech</w:t>
      </w:r>
      <w:proofErr w:type="spellEnd"/>
      <w:r w:rsidRPr="00C13E15">
        <w:rPr>
          <w:sz w:val="22"/>
          <w:szCs w:val="22"/>
        </w:rPr>
        <w:t xml:space="preserve">).  </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Préparer des briefings et des réunions dans le domaine des technologies financières (</w:t>
      </w:r>
      <w:proofErr w:type="spellStart"/>
      <w:r w:rsidRPr="00C13E15">
        <w:rPr>
          <w:sz w:val="22"/>
          <w:szCs w:val="22"/>
        </w:rPr>
        <w:t>FinTech</w:t>
      </w:r>
      <w:proofErr w:type="spellEnd"/>
      <w:r w:rsidRPr="00C13E15">
        <w:rPr>
          <w:sz w:val="22"/>
          <w:szCs w:val="22"/>
        </w:rPr>
        <w:t xml:space="preserve">). </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Sous la supervision d’un fonctionnaire, expliquer aux parties prenantes les activités de l’unité/de la DG FISMA liées aux technologies financières dans le cadre de conférences, groupes de travail, etc.</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 xml:space="preserve">Sous la supervision d’un fonctionnaire, participer à la coordination des travaux de l’équipe </w:t>
      </w:r>
      <w:proofErr w:type="spellStart"/>
      <w:r w:rsidRPr="00C13E15">
        <w:rPr>
          <w:sz w:val="22"/>
          <w:szCs w:val="22"/>
        </w:rPr>
        <w:t>Fintech</w:t>
      </w:r>
      <w:proofErr w:type="spellEnd"/>
      <w:r w:rsidRPr="00C13E15">
        <w:rPr>
          <w:sz w:val="22"/>
          <w:szCs w:val="22"/>
        </w:rPr>
        <w:t xml:space="preserve"> avec les Autorités Européennes de Surveillance et les autres institutions internationales.</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Assister aux réunions organisées avec les acteurs du marché et les autorités publiques.</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 xml:space="preserve">Préparer, rédiger, mettre à jour et consolider les propositions de législation communautaire dans le domaine </w:t>
      </w:r>
      <w:proofErr w:type="spellStart"/>
      <w:r w:rsidRPr="00C13E15">
        <w:rPr>
          <w:sz w:val="22"/>
          <w:szCs w:val="22"/>
        </w:rPr>
        <w:t>Fintech</w:t>
      </w:r>
      <w:proofErr w:type="spellEnd"/>
      <w:r w:rsidRPr="00C13E15">
        <w:rPr>
          <w:sz w:val="22"/>
          <w:szCs w:val="22"/>
        </w:rPr>
        <w:t xml:space="preserve"> et/ou les modifications de la législation communautaire.  </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 xml:space="preserve">Assurer le suivi des propositions législatives dans le cadre du processus décisionnel interinstitutionnel, y compris l’adoption par la Commission, le Parlement européen et/ou le Conseil de l’Union européenne. </w:t>
      </w:r>
    </w:p>
    <w:p w:rsidR="00655D2A" w:rsidRPr="00C13E15" w:rsidRDefault="00655D2A" w:rsidP="004F3E09">
      <w:pPr>
        <w:pStyle w:val="ListParagraph"/>
        <w:numPr>
          <w:ilvl w:val="0"/>
          <w:numId w:val="2"/>
        </w:numPr>
        <w:ind w:left="709" w:hanging="283"/>
        <w:jc w:val="both"/>
        <w:rPr>
          <w:sz w:val="22"/>
          <w:szCs w:val="22"/>
        </w:rPr>
      </w:pPr>
      <w:r w:rsidRPr="00C13E15">
        <w:rPr>
          <w:sz w:val="22"/>
          <w:szCs w:val="22"/>
        </w:rPr>
        <w:t xml:space="preserve">Coordonner les contributions liées à la technologie financière pour le Conseil de Stabilité Financière, le G7 et le G20. </w:t>
      </w:r>
    </w:p>
    <w:p w:rsidR="00E83D1A" w:rsidRPr="00C13E15" w:rsidRDefault="00655D2A" w:rsidP="004F3E09">
      <w:pPr>
        <w:pStyle w:val="ListParagraph"/>
        <w:numPr>
          <w:ilvl w:val="0"/>
          <w:numId w:val="2"/>
        </w:numPr>
        <w:ind w:left="709" w:hanging="283"/>
        <w:jc w:val="both"/>
        <w:rPr>
          <w:sz w:val="22"/>
          <w:szCs w:val="22"/>
        </w:rPr>
      </w:pPr>
      <w:r w:rsidRPr="00C13E15">
        <w:rPr>
          <w:sz w:val="22"/>
          <w:szCs w:val="22"/>
        </w:rPr>
        <w:t xml:space="preserve">Coordonner et organiser le travail de l’équipe </w:t>
      </w:r>
      <w:proofErr w:type="spellStart"/>
      <w:r w:rsidRPr="00C13E15">
        <w:rPr>
          <w:sz w:val="22"/>
          <w:szCs w:val="22"/>
        </w:rPr>
        <w:t>FinTech</w:t>
      </w:r>
      <w:proofErr w:type="spellEnd"/>
      <w:r w:rsidRPr="00C13E15">
        <w:rPr>
          <w:sz w:val="22"/>
          <w:szCs w:val="22"/>
        </w:rPr>
        <w:t xml:space="preserve"> au sein de la DG et avec d’autres DG.</w:t>
      </w:r>
    </w:p>
    <w:p w:rsidR="00E83D1A" w:rsidRPr="00E83D1A" w:rsidRDefault="00E83D1A">
      <w:pPr>
        <w:rPr>
          <w:sz w:val="22"/>
          <w:szCs w:val="22"/>
        </w:rPr>
      </w:pPr>
    </w:p>
    <w:permEnd w:id="581312357"/>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lastRenderedPageBreak/>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1297246089"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4F3E09">
        <w:rPr>
          <w:sz w:val="22"/>
          <w:szCs w:val="22"/>
        </w:rPr>
        <w:t>finance / IT / économie / a</w:t>
      </w:r>
      <w:r w:rsidR="00655D2A" w:rsidRPr="00655D2A">
        <w:rPr>
          <w:sz w:val="22"/>
          <w:szCs w:val="22"/>
        </w:rPr>
        <w:t>dministration et gestion</w:t>
      </w:r>
      <w:r w:rsidR="004F3E09">
        <w:rPr>
          <w:sz w:val="22"/>
          <w:szCs w:val="22"/>
        </w:rPr>
        <w:t>.</w:t>
      </w:r>
    </w:p>
    <w:p w:rsidR="00E83D1A" w:rsidRDefault="00E83D1A" w:rsidP="00E83D1A">
      <w:pPr>
        <w:tabs>
          <w:tab w:val="left" w:pos="709"/>
        </w:tabs>
        <w:ind w:left="709" w:right="60"/>
        <w:jc w:val="both"/>
        <w:rPr>
          <w:sz w:val="22"/>
          <w:szCs w:val="22"/>
        </w:rPr>
      </w:pPr>
    </w:p>
    <w:permEnd w:id="1297246089"/>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E83D1A" w:rsidRPr="00655D2A" w:rsidRDefault="00655D2A" w:rsidP="00E83D1A">
      <w:pPr>
        <w:tabs>
          <w:tab w:val="left" w:pos="709"/>
        </w:tabs>
        <w:ind w:left="709" w:right="60"/>
        <w:jc w:val="both"/>
        <w:rPr>
          <w:sz w:val="22"/>
          <w:szCs w:val="22"/>
        </w:rPr>
      </w:pPr>
      <w:permStart w:id="1891829756" w:edGrp="everyone"/>
      <w:r w:rsidRPr="00655D2A">
        <w:rPr>
          <w:sz w:val="22"/>
          <w:szCs w:val="22"/>
        </w:rPr>
        <w:t>Obligatoire: expérience professionnelle dans le domaine des services financiers, particulièrement dans le domaine des technologies financières</w:t>
      </w:r>
      <w:r w:rsidR="004F3E09">
        <w:rPr>
          <w:sz w:val="22"/>
          <w:szCs w:val="22"/>
        </w:rPr>
        <w:t>.</w:t>
      </w:r>
    </w:p>
    <w:p w:rsidR="00E83D1A" w:rsidRDefault="00E83D1A" w:rsidP="00E83D1A">
      <w:pPr>
        <w:tabs>
          <w:tab w:val="left" w:pos="709"/>
        </w:tabs>
        <w:ind w:left="709" w:right="60"/>
        <w:jc w:val="both"/>
        <w:rPr>
          <w:sz w:val="22"/>
          <w:szCs w:val="22"/>
          <w:u w:val="single"/>
        </w:rPr>
      </w:pPr>
    </w:p>
    <w:permEnd w:id="1891829756"/>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655D2A" w:rsidRDefault="00655D2A" w:rsidP="00655D2A">
      <w:pPr>
        <w:tabs>
          <w:tab w:val="left" w:pos="709"/>
        </w:tabs>
        <w:ind w:right="60" w:firstLine="708"/>
        <w:jc w:val="both"/>
        <w:rPr>
          <w:sz w:val="22"/>
          <w:szCs w:val="22"/>
        </w:rPr>
      </w:pPr>
      <w:permStart w:id="196491691" w:edGrp="everyone"/>
      <w:r w:rsidRPr="00655D2A">
        <w:rPr>
          <w:sz w:val="22"/>
          <w:szCs w:val="22"/>
        </w:rPr>
        <w:t>Anglais</w:t>
      </w:r>
    </w:p>
    <w:p w:rsidR="00E83D1A" w:rsidRDefault="00E83D1A" w:rsidP="00E83D1A">
      <w:pPr>
        <w:tabs>
          <w:tab w:val="left" w:pos="709"/>
        </w:tabs>
        <w:ind w:left="709" w:right="60"/>
        <w:jc w:val="both"/>
        <w:rPr>
          <w:sz w:val="22"/>
          <w:szCs w:val="22"/>
        </w:rPr>
      </w:pPr>
      <w:bookmarkStart w:id="0" w:name="_GoBack"/>
      <w:bookmarkEnd w:id="0"/>
    </w:p>
    <w:permEnd w:id="196491691"/>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lastRenderedPageBreak/>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
    <w:nsid w:val="68556252"/>
    <w:multiLevelType w:val="hybridMultilevel"/>
    <w:tmpl w:val="B3E252FC"/>
    <w:lvl w:ilvl="0" w:tplc="9E3E514E">
      <w:numFmt w:val="bullet"/>
      <w:lvlText w:val="-"/>
      <w:lvlJc w:val="left"/>
      <w:pPr>
        <w:ind w:left="1065" w:hanging="705"/>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758B2B5C"/>
    <w:multiLevelType w:val="hybridMultilevel"/>
    <w:tmpl w:val="3350E2C8"/>
    <w:lvl w:ilvl="0" w:tplc="8A704BD8">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4F3E09"/>
    <w:rsid w:val="0051400C"/>
    <w:rsid w:val="00534042"/>
    <w:rsid w:val="00655D2A"/>
    <w:rsid w:val="00713D0F"/>
    <w:rsid w:val="00BC14A5"/>
    <w:rsid w:val="00C13E1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C13E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C13E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rtin.spolc@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1384</Words>
  <Characters>7617</Characters>
  <Application>Microsoft Office Word</Application>
  <DocSecurity>12</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2019-10-10T14:15:00Z</dcterms:created>
  <dcterms:modified xsi:type="dcterms:W3CDTF">2019-10-10T14:15:00Z</dcterms:modified>
</cp:coreProperties>
</file>