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254768703"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Default="00646BFF" w:rsidP="004E1C73">
            <w:r w:rsidRPr="00237FB6">
              <w:rPr>
                <w:b/>
                <w:noProof/>
                <w:szCs w:val="24"/>
                <w:lang w:val="fr-FR"/>
              </w:rPr>
              <w:t>COMM</w:t>
            </w:r>
            <w:r w:rsidRPr="00194195">
              <w:rPr>
                <w:b/>
                <w:szCs w:val="24"/>
                <w:lang w:val="fr-FR"/>
              </w:rPr>
              <w:t>-</w:t>
            </w:r>
            <w:r w:rsidRPr="00237FB6">
              <w:rPr>
                <w:b/>
                <w:noProof/>
                <w:szCs w:val="24"/>
                <w:lang w:val="fr-FR"/>
              </w:rPr>
              <w:t>A</w:t>
            </w:r>
            <w:r w:rsidRPr="00194195">
              <w:rPr>
                <w:b/>
                <w:szCs w:val="24"/>
                <w:lang w:val="fr-FR"/>
              </w:rPr>
              <w:t>-</w:t>
            </w:r>
            <w:r w:rsidRPr="00237FB6">
              <w:rPr>
                <w:b/>
                <w:noProof/>
                <w:szCs w:val="24"/>
                <w:lang w:val="fr-FR"/>
              </w:rPr>
              <w:t>1</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109913069" w:edGrp="everyone" w:colFirst="1" w:colLast="1"/>
            <w:r w:rsidRPr="009D324E">
              <w:rPr>
                <w:b/>
                <w:sz w:val="22"/>
                <w:szCs w:val="22"/>
              </w:rPr>
              <w:t>Ch</w:t>
            </w:r>
            <w:permEnd w:id="254768703"/>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646BFF" w:rsidRPr="005A0962" w:rsidRDefault="00646BFF" w:rsidP="00646BFF">
            <w:pPr>
              <w:rPr>
                <w:b/>
                <w:sz w:val="22"/>
                <w:szCs w:val="22"/>
              </w:rPr>
            </w:pPr>
            <w:r w:rsidRPr="005A0962">
              <w:rPr>
                <w:b/>
                <w:sz w:val="22"/>
                <w:szCs w:val="22"/>
              </w:rPr>
              <w:t>Mme Dana MANESCU</w:t>
            </w:r>
          </w:p>
          <w:p w:rsidR="00646BFF" w:rsidRPr="005A0962" w:rsidRDefault="005A0962" w:rsidP="00646BFF">
            <w:pPr>
              <w:rPr>
                <w:b/>
                <w:sz w:val="22"/>
                <w:szCs w:val="22"/>
              </w:rPr>
            </w:pPr>
            <w:hyperlink r:id="rId9" w:history="1">
              <w:r w:rsidR="00646BFF" w:rsidRPr="005A0962">
                <w:rPr>
                  <w:rStyle w:val="Hyperlink"/>
                  <w:b/>
                  <w:sz w:val="22"/>
                  <w:szCs w:val="22"/>
                </w:rPr>
                <w:t>Dana.MANESCU@ec.europa.eu</w:t>
              </w:r>
            </w:hyperlink>
            <w:r w:rsidR="00646BFF" w:rsidRPr="005A0962">
              <w:rPr>
                <w:b/>
                <w:sz w:val="22"/>
                <w:szCs w:val="22"/>
              </w:rPr>
              <w:t xml:space="preserve">  </w:t>
            </w:r>
          </w:p>
          <w:p w:rsidR="00646BFF" w:rsidRPr="005A0962" w:rsidRDefault="00646BFF" w:rsidP="00646BFF">
            <w:pPr>
              <w:rPr>
                <w:b/>
                <w:sz w:val="22"/>
                <w:szCs w:val="22"/>
                <w:lang w:val="pt-PT"/>
              </w:rPr>
            </w:pPr>
            <w:r w:rsidRPr="005A0962">
              <w:rPr>
                <w:b/>
                <w:sz w:val="22"/>
                <w:szCs w:val="22"/>
                <w:lang w:val="pt-PT"/>
              </w:rPr>
              <w:t>+ 32 2 29 54459</w:t>
            </w:r>
          </w:p>
          <w:p w:rsidR="00646BFF" w:rsidRPr="005A0962" w:rsidRDefault="00646BFF" w:rsidP="00646BFF">
            <w:pPr>
              <w:rPr>
                <w:b/>
                <w:sz w:val="22"/>
                <w:szCs w:val="22"/>
                <w:lang w:val="pt-PT"/>
              </w:rPr>
            </w:pPr>
            <w:r w:rsidRPr="005A0962">
              <w:rPr>
                <w:b/>
                <w:sz w:val="22"/>
                <w:szCs w:val="22"/>
                <w:lang w:val="pt-PT"/>
              </w:rPr>
              <w:t>2</w:t>
            </w:r>
          </w:p>
          <w:p w:rsidR="004E1C73" w:rsidRPr="005A0962" w:rsidRDefault="005A0962" w:rsidP="00646BFF">
            <w:pPr>
              <w:rPr>
                <w:b/>
                <w:sz w:val="22"/>
                <w:szCs w:val="22"/>
                <w:lang w:val="pt-PT"/>
              </w:rPr>
            </w:pPr>
            <w:r>
              <w:rPr>
                <w:b/>
                <w:sz w:val="22"/>
                <w:szCs w:val="22"/>
                <w:lang w:val="pt-PT"/>
              </w:rPr>
              <w:t>1</w:t>
            </w:r>
            <w:r w:rsidRPr="005A0962">
              <w:rPr>
                <w:b/>
                <w:sz w:val="22"/>
                <w:szCs w:val="22"/>
                <w:vertAlign w:val="superscript"/>
                <w:lang w:val="pt-PT"/>
              </w:rPr>
              <w:t>er</w:t>
            </w:r>
            <w:r>
              <w:rPr>
                <w:b/>
                <w:sz w:val="22"/>
                <w:szCs w:val="22"/>
                <w:lang w:val="pt-PT"/>
              </w:rPr>
              <w:t xml:space="preserve"> </w:t>
            </w:r>
            <w:r w:rsidR="00646BFF" w:rsidRPr="005A0962">
              <w:rPr>
                <w:b/>
                <w:sz w:val="22"/>
                <w:szCs w:val="22"/>
                <w:lang w:val="pt-PT"/>
              </w:rPr>
              <w:t>/</w:t>
            </w:r>
            <w:r>
              <w:rPr>
                <w:b/>
                <w:sz w:val="22"/>
                <w:szCs w:val="22"/>
                <w:lang w:val="pt-PT"/>
              </w:rPr>
              <w:t xml:space="preserve"> </w:t>
            </w:r>
            <w:r w:rsidR="00646BFF" w:rsidRPr="005A0962">
              <w:rPr>
                <w:b/>
                <w:sz w:val="22"/>
                <w:szCs w:val="22"/>
                <w:lang w:val="pt-PT"/>
              </w:rPr>
              <w:t>2</w:t>
            </w:r>
            <w:r w:rsidRPr="005A0962">
              <w:rPr>
                <w:b/>
                <w:sz w:val="22"/>
                <w:szCs w:val="22"/>
                <w:vertAlign w:val="superscript"/>
                <w:lang w:val="pt-PT"/>
              </w:rPr>
              <w:t>ème</w:t>
            </w:r>
            <w:r>
              <w:rPr>
                <w:b/>
                <w:sz w:val="22"/>
                <w:szCs w:val="22"/>
                <w:lang w:val="pt-PT"/>
              </w:rPr>
              <w:t xml:space="preserve"> </w:t>
            </w:r>
            <w:r w:rsidR="004E1C73" w:rsidRPr="005A0962">
              <w:rPr>
                <w:b/>
                <w:sz w:val="22"/>
                <w:szCs w:val="22"/>
                <w:lang w:val="pt-PT"/>
              </w:rPr>
              <w:t xml:space="preserve">trimestre 2019 </w:t>
            </w:r>
            <w:r w:rsidR="004E1C73" w:rsidRPr="005A0962">
              <w:rPr>
                <w:b/>
                <w:sz w:val="22"/>
                <w:szCs w:val="22"/>
                <w:vertAlign w:val="superscript"/>
              </w:rPr>
              <w:footnoteReference w:id="1"/>
            </w:r>
          </w:p>
          <w:p w:rsidR="004E1C73" w:rsidRPr="005A0962" w:rsidRDefault="00646BFF" w:rsidP="004E1C73">
            <w:pPr>
              <w:ind w:right="1317"/>
              <w:jc w:val="both"/>
              <w:rPr>
                <w:b/>
                <w:sz w:val="22"/>
                <w:szCs w:val="22"/>
                <w:lang w:val="pt-PT"/>
              </w:rPr>
            </w:pPr>
            <w:r w:rsidRPr="005A0962">
              <w:rPr>
                <w:b/>
                <w:noProof/>
                <w:sz w:val="22"/>
                <w:szCs w:val="22"/>
                <w:lang w:val="pt-PT"/>
              </w:rPr>
              <w:t xml:space="preserve">1 </w:t>
            </w:r>
            <w:proofErr w:type="gramStart"/>
            <w:r w:rsidR="004E1C73" w:rsidRPr="005A0962">
              <w:rPr>
                <w:b/>
                <w:sz w:val="22"/>
                <w:szCs w:val="22"/>
                <w:lang w:val="pt-PT"/>
              </w:rPr>
              <w:t>ans</w:t>
            </w:r>
            <w:r w:rsidR="004E1C73" w:rsidRPr="005A0962">
              <w:rPr>
                <w:b/>
                <w:sz w:val="22"/>
                <w:szCs w:val="22"/>
                <w:vertAlign w:val="superscript"/>
                <w:lang w:val="pt-PT"/>
              </w:rPr>
              <w:t>1</w:t>
            </w:r>
            <w:proofErr w:type="gramEnd"/>
          </w:p>
          <w:p w:rsidR="004E1C73" w:rsidRDefault="00646BFF" w:rsidP="004E1C73">
            <w:r w:rsidRPr="005A0962">
              <w:rPr>
                <w:rFonts w:eastAsia="MS Minngs"/>
                <w:bCs/>
                <w:sz w:val="22"/>
                <w:szCs w:val="22"/>
                <w:lang w:val="fr-FR"/>
              </w:rPr>
              <w:sym w:font="Wingdings" w:char="F0FD"/>
            </w:r>
            <w:r w:rsidR="004E1C73" w:rsidRPr="005A0962">
              <w:rPr>
                <w:rFonts w:eastAsia="MS Minngs"/>
                <w:b/>
                <w:bCs/>
                <w:sz w:val="22"/>
                <w:szCs w:val="22"/>
                <w:lang w:val="fr-FR"/>
              </w:rPr>
              <w:t xml:space="preserve"> </w:t>
            </w:r>
            <w:r w:rsidR="004E1C73" w:rsidRPr="005A0962">
              <w:rPr>
                <w:b/>
                <w:sz w:val="22"/>
                <w:szCs w:val="22"/>
              </w:rPr>
              <w:t xml:space="preserve">Bruxelles  </w:t>
            </w:r>
            <w:r w:rsidR="004E1C73" w:rsidRPr="005A0962">
              <w:rPr>
                <w:rFonts w:eastAsia="MS Minngs"/>
                <w:b/>
                <w:bCs/>
                <w:sz w:val="22"/>
                <w:szCs w:val="22"/>
                <w:lang w:val="fr-FR"/>
              </w:rPr>
              <w:sym w:font="Wingdings 2" w:char="F0A3"/>
            </w:r>
            <w:r w:rsidR="004E1C73" w:rsidRPr="005A0962">
              <w:rPr>
                <w:rFonts w:eastAsia="MS Minngs"/>
                <w:b/>
                <w:bCs/>
                <w:sz w:val="22"/>
                <w:szCs w:val="22"/>
                <w:lang w:val="fr-FR"/>
              </w:rPr>
              <w:t xml:space="preserve"> </w:t>
            </w:r>
            <w:r w:rsidR="004E1C73" w:rsidRPr="005A0962">
              <w:rPr>
                <w:b/>
                <w:sz w:val="22"/>
                <w:szCs w:val="22"/>
              </w:rPr>
              <w:t xml:space="preserve">Luxembourg  </w:t>
            </w:r>
            <w:r w:rsidR="004E1C73" w:rsidRPr="005A0962">
              <w:rPr>
                <w:rFonts w:eastAsia="MS Minngs"/>
                <w:b/>
                <w:bCs/>
                <w:sz w:val="22"/>
                <w:szCs w:val="22"/>
                <w:lang w:val="fr-FR"/>
              </w:rPr>
              <w:sym w:font="Wingdings 2" w:char="F0A3"/>
            </w:r>
            <w:r w:rsidR="004E1C73" w:rsidRPr="005A0962">
              <w:rPr>
                <w:rFonts w:eastAsia="MS Minngs"/>
                <w:b/>
                <w:bCs/>
                <w:sz w:val="22"/>
                <w:szCs w:val="22"/>
                <w:lang w:val="fr-FR"/>
              </w:rPr>
              <w:t xml:space="preserve"> A</w:t>
            </w:r>
            <w:proofErr w:type="spellStart"/>
            <w:r w:rsidR="004E1C73" w:rsidRPr="005A0962">
              <w:rPr>
                <w:b/>
                <w:sz w:val="22"/>
                <w:szCs w:val="22"/>
              </w:rPr>
              <w:t>utre</w:t>
            </w:r>
            <w:proofErr w:type="spellEnd"/>
            <w:r w:rsidR="004E1C73" w:rsidRPr="005A0962">
              <w:rPr>
                <w:b/>
                <w:sz w:val="22"/>
                <w:szCs w:val="22"/>
              </w:rPr>
              <w:t>: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948792448" w:edGrp="everyone" w:colFirst="1" w:colLast="1"/>
            <w:permEnd w:id="109913069"/>
          </w:p>
        </w:tc>
        <w:tc>
          <w:tcPr>
            <w:tcW w:w="5597" w:type="dxa"/>
            <w:tcBorders>
              <w:left w:val="single" w:sz="4" w:space="0" w:color="auto"/>
            </w:tcBorders>
            <w:vAlign w:val="center"/>
          </w:tcPr>
          <w:p w:rsidR="004E1C73" w:rsidRDefault="00646BFF" w:rsidP="004E1C73">
            <w:r w:rsidRPr="00646BFF">
              <w:rPr>
                <w:rFonts w:eastAsia="MS Minngs"/>
                <w:bCs/>
                <w:noProof/>
                <w:sz w:val="22"/>
                <w:szCs w:val="22"/>
                <w:lang w:val="fr-FR"/>
              </w:rPr>
              <w:sym w:font="Wingdings" w:char="F0FD"/>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1006781505" w:edGrp="everyone" w:colFirst="0" w:colLast="0"/>
            <w:permEnd w:id="948792448"/>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1006781505"/>
    </w:tbl>
    <w:p w:rsidR="00AC55BD" w:rsidRDefault="005A0962"/>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522027" w:rsidRPr="0097025E" w:rsidRDefault="00522027" w:rsidP="005A0962">
      <w:pPr>
        <w:spacing w:after="120"/>
        <w:ind w:left="426"/>
        <w:jc w:val="both"/>
        <w:rPr>
          <w:sz w:val="22"/>
          <w:szCs w:val="22"/>
        </w:rPr>
      </w:pPr>
      <w:permStart w:id="1866811933" w:edGrp="everyone"/>
      <w:r w:rsidRPr="0097025E">
        <w:rPr>
          <w:sz w:val="22"/>
          <w:szCs w:val="22"/>
        </w:rPr>
        <w:t>Responsable de la définition, mise en œuvre et mise à jour continue de la stratégie de la Commission concernant les médias sociaux, l'unité COMM.A.1 Réseaux sociaux et communication visuelle est à la recherche d’un expert national détaché pouvant agir en tant que gestionnaire de contenu sur les médias sociaux.</w:t>
      </w:r>
    </w:p>
    <w:p w:rsidR="00522027" w:rsidRPr="0097025E" w:rsidRDefault="00522027" w:rsidP="005A0962">
      <w:pPr>
        <w:spacing w:after="120"/>
        <w:ind w:left="426"/>
        <w:jc w:val="both"/>
        <w:rPr>
          <w:sz w:val="22"/>
          <w:szCs w:val="22"/>
        </w:rPr>
      </w:pPr>
      <w:r w:rsidRPr="0097025E">
        <w:rPr>
          <w:sz w:val="22"/>
          <w:szCs w:val="22"/>
        </w:rPr>
        <w:t xml:space="preserve">Nous proposons un poste dans une équipe et un environnement de travail dynamiques. L’équipe, composée d’une trentaine de membres, est très efficace et travaille avec des calendriers éditoriaux et de campagne stricts, tout en devant s’adapter à des événements externes imprévus, ce qui nécessite une coopération avancée, un esprit d’équipe et de bonnes compétences en communication. Nous offrons une bonne ambiance de travail dans un espace moderne: un tout nouvel open </w:t>
      </w:r>
      <w:proofErr w:type="spellStart"/>
      <w:r w:rsidRPr="0097025E">
        <w:rPr>
          <w:sz w:val="22"/>
          <w:szCs w:val="22"/>
        </w:rPr>
        <w:t>space</w:t>
      </w:r>
      <w:proofErr w:type="spellEnd"/>
      <w:r w:rsidRPr="0097025E">
        <w:rPr>
          <w:sz w:val="22"/>
          <w:szCs w:val="22"/>
        </w:rPr>
        <w:t>, au 4ème étage du bâtiment de la rue de la Loi 56, avec des écrans interactifs et un mur créatif pour faciliter les échanges constants d'information.</w:t>
      </w:r>
    </w:p>
    <w:p w:rsidR="00522027" w:rsidRPr="0097025E" w:rsidRDefault="00522027" w:rsidP="005A0962">
      <w:pPr>
        <w:spacing w:after="120"/>
        <w:ind w:left="426"/>
        <w:jc w:val="both"/>
        <w:rPr>
          <w:sz w:val="22"/>
          <w:szCs w:val="22"/>
        </w:rPr>
      </w:pPr>
      <w:r w:rsidRPr="0097025E">
        <w:rPr>
          <w:sz w:val="22"/>
          <w:szCs w:val="22"/>
        </w:rPr>
        <w:t>Le poste consiste à définir la stratégie de contenu pour les médias sociaux (proactive et réactive) grâce à une planification éditoriale visant différents publics tout en faisant place à la créativité et à l’inventivité.</w:t>
      </w:r>
    </w:p>
    <w:p w:rsidR="00522027" w:rsidRPr="0097025E" w:rsidRDefault="00522027" w:rsidP="005A0962">
      <w:pPr>
        <w:spacing w:after="120"/>
        <w:ind w:left="426"/>
        <w:jc w:val="both"/>
        <w:rPr>
          <w:sz w:val="22"/>
          <w:szCs w:val="22"/>
        </w:rPr>
      </w:pPr>
      <w:r w:rsidRPr="0097025E">
        <w:rPr>
          <w:sz w:val="22"/>
          <w:szCs w:val="22"/>
        </w:rPr>
        <w:t>Le poste requiert une très grande sensibilité politique, la capacité d'expliquer des sujets complexes dans un langage simple, de concevoir des lignes éditoriales pour diverses plates-formes (aussi bien pour Facebook,</w:t>
      </w:r>
      <w:r w:rsidR="005A0962">
        <w:rPr>
          <w:sz w:val="22"/>
          <w:szCs w:val="22"/>
        </w:rPr>
        <w:t xml:space="preserve"> </w:t>
      </w:r>
      <w:r w:rsidRPr="0097025E">
        <w:rPr>
          <w:sz w:val="22"/>
          <w:szCs w:val="22"/>
        </w:rPr>
        <w:t xml:space="preserve">Twitter, LinkedIn que pour </w:t>
      </w:r>
      <w:proofErr w:type="spellStart"/>
      <w:r w:rsidRPr="0097025E">
        <w:rPr>
          <w:sz w:val="22"/>
          <w:szCs w:val="22"/>
        </w:rPr>
        <w:t>Smarp</w:t>
      </w:r>
      <w:proofErr w:type="spellEnd"/>
      <w:r w:rsidRPr="0097025E">
        <w:rPr>
          <w:sz w:val="22"/>
          <w:szCs w:val="22"/>
        </w:rPr>
        <w:t>, un outil dédié à la communication des employés de la Commission sur leurs réseaux sociaux) et de développer des éléments de langage pour contrer et prévenir la désinformation.</w:t>
      </w:r>
    </w:p>
    <w:p w:rsidR="0097025E" w:rsidRDefault="00522027" w:rsidP="005A0962">
      <w:pPr>
        <w:spacing w:after="120"/>
        <w:ind w:left="426"/>
        <w:jc w:val="both"/>
        <w:rPr>
          <w:sz w:val="22"/>
          <w:szCs w:val="22"/>
        </w:rPr>
      </w:pPr>
      <w:r w:rsidRPr="0097025E">
        <w:rPr>
          <w:sz w:val="22"/>
          <w:szCs w:val="22"/>
        </w:rPr>
        <w:t xml:space="preserve">Le poste offre la possibilité d'utiliser et / ou de développer des compétences rédactionnelles et de communication visuelle en prenant en charge des tâches telles que la préparation d’arguments et de messages clés pour les réseaux sociaux, la création et la gestion de contenu. Cela comprend une vaste palette de contenus : une communication proactive qui prend en compte les nouvelles tendances des réseaux afin d’attirer l'attention sur le travail de la Commission, des réponses données au nom de l’institution à des questions ou informations relayées sur les réseaux sociaux, ou encore des éléments de langage et actions pour </w:t>
      </w:r>
      <w:r w:rsidRPr="0097025E">
        <w:rPr>
          <w:sz w:val="22"/>
          <w:szCs w:val="22"/>
        </w:rPr>
        <w:lastRenderedPageBreak/>
        <w:t xml:space="preserve">lutter contre la désinformation et informer les différents publics de la réalité et de l’étendue de ce phénomène, y compris en amont de potentielles « </w:t>
      </w:r>
      <w:proofErr w:type="spellStart"/>
      <w:r w:rsidRPr="0097025E">
        <w:rPr>
          <w:sz w:val="22"/>
          <w:szCs w:val="22"/>
        </w:rPr>
        <w:t>infox</w:t>
      </w:r>
      <w:proofErr w:type="spellEnd"/>
      <w:r w:rsidRPr="0097025E">
        <w:rPr>
          <w:sz w:val="22"/>
          <w:szCs w:val="22"/>
        </w:rPr>
        <w:t xml:space="preserve"> ».</w:t>
      </w:r>
      <w:r w:rsidR="0097025E">
        <w:rPr>
          <w:sz w:val="22"/>
          <w:szCs w:val="22"/>
        </w:rPr>
        <w:t xml:space="preserve"> </w:t>
      </w:r>
    </w:p>
    <w:p w:rsidR="00522027" w:rsidRPr="00E83D1A" w:rsidRDefault="00522027" w:rsidP="005A0962">
      <w:pPr>
        <w:spacing w:after="120"/>
        <w:ind w:left="426"/>
        <w:jc w:val="both"/>
        <w:rPr>
          <w:sz w:val="22"/>
          <w:szCs w:val="22"/>
        </w:rPr>
      </w:pPr>
      <w:r w:rsidRPr="0097025E">
        <w:rPr>
          <w:sz w:val="22"/>
          <w:szCs w:val="22"/>
        </w:rPr>
        <w:t>Vous aiderez à coordonner la communication de la Commission sur les réseaux sociaux. Ce travail nécessite des contacts fréquents avec le service du porte-parole et le Cabinet.</w:t>
      </w:r>
    </w:p>
    <w:permEnd w:id="1866811933"/>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97025E" w:rsidRDefault="00436362" w:rsidP="0070517D">
      <w:pPr>
        <w:tabs>
          <w:tab w:val="left" w:pos="709"/>
        </w:tabs>
        <w:spacing w:after="120"/>
        <w:ind w:left="709" w:right="62"/>
        <w:jc w:val="both"/>
        <w:rPr>
          <w:sz w:val="22"/>
          <w:szCs w:val="22"/>
        </w:rPr>
      </w:pPr>
      <w:permStart w:id="359169369" w:edGrp="everyone"/>
      <w:r>
        <w:rPr>
          <w:sz w:val="22"/>
          <w:szCs w:val="22"/>
        </w:rPr>
        <w:t xml:space="preserve">  </w:t>
      </w:r>
      <w:proofErr w:type="gramStart"/>
      <w:r w:rsidR="00E83D1A" w:rsidRPr="005302D1">
        <w:rPr>
          <w:sz w:val="22"/>
          <w:szCs w:val="22"/>
        </w:rPr>
        <w:t>dans</w:t>
      </w:r>
      <w:proofErr w:type="gramEnd"/>
      <w:r w:rsidR="00E83D1A" w:rsidRPr="005302D1">
        <w:rPr>
          <w:sz w:val="22"/>
          <w:szCs w:val="22"/>
        </w:rPr>
        <w:t xml:space="preserve"> le(s) domaine(s) </w:t>
      </w:r>
      <w:r w:rsidR="00E83D1A">
        <w:rPr>
          <w:sz w:val="22"/>
          <w:szCs w:val="22"/>
        </w:rPr>
        <w:t xml:space="preserve">: </w:t>
      </w:r>
      <w:r w:rsidR="00522027" w:rsidRPr="00522027">
        <w:rPr>
          <w:sz w:val="22"/>
          <w:szCs w:val="22"/>
        </w:rPr>
        <w:t>communication et communication en ligne.</w:t>
      </w:r>
    </w:p>
    <w:permEnd w:id="359169369"/>
    <w:p w:rsidR="00E83D1A" w:rsidRDefault="00E83D1A" w:rsidP="00E83D1A">
      <w:pPr>
        <w:tabs>
          <w:tab w:val="left" w:pos="709"/>
        </w:tabs>
        <w:ind w:left="709" w:right="60"/>
        <w:jc w:val="both"/>
        <w:rPr>
          <w:sz w:val="22"/>
          <w:szCs w:val="22"/>
          <w:u w:val="single"/>
        </w:rPr>
      </w:pPr>
      <w:r w:rsidRPr="00944AB1">
        <w:rPr>
          <w:sz w:val="22"/>
          <w:szCs w:val="22"/>
          <w:u w:val="single"/>
        </w:rPr>
        <w:t>Expérience professionnelle</w:t>
      </w:r>
    </w:p>
    <w:p w:rsidR="00E83D1A" w:rsidRDefault="00E83D1A" w:rsidP="00E83D1A">
      <w:pPr>
        <w:tabs>
          <w:tab w:val="left" w:pos="709"/>
        </w:tabs>
        <w:ind w:left="709" w:right="60"/>
        <w:jc w:val="both"/>
        <w:rPr>
          <w:sz w:val="22"/>
          <w:szCs w:val="22"/>
          <w:u w:val="single"/>
        </w:rPr>
      </w:pPr>
    </w:p>
    <w:p w:rsidR="00522027" w:rsidRPr="00522027" w:rsidRDefault="00522027" w:rsidP="0097025E">
      <w:pPr>
        <w:tabs>
          <w:tab w:val="left" w:pos="709"/>
        </w:tabs>
        <w:spacing w:after="120"/>
        <w:ind w:left="709" w:right="62"/>
        <w:jc w:val="both"/>
        <w:rPr>
          <w:sz w:val="22"/>
          <w:szCs w:val="22"/>
        </w:rPr>
      </w:pPr>
      <w:permStart w:id="1392270237" w:edGrp="everyone"/>
      <w:r w:rsidRPr="00522027">
        <w:rPr>
          <w:sz w:val="22"/>
          <w:szCs w:val="22"/>
        </w:rPr>
        <w:t xml:space="preserve">Le candidat doit posséder 5+ ans d'expérience récente en communication et 3+ ans d'expérience en création de contenu. Il / elle a planifié, coordonné et exécuté des plans de communication sur les médias sociaux sur différentes plateformes, notamment: Twitter, Facebook, Instagram, </w:t>
      </w:r>
      <w:proofErr w:type="spellStart"/>
      <w:r w:rsidRPr="00522027">
        <w:rPr>
          <w:sz w:val="22"/>
          <w:szCs w:val="22"/>
        </w:rPr>
        <w:t>Linkedin</w:t>
      </w:r>
      <w:proofErr w:type="spellEnd"/>
      <w:r w:rsidRPr="00522027">
        <w:rPr>
          <w:sz w:val="22"/>
          <w:szCs w:val="22"/>
        </w:rPr>
        <w:t xml:space="preserve"> et </w:t>
      </w:r>
      <w:proofErr w:type="spellStart"/>
      <w:r w:rsidRPr="00522027">
        <w:rPr>
          <w:sz w:val="22"/>
          <w:szCs w:val="22"/>
        </w:rPr>
        <w:t>Youtube</w:t>
      </w:r>
      <w:proofErr w:type="spellEnd"/>
      <w:r w:rsidRPr="00522027">
        <w:rPr>
          <w:sz w:val="22"/>
          <w:szCs w:val="22"/>
        </w:rPr>
        <w:t>.</w:t>
      </w:r>
    </w:p>
    <w:p w:rsidR="00522027" w:rsidRPr="00522027" w:rsidRDefault="00522027" w:rsidP="0097025E">
      <w:pPr>
        <w:tabs>
          <w:tab w:val="left" w:pos="709"/>
        </w:tabs>
        <w:spacing w:after="120"/>
        <w:ind w:left="709" w:right="62"/>
        <w:jc w:val="both"/>
        <w:rPr>
          <w:sz w:val="22"/>
          <w:szCs w:val="22"/>
        </w:rPr>
      </w:pPr>
      <w:r w:rsidRPr="00522027">
        <w:rPr>
          <w:sz w:val="22"/>
          <w:szCs w:val="22"/>
        </w:rPr>
        <w:t>Le candidat idéal maîtrise les outils de veille médias sociaux (</w:t>
      </w:r>
      <w:proofErr w:type="spellStart"/>
      <w:r w:rsidRPr="00522027">
        <w:rPr>
          <w:sz w:val="22"/>
          <w:szCs w:val="22"/>
        </w:rPr>
        <w:t>Brandwatch</w:t>
      </w:r>
      <w:proofErr w:type="spellEnd"/>
      <w:r w:rsidRPr="00522027">
        <w:rPr>
          <w:sz w:val="22"/>
          <w:szCs w:val="22"/>
        </w:rPr>
        <w:t xml:space="preserve">, </w:t>
      </w:r>
      <w:proofErr w:type="spellStart"/>
      <w:r w:rsidRPr="00522027">
        <w:rPr>
          <w:sz w:val="22"/>
          <w:szCs w:val="22"/>
        </w:rPr>
        <w:t>Socialbakers</w:t>
      </w:r>
      <w:proofErr w:type="spellEnd"/>
      <w:r w:rsidRPr="00522027">
        <w:rPr>
          <w:sz w:val="22"/>
          <w:szCs w:val="22"/>
        </w:rPr>
        <w:t xml:space="preserve"> ou autres) ou les données fournies directement par les plateformes de médias sociaux et identifie les données à même d’éclairer les décisions en matière de communication et d’engagement.</w:t>
      </w:r>
    </w:p>
    <w:p w:rsidR="00522027" w:rsidRPr="00522027" w:rsidRDefault="00522027" w:rsidP="0097025E">
      <w:pPr>
        <w:tabs>
          <w:tab w:val="left" w:pos="709"/>
        </w:tabs>
        <w:spacing w:after="120"/>
        <w:ind w:left="709" w:right="62"/>
        <w:jc w:val="both"/>
        <w:rPr>
          <w:sz w:val="22"/>
          <w:szCs w:val="22"/>
        </w:rPr>
      </w:pPr>
      <w:r w:rsidRPr="00522027">
        <w:rPr>
          <w:sz w:val="22"/>
          <w:szCs w:val="22"/>
        </w:rPr>
        <w:t>Un prérequis : de l’expérience en communication visuelle, adaptation des messages et ciblage.</w:t>
      </w:r>
    </w:p>
    <w:p w:rsidR="00522027" w:rsidRPr="00522027" w:rsidRDefault="00522027" w:rsidP="0097025E">
      <w:pPr>
        <w:tabs>
          <w:tab w:val="left" w:pos="709"/>
        </w:tabs>
        <w:spacing w:after="120"/>
        <w:ind w:left="709" w:right="62"/>
        <w:jc w:val="both"/>
        <w:rPr>
          <w:sz w:val="22"/>
          <w:szCs w:val="22"/>
        </w:rPr>
      </w:pPr>
      <w:r w:rsidRPr="00522027">
        <w:rPr>
          <w:sz w:val="22"/>
          <w:szCs w:val="22"/>
        </w:rPr>
        <w:t>Un avantage considérable : de l’expérience dans le marketing sur les médias sociaux (stratégies et techniques de publicité payante), dans la formation / coaching spécifique aux médias sociaux ou dans les technologies qui permettent de détecter et combattre la désinformation.</w:t>
      </w:r>
    </w:p>
    <w:p w:rsidR="00522027" w:rsidRPr="00522027" w:rsidRDefault="00522027" w:rsidP="0097025E">
      <w:pPr>
        <w:tabs>
          <w:tab w:val="left" w:pos="709"/>
        </w:tabs>
        <w:spacing w:after="120"/>
        <w:ind w:left="709" w:right="62"/>
        <w:jc w:val="both"/>
        <w:rPr>
          <w:sz w:val="22"/>
          <w:szCs w:val="22"/>
        </w:rPr>
      </w:pPr>
      <w:r w:rsidRPr="00522027">
        <w:rPr>
          <w:sz w:val="22"/>
          <w:szCs w:val="22"/>
        </w:rPr>
        <w:t>Le candidat doit posséder les compétences / aptitudes et connaissances suivantes:</w:t>
      </w:r>
    </w:p>
    <w:p w:rsidR="00522027" w:rsidRPr="00522027" w:rsidRDefault="00522027" w:rsidP="0097025E">
      <w:pPr>
        <w:tabs>
          <w:tab w:val="left" w:pos="709"/>
        </w:tabs>
        <w:ind w:left="709" w:right="62"/>
        <w:jc w:val="both"/>
        <w:rPr>
          <w:sz w:val="22"/>
          <w:szCs w:val="22"/>
        </w:rPr>
      </w:pPr>
      <w:r w:rsidRPr="00522027">
        <w:rPr>
          <w:sz w:val="22"/>
          <w:szCs w:val="22"/>
        </w:rPr>
        <w:t>- Aptitudes de conceptualisation et de rédaction (de textes à usage interne et externe)</w:t>
      </w:r>
    </w:p>
    <w:p w:rsidR="00522027" w:rsidRPr="00522027" w:rsidRDefault="00522027" w:rsidP="0097025E">
      <w:pPr>
        <w:tabs>
          <w:tab w:val="left" w:pos="709"/>
        </w:tabs>
        <w:ind w:left="709" w:right="62"/>
        <w:jc w:val="both"/>
        <w:rPr>
          <w:sz w:val="22"/>
          <w:szCs w:val="22"/>
        </w:rPr>
      </w:pPr>
      <w:r w:rsidRPr="00522027">
        <w:rPr>
          <w:sz w:val="22"/>
          <w:szCs w:val="22"/>
        </w:rPr>
        <w:t>- Capacité à hiérarchiser, à organiser et gérer efficacement de multiples projets et missions</w:t>
      </w:r>
    </w:p>
    <w:p w:rsidR="00522027" w:rsidRPr="00522027" w:rsidRDefault="00522027" w:rsidP="0097025E">
      <w:pPr>
        <w:tabs>
          <w:tab w:val="left" w:pos="709"/>
        </w:tabs>
        <w:ind w:left="709" w:right="62"/>
        <w:jc w:val="both"/>
        <w:rPr>
          <w:sz w:val="22"/>
          <w:szCs w:val="22"/>
        </w:rPr>
      </w:pPr>
      <w:r w:rsidRPr="00522027">
        <w:rPr>
          <w:sz w:val="22"/>
          <w:szCs w:val="22"/>
        </w:rPr>
        <w:t>- Capacités de coordination</w:t>
      </w:r>
    </w:p>
    <w:p w:rsidR="00522027" w:rsidRPr="00522027" w:rsidRDefault="00522027" w:rsidP="0097025E">
      <w:pPr>
        <w:tabs>
          <w:tab w:val="left" w:pos="709"/>
        </w:tabs>
        <w:ind w:left="709" w:right="62"/>
        <w:jc w:val="both"/>
        <w:rPr>
          <w:sz w:val="22"/>
          <w:szCs w:val="22"/>
        </w:rPr>
      </w:pPr>
      <w:r w:rsidRPr="00522027">
        <w:rPr>
          <w:sz w:val="22"/>
          <w:szCs w:val="22"/>
        </w:rPr>
        <w:t>- Capacité à travailler de manière autonome mais aussi en équipe</w:t>
      </w:r>
    </w:p>
    <w:p w:rsidR="00522027" w:rsidRPr="00522027" w:rsidRDefault="00522027" w:rsidP="0097025E">
      <w:pPr>
        <w:tabs>
          <w:tab w:val="left" w:pos="709"/>
        </w:tabs>
        <w:ind w:left="709" w:right="62"/>
        <w:jc w:val="both"/>
        <w:rPr>
          <w:sz w:val="22"/>
          <w:szCs w:val="22"/>
        </w:rPr>
      </w:pPr>
      <w:r w:rsidRPr="00522027">
        <w:rPr>
          <w:sz w:val="22"/>
          <w:szCs w:val="22"/>
        </w:rPr>
        <w:t>- Un excellent sens de l'organisation</w:t>
      </w:r>
    </w:p>
    <w:p w:rsidR="0070517D" w:rsidRPr="00522027" w:rsidRDefault="00522027" w:rsidP="0070517D">
      <w:pPr>
        <w:tabs>
          <w:tab w:val="left" w:pos="709"/>
        </w:tabs>
        <w:ind w:left="709" w:right="62"/>
        <w:jc w:val="both"/>
        <w:rPr>
          <w:sz w:val="22"/>
          <w:szCs w:val="22"/>
        </w:rPr>
      </w:pPr>
      <w:r w:rsidRPr="00522027">
        <w:rPr>
          <w:sz w:val="22"/>
          <w:szCs w:val="22"/>
        </w:rPr>
        <w:t>- Un grand sens de l'initiative allié à la fiabilité et à la responsabilité</w:t>
      </w:r>
    </w:p>
    <w:p w:rsidR="00522027" w:rsidRPr="00522027" w:rsidRDefault="00522027" w:rsidP="0097025E">
      <w:pPr>
        <w:tabs>
          <w:tab w:val="left" w:pos="709"/>
        </w:tabs>
        <w:ind w:left="709" w:right="62"/>
        <w:jc w:val="both"/>
        <w:rPr>
          <w:sz w:val="22"/>
          <w:szCs w:val="22"/>
        </w:rPr>
      </w:pPr>
      <w:r w:rsidRPr="00522027">
        <w:rPr>
          <w:sz w:val="22"/>
          <w:szCs w:val="22"/>
        </w:rPr>
        <w:t>- Des compétences en communication diplomatique</w:t>
      </w:r>
    </w:p>
    <w:p w:rsidR="00522027" w:rsidRPr="00522027" w:rsidRDefault="00522027" w:rsidP="0097025E">
      <w:pPr>
        <w:tabs>
          <w:tab w:val="left" w:pos="709"/>
        </w:tabs>
        <w:ind w:left="709" w:right="62"/>
        <w:jc w:val="both"/>
        <w:rPr>
          <w:sz w:val="22"/>
          <w:szCs w:val="22"/>
        </w:rPr>
      </w:pPr>
      <w:r w:rsidRPr="00522027">
        <w:rPr>
          <w:sz w:val="22"/>
          <w:szCs w:val="22"/>
        </w:rPr>
        <w:lastRenderedPageBreak/>
        <w:t>- D’excellentes compétences informatiques</w:t>
      </w:r>
    </w:p>
    <w:p w:rsidR="0097025E" w:rsidRPr="0097025E" w:rsidRDefault="00522027" w:rsidP="0097025E">
      <w:pPr>
        <w:tabs>
          <w:tab w:val="left" w:pos="709"/>
        </w:tabs>
        <w:spacing w:after="120"/>
        <w:ind w:left="709" w:right="62"/>
        <w:jc w:val="both"/>
        <w:rPr>
          <w:sz w:val="22"/>
          <w:szCs w:val="22"/>
        </w:rPr>
      </w:pPr>
      <w:r w:rsidRPr="00522027">
        <w:rPr>
          <w:sz w:val="22"/>
          <w:szCs w:val="22"/>
        </w:rPr>
        <w:t>- Compte tenu de la confidentialité de certains dossiers, sensibilité et discrétion sont essentielles.</w:t>
      </w:r>
    </w:p>
    <w:permEnd w:id="1392270237"/>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70517D" w:rsidRDefault="00522027" w:rsidP="0070517D">
      <w:pPr>
        <w:tabs>
          <w:tab w:val="left" w:pos="709"/>
        </w:tabs>
        <w:spacing w:after="120"/>
        <w:ind w:left="709" w:right="62"/>
        <w:jc w:val="both"/>
        <w:rPr>
          <w:sz w:val="22"/>
          <w:szCs w:val="22"/>
        </w:rPr>
      </w:pPr>
      <w:permStart w:id="984962675" w:edGrp="everyone"/>
      <w:r w:rsidRPr="00522027">
        <w:rPr>
          <w:sz w:val="22"/>
          <w:szCs w:val="22"/>
        </w:rPr>
        <w:t>Excellent anglais et bon français, à l'oral et à l'écrit.</w:t>
      </w:r>
    </w:p>
    <w:p w:rsidR="005A0962" w:rsidRDefault="005A0962" w:rsidP="0070517D">
      <w:pPr>
        <w:tabs>
          <w:tab w:val="left" w:pos="709"/>
        </w:tabs>
        <w:spacing w:after="120"/>
        <w:ind w:left="709" w:right="62"/>
        <w:jc w:val="both"/>
        <w:rPr>
          <w:sz w:val="22"/>
          <w:szCs w:val="22"/>
        </w:rPr>
      </w:pPr>
      <w:bookmarkStart w:id="0" w:name="_GoBack"/>
      <w:bookmarkEnd w:id="0"/>
    </w:p>
    <w:permEnd w:id="984962675"/>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lastRenderedPageBreak/>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19598C"/>
    <w:rsid w:val="00436362"/>
    <w:rsid w:val="00467E6D"/>
    <w:rsid w:val="004E1C73"/>
    <w:rsid w:val="0051400C"/>
    <w:rsid w:val="00522027"/>
    <w:rsid w:val="00534042"/>
    <w:rsid w:val="005A0962"/>
    <w:rsid w:val="00646BFF"/>
    <w:rsid w:val="0070517D"/>
    <w:rsid w:val="00713D0F"/>
    <w:rsid w:val="0097025E"/>
    <w:rsid w:val="00BC14A5"/>
    <w:rsid w:val="00CB43F6"/>
    <w:rsid w:val="00CF677F"/>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Dana.MANESCU@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1813</Words>
  <Characters>9977</Characters>
  <Application>Microsoft Office Word</Application>
  <DocSecurity>12</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2019-10-10T13:59:00Z</dcterms:created>
  <dcterms:modified xsi:type="dcterms:W3CDTF">2019-10-10T13:59:00Z</dcterms:modified>
</cp:coreProperties>
</file>