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r>
        <w:rPr>
          <w:noProof/>
          <w:lang w:val="fr-FR" w:eastAsia="fr-FR"/>
        </w:rPr>
        <w:drawing>
          <wp:anchor distT="0" distB="0" distL="114300" distR="114300" simplePos="0" relativeHeight="251658240" behindDoc="1" locked="0" layoutInCell="1" allowOverlap="0" wp14:anchorId="7C841882" wp14:editId="72AD284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C73" w:rsidRDefault="004E1C73" w:rsidP="004E1C73">
      <w:pPr>
        <w:ind w:left="720" w:right="1317"/>
        <w:jc w:val="center"/>
        <w:rPr>
          <w:b/>
        </w:rPr>
      </w:pPr>
    </w:p>
    <w:p w:rsidR="004E1C73" w:rsidRPr="00E93E80" w:rsidRDefault="004E1C73" w:rsidP="004E1C73">
      <w:pPr>
        <w:ind w:left="720" w:right="1317"/>
        <w:jc w:val="center"/>
        <w:rPr>
          <w:b/>
        </w:rPr>
      </w:pPr>
      <w:r w:rsidRPr="00E93E80">
        <w:rPr>
          <w:b/>
        </w:rPr>
        <w:t>AVIS DE VACANCE</w:t>
      </w:r>
    </w:p>
    <w:p w:rsidR="004E1C73" w:rsidRPr="00E93E80" w:rsidRDefault="004E1C73" w:rsidP="004E1C73">
      <w:pPr>
        <w:ind w:left="720" w:right="1317"/>
        <w:jc w:val="center"/>
        <w:rPr>
          <w:b/>
        </w:rPr>
      </w:pPr>
    </w:p>
    <w:p w:rsidR="004E1C73" w:rsidRDefault="004E1C73" w:rsidP="004E1C73">
      <w:pPr>
        <w:ind w:left="720" w:right="1317"/>
        <w:jc w:val="center"/>
        <w:rPr>
          <w:b/>
        </w:rPr>
      </w:pPr>
      <w:r w:rsidRPr="00E93E80">
        <w:rPr>
          <w:b/>
        </w:rPr>
        <w:t>EXPERT NATIONAL DETACHE A LA COMMISSION EUROPEENNE</w:t>
      </w:r>
    </w:p>
    <w:p w:rsidR="004E1C73" w:rsidRPr="00E93E80" w:rsidRDefault="004E1C73" w:rsidP="004E1C73">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E1C73" w:rsidTr="00E83D1A">
        <w:trPr>
          <w:trHeight w:val="611"/>
          <w:jc w:val="center"/>
        </w:trPr>
        <w:tc>
          <w:tcPr>
            <w:tcW w:w="4359" w:type="dxa"/>
          </w:tcPr>
          <w:p w:rsidR="004E1C73" w:rsidRDefault="004E1C73">
            <w:pPr>
              <w:rPr>
                <w:b/>
                <w:szCs w:val="24"/>
              </w:rPr>
            </w:pPr>
            <w:permStart w:id="1444041488" w:edGrp="everyone" w:colFirst="1" w:colLast="1"/>
            <w:r w:rsidRPr="007F12AE">
              <w:rPr>
                <w:b/>
                <w:szCs w:val="24"/>
              </w:rPr>
              <w:t>Intitulé du poste:</w:t>
            </w:r>
          </w:p>
          <w:p w:rsidR="004E1C73" w:rsidRDefault="004E1C73" w:rsidP="004E1C73">
            <w:r w:rsidRPr="007F12AE">
              <w:rPr>
                <w:szCs w:val="24"/>
              </w:rPr>
              <w:t>(DG-DIR-UNITE)</w:t>
            </w:r>
          </w:p>
        </w:tc>
        <w:tc>
          <w:tcPr>
            <w:tcW w:w="5597" w:type="dxa"/>
            <w:vAlign w:val="center"/>
          </w:tcPr>
          <w:p w:rsidR="004E1C73" w:rsidRPr="00242BC9" w:rsidRDefault="00DC72A1" w:rsidP="00242BC9">
            <w:pPr>
              <w:ind w:right="1317"/>
              <w:jc w:val="both"/>
              <w:rPr>
                <w:b/>
              </w:rPr>
            </w:pPr>
            <w:r w:rsidRPr="00242BC9">
              <w:rPr>
                <w:b/>
              </w:rPr>
              <w:t>AGRI-</w:t>
            </w:r>
            <w:r w:rsidR="00242BC9" w:rsidRPr="00242BC9">
              <w:rPr>
                <w:b/>
              </w:rPr>
              <w:t xml:space="preserve">H-3 </w:t>
            </w:r>
          </w:p>
        </w:tc>
      </w:tr>
      <w:tr w:rsidR="004E1C73" w:rsidTr="00E83D1A">
        <w:trPr>
          <w:trHeight w:val="1977"/>
          <w:jc w:val="center"/>
        </w:trPr>
        <w:tc>
          <w:tcPr>
            <w:tcW w:w="4359" w:type="dxa"/>
            <w:tcBorders>
              <w:bottom w:val="nil"/>
            </w:tcBorders>
          </w:tcPr>
          <w:p w:rsidR="004E1C73" w:rsidRPr="009D324E" w:rsidRDefault="004E1C73" w:rsidP="004E1C73">
            <w:pPr>
              <w:tabs>
                <w:tab w:val="left" w:pos="1697"/>
              </w:tabs>
              <w:ind w:right="-1739"/>
              <w:jc w:val="both"/>
              <w:rPr>
                <w:b/>
                <w:sz w:val="22"/>
                <w:szCs w:val="22"/>
              </w:rPr>
            </w:pPr>
            <w:permStart w:id="1858029935" w:edGrp="everyone" w:colFirst="1" w:colLast="1"/>
            <w:r w:rsidRPr="009D324E">
              <w:rPr>
                <w:b/>
                <w:sz w:val="22"/>
                <w:szCs w:val="22"/>
              </w:rPr>
              <w:t>Ch</w:t>
            </w:r>
            <w:permEnd w:id="1444041488"/>
            <w:r w:rsidRPr="009D324E">
              <w:rPr>
                <w:b/>
                <w:sz w:val="22"/>
                <w:szCs w:val="22"/>
              </w:rPr>
              <w:t>ef d’unité :</w:t>
            </w:r>
          </w:p>
          <w:p w:rsidR="004E1C73" w:rsidRPr="009D324E" w:rsidRDefault="004E1C73" w:rsidP="004E1C73">
            <w:pPr>
              <w:tabs>
                <w:tab w:val="left" w:pos="1697"/>
              </w:tabs>
              <w:ind w:right="-1739"/>
              <w:jc w:val="both"/>
              <w:rPr>
                <w:b/>
                <w:sz w:val="22"/>
                <w:szCs w:val="22"/>
              </w:rPr>
            </w:pPr>
            <w:r w:rsidRPr="009D324E">
              <w:rPr>
                <w:b/>
                <w:sz w:val="22"/>
                <w:szCs w:val="22"/>
              </w:rPr>
              <w:t>Adresse e-mail :</w:t>
            </w:r>
          </w:p>
          <w:p w:rsidR="004E1C73" w:rsidRPr="009D324E" w:rsidRDefault="004E1C73" w:rsidP="004E1C73">
            <w:pPr>
              <w:tabs>
                <w:tab w:val="left" w:pos="1697"/>
              </w:tabs>
              <w:ind w:right="-1739"/>
              <w:jc w:val="both"/>
              <w:rPr>
                <w:b/>
                <w:sz w:val="22"/>
                <w:szCs w:val="22"/>
              </w:rPr>
            </w:pPr>
            <w:r w:rsidRPr="009D324E">
              <w:rPr>
                <w:b/>
                <w:sz w:val="22"/>
                <w:szCs w:val="22"/>
              </w:rPr>
              <w:t>Téléphone :</w:t>
            </w:r>
          </w:p>
          <w:p w:rsidR="004E1C73" w:rsidRPr="009D324E" w:rsidRDefault="004E1C73" w:rsidP="004E1C73">
            <w:pPr>
              <w:tabs>
                <w:tab w:val="left" w:pos="1697"/>
              </w:tabs>
              <w:ind w:right="-1739"/>
              <w:jc w:val="both"/>
              <w:rPr>
                <w:b/>
                <w:sz w:val="22"/>
                <w:szCs w:val="22"/>
              </w:rPr>
            </w:pPr>
            <w:r w:rsidRPr="009D324E">
              <w:rPr>
                <w:b/>
                <w:sz w:val="22"/>
                <w:szCs w:val="22"/>
              </w:rPr>
              <w:t>Nombre de postes disponibles:</w:t>
            </w:r>
          </w:p>
          <w:p w:rsidR="004E1C73" w:rsidRPr="009D324E" w:rsidRDefault="004E1C73" w:rsidP="004E1C73">
            <w:pPr>
              <w:tabs>
                <w:tab w:val="left" w:pos="1697"/>
              </w:tabs>
              <w:ind w:right="-1739"/>
              <w:jc w:val="both"/>
              <w:rPr>
                <w:b/>
                <w:sz w:val="22"/>
                <w:szCs w:val="22"/>
              </w:rPr>
            </w:pPr>
            <w:r w:rsidRPr="009D324E">
              <w:rPr>
                <w:b/>
                <w:sz w:val="22"/>
                <w:szCs w:val="22"/>
              </w:rPr>
              <w:t>Prise de fonction souhaitée :</w:t>
            </w:r>
          </w:p>
          <w:p w:rsidR="004E1C73" w:rsidRPr="009D324E" w:rsidRDefault="004E1C73" w:rsidP="004E1C73">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4E1C73" w:rsidRDefault="004E1C73" w:rsidP="004E1C73">
            <w:r w:rsidRPr="009D324E">
              <w:rPr>
                <w:b/>
                <w:sz w:val="22"/>
                <w:szCs w:val="22"/>
              </w:rPr>
              <w:t>Lieu d’affectation :</w:t>
            </w:r>
          </w:p>
        </w:tc>
        <w:tc>
          <w:tcPr>
            <w:tcW w:w="5597" w:type="dxa"/>
          </w:tcPr>
          <w:p w:rsidR="00DC72A1" w:rsidRPr="00242BC9" w:rsidRDefault="00DC72A1" w:rsidP="00DC72A1">
            <w:pPr>
              <w:ind w:right="1317"/>
              <w:jc w:val="both"/>
              <w:rPr>
                <w:b/>
                <w:sz w:val="22"/>
                <w:szCs w:val="22"/>
                <w:lang w:val="fi-FI"/>
              </w:rPr>
            </w:pPr>
            <w:r w:rsidRPr="00242BC9">
              <w:rPr>
                <w:b/>
                <w:sz w:val="22"/>
                <w:szCs w:val="22"/>
                <w:lang w:val="fi-FI"/>
              </w:rPr>
              <w:t>Zoltan SOMOGYI</w:t>
            </w:r>
          </w:p>
          <w:p w:rsidR="00DC72A1" w:rsidRPr="00242BC9" w:rsidRDefault="00242BC9" w:rsidP="00DC72A1">
            <w:pPr>
              <w:ind w:right="1317"/>
              <w:jc w:val="both"/>
              <w:rPr>
                <w:b/>
                <w:sz w:val="22"/>
                <w:szCs w:val="22"/>
                <w:lang w:val="fi-FI"/>
              </w:rPr>
            </w:pPr>
            <w:hyperlink r:id="rId9" w:history="1">
              <w:r w:rsidR="00DC72A1" w:rsidRPr="00242BC9">
                <w:rPr>
                  <w:rStyle w:val="Hyperlink"/>
                  <w:b/>
                  <w:sz w:val="22"/>
                  <w:szCs w:val="22"/>
                  <w:lang w:val="fi-FI"/>
                </w:rPr>
                <w:t>zoltan.somogyi@ec.europa.eu</w:t>
              </w:r>
            </w:hyperlink>
          </w:p>
          <w:p w:rsidR="004E1C73" w:rsidRPr="00242BC9" w:rsidRDefault="00DC72A1" w:rsidP="00DC72A1">
            <w:pPr>
              <w:rPr>
                <w:sz w:val="22"/>
                <w:szCs w:val="22"/>
              </w:rPr>
            </w:pPr>
            <w:r w:rsidRPr="00242BC9">
              <w:rPr>
                <w:b/>
                <w:sz w:val="22"/>
                <w:szCs w:val="22"/>
              </w:rPr>
              <w:t>+3222961234</w:t>
            </w:r>
          </w:p>
          <w:p w:rsidR="00713D0F" w:rsidRPr="00242BC9" w:rsidRDefault="00DC72A1" w:rsidP="00DC72A1">
            <w:pPr>
              <w:rPr>
                <w:sz w:val="22"/>
                <w:szCs w:val="22"/>
              </w:rPr>
            </w:pPr>
            <w:r w:rsidRPr="00242BC9">
              <w:rPr>
                <w:sz w:val="22"/>
                <w:szCs w:val="22"/>
              </w:rPr>
              <w:t>1</w:t>
            </w:r>
          </w:p>
          <w:p w:rsidR="004E1C73" w:rsidRPr="00242BC9" w:rsidRDefault="00DC72A1" w:rsidP="004E1C73">
            <w:pPr>
              <w:ind w:right="1317"/>
              <w:jc w:val="both"/>
              <w:rPr>
                <w:b/>
                <w:sz w:val="22"/>
                <w:szCs w:val="22"/>
                <w:lang w:val="fr-FR"/>
              </w:rPr>
            </w:pPr>
            <w:r w:rsidRPr="00242BC9">
              <w:rPr>
                <w:b/>
                <w:sz w:val="22"/>
                <w:szCs w:val="22"/>
              </w:rPr>
              <w:t>1</w:t>
            </w:r>
            <w:r w:rsidRPr="00242BC9">
              <w:rPr>
                <w:b/>
                <w:sz w:val="22"/>
                <w:szCs w:val="22"/>
                <w:vertAlign w:val="superscript"/>
              </w:rPr>
              <w:t>er</w:t>
            </w:r>
            <w:r w:rsidR="00713D0F" w:rsidRPr="00242BC9">
              <w:rPr>
                <w:b/>
                <w:sz w:val="22"/>
                <w:szCs w:val="22"/>
              </w:rPr>
              <w:t xml:space="preserve"> </w:t>
            </w:r>
            <w:r w:rsidR="00D8228E" w:rsidRPr="00242BC9">
              <w:rPr>
                <w:b/>
                <w:sz w:val="22"/>
                <w:szCs w:val="22"/>
              </w:rPr>
              <w:t>trimestre 2020</w:t>
            </w:r>
            <w:r w:rsidR="004E1C73" w:rsidRPr="00242BC9">
              <w:rPr>
                <w:b/>
                <w:sz w:val="22"/>
                <w:szCs w:val="22"/>
                <w:lang w:val="fr-FR"/>
              </w:rPr>
              <w:t xml:space="preserve"> </w:t>
            </w:r>
            <w:r w:rsidR="004E1C73" w:rsidRPr="00242BC9">
              <w:rPr>
                <w:b/>
                <w:sz w:val="22"/>
                <w:szCs w:val="22"/>
                <w:vertAlign w:val="superscript"/>
              </w:rPr>
              <w:footnoteReference w:id="1"/>
            </w:r>
          </w:p>
          <w:p w:rsidR="004E1C73" w:rsidRPr="00242BC9" w:rsidRDefault="00D8228E" w:rsidP="004E1C73">
            <w:pPr>
              <w:ind w:right="1317"/>
              <w:jc w:val="both"/>
              <w:rPr>
                <w:b/>
                <w:sz w:val="22"/>
                <w:szCs w:val="22"/>
                <w:lang w:val="fr-FR"/>
              </w:rPr>
            </w:pPr>
            <w:r w:rsidRPr="00242BC9">
              <w:rPr>
                <w:b/>
                <w:sz w:val="22"/>
                <w:szCs w:val="22"/>
                <w:lang w:val="fr-FR"/>
              </w:rPr>
              <w:t>1</w:t>
            </w:r>
            <w:r w:rsidR="00713D0F" w:rsidRPr="00242BC9">
              <w:rPr>
                <w:b/>
                <w:sz w:val="22"/>
                <w:szCs w:val="22"/>
                <w:lang w:val="fr-FR"/>
              </w:rPr>
              <w:t xml:space="preserve"> </w:t>
            </w:r>
            <w:r w:rsidRPr="00242BC9">
              <w:rPr>
                <w:b/>
                <w:sz w:val="22"/>
                <w:szCs w:val="22"/>
                <w:lang w:val="fr-FR"/>
              </w:rPr>
              <w:t>an</w:t>
            </w:r>
            <w:r w:rsidR="004E1C73" w:rsidRPr="00242BC9">
              <w:rPr>
                <w:b/>
                <w:sz w:val="22"/>
                <w:szCs w:val="22"/>
                <w:vertAlign w:val="superscript"/>
                <w:lang w:val="fr-FR"/>
              </w:rPr>
              <w:t>1</w:t>
            </w:r>
          </w:p>
          <w:p w:rsidR="004E1C73" w:rsidRPr="00242BC9" w:rsidRDefault="00DC72A1" w:rsidP="00DC72A1">
            <w:pPr>
              <w:rPr>
                <w:sz w:val="22"/>
                <w:szCs w:val="22"/>
              </w:rPr>
            </w:pPr>
            <w:r w:rsidRPr="00242BC9">
              <w:rPr>
                <w:rFonts w:eastAsia="MS Minngs"/>
                <w:b/>
                <w:bCs/>
                <w:sz w:val="22"/>
                <w:szCs w:val="22"/>
                <w:lang w:val="fr-FR"/>
              </w:rPr>
              <w:t>X</w:t>
            </w:r>
            <w:r w:rsidR="004E1C73" w:rsidRPr="00242BC9">
              <w:rPr>
                <w:rFonts w:eastAsia="MS Minngs"/>
                <w:bCs/>
                <w:sz w:val="22"/>
                <w:szCs w:val="22"/>
                <w:lang w:val="fr-FR"/>
              </w:rPr>
              <w:t xml:space="preserve"> </w:t>
            </w:r>
            <w:r w:rsidR="004E1C73" w:rsidRPr="00242BC9">
              <w:rPr>
                <w:b/>
                <w:sz w:val="22"/>
                <w:szCs w:val="22"/>
              </w:rPr>
              <w:t xml:space="preserve">Bruxelles  </w:t>
            </w:r>
            <w:r w:rsidR="004E1C73" w:rsidRPr="00242BC9">
              <w:rPr>
                <w:rFonts w:eastAsia="MS Minngs"/>
                <w:bCs/>
                <w:sz w:val="22"/>
                <w:szCs w:val="22"/>
                <w:lang w:val="fr-FR"/>
              </w:rPr>
              <w:sym w:font="Wingdings 2" w:char="F0A3"/>
            </w:r>
            <w:r w:rsidR="004E1C73" w:rsidRPr="00242BC9">
              <w:rPr>
                <w:rFonts w:eastAsia="MS Minngs"/>
                <w:bCs/>
                <w:sz w:val="22"/>
                <w:szCs w:val="22"/>
                <w:lang w:val="fr-FR"/>
              </w:rPr>
              <w:t xml:space="preserve"> </w:t>
            </w:r>
            <w:r w:rsidR="004E1C73" w:rsidRPr="00242BC9">
              <w:rPr>
                <w:b/>
                <w:sz w:val="22"/>
                <w:szCs w:val="22"/>
              </w:rPr>
              <w:t xml:space="preserve">Luxembourg  </w:t>
            </w:r>
            <w:r w:rsidR="004E1C73" w:rsidRPr="00242BC9">
              <w:rPr>
                <w:rFonts w:eastAsia="MS Minngs"/>
                <w:bCs/>
                <w:sz w:val="22"/>
                <w:szCs w:val="22"/>
                <w:lang w:val="fr-FR"/>
              </w:rPr>
              <w:sym w:font="Wingdings 2" w:char="F0A3"/>
            </w:r>
            <w:r w:rsidR="004E1C73" w:rsidRPr="00242BC9">
              <w:rPr>
                <w:rFonts w:eastAsia="MS Minngs"/>
                <w:bCs/>
                <w:sz w:val="22"/>
                <w:szCs w:val="22"/>
                <w:lang w:val="fr-FR"/>
              </w:rPr>
              <w:t xml:space="preserve"> A</w:t>
            </w:r>
            <w:proofErr w:type="spellStart"/>
            <w:r w:rsidR="004E1C73" w:rsidRPr="00242BC9">
              <w:rPr>
                <w:b/>
                <w:sz w:val="22"/>
                <w:szCs w:val="22"/>
              </w:rPr>
              <w:t>utre</w:t>
            </w:r>
            <w:proofErr w:type="spellEnd"/>
            <w:r w:rsidR="004E1C73" w:rsidRPr="00242BC9">
              <w:rPr>
                <w:b/>
                <w:sz w:val="22"/>
                <w:szCs w:val="22"/>
              </w:rPr>
              <w:t>: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Default="004E1C73">
            <w:permStart w:id="206263114" w:edGrp="everyone" w:colFirst="1" w:colLast="1"/>
            <w:permEnd w:id="1858029935"/>
          </w:p>
        </w:tc>
        <w:tc>
          <w:tcPr>
            <w:tcW w:w="5597" w:type="dxa"/>
            <w:tcBorders>
              <w:left w:val="single" w:sz="4" w:space="0" w:color="auto"/>
            </w:tcBorders>
            <w:vAlign w:val="center"/>
          </w:tcPr>
          <w:p w:rsidR="004E1C73" w:rsidRDefault="00DC72A1" w:rsidP="00DC72A1">
            <w:r w:rsidRPr="00242BC9">
              <w:rPr>
                <w:rFonts w:eastAsia="MS Minngs"/>
                <w:b/>
                <w:bCs/>
                <w:sz w:val="22"/>
                <w:szCs w:val="22"/>
              </w:rPr>
              <w:t>X</w:t>
            </w:r>
            <w:r w:rsidR="004E1C73" w:rsidRPr="00FC2F43">
              <w:rPr>
                <w:rStyle w:val="Strong"/>
                <w:sz w:val="22"/>
                <w:szCs w:val="22"/>
              </w:rPr>
              <w:t xml:space="preserve">    </w:t>
            </w:r>
            <w:r w:rsidR="004E1C73" w:rsidRPr="00FC2F43">
              <w:rPr>
                <w:b/>
                <w:sz w:val="22"/>
                <w:szCs w:val="22"/>
              </w:rPr>
              <w:t xml:space="preserve">Avec indemnités                </w:t>
            </w:r>
            <w:r w:rsidR="004E1C73" w:rsidRPr="00FC2F43">
              <w:rPr>
                <w:rFonts w:eastAsia="MS Minngs"/>
                <w:bCs/>
                <w:sz w:val="22"/>
                <w:szCs w:val="22"/>
                <w:lang w:val="fr-FR"/>
              </w:rPr>
              <w:sym w:font="Wingdings 2" w:char="F0A3"/>
            </w:r>
            <w:r w:rsidR="004E1C73" w:rsidRPr="00FC2F43">
              <w:rPr>
                <w:rFonts w:eastAsia="MS Minngs"/>
                <w:bCs/>
                <w:sz w:val="22"/>
                <w:szCs w:val="22"/>
                <w:lang w:val="fr-FR"/>
              </w:rPr>
              <w:t xml:space="preserve">   </w:t>
            </w:r>
            <w:r w:rsidR="004E1C73" w:rsidRPr="00FC2F43">
              <w:rPr>
                <w:rStyle w:val="Strong"/>
                <w:sz w:val="22"/>
                <w:szCs w:val="22"/>
              </w:rPr>
              <w:t> </w:t>
            </w:r>
            <w:r w:rsidR="004E1C73" w:rsidRPr="00FC2F43">
              <w:rPr>
                <w:rFonts w:eastAsia="MS Minngs"/>
                <w:bCs/>
                <w:sz w:val="22"/>
                <w:szCs w:val="22"/>
                <w:lang w:val="fr-FR"/>
              </w:rPr>
              <w:t xml:space="preserve"> </w:t>
            </w:r>
            <w:r w:rsidR="004E1C73" w:rsidRPr="00FC2F43">
              <w:rPr>
                <w:b/>
                <w:sz w:val="22"/>
                <w:szCs w:val="22"/>
              </w:rPr>
              <w:t>Sans frais</w:t>
            </w:r>
          </w:p>
        </w:tc>
      </w:tr>
      <w:tr w:rsidR="00E83D1A" w:rsidTr="00E83D1A">
        <w:trPr>
          <w:trHeight w:val="2112"/>
          <w:jc w:val="center"/>
        </w:trPr>
        <w:tc>
          <w:tcPr>
            <w:tcW w:w="9956" w:type="dxa"/>
            <w:gridSpan w:val="2"/>
            <w:tcBorders>
              <w:top w:val="nil"/>
              <w:left w:val="single" w:sz="4" w:space="0" w:color="auto"/>
              <w:bottom w:val="single" w:sz="4" w:space="0" w:color="auto"/>
            </w:tcBorders>
            <w:vAlign w:val="center"/>
          </w:tcPr>
          <w:p w:rsidR="00E83D1A" w:rsidRDefault="00E83D1A" w:rsidP="004E1C73">
            <w:pPr>
              <w:rPr>
                <w:b/>
                <w:sz w:val="22"/>
                <w:szCs w:val="22"/>
              </w:rPr>
            </w:pPr>
            <w:permStart w:id="314923414" w:edGrp="everyone" w:colFirst="0" w:colLast="0"/>
            <w:permEnd w:id="206263114"/>
            <w:r w:rsidRPr="005302D1">
              <w:rPr>
                <w:b/>
                <w:sz w:val="22"/>
                <w:szCs w:val="22"/>
              </w:rPr>
              <w:t>Cet avis est également ouvert</w:t>
            </w:r>
          </w:p>
          <w:p w:rsidR="00E83D1A" w:rsidRPr="005302D1" w:rsidRDefault="00E83D1A" w:rsidP="004E1C73">
            <w:pPr>
              <w:rPr>
                <w:b/>
                <w:sz w:val="22"/>
                <w:szCs w:val="22"/>
              </w:rPr>
            </w:pPr>
          </w:p>
          <w:p w:rsidR="00E83D1A" w:rsidRPr="005302D1" w:rsidRDefault="00E83D1A" w:rsidP="004E1C73">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E83D1A" w:rsidRPr="005302D1" w:rsidRDefault="00E83D1A" w:rsidP="004E1C73">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E83D1A" w:rsidRPr="005302D1" w:rsidRDefault="00E83D1A" w:rsidP="00E83D1A">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E1C73">
              <w:rPr>
                <w:b/>
                <w:sz w:val="22"/>
                <w:szCs w:val="22"/>
              </w:rPr>
              <w:t>in-Kind</w:t>
            </w:r>
            <w:r>
              <w:rPr>
                <w:b/>
                <w:sz w:val="22"/>
                <w:szCs w:val="22"/>
              </w:rPr>
              <w:t xml:space="preserve"> </w:t>
            </w:r>
            <w:r w:rsidRPr="005302D1">
              <w:rPr>
                <w:b/>
                <w:sz w:val="22"/>
                <w:szCs w:val="22"/>
              </w:rPr>
              <w:t xml:space="preserve">(Islande, Liechtenstein, Norvège) </w:t>
            </w:r>
            <w:r w:rsidR="00CB43F6">
              <w:rPr>
                <w:b/>
                <w:sz w:val="22"/>
                <w:szCs w:val="22"/>
              </w:rPr>
              <w:t xml:space="preserv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E83D1A" w:rsidRPr="004E1C73" w:rsidRDefault="00E83D1A" w:rsidP="004E1C73">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tc>
      </w:tr>
      <w:permEnd w:id="314923414"/>
    </w:tbl>
    <w:p w:rsidR="00AC55BD" w:rsidRDefault="00242BC9"/>
    <w:p w:rsidR="00E83D1A" w:rsidRDefault="00E83D1A" w:rsidP="00E83D1A">
      <w:pPr>
        <w:tabs>
          <w:tab w:val="left" w:pos="426"/>
        </w:tabs>
        <w:rPr>
          <w:b/>
          <w:u w:val="single"/>
        </w:rPr>
      </w:pPr>
      <w:r w:rsidRPr="00E83D1A">
        <w:rPr>
          <w:b/>
        </w:rPr>
        <w:t>1.</w:t>
      </w:r>
      <w:r w:rsidRPr="00E83D1A">
        <w:rPr>
          <w:b/>
        </w:rPr>
        <w:tab/>
      </w:r>
      <w:r w:rsidRPr="00E83D1A">
        <w:rPr>
          <w:b/>
          <w:u w:val="single"/>
        </w:rPr>
        <w:t>Nature des fonctions</w:t>
      </w:r>
    </w:p>
    <w:p w:rsidR="00E83D1A" w:rsidRDefault="00E83D1A"/>
    <w:p w:rsidR="004028EE" w:rsidRPr="004028EE" w:rsidRDefault="004028EE" w:rsidP="00242BC9">
      <w:pPr>
        <w:ind w:left="426"/>
        <w:jc w:val="both"/>
        <w:rPr>
          <w:sz w:val="22"/>
          <w:szCs w:val="22"/>
          <w:lang w:val="fr-FR"/>
        </w:rPr>
      </w:pPr>
      <w:permStart w:id="1132282045" w:edGrp="everyone"/>
      <w:r w:rsidRPr="004028EE">
        <w:rPr>
          <w:sz w:val="22"/>
          <w:szCs w:val="22"/>
          <w:lang w:val="fr-FR"/>
        </w:rPr>
        <w:t xml:space="preserve">Nous sommes l’unité «Paiements direct/Assurance et audit» de la direction générale de l’agriculture et du développement rural (DG AGRI), qui est chargée tant de l’audit des paiements directs à la surface que de l’audit des paiements directs par animal versés aux agriculteurs, paiements qui sont gérés et contrôlés par les États membres dans le cadre du système intégré de gestion et de contrôle (SIGC). L’objectif d’audit de l’unité est de fournir à la Commission une assurance raisonnable que les dépenses déclarées par les organismes payeurs pour le compte du Fonds européen agricole - quelque 40 milliards EUR par an - ont été engagées dans le respect des règles de l’Union. Un autre objectif d’audit poursuivi par l’unité consiste à donner une assurance du respect par les bénéficiaires des exigences en matière de conditionnalité. Pour atteindre ces objectifs, les audits de conformité sont réalisés au moyen de contrôles sur place, d’audits documentaires et d'échanges bilatéraux ultérieurs. </w:t>
      </w:r>
    </w:p>
    <w:p w:rsidR="004028EE" w:rsidRPr="004028EE" w:rsidRDefault="004028EE" w:rsidP="00242BC9">
      <w:pPr>
        <w:ind w:left="426"/>
        <w:jc w:val="both"/>
        <w:rPr>
          <w:sz w:val="22"/>
          <w:szCs w:val="22"/>
          <w:lang w:val="fr-FR"/>
        </w:rPr>
      </w:pPr>
    </w:p>
    <w:p w:rsidR="004028EE" w:rsidRPr="004028EE" w:rsidRDefault="004028EE" w:rsidP="00242BC9">
      <w:pPr>
        <w:ind w:left="426"/>
        <w:jc w:val="both"/>
        <w:rPr>
          <w:sz w:val="22"/>
          <w:szCs w:val="22"/>
          <w:lang w:val="fr-FR"/>
        </w:rPr>
      </w:pPr>
      <w:r w:rsidRPr="004028EE">
        <w:rPr>
          <w:sz w:val="22"/>
          <w:szCs w:val="22"/>
          <w:lang w:val="fr-FR"/>
        </w:rPr>
        <w:t xml:space="preserve">Nous avons un poste vacant dans l’équipe d’audit, qui se compose de cinq membres chargés de vérifier le respect de la conditionnalité. La principale fonction du titulaire du poste consiste à planifier, réaliser et mener à bien les audits dans les États membres, en qualité d’auditeur principal ou de membre de l’équipe d’audit. Les missions sont au nombre de six par an, en moyenne, elles durent généralement une semaine et peuvent nécessiter un départ le dimanche.  Les missions comprennent à la fois des travaux administratifs et des visites sur le terrain dans les exploitations. </w:t>
      </w:r>
    </w:p>
    <w:p w:rsidR="00E83D1A" w:rsidRPr="004028EE" w:rsidRDefault="00E83D1A" w:rsidP="00242BC9">
      <w:pPr>
        <w:ind w:left="426"/>
        <w:jc w:val="both"/>
        <w:rPr>
          <w:sz w:val="22"/>
          <w:szCs w:val="22"/>
          <w:lang w:val="fr-FR"/>
        </w:rPr>
      </w:pPr>
    </w:p>
    <w:p w:rsidR="004028EE" w:rsidRPr="004028EE" w:rsidRDefault="004028EE" w:rsidP="00242BC9">
      <w:pPr>
        <w:ind w:left="426"/>
        <w:jc w:val="both"/>
        <w:rPr>
          <w:sz w:val="22"/>
          <w:szCs w:val="22"/>
          <w:lang w:val="fr-FR"/>
        </w:rPr>
      </w:pPr>
      <w:r w:rsidRPr="004028EE">
        <w:rPr>
          <w:sz w:val="22"/>
          <w:szCs w:val="22"/>
          <w:lang w:val="fr-FR"/>
        </w:rPr>
        <w:t xml:space="preserve">Nos audits ne sont pas des inspections et ne se concentrent pas spécifiquement sur les comptes financiers. Nous nous intéressons plutôt aux obligations des agriculteurs en matière d’environnement, de bien-être des animaux, de conditions agricoles et environnementales, mais aussi de santé animale et végétale. Le côté enrichissant de la tâche réside, selon nous, dans la diversité de ces sujets, qui font souvent la une de l’actualité. Les audits de conditionnalité ont pour objectif d’obtenir l’assurance que les États membres ont mis en place </w:t>
      </w:r>
      <w:r w:rsidRPr="004028EE">
        <w:rPr>
          <w:sz w:val="22"/>
          <w:szCs w:val="22"/>
          <w:lang w:val="fr-FR"/>
        </w:rPr>
        <w:lastRenderedPageBreak/>
        <w:t>des systèmes de contrôle efficaces, conformes aux exigences réglementaires. Tous les audits font l’objet d’un suivi dans le cadre de la procédure d’apurement des comptes, qui débute par l’élaboration d’un rapport complet. Les audits peuvent donner lieu à des recommandations et/ou à une proposition de correction financière à intégrer dans une décision de la Commission.</w:t>
      </w:r>
    </w:p>
    <w:p w:rsidR="004028EE" w:rsidRPr="004028EE" w:rsidRDefault="004028EE" w:rsidP="00242BC9">
      <w:pPr>
        <w:ind w:left="426"/>
        <w:jc w:val="both"/>
        <w:rPr>
          <w:sz w:val="22"/>
          <w:szCs w:val="22"/>
          <w:lang w:val="fr-FR"/>
        </w:rPr>
      </w:pPr>
    </w:p>
    <w:p w:rsidR="004028EE" w:rsidRPr="004028EE" w:rsidRDefault="004028EE" w:rsidP="00242BC9">
      <w:pPr>
        <w:ind w:left="426"/>
        <w:jc w:val="both"/>
        <w:rPr>
          <w:sz w:val="22"/>
          <w:szCs w:val="22"/>
          <w:lang w:val="fr-FR"/>
        </w:rPr>
      </w:pPr>
      <w:r w:rsidRPr="004028EE">
        <w:rPr>
          <w:sz w:val="22"/>
          <w:szCs w:val="22"/>
          <w:lang w:val="fr-FR"/>
        </w:rPr>
        <w:t>Nous cherchons pour ce poste un élément dynamique, ouvert d’esprit, capable de travailler en équipe et de faire preuve de souplesse. L'équipe chargée de la conditionnalité étant relativement petite, ses membres sont parfaitement complémentaires en termes de missions et de suivi des dossiers. Si le travail d’équipe est essentiel, il n’en demeure pas moins que le candidat retenu sera également appelé à travailler de manière autonome, à exposer et défendre son point de vue lors de réunions avec ses supérieurs hiérarchiques, les responsables dans les États membres et différents représentants de conseils et d’institutions.</w:t>
      </w:r>
    </w:p>
    <w:p w:rsidR="004028EE" w:rsidRPr="004028EE" w:rsidRDefault="004028EE" w:rsidP="00242BC9">
      <w:pPr>
        <w:ind w:left="426"/>
        <w:jc w:val="both"/>
        <w:rPr>
          <w:sz w:val="22"/>
          <w:szCs w:val="22"/>
          <w:lang w:val="fr-FR"/>
        </w:rPr>
      </w:pPr>
    </w:p>
    <w:p w:rsidR="004028EE" w:rsidRPr="004028EE" w:rsidRDefault="004028EE" w:rsidP="00242BC9">
      <w:pPr>
        <w:ind w:left="426"/>
        <w:jc w:val="both"/>
        <w:rPr>
          <w:sz w:val="22"/>
          <w:szCs w:val="22"/>
          <w:lang w:val="fr-FR"/>
        </w:rPr>
      </w:pPr>
      <w:r w:rsidRPr="004028EE">
        <w:rPr>
          <w:sz w:val="22"/>
          <w:szCs w:val="22"/>
          <w:lang w:val="fr-FR"/>
        </w:rPr>
        <w:t>L’END travaillera sous la supervision du chef de l’équipe «Conditionnalité».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son entrée en fonction à la Commission ou sur des dossiers directement liés. En aucun cas, il ne représentera la Commission afin de prendre des engagements financiers ou autres, ou de négocier au nom de la Commission.</w:t>
      </w:r>
    </w:p>
    <w:p w:rsidR="00E83D1A" w:rsidRPr="00E83D1A" w:rsidRDefault="00E83D1A">
      <w:pPr>
        <w:rPr>
          <w:sz w:val="22"/>
          <w:szCs w:val="22"/>
        </w:rPr>
      </w:pPr>
    </w:p>
    <w:permEnd w:id="1132282045"/>
    <w:p w:rsidR="00E83D1A" w:rsidRPr="00E83D1A" w:rsidRDefault="00E83D1A" w:rsidP="00E83D1A">
      <w:pPr>
        <w:tabs>
          <w:tab w:val="left" w:pos="426"/>
        </w:tabs>
        <w:rPr>
          <w:b/>
          <w:u w:val="single"/>
        </w:rPr>
      </w:pPr>
      <w:r w:rsidRPr="00E83D1A">
        <w:rPr>
          <w:b/>
        </w:rPr>
        <w:t>2.</w:t>
      </w:r>
      <w:r w:rsidRPr="00E83D1A">
        <w:rPr>
          <w:b/>
        </w:rPr>
        <w:tab/>
      </w:r>
      <w:r w:rsidRPr="00E83D1A">
        <w:rPr>
          <w:b/>
          <w:u w:val="single"/>
        </w:rPr>
        <w:t>Qualifications requises</w:t>
      </w:r>
    </w:p>
    <w:p w:rsidR="00E83D1A" w:rsidRDefault="00E83D1A"/>
    <w:p w:rsidR="00E83D1A" w:rsidRPr="00E83D1A" w:rsidRDefault="00E83D1A" w:rsidP="00E83D1A">
      <w:pPr>
        <w:ind w:left="426"/>
        <w:rPr>
          <w:b/>
          <w:sz w:val="22"/>
          <w:szCs w:val="22"/>
        </w:rPr>
      </w:pPr>
      <w:r w:rsidRPr="00E83D1A">
        <w:rPr>
          <w:b/>
          <w:sz w:val="22"/>
          <w:szCs w:val="22"/>
        </w:rPr>
        <w:t>a) Critères d'éligibilité</w:t>
      </w:r>
    </w:p>
    <w:p w:rsidR="00E83D1A" w:rsidRPr="00E83D1A" w:rsidRDefault="00E83D1A" w:rsidP="00E83D1A">
      <w:pPr>
        <w:ind w:left="426"/>
        <w:rPr>
          <w:sz w:val="22"/>
          <w:szCs w:val="22"/>
        </w:rPr>
      </w:pPr>
    </w:p>
    <w:p w:rsidR="00E83D1A" w:rsidRPr="00E83D1A" w:rsidRDefault="00E83D1A" w:rsidP="00E83D1A">
      <w:pPr>
        <w:ind w:left="426"/>
        <w:jc w:val="both"/>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E83D1A" w:rsidRPr="00E83D1A" w:rsidRDefault="00E83D1A" w:rsidP="00E83D1A">
      <w:pPr>
        <w:ind w:left="426"/>
        <w:jc w:val="both"/>
        <w:rPr>
          <w:sz w:val="22"/>
          <w:szCs w:val="22"/>
        </w:rPr>
      </w:pPr>
    </w:p>
    <w:p w:rsidR="00E83D1A" w:rsidRPr="00E83D1A" w:rsidRDefault="00E83D1A" w:rsidP="00E83D1A">
      <w:pPr>
        <w:ind w:left="709" w:hanging="283"/>
        <w:jc w:val="both"/>
        <w:rPr>
          <w:sz w:val="22"/>
          <w:szCs w:val="22"/>
        </w:rPr>
      </w:pPr>
      <w:r w:rsidRPr="00E83D1A">
        <w:rPr>
          <w:sz w:val="22"/>
          <w:szCs w:val="22"/>
        </w:rPr>
        <w:t>•</w:t>
      </w:r>
      <w:r w:rsidRPr="00E83D1A">
        <w:rPr>
          <w:sz w:val="22"/>
          <w:szCs w:val="22"/>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83D1A" w:rsidRDefault="00E83D1A"/>
    <w:p w:rsidR="00E83D1A" w:rsidRPr="005302D1" w:rsidRDefault="00E83D1A" w:rsidP="00E83D1A">
      <w:pPr>
        <w:tabs>
          <w:tab w:val="left" w:pos="317"/>
        </w:tabs>
        <w:ind w:left="426" w:right="1317"/>
        <w:jc w:val="both"/>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rsidR="00E83D1A" w:rsidRDefault="00E83D1A"/>
    <w:p w:rsidR="00E83D1A" w:rsidRPr="005302D1" w:rsidRDefault="00E83D1A" w:rsidP="00E83D1A">
      <w:pPr>
        <w:tabs>
          <w:tab w:val="left" w:pos="709"/>
        </w:tabs>
        <w:ind w:left="709" w:right="60"/>
        <w:jc w:val="both"/>
        <w:rPr>
          <w:sz w:val="22"/>
          <w:szCs w:val="22"/>
        </w:rPr>
      </w:pPr>
      <w:r w:rsidRPr="00944AB1">
        <w:rPr>
          <w:sz w:val="22"/>
          <w:szCs w:val="22"/>
          <w:u w:val="single"/>
        </w:rPr>
        <w:t>Diplôme</w:t>
      </w:r>
      <w:r>
        <w:rPr>
          <w:sz w:val="22"/>
          <w:szCs w:val="22"/>
        </w:rPr>
        <w:t xml:space="preserve"> </w:t>
      </w:r>
    </w:p>
    <w:p w:rsidR="00E83D1A" w:rsidRPr="005302D1" w:rsidRDefault="00E83D1A" w:rsidP="00436362">
      <w:pPr>
        <w:tabs>
          <w:tab w:val="left" w:pos="709"/>
        </w:tabs>
        <w:ind w:left="709" w:right="1317"/>
        <w:jc w:val="both"/>
        <w:rPr>
          <w:sz w:val="22"/>
          <w:szCs w:val="22"/>
        </w:rPr>
      </w:pPr>
      <w:r w:rsidRPr="005302D1">
        <w:rPr>
          <w:sz w:val="22"/>
          <w:szCs w:val="22"/>
        </w:rPr>
        <w:t xml:space="preserve">- diplôme universitaire ou </w:t>
      </w:r>
    </w:p>
    <w:p w:rsidR="00E83D1A" w:rsidRPr="005302D1" w:rsidRDefault="00E83D1A" w:rsidP="00436362">
      <w:pPr>
        <w:tabs>
          <w:tab w:val="left" w:pos="709"/>
        </w:tabs>
        <w:ind w:left="709" w:right="1317"/>
        <w:jc w:val="both"/>
        <w:rPr>
          <w:sz w:val="22"/>
          <w:szCs w:val="22"/>
        </w:rPr>
      </w:pPr>
      <w:r w:rsidRPr="005302D1">
        <w:rPr>
          <w:sz w:val="22"/>
          <w:szCs w:val="22"/>
        </w:rPr>
        <w:t>- formation professionnelle ou expérience professionnelle de niveau équivalent</w:t>
      </w:r>
    </w:p>
    <w:p w:rsidR="00E83D1A" w:rsidRPr="005302D1" w:rsidRDefault="00E83D1A" w:rsidP="00436362">
      <w:pPr>
        <w:tabs>
          <w:tab w:val="left" w:pos="709"/>
        </w:tabs>
        <w:ind w:left="709" w:right="1317"/>
        <w:jc w:val="both"/>
        <w:rPr>
          <w:sz w:val="22"/>
          <w:szCs w:val="22"/>
        </w:rPr>
      </w:pPr>
    </w:p>
    <w:p w:rsidR="00EC2DA0" w:rsidRDefault="00436362" w:rsidP="00EC2DA0">
      <w:pPr>
        <w:tabs>
          <w:tab w:val="left" w:pos="709"/>
        </w:tabs>
        <w:ind w:left="709" w:right="60"/>
        <w:jc w:val="both"/>
        <w:rPr>
          <w:sz w:val="22"/>
          <w:szCs w:val="22"/>
          <w:lang w:val="fr-FR"/>
        </w:rPr>
      </w:pPr>
      <w:permStart w:id="2017024859" w:edGrp="everyone"/>
      <w:r>
        <w:rPr>
          <w:sz w:val="22"/>
          <w:szCs w:val="22"/>
        </w:rPr>
        <w:t xml:space="preserve"> </w:t>
      </w:r>
      <w:proofErr w:type="gramStart"/>
      <w:r w:rsidR="00EC2DA0" w:rsidRPr="00EC2DA0">
        <w:rPr>
          <w:sz w:val="22"/>
          <w:szCs w:val="22"/>
          <w:lang w:val="fr-FR"/>
        </w:rPr>
        <w:t>dans</w:t>
      </w:r>
      <w:proofErr w:type="gramEnd"/>
      <w:r w:rsidR="00EC2DA0" w:rsidRPr="00EC2DA0">
        <w:rPr>
          <w:sz w:val="22"/>
          <w:szCs w:val="22"/>
          <w:lang w:val="fr-FR"/>
        </w:rPr>
        <w:t xml:space="preserve"> le domaine de l’agronomie, des sciences vétérinaires, de l’économie, de la comptabilité, de l’audit, de l’administration ou du droit.   </w:t>
      </w:r>
    </w:p>
    <w:p w:rsidR="00EC2DA0" w:rsidRPr="00EC2DA0" w:rsidRDefault="00EC2DA0" w:rsidP="00EC2DA0">
      <w:pPr>
        <w:tabs>
          <w:tab w:val="left" w:pos="709"/>
        </w:tabs>
        <w:ind w:left="709" w:right="60"/>
        <w:jc w:val="both"/>
        <w:rPr>
          <w:sz w:val="22"/>
          <w:szCs w:val="22"/>
          <w:lang w:val="fr-FR"/>
        </w:rPr>
      </w:pPr>
    </w:p>
    <w:p w:rsidR="00E83D1A" w:rsidRPr="00EC2DA0" w:rsidRDefault="00EC2DA0" w:rsidP="00436362">
      <w:pPr>
        <w:tabs>
          <w:tab w:val="left" w:pos="709"/>
        </w:tabs>
        <w:ind w:left="709" w:right="60"/>
        <w:jc w:val="both"/>
        <w:rPr>
          <w:sz w:val="22"/>
          <w:szCs w:val="22"/>
          <w:lang w:val="fr-FR"/>
        </w:rPr>
      </w:pPr>
      <w:r w:rsidRPr="00EC2DA0">
        <w:rPr>
          <w:sz w:val="22"/>
          <w:szCs w:val="22"/>
          <w:lang w:val="fr-FR"/>
        </w:rPr>
        <w:t>En conséquence, seront considérés comme principaux atouts: une connaissance de la politique agricole commune ou des politiques de gestion partagée de l’Union et/ou une expérience de l’audit, du contrôle ou une expérience juridique équivalente.</w:t>
      </w:r>
    </w:p>
    <w:p w:rsidR="00E83D1A" w:rsidRDefault="00E83D1A" w:rsidP="00E83D1A">
      <w:pPr>
        <w:tabs>
          <w:tab w:val="left" w:pos="709"/>
        </w:tabs>
        <w:ind w:left="709" w:right="60"/>
        <w:jc w:val="both"/>
        <w:rPr>
          <w:sz w:val="22"/>
          <w:szCs w:val="22"/>
        </w:rPr>
      </w:pPr>
    </w:p>
    <w:p w:rsidR="00242BC9" w:rsidRDefault="00242BC9" w:rsidP="00E83D1A">
      <w:pPr>
        <w:tabs>
          <w:tab w:val="left" w:pos="709"/>
        </w:tabs>
        <w:ind w:left="709" w:right="60"/>
        <w:jc w:val="both"/>
        <w:rPr>
          <w:sz w:val="22"/>
          <w:szCs w:val="22"/>
        </w:rPr>
      </w:pPr>
    </w:p>
    <w:p w:rsidR="00242BC9" w:rsidRDefault="00242BC9" w:rsidP="00E83D1A">
      <w:pPr>
        <w:tabs>
          <w:tab w:val="left" w:pos="709"/>
        </w:tabs>
        <w:ind w:left="709" w:right="60"/>
        <w:jc w:val="both"/>
        <w:rPr>
          <w:sz w:val="22"/>
          <w:szCs w:val="22"/>
        </w:rPr>
      </w:pPr>
    </w:p>
    <w:p w:rsidR="00242BC9" w:rsidRDefault="00242BC9" w:rsidP="00E83D1A">
      <w:pPr>
        <w:tabs>
          <w:tab w:val="left" w:pos="709"/>
        </w:tabs>
        <w:ind w:left="709" w:right="60"/>
        <w:jc w:val="both"/>
        <w:rPr>
          <w:sz w:val="22"/>
          <w:szCs w:val="22"/>
        </w:rPr>
      </w:pPr>
      <w:bookmarkStart w:id="0" w:name="_GoBack"/>
      <w:bookmarkEnd w:id="0"/>
    </w:p>
    <w:permEnd w:id="2017024859"/>
    <w:p w:rsidR="00E83D1A" w:rsidRDefault="00E83D1A" w:rsidP="00E83D1A">
      <w:pPr>
        <w:tabs>
          <w:tab w:val="left" w:pos="709"/>
        </w:tabs>
        <w:ind w:left="709" w:right="60"/>
        <w:jc w:val="both"/>
        <w:rPr>
          <w:sz w:val="22"/>
          <w:szCs w:val="22"/>
          <w:u w:val="single"/>
        </w:rPr>
      </w:pPr>
      <w:r w:rsidRPr="00944AB1">
        <w:rPr>
          <w:sz w:val="22"/>
          <w:szCs w:val="22"/>
          <w:u w:val="single"/>
        </w:rPr>
        <w:lastRenderedPageBreak/>
        <w:t>Expérience professionnelle</w:t>
      </w:r>
    </w:p>
    <w:p w:rsidR="00E83D1A" w:rsidRDefault="00E83D1A" w:rsidP="00E83D1A">
      <w:pPr>
        <w:tabs>
          <w:tab w:val="left" w:pos="709"/>
        </w:tabs>
        <w:ind w:left="709" w:right="60"/>
        <w:jc w:val="both"/>
        <w:rPr>
          <w:sz w:val="22"/>
          <w:szCs w:val="22"/>
          <w:u w:val="single"/>
        </w:rPr>
      </w:pPr>
    </w:p>
    <w:p w:rsidR="00E83D1A" w:rsidRPr="00FD096C" w:rsidRDefault="0037776F" w:rsidP="00FD096C">
      <w:pPr>
        <w:tabs>
          <w:tab w:val="left" w:pos="709"/>
        </w:tabs>
        <w:ind w:left="709" w:right="60"/>
        <w:jc w:val="both"/>
        <w:rPr>
          <w:sz w:val="22"/>
          <w:szCs w:val="22"/>
          <w:lang w:val="fr-FR"/>
        </w:rPr>
      </w:pPr>
      <w:permStart w:id="592345683" w:edGrp="everyone"/>
      <w:r>
        <w:rPr>
          <w:sz w:val="22"/>
          <w:szCs w:val="22"/>
          <w:lang w:val="fr-FR"/>
        </w:rPr>
        <w:t>O</w:t>
      </w:r>
      <w:r w:rsidR="00FD096C" w:rsidRPr="00FD096C">
        <w:rPr>
          <w:sz w:val="22"/>
          <w:szCs w:val="22"/>
          <w:lang w:val="fr-FR"/>
        </w:rPr>
        <w:t>utre une expérience de la mise en œuvre de la PAC, idéalement dans le contexte de la conditionnalité, une expérience antérieure dans le domaine de l’audit, du contrôle ou une expérience juridique équivalente, ainsi qu'une connaissance des instruments les plus courants de la Commission seraient considérées comme un atout. Des compétences en matière d’analyse et de synthèse, de communication et de rédaction, seront également un atout.</w:t>
      </w:r>
    </w:p>
    <w:p w:rsidR="00E83D1A" w:rsidRDefault="00E83D1A" w:rsidP="00E83D1A">
      <w:pPr>
        <w:tabs>
          <w:tab w:val="left" w:pos="709"/>
        </w:tabs>
        <w:ind w:left="709" w:right="60"/>
        <w:jc w:val="both"/>
        <w:rPr>
          <w:sz w:val="22"/>
          <w:szCs w:val="22"/>
          <w:u w:val="single"/>
        </w:rPr>
      </w:pPr>
    </w:p>
    <w:permEnd w:id="592345683"/>
    <w:p w:rsidR="00E83D1A" w:rsidRDefault="00E83D1A" w:rsidP="00E83D1A">
      <w:pPr>
        <w:tabs>
          <w:tab w:val="left" w:pos="709"/>
        </w:tabs>
        <w:ind w:left="709" w:right="60"/>
        <w:jc w:val="both"/>
        <w:rPr>
          <w:sz w:val="22"/>
          <w:szCs w:val="22"/>
          <w:u w:val="single"/>
        </w:rPr>
      </w:pPr>
      <w:r w:rsidRPr="00944AB1">
        <w:rPr>
          <w:sz w:val="22"/>
          <w:szCs w:val="22"/>
          <w:u w:val="single"/>
        </w:rPr>
        <w:t>Langue(s) nécessaire(s) pour l'accomplissement des tâches</w:t>
      </w:r>
    </w:p>
    <w:p w:rsidR="00E83D1A" w:rsidRDefault="00E83D1A" w:rsidP="00E83D1A">
      <w:pPr>
        <w:tabs>
          <w:tab w:val="left" w:pos="709"/>
        </w:tabs>
        <w:ind w:left="709" w:right="60"/>
        <w:jc w:val="both"/>
        <w:rPr>
          <w:sz w:val="22"/>
          <w:szCs w:val="22"/>
          <w:u w:val="single"/>
        </w:rPr>
      </w:pPr>
    </w:p>
    <w:p w:rsidR="00E83D1A" w:rsidRPr="0037776F" w:rsidRDefault="0037776F" w:rsidP="00E83D1A">
      <w:pPr>
        <w:tabs>
          <w:tab w:val="left" w:pos="709"/>
        </w:tabs>
        <w:ind w:left="709" w:right="60"/>
        <w:jc w:val="both"/>
        <w:rPr>
          <w:sz w:val="22"/>
          <w:szCs w:val="22"/>
        </w:rPr>
      </w:pPr>
      <w:permStart w:id="717491454" w:edGrp="everyone"/>
      <w:r>
        <w:rPr>
          <w:sz w:val="22"/>
          <w:szCs w:val="22"/>
          <w:lang w:val="fr-FR"/>
        </w:rPr>
        <w:t>T</w:t>
      </w:r>
      <w:r w:rsidRPr="0037776F">
        <w:rPr>
          <w:sz w:val="22"/>
          <w:szCs w:val="22"/>
          <w:lang w:val="fr-FR"/>
        </w:rPr>
        <w:t>rès bonnes capacités rédactionnelles et de communication en anglais. Une connaissance pratique du français ou d’autres langues de l’Union serait un atout.</w:t>
      </w:r>
    </w:p>
    <w:p w:rsidR="00E83D1A" w:rsidRDefault="00E83D1A" w:rsidP="00E83D1A">
      <w:pPr>
        <w:tabs>
          <w:tab w:val="left" w:pos="709"/>
        </w:tabs>
        <w:ind w:left="709" w:right="60"/>
        <w:jc w:val="both"/>
        <w:rPr>
          <w:sz w:val="22"/>
          <w:szCs w:val="22"/>
        </w:rPr>
      </w:pPr>
    </w:p>
    <w:permEnd w:id="717491454"/>
    <w:p w:rsidR="00E83D1A" w:rsidRDefault="00E83D1A" w:rsidP="00E83D1A">
      <w:pPr>
        <w:tabs>
          <w:tab w:val="left" w:pos="426"/>
        </w:tabs>
      </w:pPr>
      <w:r w:rsidRPr="00E83D1A">
        <w:rPr>
          <w:b/>
        </w:rPr>
        <w:t>3.</w:t>
      </w:r>
      <w:r w:rsidRPr="00E83D1A">
        <w:rPr>
          <w:b/>
        </w:rPr>
        <w:tab/>
      </w:r>
      <w:r w:rsidRPr="00436362">
        <w:rPr>
          <w:b/>
          <w:szCs w:val="24"/>
          <w:u w:val="single"/>
        </w:rPr>
        <w:t>Soumission des candidatures et procédure de sélection</w:t>
      </w:r>
    </w:p>
    <w:p w:rsidR="00E83D1A" w:rsidRDefault="00E83D1A"/>
    <w:p w:rsidR="00E83D1A" w:rsidRDefault="00E83D1A" w:rsidP="00E83D1A">
      <w:pPr>
        <w:ind w:left="426"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0"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Pr>
          <w:sz w:val="22"/>
          <w:szCs w:val="22"/>
        </w:rPr>
        <w:t xml:space="preserve">la </w:t>
      </w:r>
      <w:r w:rsidRPr="005302D1">
        <w:rPr>
          <w:sz w:val="22"/>
          <w:szCs w:val="22"/>
        </w:rPr>
        <w:t xml:space="preserve">transmettra aux services </w:t>
      </w:r>
      <w:r>
        <w:rPr>
          <w:sz w:val="22"/>
          <w:szCs w:val="22"/>
        </w:rPr>
        <w:t xml:space="preserve">compétents de la Commission, </w:t>
      </w:r>
      <w:r w:rsidRPr="005302D1">
        <w:rPr>
          <w:sz w:val="22"/>
          <w:szCs w:val="22"/>
        </w:rPr>
        <w:t>dans les délais fixés par ces derniers.</w:t>
      </w:r>
      <w:r>
        <w:rPr>
          <w:sz w:val="22"/>
          <w:szCs w:val="22"/>
        </w:rPr>
        <w:t xml:space="preserve"> </w:t>
      </w:r>
      <w:r w:rsidRPr="000B1463">
        <w:rPr>
          <w:sz w:val="22"/>
          <w:szCs w:val="22"/>
        </w:rPr>
        <w:t>Le CV doit obligatoirement mentionner la date de naissance et la nationalité du candidat.</w:t>
      </w:r>
      <w:r w:rsidRPr="00824FF5">
        <w:rPr>
          <w:b/>
          <w:sz w:val="22"/>
          <w:szCs w:val="22"/>
        </w:rPr>
        <w:t xml:space="preserve"> </w:t>
      </w:r>
      <w:r>
        <w:rPr>
          <w:b/>
          <w:sz w:val="22"/>
          <w:szCs w:val="22"/>
        </w:rPr>
        <w:t>Le non-</w:t>
      </w:r>
      <w:r w:rsidRPr="005302D1">
        <w:rPr>
          <w:b/>
          <w:sz w:val="22"/>
          <w:szCs w:val="22"/>
        </w:rPr>
        <w:t>respect de cette procédure ou des délais invalidera automatiquement la candidature.</w:t>
      </w:r>
      <w:r>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E83D1A" w:rsidRDefault="00E83D1A" w:rsidP="00E83D1A">
      <w:pPr>
        <w:ind w:left="426"/>
      </w:pPr>
      <w:r w:rsidRPr="005302D1">
        <w:rPr>
          <w:sz w:val="22"/>
          <w:szCs w:val="22"/>
        </w:rPr>
        <w:t>Les candidats seront informés du suivi de leur candidature par l'unité concernée.</w:t>
      </w:r>
    </w:p>
    <w:p w:rsidR="00E83D1A" w:rsidRPr="00E83D1A" w:rsidRDefault="00E83D1A" w:rsidP="00E83D1A">
      <w:pPr>
        <w:tabs>
          <w:tab w:val="left" w:pos="426"/>
        </w:tabs>
        <w:rPr>
          <w:b/>
        </w:rPr>
      </w:pPr>
      <w:r w:rsidRPr="00E83D1A">
        <w:rPr>
          <w:b/>
        </w:rPr>
        <w:t>4.</w:t>
      </w:r>
      <w:r w:rsidRPr="00E83D1A">
        <w:rPr>
          <w:b/>
        </w:rPr>
        <w:tab/>
      </w:r>
      <w:r w:rsidRPr="00E83D1A">
        <w:rPr>
          <w:b/>
          <w:u w:val="single"/>
        </w:rPr>
        <w:t>Conditions du détachement</w:t>
      </w:r>
    </w:p>
    <w:p w:rsidR="00E83D1A" w:rsidRDefault="00E83D1A"/>
    <w:p w:rsidR="00E83D1A" w:rsidRDefault="00E83D1A" w:rsidP="00436362">
      <w:pPr>
        <w:ind w:left="426"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5302D1">
          <w:rPr>
            <w:rStyle w:val="Hyperlink"/>
            <w:sz w:val="22"/>
            <w:szCs w:val="22"/>
          </w:rPr>
          <w:t>http://ec.europa.eu/civil_service/job/sne/index_fr.htm</w:t>
        </w:r>
      </w:hyperlink>
      <w:r w:rsidRPr="005302D1">
        <w:rPr>
          <w:sz w:val="22"/>
          <w:szCs w:val="22"/>
        </w:rPr>
        <w:t>.</w:t>
      </w:r>
    </w:p>
    <w:p w:rsidR="00436362" w:rsidRPr="005302D1" w:rsidRDefault="00436362" w:rsidP="00436362">
      <w:pPr>
        <w:ind w:left="426" w:right="175"/>
        <w:jc w:val="both"/>
        <w:rPr>
          <w:sz w:val="22"/>
          <w:szCs w:val="22"/>
        </w:rPr>
      </w:pPr>
    </w:p>
    <w:p w:rsidR="00E83D1A" w:rsidRPr="005302D1" w:rsidRDefault="00E83D1A" w:rsidP="00436362">
      <w:pPr>
        <w:ind w:left="426"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E83D1A" w:rsidRPr="005302D1" w:rsidRDefault="00E83D1A" w:rsidP="00436362">
      <w:pPr>
        <w:ind w:left="426" w:right="175"/>
        <w:jc w:val="both"/>
        <w:rPr>
          <w:sz w:val="22"/>
          <w:szCs w:val="22"/>
        </w:rPr>
      </w:pPr>
      <w:r w:rsidRPr="005302D1">
        <w:rPr>
          <w:sz w:val="22"/>
          <w:szCs w:val="22"/>
        </w:rPr>
        <w:t>Sauf pour les END sans frais, des indemnités de séjour peuvent être versées à l'END qui remplit les conditions</w:t>
      </w:r>
      <w:r>
        <w:rPr>
          <w:sz w:val="22"/>
          <w:szCs w:val="22"/>
        </w:rPr>
        <w:t>,</w:t>
      </w:r>
      <w:r w:rsidRPr="005302D1">
        <w:rPr>
          <w:sz w:val="22"/>
          <w:szCs w:val="22"/>
        </w:rPr>
        <w:t xml:space="preserve"> conformément à l'article 17 de la décision END.</w:t>
      </w:r>
    </w:p>
    <w:p w:rsidR="00E83D1A" w:rsidRPr="005302D1" w:rsidRDefault="00E83D1A" w:rsidP="00436362">
      <w:pPr>
        <w:ind w:left="426"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E83D1A" w:rsidRDefault="00E83D1A" w:rsidP="00436362">
      <w:pPr>
        <w:pStyle w:val="ListBullet"/>
        <w:numPr>
          <w:ilvl w:val="0"/>
          <w:numId w:val="0"/>
        </w:numPr>
        <w:ind w:left="426" w:right="161"/>
        <w:rPr>
          <w:bCs/>
          <w:sz w:val="22"/>
          <w:szCs w:val="22"/>
        </w:rPr>
      </w:pPr>
      <w:r w:rsidRPr="005302D1">
        <w:rPr>
          <w:bCs/>
          <w:sz w:val="22"/>
          <w:szCs w:val="22"/>
        </w:rPr>
        <w:t>Toute déclaration incomplète ou fausse pourra entraîner le refus de la candidature.</w:t>
      </w:r>
    </w:p>
    <w:p w:rsidR="00E83D1A" w:rsidRDefault="00E83D1A" w:rsidP="00436362">
      <w:pPr>
        <w:ind w:left="426"/>
        <w:jc w:val="both"/>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w:t>
      </w:r>
      <w:r>
        <w:rPr>
          <w:sz w:val="22"/>
          <w:szCs w:val="22"/>
        </w:rPr>
        <w:t>/EU SECRET</w:t>
      </w:r>
      <w:r w:rsidRPr="00255C6F">
        <w:rPr>
          <w:sz w:val="22"/>
          <w:szCs w:val="22"/>
        </w:rPr>
        <w:t xml:space="preserve"> conformément à la décision de la Commission </w:t>
      </w:r>
      <w:r>
        <w:rPr>
          <w:sz w:val="22"/>
          <w:szCs w:val="22"/>
        </w:rPr>
        <w:t xml:space="preserve">(EU – Euratom) </w:t>
      </w:r>
      <w:r w:rsidRPr="00255C6F">
        <w:rPr>
          <w:sz w:val="22"/>
          <w:szCs w:val="22"/>
        </w:rPr>
        <w:t>201</w:t>
      </w:r>
      <w:r>
        <w:rPr>
          <w:sz w:val="22"/>
          <w:szCs w:val="22"/>
        </w:rPr>
        <w:t>5</w:t>
      </w:r>
      <w:r w:rsidRPr="00255C6F">
        <w:rPr>
          <w:sz w:val="22"/>
          <w:szCs w:val="22"/>
        </w:rPr>
        <w:t>/</w:t>
      </w:r>
      <w:r>
        <w:rPr>
          <w:sz w:val="22"/>
          <w:szCs w:val="22"/>
        </w:rPr>
        <w:t>4</w:t>
      </w:r>
      <w:r w:rsidRPr="00255C6F">
        <w:rPr>
          <w:sz w:val="22"/>
          <w:szCs w:val="22"/>
        </w:rPr>
        <w:t>44</w:t>
      </w:r>
      <w:r>
        <w:rPr>
          <w:sz w:val="22"/>
          <w:szCs w:val="22"/>
        </w:rPr>
        <w:t xml:space="preserve"> du 13 mars 2015, </w:t>
      </w:r>
      <w:r w:rsidRPr="00255C6F">
        <w:rPr>
          <w:sz w:val="22"/>
          <w:szCs w:val="22"/>
        </w:rPr>
        <w:t>OJ</w:t>
      </w:r>
      <w:r>
        <w:rPr>
          <w:sz w:val="22"/>
          <w:szCs w:val="22"/>
        </w:rPr>
        <w:t xml:space="preserve"> </w:t>
      </w:r>
      <w:r w:rsidRPr="00255C6F">
        <w:rPr>
          <w:sz w:val="22"/>
          <w:szCs w:val="22"/>
        </w:rPr>
        <w:t xml:space="preserve">L </w:t>
      </w:r>
      <w:r>
        <w:rPr>
          <w:sz w:val="22"/>
          <w:szCs w:val="22"/>
        </w:rPr>
        <w:t>72</w:t>
      </w:r>
      <w:r w:rsidRPr="00255C6F">
        <w:rPr>
          <w:sz w:val="22"/>
          <w:szCs w:val="22"/>
        </w:rPr>
        <w:t xml:space="preserve"> du </w:t>
      </w:r>
      <w:r>
        <w:rPr>
          <w:sz w:val="22"/>
          <w:szCs w:val="22"/>
        </w:rPr>
        <w:t>17.03.2015, p. 53)</w:t>
      </w:r>
      <w:r w:rsidRPr="00255C6F">
        <w:rPr>
          <w:sz w:val="22"/>
          <w:szCs w:val="22"/>
        </w:rPr>
        <w:t>. Le candidat choisi aura l’obligation de lancer cette procédure d’habilitation de sécurité avant d</w:t>
      </w:r>
      <w:r>
        <w:rPr>
          <w:sz w:val="22"/>
          <w:szCs w:val="22"/>
        </w:rPr>
        <w:t>'obtenir la confirmation de son détachement</w:t>
      </w:r>
      <w:r w:rsidRPr="00255C6F">
        <w:rPr>
          <w:sz w:val="22"/>
          <w:szCs w:val="22"/>
        </w:rPr>
        <w:t>.</w:t>
      </w:r>
    </w:p>
    <w:p w:rsidR="00E83D1A" w:rsidRDefault="00E83D1A"/>
    <w:p w:rsidR="00E83D1A" w:rsidRDefault="00436362" w:rsidP="00436362">
      <w:pPr>
        <w:tabs>
          <w:tab w:val="left" w:pos="426"/>
        </w:tabs>
      </w:pPr>
      <w:r w:rsidRPr="00436362">
        <w:rPr>
          <w:b/>
        </w:rPr>
        <w:t>5.</w:t>
      </w:r>
      <w:r w:rsidRPr="00436362">
        <w:rPr>
          <w:b/>
        </w:rPr>
        <w:tab/>
      </w:r>
      <w:r w:rsidRPr="00436362">
        <w:rPr>
          <w:b/>
          <w:szCs w:val="24"/>
          <w:u w:val="single"/>
        </w:rPr>
        <w:t>Traitement des données à caractère personnel</w:t>
      </w:r>
    </w:p>
    <w:p w:rsidR="00E83D1A" w:rsidRDefault="00E83D1A"/>
    <w:p w:rsidR="00436362" w:rsidRPr="00436362" w:rsidRDefault="00436362" w:rsidP="00436362">
      <w:pPr>
        <w:ind w:left="426" w:right="175"/>
        <w:jc w:val="both"/>
        <w:rPr>
          <w:sz w:val="22"/>
          <w:szCs w:val="22"/>
        </w:rPr>
      </w:pPr>
      <w:r w:rsidRPr="00436362">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436362" w:rsidRPr="00436362" w:rsidRDefault="00436362" w:rsidP="00436362">
      <w:pPr>
        <w:ind w:left="426" w:right="175"/>
        <w:jc w:val="both"/>
        <w:rPr>
          <w:sz w:val="22"/>
          <w:szCs w:val="22"/>
        </w:rPr>
      </w:pPr>
      <w:r w:rsidRPr="00436362">
        <w:rPr>
          <w:sz w:val="22"/>
          <w:szCs w:val="22"/>
        </w:rPr>
        <w:t xml:space="preserve">Les données des END seront conservées pendant 10 ans à compter de la fin du détachement (2 ans pour les END dont la candidature n'a pas été retenue ou a été retirée). </w:t>
      </w:r>
    </w:p>
    <w:p w:rsidR="00436362" w:rsidRPr="00436362" w:rsidRDefault="00436362" w:rsidP="00436362">
      <w:pPr>
        <w:ind w:left="426" w:right="175"/>
        <w:jc w:val="both"/>
        <w:rPr>
          <w:sz w:val="22"/>
          <w:szCs w:val="22"/>
        </w:rPr>
      </w:pPr>
      <w:r w:rsidRPr="00436362">
        <w:rPr>
          <w:sz w:val="22"/>
          <w:szCs w:val="22"/>
        </w:rPr>
        <w:t xml:space="preserve">En tant que personne concernée, vous avez des droits spécifiques en vertu du chapitre III (articles 14 à 25) du règlement (UE) 2018/1725, notamment le droit d'accès, de rectification ou d'effacement de vos données à </w:t>
      </w:r>
      <w:r w:rsidRPr="00436362">
        <w:rPr>
          <w:sz w:val="22"/>
          <w:szCs w:val="22"/>
        </w:rPr>
        <w:lastRenderedPageBreak/>
        <w:t>caractère personnel et le droit de limiter le traitement de vos données personnelles. Le cas échéant, vous avez également le droit de vous opposer au traitement ou au droit à la portabilité des données.</w:t>
      </w:r>
    </w:p>
    <w:p w:rsidR="00436362" w:rsidRPr="00436362" w:rsidRDefault="00436362" w:rsidP="00436362">
      <w:pPr>
        <w:ind w:left="426" w:right="175"/>
        <w:jc w:val="both"/>
        <w:rPr>
          <w:sz w:val="22"/>
          <w:szCs w:val="22"/>
        </w:rPr>
      </w:pPr>
      <w:r w:rsidRPr="00436362">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36362" w:rsidRPr="00436362" w:rsidRDefault="00436362" w:rsidP="00436362">
      <w:pPr>
        <w:ind w:left="426" w:right="175"/>
        <w:jc w:val="both"/>
        <w:rPr>
          <w:sz w:val="22"/>
          <w:szCs w:val="22"/>
        </w:rPr>
      </w:pPr>
    </w:p>
    <w:p w:rsidR="00436362" w:rsidRDefault="00436362" w:rsidP="00436362">
      <w:pPr>
        <w:ind w:left="426" w:right="175"/>
        <w:jc w:val="both"/>
        <w:rPr>
          <w:b/>
          <w:sz w:val="22"/>
          <w:szCs w:val="22"/>
          <w:u w:val="single"/>
        </w:rPr>
      </w:pPr>
      <w:r w:rsidRPr="00436362">
        <w:rPr>
          <w:b/>
          <w:sz w:val="22"/>
          <w:szCs w:val="22"/>
          <w:u w:val="single"/>
        </w:rPr>
        <w:t>Informations de contact</w:t>
      </w:r>
    </w:p>
    <w:p w:rsidR="00436362" w:rsidRPr="00436362" w:rsidRDefault="00436362" w:rsidP="00436362">
      <w:pPr>
        <w:ind w:left="426" w:right="175"/>
        <w:jc w:val="both"/>
        <w:rPr>
          <w:b/>
          <w:sz w:val="22"/>
          <w:szCs w:val="22"/>
          <w:u w:val="single"/>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rPr>
        <w:t>Le contrôleur de données</w:t>
      </w:r>
    </w:p>
    <w:p w:rsidR="00436362" w:rsidRDefault="00436362" w:rsidP="00436362">
      <w:pPr>
        <w:ind w:left="426" w:right="175"/>
        <w:jc w:val="both"/>
        <w:rPr>
          <w:sz w:val="22"/>
          <w:szCs w:val="22"/>
        </w:rPr>
      </w:pPr>
      <w:r w:rsidRPr="00436362">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36362">
          <w:rPr>
            <w:color w:val="0000FF"/>
            <w:sz w:val="22"/>
            <w:szCs w:val="22"/>
            <w:u w:val="single"/>
          </w:rPr>
          <w:t>HR-MAIL-B4@ec.europa.eu</w:t>
        </w:r>
      </w:hyperlink>
      <w:r w:rsidRPr="00436362">
        <w:rPr>
          <w:sz w:val="22"/>
          <w:szCs w:val="22"/>
        </w:rPr>
        <w:t>.</w:t>
      </w:r>
    </w:p>
    <w:p w:rsidR="00436362" w:rsidRPr="00436362" w:rsidRDefault="00436362" w:rsidP="00436362">
      <w:pPr>
        <w:ind w:left="426" w:right="175"/>
        <w:jc w:val="both"/>
        <w:rPr>
          <w:sz w:val="22"/>
          <w:szCs w:val="22"/>
        </w:rPr>
      </w:pPr>
    </w:p>
    <w:p w:rsidR="00436362" w:rsidRPr="00436362" w:rsidRDefault="00436362" w:rsidP="00436362">
      <w:pPr>
        <w:tabs>
          <w:tab w:val="left" w:pos="193"/>
        </w:tabs>
        <w:ind w:left="426" w:right="175"/>
        <w:jc w:val="both"/>
        <w:rPr>
          <w:sz w:val="22"/>
          <w:szCs w:val="22"/>
        </w:rPr>
      </w:pPr>
      <w:r w:rsidRPr="00436362">
        <w:rPr>
          <w:sz w:val="22"/>
          <w:szCs w:val="22"/>
        </w:rPr>
        <w:t>-</w:t>
      </w:r>
      <w:r w:rsidRPr="00436362">
        <w:rPr>
          <w:sz w:val="22"/>
          <w:szCs w:val="22"/>
        </w:rPr>
        <w:tab/>
      </w:r>
      <w:r w:rsidRPr="00436362">
        <w:rPr>
          <w:b/>
          <w:sz w:val="22"/>
          <w:szCs w:val="22"/>
          <w:u w:val="single"/>
        </w:rPr>
        <w:t>Le délégué à la protection des données (DPD) de la Commission</w:t>
      </w:r>
    </w:p>
    <w:p w:rsidR="00436362" w:rsidRPr="00436362" w:rsidRDefault="00436362" w:rsidP="00436362">
      <w:pPr>
        <w:ind w:left="426" w:right="175"/>
        <w:jc w:val="both"/>
        <w:rPr>
          <w:sz w:val="22"/>
          <w:szCs w:val="22"/>
        </w:rPr>
      </w:pPr>
      <w:r w:rsidRPr="00436362">
        <w:rPr>
          <w:sz w:val="22"/>
          <w:szCs w:val="22"/>
        </w:rPr>
        <w:t>Vous pouvez contacter le délégué à la protection des données (</w:t>
      </w:r>
      <w:hyperlink r:id="rId13" w:history="1">
        <w:r w:rsidRPr="00436362">
          <w:rPr>
            <w:color w:val="0000FF"/>
            <w:sz w:val="22"/>
            <w:szCs w:val="22"/>
            <w:u w:val="single"/>
          </w:rPr>
          <w:t>DATA-PROTECTION-OFFICER@ec.europa.eu</w:t>
        </w:r>
      </w:hyperlink>
      <w:r w:rsidRPr="00436362">
        <w:rPr>
          <w:sz w:val="22"/>
          <w:szCs w:val="22"/>
        </w:rPr>
        <w:t>) pour toute question relative au traitement de vos données à caractère personnel en vertu du règlement (UE) 2018/1725.</w:t>
      </w:r>
    </w:p>
    <w:p w:rsidR="00436362" w:rsidRDefault="00436362" w:rsidP="00436362">
      <w:pPr>
        <w:tabs>
          <w:tab w:val="left" w:pos="193"/>
        </w:tabs>
        <w:ind w:left="426" w:right="175"/>
        <w:jc w:val="both"/>
        <w:rPr>
          <w:b/>
          <w:sz w:val="22"/>
          <w:szCs w:val="22"/>
          <w:u w:val="single"/>
        </w:rPr>
      </w:pPr>
      <w:r w:rsidRPr="00436362">
        <w:rPr>
          <w:b/>
          <w:sz w:val="22"/>
          <w:szCs w:val="22"/>
        </w:rPr>
        <w:t>-</w:t>
      </w:r>
      <w:r w:rsidRPr="00436362">
        <w:rPr>
          <w:b/>
          <w:sz w:val="22"/>
          <w:szCs w:val="22"/>
        </w:rPr>
        <w:tab/>
      </w:r>
      <w:r w:rsidRPr="00436362">
        <w:rPr>
          <w:b/>
          <w:sz w:val="22"/>
          <w:szCs w:val="22"/>
          <w:u w:val="single"/>
        </w:rPr>
        <w:t>Le contrôleur européen de la protection des données (CEPD)</w:t>
      </w:r>
    </w:p>
    <w:p w:rsidR="00436362" w:rsidRPr="00436362" w:rsidRDefault="00436362" w:rsidP="00436362">
      <w:pPr>
        <w:tabs>
          <w:tab w:val="left" w:pos="193"/>
        </w:tabs>
        <w:ind w:left="426" w:right="175"/>
        <w:jc w:val="both"/>
        <w:rPr>
          <w:b/>
          <w:sz w:val="22"/>
          <w:szCs w:val="22"/>
          <w:u w:val="single"/>
        </w:rPr>
      </w:pPr>
    </w:p>
    <w:p w:rsidR="00436362" w:rsidRPr="00436362" w:rsidRDefault="00436362" w:rsidP="00436362">
      <w:pPr>
        <w:ind w:left="426" w:right="175"/>
        <w:jc w:val="both"/>
        <w:rPr>
          <w:sz w:val="22"/>
          <w:szCs w:val="22"/>
        </w:rPr>
      </w:pPr>
      <w:r w:rsidRPr="00436362">
        <w:rPr>
          <w:sz w:val="22"/>
          <w:szCs w:val="22"/>
        </w:rPr>
        <w:t>Vous avez le droit de saisir le contrôleur européen de la protection des données (</w:t>
      </w:r>
      <w:hyperlink r:id="rId14" w:history="1">
        <w:r w:rsidRPr="00436362">
          <w:rPr>
            <w:color w:val="0000FF"/>
            <w:sz w:val="22"/>
            <w:szCs w:val="22"/>
            <w:u w:val="single"/>
          </w:rPr>
          <w:t>edps@edps.europa.eu</w:t>
        </w:r>
      </w:hyperlink>
      <w:r w:rsidRPr="00436362">
        <w:rPr>
          <w:sz w:val="22"/>
          <w:szCs w:val="22"/>
        </w:rPr>
        <w:t>) (c’est-à-dire que vous pouvez porter plainte) si vous estimez que vos droits en vertu du règlement (UE) 2018/1725 ont été violés par le contrôleur des données.</w:t>
      </w:r>
    </w:p>
    <w:p w:rsidR="00436362" w:rsidRPr="00436362" w:rsidRDefault="00436362" w:rsidP="00436362">
      <w:pPr>
        <w:ind w:left="426" w:right="175"/>
        <w:jc w:val="both"/>
        <w:rPr>
          <w:sz w:val="22"/>
          <w:szCs w:val="22"/>
        </w:rPr>
      </w:pPr>
    </w:p>
    <w:p w:rsidR="00E83D1A" w:rsidRDefault="00436362" w:rsidP="00436362">
      <w:pPr>
        <w:ind w:left="426"/>
        <w:jc w:val="both"/>
      </w:pPr>
      <w:r w:rsidRPr="00436362">
        <w:rPr>
          <w:sz w:val="22"/>
          <w:szCs w:val="22"/>
        </w:rPr>
        <w:t>À l'attention des candidats ressortissant de pays tiers: vos données personnelles peuvent être utilisées aux fins des vérifications nécessaires.</w:t>
      </w:r>
    </w:p>
    <w:sectPr w:rsidR="00E83D1A"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4E1C73" w:rsidRDefault="004E1C73" w:rsidP="004E1C73">
      <w:pPr>
        <w:pStyle w:val="FootnoteText"/>
        <w:ind w:right="1175"/>
        <w:jc w:val="both"/>
      </w:pPr>
      <w:r>
        <w:rPr>
          <w:rStyle w:val="FootnoteReference"/>
        </w:rPr>
        <w:footnoteRef/>
      </w:r>
      <w:r>
        <w:t xml:space="preserve"> Les précisions liées à la date de prise de fonction</w:t>
      </w:r>
      <w:r w:rsidR="00CB43F6">
        <w:t>s</w:t>
      </w:r>
      <w:r>
        <w:t xml:space="preserve">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XnjkDuEKSpCqLXgU4tBxustsym0=" w:salt="+TbXgfSiHcWAlvR+6dHJaQ=="/>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19598C"/>
    <w:rsid w:val="00242BC9"/>
    <w:rsid w:val="0037776F"/>
    <w:rsid w:val="004028EE"/>
    <w:rsid w:val="00436362"/>
    <w:rsid w:val="00467E6D"/>
    <w:rsid w:val="004E1C73"/>
    <w:rsid w:val="0051400C"/>
    <w:rsid w:val="00534042"/>
    <w:rsid w:val="00713D0F"/>
    <w:rsid w:val="00BC14A5"/>
    <w:rsid w:val="00CB43F6"/>
    <w:rsid w:val="00CF677F"/>
    <w:rsid w:val="00D8228E"/>
    <w:rsid w:val="00DC72A1"/>
    <w:rsid w:val="00E83D1A"/>
    <w:rsid w:val="00E84084"/>
    <w:rsid w:val="00EC2DA0"/>
    <w:rsid w:val="00FD096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uiPriority w:val="99"/>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uiPriority w:val="99"/>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zoltan.somogyi@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1878</Words>
  <Characters>10335</Characters>
  <Application>Microsoft Office Word</Application>
  <DocSecurity>12</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2019-10-10T13:26:00Z</dcterms:created>
  <dcterms:modified xsi:type="dcterms:W3CDTF">2019-10-10T13:26:00Z</dcterms:modified>
</cp:coreProperties>
</file>