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37" w:rsidRDefault="007C4E8E" w:rsidP="0069244E">
      <w:pPr>
        <w:ind w:right="1317"/>
        <w:jc w:val="center"/>
        <w:rPr>
          <w:b/>
          <w:lang w:val="de-DE"/>
        </w:rPr>
      </w:pPr>
      <w:r>
        <w:rPr>
          <w:b/>
          <w:noProof/>
          <w:lang w:val="fr-FR" w:eastAsia="fr-FR"/>
        </w:rPr>
        <w:drawing>
          <wp:anchor distT="0" distB="0" distL="114300" distR="114300" simplePos="0" relativeHeight="251657728" behindDoc="1" locked="0" layoutInCell="1" allowOverlap="1">
            <wp:simplePos x="0" y="0"/>
            <wp:positionH relativeFrom="column">
              <wp:posOffset>0</wp:posOffset>
            </wp:positionH>
            <wp:positionV relativeFrom="paragraph">
              <wp:posOffset>-409575</wp:posOffset>
            </wp:positionV>
            <wp:extent cx="1381125" cy="685800"/>
            <wp:effectExtent l="0" t="0" r="9525" b="0"/>
            <wp:wrapTight wrapText="bothSides">
              <wp:wrapPolygon edited="0">
                <wp:start x="0" y="0"/>
                <wp:lineTo x="0" y="21000"/>
                <wp:lineTo x="21451" y="21000"/>
                <wp:lineTo x="214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CA54D9" w:rsidRDefault="006643E5" w:rsidP="00527871">
      <w:pPr>
        <w:spacing w:before="240"/>
        <w:ind w:left="720" w:right="1315"/>
        <w:jc w:val="center"/>
        <w:rPr>
          <w:b/>
          <w:lang w:val="de-DE"/>
        </w:rPr>
      </w:pPr>
      <w:r w:rsidRPr="009222CC">
        <w:rPr>
          <w:b/>
          <w:lang w:val="de-DE"/>
        </w:rPr>
        <w:t>STELLENAUSSCHREIBUNG</w:t>
      </w:r>
    </w:p>
    <w:p w:rsidR="00527871" w:rsidRPr="009222CC" w:rsidRDefault="00527871" w:rsidP="00527871">
      <w:pPr>
        <w:ind w:left="720" w:right="1315"/>
        <w:jc w:val="center"/>
        <w:rPr>
          <w:b/>
          <w:lang w:val="de-DE"/>
        </w:rPr>
      </w:pPr>
    </w:p>
    <w:p w:rsidR="00CC152B" w:rsidRDefault="00CC152B" w:rsidP="00527871">
      <w:pPr>
        <w:tabs>
          <w:tab w:val="left" w:pos="10065"/>
        </w:tabs>
        <w:ind w:left="720" w:right="1317"/>
        <w:jc w:val="center"/>
        <w:rPr>
          <w:b/>
          <w:lang w:val="de-DE"/>
        </w:rPr>
      </w:pPr>
      <w:r>
        <w:rPr>
          <w:b/>
          <w:lang w:val="de-DE"/>
        </w:rPr>
        <w:t>ZU</w:t>
      </w:r>
      <w:r w:rsidRPr="009222CC">
        <w:rPr>
          <w:b/>
          <w:lang w:val="de-DE"/>
        </w:rPr>
        <w:t xml:space="preserve">R EUROPÄISCHEN KOMMISSION </w:t>
      </w:r>
    </w:p>
    <w:p w:rsidR="006643E5" w:rsidRPr="009222CC" w:rsidRDefault="006643E5" w:rsidP="00527871">
      <w:pPr>
        <w:tabs>
          <w:tab w:val="left" w:pos="10065"/>
        </w:tabs>
        <w:ind w:left="720"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jc w:val="center"/>
        <w:tblLayout w:type="fixed"/>
        <w:tblLook w:val="01E0" w:firstRow="1" w:lastRow="1" w:firstColumn="1" w:lastColumn="1" w:noHBand="0" w:noVBand="0"/>
      </w:tblPr>
      <w:tblGrid>
        <w:gridCol w:w="392"/>
        <w:gridCol w:w="3271"/>
        <w:gridCol w:w="5645"/>
        <w:gridCol w:w="14"/>
      </w:tblGrid>
      <w:tr w:rsidR="008F4989" w:rsidRPr="009222CC" w:rsidTr="00527871">
        <w:trPr>
          <w:gridAfter w:val="1"/>
          <w:wAfter w:w="14" w:type="dxa"/>
          <w:jc w:val="center"/>
        </w:trPr>
        <w:tc>
          <w:tcPr>
            <w:tcW w:w="3663"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645" w:type="dxa"/>
            <w:tcBorders>
              <w:top w:val="single" w:sz="4" w:space="0" w:color="auto"/>
              <w:left w:val="single" w:sz="4" w:space="0" w:color="auto"/>
              <w:bottom w:val="single" w:sz="4" w:space="0" w:color="auto"/>
              <w:right w:val="single" w:sz="4" w:space="0" w:color="auto"/>
            </w:tcBorders>
          </w:tcPr>
          <w:p w:rsidR="008F4989" w:rsidRPr="009222CC" w:rsidRDefault="00BF5ED6" w:rsidP="007C4E8E">
            <w:pPr>
              <w:spacing w:before="120"/>
              <w:ind w:right="1315"/>
              <w:jc w:val="both"/>
              <w:rPr>
                <w:b/>
                <w:lang w:val="de-DE"/>
              </w:rPr>
            </w:pPr>
            <w:r>
              <w:rPr>
                <w:b/>
                <w:lang w:val="de-DE"/>
              </w:rPr>
              <w:t>SANTE-G-3</w:t>
            </w:r>
          </w:p>
        </w:tc>
      </w:tr>
      <w:tr w:rsidR="00DF1D3A" w:rsidRPr="007C4E8E" w:rsidTr="00DF1D3A">
        <w:trPr>
          <w:gridAfter w:val="1"/>
          <w:wAfter w:w="14" w:type="dxa"/>
          <w:trHeight w:val="2150"/>
          <w:jc w:val="center"/>
        </w:trPr>
        <w:tc>
          <w:tcPr>
            <w:tcW w:w="3663" w:type="dxa"/>
            <w:gridSpan w:val="2"/>
            <w:vMerge w:val="restart"/>
            <w:tcBorders>
              <w:top w:val="single" w:sz="4" w:space="0" w:color="auto"/>
              <w:left w:val="single" w:sz="4" w:space="0" w:color="auto"/>
              <w:bottom w:val="nil"/>
              <w:right w:val="single" w:sz="4" w:space="0" w:color="auto"/>
            </w:tcBorders>
          </w:tcPr>
          <w:p w:rsidR="00DF1D3A" w:rsidRPr="00527871" w:rsidRDefault="00DF1D3A" w:rsidP="0069244E">
            <w:pPr>
              <w:tabs>
                <w:tab w:val="left" w:pos="1697"/>
              </w:tabs>
              <w:ind w:right="-1739"/>
              <w:jc w:val="both"/>
              <w:rPr>
                <w:b/>
                <w:sz w:val="22"/>
                <w:szCs w:val="22"/>
                <w:lang w:val="de-DE"/>
              </w:rPr>
            </w:pPr>
            <w:r w:rsidRPr="00527871">
              <w:rPr>
                <w:b/>
                <w:sz w:val="22"/>
                <w:szCs w:val="22"/>
                <w:lang w:val="de-DE"/>
              </w:rPr>
              <w:t>Referatsleiter:</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E-Mail-Adresse:</w:t>
            </w:r>
          </w:p>
          <w:p w:rsidR="00DF1D3A" w:rsidRDefault="00DF1D3A" w:rsidP="0069244E">
            <w:pPr>
              <w:tabs>
                <w:tab w:val="left" w:pos="1697"/>
              </w:tabs>
              <w:ind w:right="-1739"/>
              <w:jc w:val="both"/>
              <w:rPr>
                <w:b/>
                <w:sz w:val="22"/>
                <w:szCs w:val="22"/>
                <w:lang w:val="de-DE"/>
              </w:rPr>
            </w:pPr>
            <w:r w:rsidRPr="00527871">
              <w:rPr>
                <w:b/>
                <w:sz w:val="22"/>
                <w:szCs w:val="22"/>
                <w:lang w:val="de-DE"/>
              </w:rPr>
              <w:t>Telefon:</w:t>
            </w:r>
          </w:p>
          <w:p w:rsidR="00DF1D3A" w:rsidRPr="00527871" w:rsidRDefault="00DF1D3A" w:rsidP="0069244E">
            <w:pPr>
              <w:tabs>
                <w:tab w:val="left" w:pos="1697"/>
              </w:tabs>
              <w:ind w:right="-1739"/>
              <w:jc w:val="both"/>
              <w:rPr>
                <w:sz w:val="22"/>
                <w:szCs w:val="22"/>
                <w:lang w:val="de-DE"/>
              </w:rPr>
            </w:pPr>
            <w:r w:rsidRPr="00527871">
              <w:rPr>
                <w:b/>
                <w:sz w:val="22"/>
                <w:szCs w:val="22"/>
                <w:lang w:val="de-DE"/>
              </w:rPr>
              <w:t>Anzahl der zu besetzenden Stellen:</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Gewünschter Dienstantritt:</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 Dauer der</w:t>
            </w:r>
          </w:p>
          <w:p w:rsidR="00DF1D3A" w:rsidRPr="00527871" w:rsidRDefault="00DF1D3A" w:rsidP="0069244E">
            <w:pPr>
              <w:tabs>
                <w:tab w:val="left" w:pos="1697"/>
              </w:tabs>
              <w:ind w:right="-1739"/>
              <w:jc w:val="both"/>
              <w:rPr>
                <w:sz w:val="22"/>
                <w:szCs w:val="22"/>
                <w:lang w:val="de-DE"/>
              </w:rPr>
            </w:pPr>
            <w:r w:rsidRPr="00527871">
              <w:rPr>
                <w:b/>
                <w:sz w:val="22"/>
                <w:szCs w:val="22"/>
                <w:lang w:val="de-DE"/>
              </w:rPr>
              <w:t>1. Abordnung:</w:t>
            </w:r>
          </w:p>
          <w:p w:rsidR="00DF1D3A" w:rsidRPr="00527871" w:rsidRDefault="00DF1D3A" w:rsidP="00DF1D3A">
            <w:pPr>
              <w:tabs>
                <w:tab w:val="left" w:pos="1697"/>
              </w:tabs>
              <w:ind w:right="-1739"/>
              <w:jc w:val="both"/>
              <w:rPr>
                <w:sz w:val="22"/>
                <w:szCs w:val="22"/>
                <w:lang w:val="de-DE"/>
              </w:rPr>
            </w:pPr>
            <w:r w:rsidRPr="00527871">
              <w:rPr>
                <w:b/>
                <w:sz w:val="22"/>
                <w:szCs w:val="22"/>
                <w:lang w:val="de-DE"/>
              </w:rPr>
              <w:t>Dienstort:</w:t>
            </w:r>
          </w:p>
        </w:tc>
        <w:tc>
          <w:tcPr>
            <w:tcW w:w="5645" w:type="dxa"/>
            <w:tcBorders>
              <w:top w:val="single" w:sz="4" w:space="0" w:color="auto"/>
              <w:left w:val="single" w:sz="4" w:space="0" w:color="auto"/>
              <w:right w:val="single" w:sz="4" w:space="0" w:color="auto"/>
            </w:tcBorders>
          </w:tcPr>
          <w:p w:rsidR="00DF1D3A" w:rsidRPr="007C4E8E" w:rsidRDefault="00BF5ED6" w:rsidP="0069244E">
            <w:pPr>
              <w:ind w:right="1317"/>
              <w:jc w:val="both"/>
              <w:rPr>
                <w:b/>
                <w:sz w:val="22"/>
                <w:szCs w:val="22"/>
                <w:lang w:val="en-US"/>
              </w:rPr>
            </w:pPr>
            <w:r w:rsidRPr="007C4E8E">
              <w:rPr>
                <w:b/>
                <w:sz w:val="22"/>
                <w:szCs w:val="22"/>
                <w:lang w:val="en-US"/>
              </w:rPr>
              <w:t>Andrea Gavinelli</w:t>
            </w:r>
          </w:p>
          <w:p w:rsidR="00DF1D3A" w:rsidRPr="007C4E8E" w:rsidRDefault="007C4E8E" w:rsidP="0069244E">
            <w:pPr>
              <w:ind w:right="1317"/>
              <w:jc w:val="both"/>
              <w:rPr>
                <w:b/>
                <w:sz w:val="22"/>
                <w:szCs w:val="22"/>
                <w:lang w:val="en-US"/>
              </w:rPr>
            </w:pPr>
            <w:hyperlink r:id="rId9" w:history="1">
              <w:r w:rsidRPr="009F7976">
                <w:rPr>
                  <w:rStyle w:val="Hyperlink"/>
                  <w:b/>
                  <w:sz w:val="22"/>
                  <w:szCs w:val="22"/>
                  <w:lang w:val="en-US"/>
                </w:rPr>
                <w:t>Andrea.Gavinelli@ec.europa.eu</w:t>
              </w:r>
            </w:hyperlink>
            <w:r>
              <w:rPr>
                <w:b/>
                <w:sz w:val="22"/>
                <w:szCs w:val="22"/>
                <w:lang w:val="en-US"/>
              </w:rPr>
              <w:t xml:space="preserve"> </w:t>
            </w:r>
          </w:p>
          <w:p w:rsidR="00DF1D3A" w:rsidRDefault="00BF5ED6" w:rsidP="0069244E">
            <w:pPr>
              <w:ind w:right="1317"/>
              <w:jc w:val="both"/>
              <w:rPr>
                <w:b/>
                <w:sz w:val="22"/>
                <w:szCs w:val="22"/>
                <w:lang w:val="de-DE"/>
              </w:rPr>
            </w:pPr>
            <w:r w:rsidRPr="009222CC">
              <w:rPr>
                <w:b/>
                <w:sz w:val="20"/>
                <w:lang w:val="de-DE"/>
              </w:rPr>
              <w:t>+32 2 29</w:t>
            </w:r>
            <w:r>
              <w:rPr>
                <w:b/>
                <w:sz w:val="20"/>
                <w:lang w:val="de-DE"/>
              </w:rPr>
              <w:t xml:space="preserve"> 66426</w:t>
            </w:r>
          </w:p>
          <w:p w:rsidR="00DF1D3A" w:rsidRPr="00527871" w:rsidRDefault="00BF5ED6" w:rsidP="0069244E">
            <w:pPr>
              <w:ind w:left="34" w:right="1317"/>
              <w:jc w:val="both"/>
              <w:rPr>
                <w:b/>
                <w:sz w:val="22"/>
                <w:szCs w:val="22"/>
                <w:lang w:val="de-DE"/>
              </w:rPr>
            </w:pPr>
            <w:r>
              <w:rPr>
                <w:b/>
                <w:sz w:val="22"/>
                <w:szCs w:val="22"/>
                <w:lang w:val="de-DE"/>
              </w:rPr>
              <w:t>1</w:t>
            </w:r>
          </w:p>
          <w:p w:rsidR="00DF1D3A" w:rsidRPr="00527871" w:rsidRDefault="00F173B7" w:rsidP="0069244E">
            <w:pPr>
              <w:ind w:left="34" w:right="1317"/>
              <w:jc w:val="both"/>
              <w:rPr>
                <w:b/>
                <w:sz w:val="22"/>
                <w:szCs w:val="22"/>
                <w:lang w:val="de-DE"/>
              </w:rPr>
            </w:pPr>
            <w:r>
              <w:rPr>
                <w:b/>
                <w:sz w:val="22"/>
                <w:szCs w:val="22"/>
                <w:lang w:val="de-DE"/>
              </w:rPr>
              <w:t>4</w:t>
            </w:r>
            <w:r w:rsidR="00BF5ED6">
              <w:rPr>
                <w:b/>
                <w:sz w:val="22"/>
                <w:szCs w:val="22"/>
                <w:lang w:val="de-DE"/>
              </w:rPr>
              <w:t xml:space="preserve">. </w:t>
            </w:r>
            <w:r w:rsidR="00DF1D3A" w:rsidRPr="00527871">
              <w:rPr>
                <w:b/>
                <w:sz w:val="22"/>
                <w:szCs w:val="22"/>
                <w:lang w:val="de-DE"/>
              </w:rPr>
              <w:t>Quartal 20</w:t>
            </w:r>
            <w:r>
              <w:rPr>
                <w:b/>
                <w:sz w:val="22"/>
                <w:szCs w:val="22"/>
                <w:lang w:val="de-DE"/>
              </w:rPr>
              <w:t>19</w:t>
            </w:r>
            <w:r w:rsidR="00DF1D3A" w:rsidRPr="00527871">
              <w:rPr>
                <w:rStyle w:val="FootnoteReference"/>
                <w:b/>
                <w:sz w:val="22"/>
                <w:szCs w:val="22"/>
                <w:lang w:val="de-DE"/>
              </w:rPr>
              <w:footnoteReference w:id="1"/>
            </w:r>
          </w:p>
          <w:p w:rsidR="00DF1D3A" w:rsidRDefault="00BF5ED6" w:rsidP="00DF1D3A">
            <w:pPr>
              <w:ind w:right="1317"/>
              <w:jc w:val="both"/>
              <w:rPr>
                <w:b/>
                <w:sz w:val="22"/>
                <w:szCs w:val="22"/>
                <w:lang w:val="de-DE"/>
              </w:rPr>
            </w:pPr>
            <w:r>
              <w:rPr>
                <w:b/>
                <w:sz w:val="22"/>
                <w:szCs w:val="22"/>
                <w:lang w:val="de-DE"/>
              </w:rPr>
              <w:t>2</w:t>
            </w:r>
            <w:r w:rsidR="00DF1D3A" w:rsidRPr="00527871">
              <w:rPr>
                <w:b/>
                <w:sz w:val="22"/>
                <w:szCs w:val="22"/>
                <w:lang w:val="de-DE"/>
              </w:rPr>
              <w:t xml:space="preserve"> Jahr(e)</w:t>
            </w:r>
            <w:r w:rsidR="00DF1D3A" w:rsidRPr="00527871">
              <w:rPr>
                <w:rStyle w:val="FootnoteReference"/>
                <w:b/>
                <w:sz w:val="22"/>
                <w:szCs w:val="22"/>
                <w:lang w:val="de-DE"/>
              </w:rPr>
              <w:t>1</w:t>
            </w:r>
          </w:p>
          <w:p w:rsidR="00DF1D3A" w:rsidRPr="00527871" w:rsidRDefault="00DF1D3A" w:rsidP="00DF1D3A">
            <w:pPr>
              <w:ind w:right="1317"/>
              <w:jc w:val="both"/>
              <w:rPr>
                <w:b/>
                <w:sz w:val="22"/>
                <w:szCs w:val="22"/>
                <w:lang w:val="de-DE"/>
              </w:rPr>
            </w:pPr>
          </w:p>
          <w:p w:rsidR="00DF1D3A" w:rsidRPr="00527871" w:rsidRDefault="00BF5ED6" w:rsidP="00527871">
            <w:pPr>
              <w:tabs>
                <w:tab w:val="left" w:pos="317"/>
                <w:tab w:val="left" w:pos="1310"/>
                <w:tab w:val="left" w:pos="1735"/>
                <w:tab w:val="left" w:pos="3011"/>
                <w:tab w:val="left" w:pos="3436"/>
              </w:tabs>
              <w:ind w:right="9"/>
              <w:jc w:val="both"/>
              <w:rPr>
                <w:b/>
                <w:sz w:val="22"/>
                <w:szCs w:val="22"/>
                <w:lang w:val="de-DE"/>
              </w:rPr>
            </w:pPr>
            <w:r>
              <w:rPr>
                <w:rFonts w:eastAsia="MS Minngs"/>
                <w:bCs/>
                <w:sz w:val="22"/>
                <w:szCs w:val="22"/>
                <w:lang w:val="fr-FR"/>
              </w:rPr>
              <w:sym w:font="Wingdings 2" w:char="F054"/>
            </w:r>
            <w:r w:rsidR="00DF1D3A" w:rsidRPr="00527871">
              <w:rPr>
                <w:rFonts w:eastAsia="MS Minngs"/>
                <w:bCs/>
                <w:sz w:val="22"/>
                <w:szCs w:val="22"/>
                <w:lang w:val="de-DE"/>
              </w:rPr>
              <w:tab/>
            </w:r>
            <w:r w:rsidR="00DF1D3A" w:rsidRPr="00527871">
              <w:rPr>
                <w:b/>
                <w:sz w:val="22"/>
                <w:szCs w:val="22"/>
                <w:lang w:val="de-DE"/>
              </w:rPr>
              <w:t>Brüssel</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ab/>
            </w:r>
            <w:r w:rsidR="00DF1D3A" w:rsidRPr="00527871">
              <w:rPr>
                <w:b/>
                <w:sz w:val="22"/>
                <w:szCs w:val="22"/>
                <w:lang w:val="de-DE"/>
              </w:rPr>
              <w:t>Luxemburg</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 xml:space="preserve"> </w:t>
            </w:r>
            <w:r w:rsidR="00DF1D3A">
              <w:rPr>
                <w:rFonts w:eastAsia="MS Minngs"/>
                <w:bCs/>
                <w:sz w:val="22"/>
                <w:szCs w:val="22"/>
                <w:lang w:val="de-DE"/>
              </w:rPr>
              <w:tab/>
            </w:r>
            <w:r w:rsidR="00DF1D3A" w:rsidRPr="00527871">
              <w:rPr>
                <w:b/>
                <w:sz w:val="22"/>
                <w:szCs w:val="22"/>
                <w:lang w:val="de-DE"/>
              </w:rPr>
              <w:t>Anderer:…</w:t>
            </w:r>
            <w:r w:rsidR="00DF1D3A">
              <w:rPr>
                <w:b/>
                <w:sz w:val="22"/>
                <w:szCs w:val="22"/>
                <w:lang w:val="de-DE"/>
              </w:rPr>
              <w:t>……..</w:t>
            </w:r>
          </w:p>
        </w:tc>
      </w:tr>
      <w:tr w:rsidR="00527871" w:rsidRPr="00527871" w:rsidTr="00527871">
        <w:trPr>
          <w:gridAfter w:val="1"/>
          <w:wAfter w:w="14" w:type="dxa"/>
          <w:jc w:val="center"/>
        </w:trPr>
        <w:tc>
          <w:tcPr>
            <w:tcW w:w="3663" w:type="dxa"/>
            <w:gridSpan w:val="2"/>
            <w:vMerge/>
            <w:tcBorders>
              <w:left w:val="single" w:sz="4" w:space="0" w:color="auto"/>
              <w:right w:val="single" w:sz="4" w:space="0" w:color="auto"/>
            </w:tcBorders>
          </w:tcPr>
          <w:p w:rsidR="00527871" w:rsidRPr="00527871" w:rsidRDefault="00527871" w:rsidP="0069244E">
            <w:pPr>
              <w:tabs>
                <w:tab w:val="left" w:pos="1697"/>
              </w:tabs>
              <w:ind w:right="-1739"/>
              <w:jc w:val="both"/>
              <w:rPr>
                <w:sz w:val="22"/>
                <w:szCs w:val="22"/>
                <w:lang w:val="de-DE"/>
              </w:rPr>
            </w:pPr>
          </w:p>
        </w:tc>
        <w:tc>
          <w:tcPr>
            <w:tcW w:w="5645" w:type="dxa"/>
            <w:tcBorders>
              <w:top w:val="single" w:sz="4" w:space="0" w:color="auto"/>
              <w:left w:val="single" w:sz="4" w:space="0" w:color="auto"/>
              <w:bottom w:val="single" w:sz="4" w:space="0" w:color="auto"/>
              <w:right w:val="single" w:sz="4" w:space="0" w:color="auto"/>
            </w:tcBorders>
          </w:tcPr>
          <w:p w:rsidR="00527871" w:rsidRPr="00527871" w:rsidRDefault="00BF5ED6" w:rsidP="00527871">
            <w:pPr>
              <w:tabs>
                <w:tab w:val="left" w:pos="1697"/>
              </w:tabs>
              <w:spacing w:before="100" w:after="100"/>
              <w:ind w:right="-1741"/>
              <w:rPr>
                <w:b/>
                <w:sz w:val="22"/>
                <w:szCs w:val="22"/>
                <w:lang w:val="de-DE"/>
              </w:rPr>
            </w:pPr>
            <w:r>
              <w:rPr>
                <w:rFonts w:eastAsia="MS Minngs"/>
                <w:bCs/>
                <w:sz w:val="22"/>
                <w:szCs w:val="22"/>
                <w:lang w:val="fr-FR"/>
              </w:rPr>
              <w:sym w:font="Wingdings 2" w:char="F054"/>
            </w:r>
            <w:r w:rsidR="00527871" w:rsidRPr="00527871">
              <w:rPr>
                <w:rFonts w:eastAsia="MS Minngs"/>
                <w:bCs/>
                <w:sz w:val="22"/>
                <w:szCs w:val="22"/>
                <w:lang w:val="de-DE"/>
              </w:rPr>
              <w:t xml:space="preserve">  </w:t>
            </w:r>
            <w:r w:rsidR="00527871" w:rsidRPr="00527871">
              <w:rPr>
                <w:b/>
                <w:sz w:val="22"/>
                <w:szCs w:val="22"/>
                <w:lang w:val="de-DE"/>
              </w:rPr>
              <w:t xml:space="preserve">Mit Vergütungen   </w:t>
            </w:r>
            <w:r w:rsidR="00527871" w:rsidRPr="00527871">
              <w:rPr>
                <w:rFonts w:eastAsia="MS Minngs"/>
                <w:bCs/>
                <w:sz w:val="22"/>
                <w:szCs w:val="22"/>
                <w:lang w:val="fr-FR"/>
              </w:rPr>
              <w:sym w:font="Wingdings 2" w:char="F0A3"/>
            </w:r>
            <w:r w:rsidR="00527871" w:rsidRPr="00527871">
              <w:rPr>
                <w:b/>
                <w:sz w:val="22"/>
                <w:szCs w:val="22"/>
                <w:lang w:val="de-DE"/>
              </w:rPr>
              <w:t xml:space="preserve">  Unentgeltlich Abgeordnet</w:t>
            </w:r>
          </w:p>
        </w:tc>
      </w:tr>
      <w:tr w:rsidR="00527871" w:rsidRPr="007C4E8E" w:rsidTr="00527871">
        <w:trPr>
          <w:gridAfter w:val="1"/>
          <w:wAfter w:w="14" w:type="dxa"/>
          <w:trHeight w:val="701"/>
          <w:jc w:val="center"/>
        </w:trPr>
        <w:tc>
          <w:tcPr>
            <w:tcW w:w="3663" w:type="dxa"/>
            <w:gridSpan w:val="2"/>
            <w:vMerge/>
            <w:tcBorders>
              <w:left w:val="single" w:sz="4" w:space="0" w:color="auto"/>
              <w:bottom w:val="single" w:sz="4" w:space="0" w:color="auto"/>
              <w:right w:val="single" w:sz="4" w:space="0" w:color="auto"/>
            </w:tcBorders>
          </w:tcPr>
          <w:p w:rsidR="00527871" w:rsidRPr="00527871" w:rsidRDefault="00527871" w:rsidP="0069244E">
            <w:pPr>
              <w:tabs>
                <w:tab w:val="left" w:pos="1697"/>
              </w:tabs>
              <w:ind w:right="-1739"/>
              <w:jc w:val="both"/>
              <w:rPr>
                <w:b/>
                <w:sz w:val="22"/>
                <w:szCs w:val="22"/>
                <w:lang w:val="de-DE"/>
              </w:rPr>
            </w:pPr>
          </w:p>
        </w:tc>
        <w:tc>
          <w:tcPr>
            <w:tcW w:w="5645" w:type="dxa"/>
            <w:tcBorders>
              <w:left w:val="single" w:sz="4" w:space="0" w:color="auto"/>
              <w:bottom w:val="single" w:sz="4" w:space="0" w:color="auto"/>
              <w:right w:val="single" w:sz="4" w:space="0" w:color="auto"/>
            </w:tcBorders>
          </w:tcPr>
          <w:p w:rsidR="00527871" w:rsidRPr="00527871" w:rsidRDefault="00527871" w:rsidP="002747E6">
            <w:pPr>
              <w:rPr>
                <w:b/>
                <w:sz w:val="22"/>
                <w:szCs w:val="22"/>
                <w:lang w:val="de-DE"/>
              </w:rPr>
            </w:pPr>
            <w:r w:rsidRPr="00527871">
              <w:rPr>
                <w:b/>
                <w:sz w:val="22"/>
                <w:szCs w:val="22"/>
                <w:lang w:val="de-DE"/>
              </w:rPr>
              <w:t>Auf diese Stellenausschreibung können sich auch</w:t>
            </w:r>
          </w:p>
          <w:p w:rsidR="00527871" w:rsidRPr="00527871" w:rsidRDefault="00527871" w:rsidP="00527871">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die </w:t>
            </w:r>
            <w:r>
              <w:rPr>
                <w:b/>
                <w:sz w:val="22"/>
                <w:szCs w:val="22"/>
                <w:lang w:val="de-DE"/>
              </w:rPr>
              <w:tab/>
            </w:r>
            <w:r>
              <w:rPr>
                <w:b/>
                <w:sz w:val="22"/>
                <w:szCs w:val="22"/>
                <w:lang w:val="de-DE"/>
              </w:rPr>
              <w:tab/>
            </w:r>
            <w:r>
              <w:rPr>
                <w:b/>
                <w:sz w:val="22"/>
                <w:szCs w:val="22"/>
                <w:lang w:val="de-DE"/>
              </w:rPr>
              <w:tab/>
            </w:r>
            <w:r w:rsidRPr="00527871">
              <w:rPr>
                <w:b/>
                <w:sz w:val="22"/>
                <w:szCs w:val="22"/>
                <w:lang w:val="de-DE"/>
              </w:rPr>
              <w:t>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w:t>
            </w:r>
            <w:r>
              <w:rPr>
                <w:b/>
                <w:sz w:val="22"/>
                <w:szCs w:val="22"/>
                <w:lang w:val="de-DE"/>
              </w:rPr>
              <w:br/>
            </w:r>
            <w:r>
              <w:rPr>
                <w:b/>
                <w:sz w:val="22"/>
                <w:szCs w:val="22"/>
                <w:lang w:val="de-DE"/>
              </w:rPr>
              <w:tab/>
              <w:t xml:space="preserve">     </w:t>
            </w:r>
            <w:r w:rsidRPr="00527871">
              <w:rPr>
                <w:b/>
                <w:sz w:val="22"/>
                <w:szCs w:val="22"/>
                <w:lang w:val="de-DE"/>
              </w:rPr>
              <w:t>(Island, Liechtenstein, Norwegen)</w:t>
            </w:r>
          </w:p>
          <w:p w:rsidR="00527871" w:rsidRPr="00527871" w:rsidRDefault="00527871" w:rsidP="002747E6">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527871" w:rsidRPr="00527871" w:rsidRDefault="00527871" w:rsidP="007C4E8E">
            <w:pPr>
              <w:tabs>
                <w:tab w:val="left" w:pos="459"/>
              </w:tabs>
              <w:rPr>
                <w:rFonts w:eastAsia="MS Minngs"/>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xml:space="preserve">    Bedienstete folgender zwischenstaatlicher </w:t>
            </w:r>
            <w:r>
              <w:rPr>
                <w:rStyle w:val="Strong"/>
                <w:sz w:val="22"/>
                <w:szCs w:val="22"/>
                <w:lang w:val="de-DE"/>
              </w:rPr>
              <w:tab/>
            </w:r>
            <w:r w:rsidRPr="00527871">
              <w:rPr>
                <w:rStyle w:val="Strong"/>
                <w:sz w:val="22"/>
                <w:szCs w:val="22"/>
                <w:lang w:val="de-DE"/>
              </w:rPr>
              <w:t>Organisationen bewerben:</w:t>
            </w:r>
          </w:p>
        </w:tc>
      </w:tr>
      <w:tr w:rsidR="006643E5" w:rsidRPr="007C4E8E" w:rsidTr="00527871">
        <w:trPr>
          <w:gridAfter w:val="1"/>
          <w:wAfter w:w="14" w:type="dxa"/>
          <w:jc w:val="center"/>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Art der Tätigkeit:</w:t>
            </w:r>
          </w:p>
        </w:tc>
      </w:tr>
      <w:tr w:rsidR="006643E5" w:rsidRPr="007C4E8E" w:rsidTr="00527871">
        <w:trPr>
          <w:gridAfter w:val="1"/>
          <w:wAfter w:w="14" w:type="dxa"/>
          <w:jc w:val="center"/>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6643E5" w:rsidRPr="00527871" w:rsidRDefault="006643E5" w:rsidP="00435DA0">
            <w:pPr>
              <w:ind w:right="9"/>
              <w:jc w:val="both"/>
              <w:rPr>
                <w:b/>
                <w:sz w:val="22"/>
                <w:szCs w:val="22"/>
                <w:lang w:val="de-DE"/>
              </w:rPr>
            </w:pPr>
          </w:p>
          <w:p w:rsidR="00BF5ED6" w:rsidRPr="00BF5ED6" w:rsidRDefault="00E7240B" w:rsidP="00BF5ED6">
            <w:pPr>
              <w:ind w:right="147"/>
              <w:jc w:val="both"/>
              <w:rPr>
                <w:sz w:val="22"/>
                <w:szCs w:val="22"/>
                <w:lang w:val="de-DE"/>
              </w:rPr>
            </w:pPr>
            <w:r>
              <w:rPr>
                <w:sz w:val="22"/>
                <w:szCs w:val="22"/>
                <w:lang w:val="de-DE"/>
              </w:rPr>
              <w:t>Das Referat sucht ein</w:t>
            </w:r>
            <w:r w:rsidR="00BF5ED6" w:rsidRPr="00BF5ED6">
              <w:rPr>
                <w:sz w:val="22"/>
                <w:szCs w:val="22"/>
                <w:lang w:val="de-DE"/>
              </w:rPr>
              <w:t>e</w:t>
            </w:r>
            <w:r>
              <w:rPr>
                <w:sz w:val="22"/>
                <w:szCs w:val="22"/>
                <w:lang w:val="de-DE"/>
              </w:rPr>
              <w:t>/n</w:t>
            </w:r>
            <w:r w:rsidR="00BF5ED6" w:rsidRPr="00BF5ED6">
              <w:rPr>
                <w:sz w:val="22"/>
                <w:szCs w:val="22"/>
                <w:lang w:val="de-DE"/>
              </w:rPr>
              <w:t xml:space="preserve"> abgeordnete</w:t>
            </w:r>
            <w:r>
              <w:rPr>
                <w:sz w:val="22"/>
                <w:szCs w:val="22"/>
                <w:lang w:val="de-DE"/>
              </w:rPr>
              <w:t>/n</w:t>
            </w:r>
            <w:r w:rsidR="00BF5ED6" w:rsidRPr="00BF5ED6">
              <w:rPr>
                <w:sz w:val="22"/>
                <w:szCs w:val="22"/>
                <w:lang w:val="de-DE"/>
              </w:rPr>
              <w:t xml:space="preserve"> nationale</w:t>
            </w:r>
            <w:r>
              <w:rPr>
                <w:sz w:val="22"/>
                <w:szCs w:val="22"/>
                <w:lang w:val="de-DE"/>
              </w:rPr>
              <w:t>/n</w:t>
            </w:r>
            <w:r w:rsidR="00BF5ED6" w:rsidRPr="00BF5ED6">
              <w:rPr>
                <w:sz w:val="22"/>
                <w:szCs w:val="22"/>
                <w:lang w:val="de-DE"/>
              </w:rPr>
              <w:t xml:space="preserve"> Sachverständige</w:t>
            </w:r>
            <w:r>
              <w:rPr>
                <w:sz w:val="22"/>
                <w:szCs w:val="22"/>
                <w:lang w:val="de-DE"/>
              </w:rPr>
              <w:t>/n</w:t>
            </w:r>
            <w:r w:rsidR="00BF5ED6" w:rsidRPr="00BF5ED6">
              <w:rPr>
                <w:sz w:val="22"/>
                <w:szCs w:val="22"/>
                <w:lang w:val="de-DE"/>
              </w:rPr>
              <w:t xml:space="preserve"> (</w:t>
            </w:r>
            <w:r>
              <w:rPr>
                <w:sz w:val="22"/>
                <w:szCs w:val="22"/>
                <w:lang w:val="de-DE"/>
              </w:rPr>
              <w:t>ANS</w:t>
            </w:r>
            <w:r w:rsidR="00BF5ED6" w:rsidRPr="00BF5ED6">
              <w:rPr>
                <w:sz w:val="22"/>
                <w:szCs w:val="22"/>
                <w:lang w:val="de-DE"/>
              </w:rPr>
              <w:t xml:space="preserve">), der/die sich mit Rechtsfragen im Bereich Tiergesundheit im Rahmen der Bekämpfung von Tierseuchen und mit Bezug auf den neuen Tiergesundheitsrechtsakt befasst. Der/die </w:t>
            </w:r>
            <w:r>
              <w:rPr>
                <w:sz w:val="22"/>
                <w:szCs w:val="22"/>
                <w:lang w:val="de-DE"/>
              </w:rPr>
              <w:t>ANS</w:t>
            </w:r>
            <w:r w:rsidR="00BF5ED6" w:rsidRPr="00BF5ED6">
              <w:rPr>
                <w:sz w:val="22"/>
                <w:szCs w:val="22"/>
                <w:lang w:val="de-DE"/>
              </w:rPr>
              <w:t xml:space="preserve"> soll in diesem Rahmen mit Aufgaben aus einem oder mehreren der folgenden Bereiche betraut werden: </w:t>
            </w:r>
          </w:p>
          <w:p w:rsidR="00BF5ED6" w:rsidRPr="00BF5ED6" w:rsidRDefault="00BF5ED6" w:rsidP="00BF5ED6">
            <w:pPr>
              <w:numPr>
                <w:ilvl w:val="0"/>
                <w:numId w:val="13"/>
              </w:numPr>
              <w:ind w:left="493" w:right="147" w:hanging="340"/>
              <w:jc w:val="both"/>
              <w:rPr>
                <w:sz w:val="22"/>
                <w:szCs w:val="22"/>
                <w:lang w:val="de-DE"/>
              </w:rPr>
            </w:pPr>
            <w:r w:rsidRPr="00BF5ED6">
              <w:rPr>
                <w:sz w:val="22"/>
                <w:szCs w:val="22"/>
                <w:lang w:val="de-DE"/>
              </w:rPr>
              <w:t>Ausarbeitung von Maßnahmen und Rechtsvorschriften zur Tiergesundheit, die Krankheitsmitteilung, die Überwachung und die Kontrolle im Bereich des Vertriebs von Tieren und deren Produkten innerhalb der EU sowie deren Eingang in die EU aus Drittstaaten hinsichtlich</w:t>
            </w:r>
            <w:r w:rsidR="00E7240B">
              <w:rPr>
                <w:sz w:val="22"/>
                <w:szCs w:val="22"/>
                <w:lang w:val="de-DE"/>
              </w:rPr>
              <w:t xml:space="preserve"> der</w:t>
            </w:r>
            <w:r w:rsidRPr="00BF5ED6">
              <w:rPr>
                <w:sz w:val="22"/>
                <w:szCs w:val="22"/>
                <w:lang w:val="de-DE"/>
              </w:rPr>
              <w:t xml:space="preserve"> Minimierung des Risikos für den Tiergesundheitsstatus der EU unter Berücksichtigung der einschlägigen internationalen Standards der Weltorganisation für Tiergesundheit (OIE);</w:t>
            </w:r>
          </w:p>
          <w:p w:rsidR="00652F84" w:rsidRPr="007C4E8E" w:rsidRDefault="00E7240B" w:rsidP="00652F84">
            <w:pPr>
              <w:numPr>
                <w:ilvl w:val="0"/>
                <w:numId w:val="13"/>
              </w:numPr>
              <w:ind w:left="493" w:right="147" w:hanging="340"/>
              <w:jc w:val="both"/>
              <w:rPr>
                <w:sz w:val="22"/>
                <w:szCs w:val="22"/>
                <w:lang w:val="de-DE"/>
              </w:rPr>
            </w:pPr>
            <w:r w:rsidRPr="007C4E8E">
              <w:rPr>
                <w:sz w:val="22"/>
                <w:szCs w:val="22"/>
                <w:lang w:val="de-DE"/>
              </w:rPr>
              <w:t>Zu den</w:t>
            </w:r>
            <w:r w:rsidR="00BF5ED6" w:rsidRPr="007C4E8E">
              <w:rPr>
                <w:sz w:val="22"/>
                <w:szCs w:val="22"/>
                <w:lang w:val="de-DE"/>
              </w:rPr>
              <w:t xml:space="preserve"> oben genannten Aufgaben </w:t>
            </w:r>
            <w:r w:rsidRPr="007C4E8E">
              <w:rPr>
                <w:sz w:val="22"/>
                <w:szCs w:val="22"/>
                <w:lang w:val="de-DE"/>
              </w:rPr>
              <w:t>gehören</w:t>
            </w:r>
            <w:r w:rsidR="00BF5ED6" w:rsidRPr="007C4E8E">
              <w:rPr>
                <w:sz w:val="22"/>
                <w:szCs w:val="22"/>
                <w:lang w:val="de-DE"/>
              </w:rPr>
              <w:t xml:space="preserve"> insbesondere Arbeit</w:t>
            </w:r>
            <w:r w:rsidRPr="007C4E8E">
              <w:rPr>
                <w:sz w:val="22"/>
                <w:szCs w:val="22"/>
                <w:lang w:val="de-DE"/>
              </w:rPr>
              <w:t>en</w:t>
            </w:r>
            <w:r w:rsidR="00BF5ED6" w:rsidRPr="007C4E8E">
              <w:rPr>
                <w:sz w:val="22"/>
                <w:szCs w:val="22"/>
                <w:lang w:val="de-DE"/>
              </w:rPr>
              <w:t xml:space="preserve"> </w:t>
            </w:r>
            <w:r w:rsidRPr="007C4E8E">
              <w:rPr>
                <w:sz w:val="22"/>
                <w:szCs w:val="22"/>
                <w:lang w:val="de-DE"/>
              </w:rPr>
              <w:t>zur</w:t>
            </w:r>
            <w:r w:rsidR="00BF5ED6" w:rsidRPr="007C4E8E">
              <w:rPr>
                <w:sz w:val="22"/>
                <w:szCs w:val="22"/>
                <w:lang w:val="de-DE"/>
              </w:rPr>
              <w:t xml:space="preserve"> Überwachung und Bekämpfung der wichtigsten Tierseuchen, insbesondere der Tierseuchen in Bezug auf Geflügel</w:t>
            </w:r>
            <w:r w:rsidRPr="007C4E8E">
              <w:rPr>
                <w:sz w:val="22"/>
                <w:szCs w:val="22"/>
                <w:lang w:val="de-DE"/>
              </w:rPr>
              <w:t>.</w:t>
            </w:r>
            <w:r w:rsidR="00BF5ED6" w:rsidRPr="007C4E8E">
              <w:rPr>
                <w:sz w:val="22"/>
                <w:szCs w:val="22"/>
                <w:lang w:val="de-DE"/>
              </w:rPr>
              <w:t xml:space="preserve"> </w:t>
            </w:r>
            <w:r w:rsidRPr="007C4E8E">
              <w:rPr>
                <w:sz w:val="22"/>
                <w:szCs w:val="22"/>
                <w:lang w:val="de-DE"/>
              </w:rPr>
              <w:t>G</w:t>
            </w:r>
            <w:r w:rsidR="00BF5ED6" w:rsidRPr="007C4E8E">
              <w:rPr>
                <w:sz w:val="22"/>
                <w:szCs w:val="22"/>
                <w:lang w:val="de-DE"/>
              </w:rPr>
              <w:t>ute Kenntnis</w:t>
            </w:r>
            <w:r w:rsidRPr="007C4E8E">
              <w:rPr>
                <w:sz w:val="22"/>
                <w:szCs w:val="22"/>
                <w:lang w:val="de-DE"/>
              </w:rPr>
              <w:t>se</w:t>
            </w:r>
            <w:r w:rsidR="00BF5ED6" w:rsidRPr="007C4E8E">
              <w:rPr>
                <w:sz w:val="22"/>
                <w:szCs w:val="22"/>
                <w:lang w:val="de-DE"/>
              </w:rPr>
              <w:t xml:space="preserve"> des Managements der Geflüge</w:t>
            </w:r>
            <w:r w:rsidR="005C6F4B" w:rsidRPr="007C4E8E">
              <w:rPr>
                <w:sz w:val="22"/>
                <w:szCs w:val="22"/>
                <w:lang w:val="de-DE"/>
              </w:rPr>
              <w:t>lpest und der Politiken zu „One Health</w:t>
            </w:r>
            <w:r w:rsidR="00BF5ED6" w:rsidRPr="007C4E8E">
              <w:rPr>
                <w:sz w:val="22"/>
                <w:szCs w:val="22"/>
                <w:lang w:val="de-DE"/>
              </w:rPr>
              <w:t>“</w:t>
            </w:r>
            <w:r w:rsidR="00661E6E" w:rsidRPr="007C4E8E">
              <w:rPr>
                <w:sz w:val="22"/>
                <w:szCs w:val="22"/>
                <w:lang w:val="de-DE"/>
              </w:rPr>
              <w:t xml:space="preserve"> </w:t>
            </w:r>
            <w:r w:rsidRPr="007C4E8E">
              <w:rPr>
                <w:sz w:val="22"/>
                <w:szCs w:val="22"/>
                <w:lang w:val="de-DE"/>
              </w:rPr>
              <w:t>sind eine bevorzugte Qualifikation.</w:t>
            </w:r>
          </w:p>
          <w:p w:rsidR="00BF5ED6" w:rsidRDefault="00BF5ED6" w:rsidP="00BF5ED6">
            <w:pPr>
              <w:numPr>
                <w:ilvl w:val="0"/>
                <w:numId w:val="13"/>
              </w:numPr>
              <w:ind w:left="493" w:right="147" w:hanging="340"/>
              <w:jc w:val="both"/>
              <w:rPr>
                <w:sz w:val="22"/>
                <w:szCs w:val="22"/>
                <w:lang w:val="de-DE"/>
              </w:rPr>
            </w:pPr>
            <w:r w:rsidRPr="00BF5ED6">
              <w:rPr>
                <w:sz w:val="22"/>
                <w:szCs w:val="22"/>
                <w:lang w:val="de-DE"/>
              </w:rPr>
              <w:t xml:space="preserve">Ausarbeitung von </w:t>
            </w:r>
            <w:r w:rsidR="00E7240B">
              <w:rPr>
                <w:sz w:val="22"/>
                <w:szCs w:val="22"/>
                <w:lang w:val="de-DE"/>
              </w:rPr>
              <w:t>Briefings</w:t>
            </w:r>
            <w:r w:rsidRPr="00BF5ED6">
              <w:rPr>
                <w:sz w:val="22"/>
                <w:szCs w:val="22"/>
                <w:lang w:val="de-DE"/>
              </w:rPr>
              <w:t xml:space="preserve"> für den Direktor, den stellvertretenden Generaldirektor, den Generaldirektor und das zuständige Kommissionsmitglied;</w:t>
            </w:r>
          </w:p>
          <w:p w:rsidR="00BF5ED6" w:rsidRPr="00BF5ED6" w:rsidRDefault="00BF5ED6" w:rsidP="00BF5ED6">
            <w:pPr>
              <w:numPr>
                <w:ilvl w:val="0"/>
                <w:numId w:val="13"/>
              </w:numPr>
              <w:ind w:left="493" w:right="147" w:hanging="340"/>
              <w:jc w:val="both"/>
              <w:rPr>
                <w:sz w:val="22"/>
                <w:szCs w:val="22"/>
                <w:lang w:val="de-DE"/>
              </w:rPr>
            </w:pPr>
            <w:r w:rsidRPr="00BF5ED6">
              <w:rPr>
                <w:sz w:val="22"/>
                <w:szCs w:val="22"/>
                <w:lang w:val="de-DE"/>
              </w:rPr>
              <w:t xml:space="preserve">Pflege der Beziehungen zu wissenschaftlichen Gremien und Ausschüssen der EU </w:t>
            </w:r>
            <w:r w:rsidRPr="00BF5ED6">
              <w:rPr>
                <w:sz w:val="22"/>
                <w:szCs w:val="22"/>
                <w:lang w:val="de-DE"/>
              </w:rPr>
              <w:lastRenderedPageBreak/>
              <w:t>Institutionen</w:t>
            </w:r>
            <w:r w:rsidR="00E7240B">
              <w:rPr>
                <w:sz w:val="22"/>
                <w:szCs w:val="22"/>
                <w:lang w:val="de-DE"/>
              </w:rPr>
              <w:t>,</w:t>
            </w:r>
            <w:r w:rsidRPr="00BF5ED6">
              <w:rPr>
                <w:sz w:val="22"/>
                <w:szCs w:val="22"/>
                <w:lang w:val="de-DE"/>
              </w:rPr>
              <w:t xml:space="preserve"> insbesondere im Bereich der</w:t>
            </w:r>
            <w:r w:rsidR="00661E6E">
              <w:rPr>
                <w:sz w:val="22"/>
                <w:szCs w:val="22"/>
                <w:lang w:val="de-DE"/>
              </w:rPr>
              <w:t xml:space="preserve"> </w:t>
            </w:r>
            <w:r w:rsidRPr="00BF5ED6">
              <w:rPr>
                <w:sz w:val="22"/>
                <w:szCs w:val="22"/>
                <w:lang w:val="de-DE"/>
              </w:rPr>
              <w:t>Geflügel</w:t>
            </w:r>
            <w:r w:rsidR="00E7240B">
              <w:rPr>
                <w:sz w:val="22"/>
                <w:szCs w:val="22"/>
                <w:lang w:val="de-DE"/>
              </w:rPr>
              <w:t>krankheiten</w:t>
            </w:r>
            <w:r w:rsidRPr="00BF5ED6">
              <w:rPr>
                <w:sz w:val="22"/>
                <w:szCs w:val="22"/>
                <w:lang w:val="de-DE"/>
              </w:rPr>
              <w:t xml:space="preserve">; </w:t>
            </w:r>
          </w:p>
          <w:p w:rsidR="00BF5ED6" w:rsidRPr="00BF5ED6" w:rsidRDefault="00BF5ED6" w:rsidP="00BF5ED6">
            <w:pPr>
              <w:numPr>
                <w:ilvl w:val="0"/>
                <w:numId w:val="13"/>
              </w:numPr>
              <w:ind w:left="493" w:right="147" w:hanging="340"/>
              <w:jc w:val="both"/>
              <w:rPr>
                <w:sz w:val="22"/>
                <w:szCs w:val="22"/>
                <w:lang w:val="de-DE"/>
              </w:rPr>
            </w:pPr>
            <w:r w:rsidRPr="00BF5ED6">
              <w:rPr>
                <w:sz w:val="22"/>
                <w:szCs w:val="22"/>
                <w:lang w:val="de-DE"/>
              </w:rPr>
              <w:t xml:space="preserve">Mitwirken an den Kommunikationsstrategien für den Bereich Tiergesundheit einschließlich der entsprechenden Bereiche der Website der Generaldirektion; </w:t>
            </w:r>
          </w:p>
          <w:p w:rsidR="00BF5ED6" w:rsidRPr="00BF5ED6" w:rsidRDefault="00BF5ED6" w:rsidP="00BF5ED6">
            <w:pPr>
              <w:numPr>
                <w:ilvl w:val="0"/>
                <w:numId w:val="13"/>
              </w:numPr>
              <w:ind w:left="493" w:right="147" w:hanging="340"/>
              <w:jc w:val="both"/>
              <w:rPr>
                <w:sz w:val="22"/>
                <w:szCs w:val="22"/>
                <w:lang w:val="de-DE"/>
              </w:rPr>
            </w:pPr>
            <w:r w:rsidRPr="00BF5ED6">
              <w:rPr>
                <w:sz w:val="22"/>
                <w:szCs w:val="22"/>
                <w:lang w:val="de-DE"/>
              </w:rPr>
              <w:t>Durchführung von Ausschreibungsverfahren (Ausarbeitung von Mandaten, Ausschreibungsverfahren, Organisation und Teilnahme an Bewertungsausschüssen sowie Redaktion von Berichten der Ausschüsse).</w:t>
            </w:r>
          </w:p>
          <w:p w:rsidR="00BF5ED6" w:rsidRDefault="00BF5ED6" w:rsidP="00BF5ED6">
            <w:pPr>
              <w:ind w:right="147"/>
              <w:jc w:val="both"/>
              <w:rPr>
                <w:sz w:val="22"/>
                <w:szCs w:val="22"/>
                <w:lang w:val="de-DE"/>
              </w:rPr>
            </w:pPr>
          </w:p>
          <w:p w:rsidR="00EF57C4" w:rsidRPr="00527871" w:rsidRDefault="00BF5ED6" w:rsidP="007C4E8E">
            <w:pPr>
              <w:ind w:right="147"/>
              <w:jc w:val="both"/>
              <w:rPr>
                <w:b/>
                <w:sz w:val="22"/>
                <w:szCs w:val="22"/>
                <w:lang w:val="de-DE"/>
              </w:rPr>
            </w:pPr>
            <w:r w:rsidRPr="00BF5ED6">
              <w:rPr>
                <w:sz w:val="22"/>
                <w:szCs w:val="22"/>
                <w:lang w:val="de-DE"/>
              </w:rPr>
              <w:t xml:space="preserve">Der/die </w:t>
            </w:r>
            <w:r w:rsidR="00DF479D">
              <w:rPr>
                <w:sz w:val="22"/>
                <w:szCs w:val="22"/>
                <w:lang w:val="de-DE"/>
              </w:rPr>
              <w:t>ANS</w:t>
            </w:r>
            <w:r w:rsidRPr="00BF5ED6">
              <w:rPr>
                <w:sz w:val="22"/>
                <w:szCs w:val="22"/>
                <w:lang w:val="de-DE"/>
              </w:rPr>
              <w:t xml:space="preserve"> gewährleistet regelmäßig Verbindungen zu internationalen Organisationen (OIE, FAO) und arbeitet eng </w:t>
            </w:r>
            <w:r w:rsidR="00E7240B">
              <w:rPr>
                <w:sz w:val="22"/>
                <w:szCs w:val="22"/>
                <w:lang w:val="de-DE"/>
              </w:rPr>
              <w:t xml:space="preserve">zusammen </w:t>
            </w:r>
            <w:r w:rsidRPr="00BF5ED6">
              <w:rPr>
                <w:sz w:val="22"/>
                <w:szCs w:val="22"/>
                <w:lang w:val="de-DE"/>
              </w:rPr>
              <w:t>mit Veterinärsachverständigen und politischen Entscheidungsträgern in den Mitgliedstaaten, u. a. über den Ständigen Ausschuss für Pflanzen, Tiere, Lebensmittel und Futtermittel, sowie mit anderen EU-Institutionen.</w:t>
            </w:r>
          </w:p>
        </w:tc>
      </w:tr>
      <w:tr w:rsidR="006643E5" w:rsidRPr="007C4E8E"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Erforderliche Qualifikationen:</w:t>
            </w:r>
          </w:p>
        </w:tc>
      </w:tr>
      <w:tr w:rsidR="006643E5" w:rsidRPr="00527871" w:rsidTr="00527871">
        <w:trPr>
          <w:gridAfter w:val="1"/>
          <w:wAfter w:w="14" w:type="dxa"/>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527871" w:rsidRDefault="006643E5" w:rsidP="0069244E">
            <w:pPr>
              <w:ind w:right="1317"/>
              <w:jc w:val="both"/>
              <w:rPr>
                <w:sz w:val="22"/>
                <w:szCs w:val="22"/>
                <w:lang w:val="de-DE"/>
              </w:rPr>
            </w:pPr>
          </w:p>
          <w:p w:rsidR="006643E5" w:rsidRDefault="006643E5" w:rsidP="0069244E">
            <w:pPr>
              <w:ind w:right="1317"/>
              <w:jc w:val="both"/>
              <w:rPr>
                <w:sz w:val="22"/>
                <w:szCs w:val="22"/>
                <w:u w:val="single"/>
                <w:lang w:val="de-DE"/>
              </w:rPr>
            </w:pPr>
            <w:r w:rsidRPr="00527871">
              <w:rPr>
                <w:sz w:val="22"/>
                <w:szCs w:val="22"/>
                <w:lang w:val="de-DE"/>
              </w:rPr>
              <w:t xml:space="preserve">a) </w:t>
            </w:r>
            <w:r w:rsidRPr="00EB2A8F">
              <w:rPr>
                <w:b/>
                <w:sz w:val="22"/>
                <w:szCs w:val="22"/>
                <w:u w:val="single"/>
                <w:lang w:val="de-DE"/>
              </w:rPr>
              <w:t>Zulassungskriterien</w:t>
            </w:r>
          </w:p>
          <w:p w:rsidR="009D5781" w:rsidRPr="00527871" w:rsidRDefault="009D5781" w:rsidP="0069244E">
            <w:pPr>
              <w:ind w:right="1317"/>
              <w:jc w:val="both"/>
              <w:rPr>
                <w:sz w:val="22"/>
                <w:szCs w:val="22"/>
                <w:lang w:val="de-DE"/>
              </w:rPr>
            </w:pPr>
          </w:p>
        </w:tc>
      </w:tr>
      <w:tr w:rsidR="006643E5" w:rsidRPr="007C4E8E"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left="48" w:right="161"/>
              <w:jc w:val="both"/>
              <w:rPr>
                <w:sz w:val="22"/>
                <w:szCs w:val="22"/>
                <w:lang w:val="de-DE"/>
              </w:rPr>
            </w:pPr>
            <w:r w:rsidRPr="00527871">
              <w:rPr>
                <w:sz w:val="22"/>
                <w:szCs w:val="22"/>
                <w:lang w:val="de-DE"/>
              </w:rPr>
              <w:t xml:space="preserve">Nationale Sachverständige können zur Kommission abgeordnet werden, wenn sie alle Zulassungskriterien erfüllen. Bewerberinnen und Bewerber, die </w:t>
            </w:r>
            <w:r w:rsidR="004324AA">
              <w:rPr>
                <w:sz w:val="22"/>
                <w:szCs w:val="22"/>
                <w:lang w:val="de-DE"/>
              </w:rPr>
              <w:t>nicht alle diese</w:t>
            </w:r>
            <w:r w:rsidR="00904A6F">
              <w:rPr>
                <w:sz w:val="22"/>
                <w:szCs w:val="22"/>
                <w:lang w:val="de-DE"/>
              </w:rPr>
              <w:t>r</w:t>
            </w:r>
            <w:r w:rsidR="004324AA">
              <w:rPr>
                <w:sz w:val="22"/>
                <w:szCs w:val="22"/>
                <w:lang w:val="de-DE"/>
              </w:rPr>
              <w:t xml:space="preserve"> </w:t>
            </w:r>
            <w:r w:rsidRPr="00527871">
              <w:rPr>
                <w:sz w:val="22"/>
                <w:szCs w:val="22"/>
                <w:lang w:val="de-DE"/>
              </w:rPr>
              <w:t>Kriterien erfüllen, werden automatisch vom Auswahlverfahren ausgeschlossen.</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Berufserfahrung</w:t>
            </w:r>
            <w:r w:rsidR="009D5781" w:rsidRPr="009D5781">
              <w:rPr>
                <w:sz w:val="22"/>
                <w:szCs w:val="22"/>
                <w:lang w:val="de-DE"/>
              </w:rPr>
              <w:t xml:space="preserve"> </w:t>
            </w:r>
            <w:r w:rsidRPr="00527871">
              <w:rPr>
                <w:sz w:val="22"/>
                <w:szCs w:val="22"/>
                <w:lang w:val="de-DE"/>
              </w:rPr>
              <w:t xml:space="preserve">: Bewerberinnen und Bewerber müssen über </w:t>
            </w:r>
            <w:r w:rsidR="00112D65">
              <w:rPr>
                <w:sz w:val="22"/>
                <w:szCs w:val="22"/>
                <w:lang w:val="de-DE"/>
              </w:rPr>
              <w:t xml:space="preserve">eine </w:t>
            </w:r>
            <w:r w:rsidRPr="00527871">
              <w:rPr>
                <w:sz w:val="22"/>
                <w:szCs w:val="22"/>
                <w:lang w:val="de-DE"/>
              </w:rPr>
              <w:t>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Dienstalter</w:t>
            </w:r>
            <w:r w:rsidR="009D5781" w:rsidRPr="009D5781">
              <w:rPr>
                <w:sz w:val="22"/>
                <w:szCs w:val="22"/>
                <w:lang w:val="de-DE"/>
              </w:rPr>
              <w:t xml:space="preserve"> </w:t>
            </w:r>
            <w:r w:rsidRPr="00527871">
              <w:rPr>
                <w:sz w:val="22"/>
                <w:szCs w:val="22"/>
                <w:lang w:val="de-DE"/>
              </w:rPr>
              <w:t>: Bewerberinnen und Bewerber müssen ein Dienstalter von mindestens eine</w:t>
            </w:r>
            <w:r w:rsidR="0069244E" w:rsidRPr="00527871">
              <w:rPr>
                <w:sz w:val="22"/>
                <w:szCs w:val="22"/>
                <w:lang w:val="de-DE"/>
              </w:rPr>
              <w:t>m Jahr bei ihrem Arbeitgeber nach</w:t>
            </w:r>
            <w:r w:rsidRPr="00527871">
              <w:rPr>
                <w:sz w:val="22"/>
                <w:szCs w:val="22"/>
                <w:lang w:val="de-DE"/>
              </w:rPr>
              <w:t xml:space="preserve">weisen, das heißt seit mindestens einem Jahr in einem dienst- oder vertragsrechtlichen Verhältnis mit einem Arbeitgeber im Sinne von Artikel 1 des ANS-Beschlusses stehen. </w:t>
            </w:r>
          </w:p>
          <w:p w:rsidR="006643E5" w:rsidRPr="00527871" w:rsidRDefault="006643E5" w:rsidP="0069244E">
            <w:pPr>
              <w:ind w:left="473" w:right="161" w:hanging="473"/>
              <w:jc w:val="both"/>
              <w:rPr>
                <w:sz w:val="22"/>
                <w:szCs w:val="22"/>
                <w:lang w:val="de-DE"/>
              </w:rPr>
            </w:pP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Sprachkenntnisse</w:t>
            </w:r>
            <w:r w:rsidR="009D5781" w:rsidRPr="009D5781">
              <w:rPr>
                <w:sz w:val="22"/>
                <w:szCs w:val="22"/>
                <w:lang w:val="de-DE"/>
              </w:rPr>
              <w:t xml:space="preserve"> </w:t>
            </w:r>
            <w:r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7C4E8E"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right="1317"/>
              <w:jc w:val="both"/>
              <w:rPr>
                <w:b/>
                <w:sz w:val="22"/>
                <w:szCs w:val="22"/>
                <w:lang w:val="de-DE"/>
              </w:rPr>
            </w:pPr>
          </w:p>
        </w:tc>
      </w:tr>
      <w:tr w:rsidR="006643E5" w:rsidRPr="00EB2A8F"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EB2A8F" w:rsidRDefault="00E14E5A" w:rsidP="00E14E5A">
            <w:pPr>
              <w:tabs>
                <w:tab w:val="left" w:pos="317"/>
              </w:tabs>
              <w:ind w:right="1317"/>
              <w:jc w:val="both"/>
              <w:rPr>
                <w:sz w:val="22"/>
                <w:szCs w:val="22"/>
                <w:lang w:val="de-DE"/>
              </w:rPr>
            </w:pPr>
            <w:r w:rsidRPr="00EB2A8F">
              <w:rPr>
                <w:sz w:val="22"/>
                <w:szCs w:val="22"/>
                <w:lang w:val="de-DE"/>
              </w:rPr>
              <w:t>b)</w:t>
            </w:r>
            <w:r w:rsidRPr="00EB2A8F">
              <w:rPr>
                <w:sz w:val="22"/>
                <w:szCs w:val="22"/>
                <w:lang w:val="de-DE"/>
              </w:rPr>
              <w:tab/>
            </w:r>
            <w:r w:rsidR="006643E5" w:rsidRPr="00EB2A8F">
              <w:rPr>
                <w:b/>
                <w:sz w:val="22"/>
                <w:szCs w:val="22"/>
                <w:u w:val="single"/>
                <w:lang w:val="de-DE"/>
              </w:rPr>
              <w:t>Auswahlkriterien</w:t>
            </w:r>
            <w:r w:rsidR="00EB2A8F" w:rsidRPr="00EB2A8F">
              <w:rPr>
                <w:b/>
                <w:sz w:val="22"/>
                <w:szCs w:val="22"/>
                <w:u w:val="single"/>
                <w:lang w:val="de-DE"/>
              </w:rPr>
              <w:t xml:space="preserve"> </w:t>
            </w:r>
          </w:p>
          <w:p w:rsidR="00B3363A" w:rsidRPr="00EB2A8F" w:rsidRDefault="00EB2A8F" w:rsidP="0069244E">
            <w:pPr>
              <w:ind w:right="1317"/>
              <w:jc w:val="both"/>
              <w:rPr>
                <w:sz w:val="22"/>
                <w:szCs w:val="22"/>
                <w:lang w:val="de-DE"/>
              </w:rPr>
            </w:pPr>
            <w:r w:rsidRPr="00EB2A8F">
              <w:rPr>
                <w:sz w:val="22"/>
                <w:szCs w:val="22"/>
                <w:lang w:val="de-DE"/>
              </w:rPr>
              <w:t xml:space="preserve"> </w:t>
            </w:r>
          </w:p>
        </w:tc>
      </w:tr>
      <w:tr w:rsidR="006643E5" w:rsidRPr="00C61F5D" w:rsidTr="00527871">
        <w:trPr>
          <w:gridAfter w:val="1"/>
          <w:wAfter w:w="14" w:type="dxa"/>
          <w:jc w:val="center"/>
        </w:trPr>
        <w:tc>
          <w:tcPr>
            <w:tcW w:w="392" w:type="dxa"/>
            <w:tcBorders>
              <w:left w:val="single" w:sz="4" w:space="0" w:color="auto"/>
            </w:tcBorders>
          </w:tcPr>
          <w:p w:rsidR="006643E5" w:rsidRPr="00EB2A8F"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E14E5A" w:rsidP="00E14E5A">
            <w:pPr>
              <w:tabs>
                <w:tab w:val="left" w:pos="317"/>
              </w:tabs>
              <w:ind w:right="212"/>
              <w:jc w:val="both"/>
              <w:rPr>
                <w:sz w:val="22"/>
                <w:szCs w:val="22"/>
                <w:lang w:val="de-DE"/>
              </w:rPr>
            </w:pPr>
            <w:r w:rsidRPr="00EB2A8F">
              <w:rPr>
                <w:sz w:val="22"/>
                <w:szCs w:val="22"/>
                <w:lang w:val="de-DE"/>
              </w:rPr>
              <w:tab/>
            </w:r>
            <w:r w:rsidR="006643E5" w:rsidRPr="007C4E8E">
              <w:rPr>
                <w:sz w:val="22"/>
                <w:szCs w:val="22"/>
                <w:u w:val="single"/>
                <w:lang w:val="de-DE"/>
              </w:rPr>
              <w:t>Bildungsabschluss</w:t>
            </w:r>
            <w:r w:rsidR="00E7240B">
              <w:rPr>
                <w:sz w:val="22"/>
                <w:szCs w:val="22"/>
                <w:lang w:val="de-DE"/>
              </w:rPr>
              <w:t>:</w:t>
            </w:r>
          </w:p>
          <w:p w:rsidR="00E14E5A" w:rsidRPr="00527871" w:rsidRDefault="00E14E5A" w:rsidP="00E14E5A">
            <w:pPr>
              <w:tabs>
                <w:tab w:val="left" w:pos="317"/>
              </w:tabs>
              <w:ind w:right="212"/>
              <w:jc w:val="both"/>
              <w:rPr>
                <w:sz w:val="22"/>
                <w:szCs w:val="22"/>
                <w:lang w:val="de-DE"/>
              </w:rPr>
            </w:pPr>
            <w:r w:rsidRPr="00527871">
              <w:rPr>
                <w:sz w:val="22"/>
                <w:szCs w:val="22"/>
                <w:lang w:val="de-DE"/>
              </w:rPr>
              <w:tab/>
              <w:t>- ein Universitätsabschluss oder</w:t>
            </w:r>
          </w:p>
          <w:p w:rsidR="006643E5" w:rsidRPr="00527871" w:rsidRDefault="00E14E5A" w:rsidP="00E14E5A">
            <w:pPr>
              <w:tabs>
                <w:tab w:val="left" w:pos="317"/>
              </w:tabs>
              <w:ind w:right="212"/>
              <w:jc w:val="both"/>
              <w:rPr>
                <w:sz w:val="22"/>
                <w:szCs w:val="22"/>
                <w:lang w:val="de-DE"/>
              </w:rPr>
            </w:pPr>
            <w:r w:rsidRPr="00527871">
              <w:rPr>
                <w:sz w:val="22"/>
                <w:szCs w:val="22"/>
                <w:lang w:val="de-DE"/>
              </w:rPr>
              <w:tab/>
              <w:t>- eine gleichwertige Berufsausbildung oder Berufserfahrung</w:t>
            </w:r>
          </w:p>
          <w:p w:rsidR="00E14E5A" w:rsidRPr="00527871" w:rsidRDefault="00E14E5A" w:rsidP="00E14E5A">
            <w:pPr>
              <w:tabs>
                <w:tab w:val="left" w:pos="317"/>
              </w:tabs>
              <w:ind w:right="212"/>
              <w:jc w:val="both"/>
              <w:rPr>
                <w:sz w:val="22"/>
                <w:szCs w:val="22"/>
                <w:lang w:val="de-DE"/>
              </w:rPr>
            </w:pPr>
          </w:p>
          <w:p w:rsidR="00B3363A" w:rsidRPr="00527871" w:rsidRDefault="00E14E5A" w:rsidP="007C4E8E">
            <w:pPr>
              <w:tabs>
                <w:tab w:val="left" w:pos="317"/>
              </w:tabs>
              <w:ind w:right="212"/>
              <w:jc w:val="both"/>
              <w:rPr>
                <w:sz w:val="22"/>
                <w:szCs w:val="22"/>
                <w:lang w:val="de-DE"/>
              </w:rPr>
            </w:pPr>
            <w:r w:rsidRPr="00527871">
              <w:rPr>
                <w:sz w:val="22"/>
                <w:szCs w:val="22"/>
                <w:lang w:val="de-DE"/>
              </w:rPr>
              <w:tab/>
              <w:t>im Bereich</w:t>
            </w:r>
            <w:r w:rsidR="009D5781">
              <w:rPr>
                <w:sz w:val="22"/>
                <w:szCs w:val="22"/>
                <w:lang w:val="de-DE"/>
              </w:rPr>
              <w:t xml:space="preserve"> :</w:t>
            </w:r>
            <w:r w:rsidR="00BF5ED6">
              <w:rPr>
                <w:sz w:val="22"/>
                <w:szCs w:val="22"/>
                <w:lang w:val="de-DE"/>
              </w:rPr>
              <w:t xml:space="preserve"> </w:t>
            </w:r>
            <w:r w:rsidR="00BF5ED6" w:rsidRPr="00BF5ED6">
              <w:rPr>
                <w:sz w:val="22"/>
                <w:szCs w:val="22"/>
                <w:lang w:val="de-DE"/>
              </w:rPr>
              <w:t>Veterinärmedizin</w:t>
            </w:r>
          </w:p>
        </w:tc>
      </w:tr>
      <w:tr w:rsidR="006643E5" w:rsidRPr="007C4E8E" w:rsidTr="00527871">
        <w:trPr>
          <w:gridAfter w:val="1"/>
          <w:wAfter w:w="14" w:type="dxa"/>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BF5ED6" w:rsidRDefault="00BF5ED6" w:rsidP="00BF5ED6">
            <w:pPr>
              <w:tabs>
                <w:tab w:val="left" w:pos="317"/>
              </w:tabs>
              <w:ind w:left="333" w:right="212" w:hanging="284"/>
              <w:jc w:val="both"/>
              <w:rPr>
                <w:sz w:val="22"/>
                <w:szCs w:val="22"/>
                <w:lang w:val="de-DE"/>
              </w:rPr>
            </w:pPr>
          </w:p>
          <w:p w:rsidR="00BF5ED6" w:rsidRDefault="00E14E5A" w:rsidP="00BF5ED6">
            <w:pPr>
              <w:tabs>
                <w:tab w:val="left" w:pos="317"/>
              </w:tabs>
              <w:ind w:left="333" w:right="212" w:hanging="284"/>
              <w:jc w:val="both"/>
              <w:rPr>
                <w:sz w:val="22"/>
                <w:szCs w:val="22"/>
                <w:lang w:val="de-DE"/>
              </w:rPr>
            </w:pPr>
            <w:r w:rsidRPr="00527871">
              <w:rPr>
                <w:sz w:val="22"/>
                <w:szCs w:val="22"/>
                <w:lang w:val="de-DE"/>
              </w:rPr>
              <w:tab/>
            </w:r>
            <w:r w:rsidR="006643E5" w:rsidRPr="007C4E8E">
              <w:rPr>
                <w:sz w:val="22"/>
                <w:szCs w:val="22"/>
                <w:u w:val="single"/>
                <w:lang w:val="de-DE"/>
              </w:rPr>
              <w:t>Berufserfahrung</w:t>
            </w:r>
            <w:r w:rsidR="0039306A" w:rsidRPr="00527871">
              <w:rPr>
                <w:sz w:val="22"/>
                <w:szCs w:val="22"/>
                <w:lang w:val="de-DE"/>
              </w:rPr>
              <w:t>:</w:t>
            </w:r>
            <w:r w:rsidR="00BF5ED6">
              <w:rPr>
                <w:sz w:val="22"/>
                <w:szCs w:val="22"/>
                <w:lang w:val="de-DE"/>
              </w:rPr>
              <w:t xml:space="preserve"> </w:t>
            </w:r>
          </w:p>
          <w:p w:rsidR="006643E5" w:rsidRDefault="00BF5ED6" w:rsidP="007C4E8E">
            <w:pPr>
              <w:tabs>
                <w:tab w:val="left" w:pos="317"/>
              </w:tabs>
              <w:ind w:left="333" w:right="212" w:hanging="5"/>
              <w:jc w:val="both"/>
              <w:rPr>
                <w:sz w:val="22"/>
                <w:szCs w:val="22"/>
                <w:lang w:val="de-DE"/>
              </w:rPr>
            </w:pPr>
            <w:r w:rsidRPr="00BF5ED6">
              <w:rPr>
                <w:sz w:val="22"/>
                <w:szCs w:val="22"/>
                <w:lang w:val="de-DE"/>
              </w:rPr>
              <w:t xml:space="preserve">Der/die </w:t>
            </w:r>
            <w:r w:rsidR="00DF479D">
              <w:rPr>
                <w:sz w:val="22"/>
                <w:szCs w:val="22"/>
                <w:lang w:val="de-DE"/>
              </w:rPr>
              <w:t>ANS</w:t>
            </w:r>
            <w:r w:rsidRPr="00BF5ED6">
              <w:rPr>
                <w:sz w:val="22"/>
                <w:szCs w:val="22"/>
                <w:lang w:val="de-DE"/>
              </w:rPr>
              <w:t xml:space="preserve"> sollte </w:t>
            </w:r>
            <w:r w:rsidR="00DF479D">
              <w:rPr>
                <w:sz w:val="22"/>
                <w:szCs w:val="22"/>
                <w:lang w:val="de-DE"/>
              </w:rPr>
              <w:t xml:space="preserve">über </w:t>
            </w:r>
            <w:r w:rsidRPr="00BF5ED6">
              <w:rPr>
                <w:sz w:val="22"/>
                <w:szCs w:val="22"/>
                <w:lang w:val="de-DE"/>
              </w:rPr>
              <w:t>einen veterinärmedizinischen Hintergrund mit umfassenden Kenntniss</w:t>
            </w:r>
            <w:r w:rsidR="005C6F4B">
              <w:rPr>
                <w:sz w:val="22"/>
                <w:szCs w:val="22"/>
                <w:lang w:val="de-DE"/>
              </w:rPr>
              <w:t>en des EU-Tiergesundheitsrechts</w:t>
            </w:r>
            <w:r w:rsidRPr="00BF5ED6">
              <w:rPr>
                <w:sz w:val="22"/>
                <w:szCs w:val="22"/>
                <w:lang w:val="de-DE"/>
              </w:rPr>
              <w:t xml:space="preserve"> sowie über gute Sachkenntnisse in der Entwicklung entsprechender Politikbereiche verfügen. Praktische Erfahrungen mit der Anwendung solcher Rechtsvorschriften in einer Verwaltungsfunktion wären ebenfalls von Vorteil, insbesondere in Bezug auf die Überwachung und Bekämpfung von Tierseuchen in Bezug auf Geflügel: Erfahrung in Verwaltungs-, Rechts-, Wissenschafts-, Techniker-, Beratungs- oder Aufsichtsfunktionen, die mit denen der Funktionsgruppe AD als </w:t>
            </w:r>
            <w:r w:rsidRPr="00BF5ED6">
              <w:rPr>
                <w:sz w:val="22"/>
                <w:szCs w:val="22"/>
                <w:lang w:val="de-DE"/>
              </w:rPr>
              <w:lastRenderedPageBreak/>
              <w:t>gleichwertig angesehen werden können.</w:t>
            </w:r>
          </w:p>
          <w:p w:rsidR="00BF5ED6" w:rsidRDefault="00BF5ED6" w:rsidP="00BF5ED6">
            <w:pPr>
              <w:tabs>
                <w:tab w:val="left" w:pos="317"/>
              </w:tabs>
              <w:ind w:left="333" w:right="212" w:hanging="284"/>
              <w:jc w:val="both"/>
              <w:rPr>
                <w:sz w:val="22"/>
                <w:szCs w:val="22"/>
                <w:lang w:val="de-DE"/>
              </w:rPr>
            </w:pPr>
          </w:p>
          <w:p w:rsidR="006643E5" w:rsidRPr="00527871" w:rsidRDefault="007C4E8E" w:rsidP="007C4E8E">
            <w:pPr>
              <w:tabs>
                <w:tab w:val="left" w:pos="317"/>
              </w:tabs>
              <w:ind w:left="333" w:right="212" w:hanging="284"/>
              <w:jc w:val="both"/>
              <w:rPr>
                <w:sz w:val="22"/>
                <w:szCs w:val="22"/>
                <w:lang w:val="de-DE"/>
              </w:rPr>
            </w:pPr>
            <w:r>
              <w:rPr>
                <w:sz w:val="22"/>
                <w:szCs w:val="22"/>
                <w:lang w:val="de-DE"/>
              </w:rPr>
              <w:tab/>
            </w:r>
            <w:r w:rsidR="00BF5ED6" w:rsidRPr="00BF5ED6">
              <w:rPr>
                <w:sz w:val="22"/>
                <w:szCs w:val="22"/>
                <w:lang w:val="de-DE"/>
              </w:rPr>
              <w:t>Die Fähigkeit zur Arbeit in einem multinationalen Umfeld ist unabdingbare Voraussetzung. Vertrautheit mit und Interesse an EU-Angelegenheiten und den internen Abläufen der EU würden begrüßt.</w:t>
            </w:r>
          </w:p>
        </w:tc>
      </w:tr>
      <w:tr w:rsidR="006643E5" w:rsidRPr="007C4E8E" w:rsidTr="00527871">
        <w:trPr>
          <w:gridAfter w:val="1"/>
          <w:wAfter w:w="14" w:type="dxa"/>
          <w:trHeight w:val="95"/>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BF5ED6" w:rsidRDefault="00BF5ED6" w:rsidP="00E14E5A">
            <w:pPr>
              <w:tabs>
                <w:tab w:val="left" w:pos="317"/>
              </w:tabs>
              <w:ind w:right="212"/>
              <w:jc w:val="both"/>
              <w:rPr>
                <w:sz w:val="22"/>
                <w:szCs w:val="22"/>
                <w:lang w:val="de-DE"/>
              </w:rPr>
            </w:pPr>
          </w:p>
          <w:p w:rsidR="006643E5" w:rsidRDefault="00E14E5A" w:rsidP="00E14E5A">
            <w:pPr>
              <w:tabs>
                <w:tab w:val="left" w:pos="317"/>
              </w:tabs>
              <w:ind w:right="212"/>
              <w:jc w:val="both"/>
              <w:rPr>
                <w:sz w:val="22"/>
                <w:szCs w:val="22"/>
                <w:lang w:val="de-DE"/>
              </w:rPr>
            </w:pPr>
            <w:r w:rsidRPr="00527871">
              <w:rPr>
                <w:sz w:val="22"/>
                <w:szCs w:val="22"/>
                <w:lang w:val="de-DE"/>
              </w:rPr>
              <w:tab/>
            </w:r>
            <w:r w:rsidR="0039306A" w:rsidRPr="007C4E8E">
              <w:rPr>
                <w:sz w:val="22"/>
                <w:szCs w:val="22"/>
                <w:u w:val="single"/>
                <w:lang w:val="de-DE"/>
              </w:rPr>
              <w:t xml:space="preserve">Zur Ausübung der Tätigkeit erforderliche </w:t>
            </w:r>
            <w:r w:rsidR="006643E5" w:rsidRPr="007C4E8E">
              <w:rPr>
                <w:sz w:val="22"/>
                <w:szCs w:val="22"/>
                <w:u w:val="single"/>
                <w:lang w:val="de-DE"/>
              </w:rPr>
              <w:t>Sprachkenntnisse</w:t>
            </w:r>
            <w:r w:rsidR="006643E5" w:rsidRPr="00527871">
              <w:rPr>
                <w:sz w:val="22"/>
                <w:szCs w:val="22"/>
                <w:lang w:val="de-DE"/>
              </w:rPr>
              <w:t>:</w:t>
            </w:r>
            <w:r w:rsidR="00BF5ED6">
              <w:rPr>
                <w:sz w:val="22"/>
                <w:szCs w:val="22"/>
                <w:lang w:val="de-DE"/>
              </w:rPr>
              <w:t xml:space="preserve"> </w:t>
            </w:r>
            <w:r w:rsidR="00BF5ED6" w:rsidRPr="00BF5ED6">
              <w:rPr>
                <w:sz w:val="22"/>
                <w:szCs w:val="22"/>
                <w:lang w:val="de-DE"/>
              </w:rPr>
              <w:t>Englisch</w:t>
            </w:r>
          </w:p>
          <w:p w:rsidR="00BF5ED6" w:rsidRDefault="00BF5ED6" w:rsidP="00E14E5A">
            <w:pPr>
              <w:tabs>
                <w:tab w:val="left" w:pos="317"/>
              </w:tabs>
              <w:ind w:right="212"/>
              <w:jc w:val="both"/>
              <w:rPr>
                <w:sz w:val="22"/>
                <w:szCs w:val="22"/>
                <w:lang w:val="de-DE"/>
              </w:rPr>
            </w:pPr>
          </w:p>
          <w:p w:rsidR="00B3363A" w:rsidRPr="00527871" w:rsidRDefault="007C4E8E" w:rsidP="007C4E8E">
            <w:pPr>
              <w:tabs>
                <w:tab w:val="left" w:pos="317"/>
              </w:tabs>
              <w:ind w:left="333" w:right="212" w:hanging="333"/>
              <w:jc w:val="both"/>
              <w:rPr>
                <w:sz w:val="22"/>
                <w:szCs w:val="22"/>
                <w:lang w:val="de-DE"/>
              </w:rPr>
            </w:pPr>
            <w:r>
              <w:rPr>
                <w:sz w:val="22"/>
                <w:szCs w:val="22"/>
                <w:lang w:val="de-DE"/>
              </w:rPr>
              <w:tab/>
            </w:r>
            <w:r w:rsidR="00BF5ED6" w:rsidRPr="00BF5ED6">
              <w:rPr>
                <w:sz w:val="22"/>
                <w:szCs w:val="22"/>
                <w:lang w:val="de-DE"/>
              </w:rPr>
              <w:t xml:space="preserve">Zusätzlich sollte der/die </w:t>
            </w:r>
            <w:r w:rsidR="00DF479D">
              <w:rPr>
                <w:sz w:val="22"/>
                <w:szCs w:val="22"/>
                <w:lang w:val="de-DE"/>
              </w:rPr>
              <w:t>ANS</w:t>
            </w:r>
            <w:r w:rsidR="00BF5ED6" w:rsidRPr="00BF5ED6">
              <w:rPr>
                <w:sz w:val="22"/>
                <w:szCs w:val="22"/>
                <w:lang w:val="de-DE"/>
              </w:rPr>
              <w:t xml:space="preserve"> auch mit mindestens einer weiteren EU-Sprache vertraut sein. Die </w:t>
            </w:r>
            <w:r w:rsidR="00DF479D">
              <w:rPr>
                <w:sz w:val="22"/>
                <w:szCs w:val="22"/>
                <w:lang w:val="de-DE"/>
              </w:rPr>
              <w:t>vorherrschende</w:t>
            </w:r>
            <w:r w:rsidR="00661E6E">
              <w:rPr>
                <w:sz w:val="22"/>
                <w:szCs w:val="22"/>
                <w:lang w:val="de-DE"/>
              </w:rPr>
              <w:t xml:space="preserve"> </w:t>
            </w:r>
            <w:r w:rsidR="00DF479D">
              <w:rPr>
                <w:sz w:val="22"/>
                <w:szCs w:val="22"/>
                <w:lang w:val="de-DE"/>
              </w:rPr>
              <w:t>S</w:t>
            </w:r>
            <w:r w:rsidR="00BF5ED6" w:rsidRPr="00BF5ED6">
              <w:rPr>
                <w:sz w:val="22"/>
                <w:szCs w:val="22"/>
                <w:lang w:val="de-DE"/>
              </w:rPr>
              <w:t>prache</w:t>
            </w:r>
            <w:r w:rsidR="00DF479D">
              <w:rPr>
                <w:sz w:val="22"/>
                <w:szCs w:val="22"/>
                <w:lang w:val="de-DE"/>
              </w:rPr>
              <w:t xml:space="preserve"> in der Abteilung</w:t>
            </w:r>
            <w:r w:rsidR="00BF5ED6" w:rsidRPr="00BF5ED6">
              <w:rPr>
                <w:sz w:val="22"/>
                <w:szCs w:val="22"/>
                <w:lang w:val="de-DE"/>
              </w:rPr>
              <w:t xml:space="preserve"> ist Englisch, doch wird auch häufig Französisch gesprochen. Daher sind gutes Beherrschen der </w:t>
            </w:r>
            <w:r w:rsidR="00DF479D">
              <w:rPr>
                <w:sz w:val="22"/>
                <w:szCs w:val="22"/>
                <w:lang w:val="de-DE"/>
              </w:rPr>
              <w:t>e</w:t>
            </w:r>
            <w:r w:rsidR="00BF5ED6" w:rsidRPr="00BF5ED6">
              <w:rPr>
                <w:sz w:val="22"/>
                <w:szCs w:val="22"/>
                <w:lang w:val="de-DE"/>
              </w:rPr>
              <w:t>nglischen Sprache unverzichtbar und Französischkenntnisse erwünscht.</w:t>
            </w:r>
            <w:bookmarkStart w:id="0" w:name="_GoBack"/>
            <w:bookmarkEnd w:id="0"/>
          </w:p>
        </w:tc>
      </w:tr>
      <w:tr w:rsidR="006643E5" w:rsidRPr="007C4E8E"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Bewerbung und Auswahlverfahren</w:t>
            </w:r>
          </w:p>
        </w:tc>
      </w:tr>
      <w:tr w:rsidR="006643E5" w:rsidRPr="007C4E8E" w:rsidTr="00527871">
        <w:trPr>
          <w:gridAfter w:val="1"/>
          <w:wAfter w:w="14" w:type="dxa"/>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9D5781" w:rsidRDefault="009D5781" w:rsidP="00EA222B">
            <w:pPr>
              <w:ind w:right="175"/>
              <w:jc w:val="both"/>
              <w:rPr>
                <w:sz w:val="22"/>
                <w:szCs w:val="22"/>
                <w:lang w:val="de-DE"/>
              </w:rPr>
            </w:pPr>
            <w:bookmarkStart w:id="1" w:name="_Hlt340069415"/>
            <w:bookmarkStart w:id="2" w:name="_Hlt340069416"/>
          </w:p>
          <w:p w:rsidR="006643E5" w:rsidRDefault="006643E5" w:rsidP="00EA222B">
            <w:pPr>
              <w:ind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00B921A3" w:rsidRPr="00527871">
              <w:rPr>
                <w:sz w:val="22"/>
                <w:szCs w:val="22"/>
                <w:lang w:val="de-DE"/>
              </w:rPr>
              <w:t>auf deutsch, englisch od</w:t>
            </w:r>
            <w:r w:rsidR="009D5781">
              <w:rPr>
                <w:sz w:val="22"/>
                <w:szCs w:val="22"/>
                <w:lang w:val="de-DE"/>
              </w:rPr>
              <w:t>er</w:t>
            </w:r>
            <w:r w:rsidR="00B921A3" w:rsidRPr="00527871">
              <w:rPr>
                <w:sz w:val="22"/>
                <w:szCs w:val="22"/>
                <w:lang w:val="de-DE"/>
              </w:rPr>
              <w:t xml:space="preserve"> </w:t>
            </w:r>
            <w:r w:rsidR="00EA222B" w:rsidRPr="00527871">
              <w:rPr>
                <w:sz w:val="22"/>
                <w:szCs w:val="22"/>
                <w:lang w:val="de-DE"/>
              </w:rPr>
              <w:t>französisch</w:t>
            </w:r>
            <w:r w:rsidR="00B921A3" w:rsidRPr="00527871">
              <w:rPr>
                <w:b/>
                <w:sz w:val="22"/>
                <w:szCs w:val="22"/>
                <w:lang w:val="de-DE"/>
              </w:rPr>
              <w:t xml:space="preserve"> </w:t>
            </w:r>
            <w:r w:rsidRPr="00527871">
              <w:rPr>
                <w:b/>
                <w:sz w:val="22"/>
                <w:szCs w:val="22"/>
                <w:u w:val="single"/>
                <w:lang w:val="de-DE"/>
              </w:rPr>
              <w:t>ausschließlich an die Ständige Vertretung</w:t>
            </w:r>
            <w:r w:rsidR="00B921A3" w:rsidRPr="00527871">
              <w:rPr>
                <w:b/>
                <w:sz w:val="22"/>
                <w:szCs w:val="22"/>
                <w:u w:val="single"/>
                <w:lang w:val="de-DE"/>
              </w:rPr>
              <w:t xml:space="preserve"> / diplomatische Mission</w:t>
            </w:r>
            <w:r w:rsidRPr="00527871">
              <w:rPr>
                <w:b/>
                <w:sz w:val="22"/>
                <w:szCs w:val="22"/>
                <w:u w:val="single"/>
                <w:lang w:val="de-DE"/>
              </w:rPr>
              <w:t xml:space="preserve"> ihres Landes bei der </w:t>
            </w:r>
            <w:r w:rsidR="00EA222B" w:rsidRPr="00527871">
              <w:rPr>
                <w:b/>
                <w:sz w:val="22"/>
                <w:szCs w:val="22"/>
                <w:u w:val="single"/>
                <w:lang w:val="de-DE"/>
              </w:rPr>
              <w:t>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00FD0532" w:rsidRPr="00112D65">
              <w:rPr>
                <w:sz w:val="22"/>
                <w:szCs w:val="22"/>
                <w:lang w:val="de-DE"/>
              </w:rPr>
              <w:t>Der Lebenslauf muss das Geburtsdatum und die Staatsangehörigkeit des Kandidaten enthalten.</w:t>
            </w:r>
            <w:r w:rsidR="00FD0532">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w:t>
            </w:r>
            <w:r w:rsidR="0069244E" w:rsidRPr="009D5781">
              <w:rPr>
                <w:sz w:val="22"/>
                <w:szCs w:val="22"/>
                <w:lang w:val="de-DE"/>
              </w:rPr>
              <w:t>ewerbung keine anderen</w:t>
            </w:r>
            <w:r w:rsidRPr="009D5781">
              <w:rPr>
                <w:sz w:val="22"/>
                <w:szCs w:val="22"/>
                <w:lang w:val="de-DE"/>
              </w:rPr>
              <w:t xml:space="preserve">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bookmarkEnd w:id="1"/>
            <w:bookmarkEnd w:id="2"/>
          </w:p>
          <w:p w:rsidR="009D5781" w:rsidRDefault="009D5781" w:rsidP="00EA222B">
            <w:pPr>
              <w:ind w:right="175"/>
              <w:jc w:val="both"/>
              <w:rPr>
                <w:sz w:val="22"/>
                <w:szCs w:val="22"/>
                <w:lang w:val="de-DE"/>
              </w:rPr>
            </w:pPr>
            <w:r w:rsidRPr="00527871">
              <w:rPr>
                <w:sz w:val="22"/>
                <w:szCs w:val="22"/>
                <w:lang w:val="de-DE"/>
              </w:rPr>
              <w:t>Die Bewerberinnen und Bewerber werden von dem einstellenden Referat über den Stand ihrer Bewerbung informiert.</w:t>
            </w:r>
          </w:p>
          <w:p w:rsidR="00652F84" w:rsidRPr="00527871" w:rsidRDefault="00652F84" w:rsidP="00EA222B">
            <w:pPr>
              <w:ind w:right="175"/>
              <w:jc w:val="both"/>
              <w:rPr>
                <w:sz w:val="22"/>
                <w:szCs w:val="22"/>
                <w:lang w:val="de-DE"/>
              </w:rPr>
            </w:pPr>
          </w:p>
        </w:tc>
      </w:tr>
      <w:tr w:rsidR="006643E5" w:rsidRPr="007C4E8E"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75"/>
              <w:jc w:val="both"/>
              <w:rPr>
                <w:b/>
                <w:sz w:val="22"/>
                <w:szCs w:val="22"/>
                <w:lang w:val="de-DE"/>
              </w:rPr>
            </w:pPr>
          </w:p>
        </w:tc>
      </w:tr>
      <w:tr w:rsidR="006643E5" w:rsidRPr="007C4E8E"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75"/>
              <w:jc w:val="both"/>
              <w:rPr>
                <w:sz w:val="22"/>
                <w:szCs w:val="22"/>
                <w:lang w:val="de-DE"/>
              </w:rPr>
            </w:pPr>
            <w:r w:rsidRPr="00527871">
              <w:rPr>
                <w:b/>
                <w:sz w:val="22"/>
                <w:szCs w:val="22"/>
                <w:lang w:val="de-DE"/>
              </w:rPr>
              <w:t>Bedingungen für die Abordnung nationaler Sachverständiger</w:t>
            </w:r>
          </w:p>
        </w:tc>
      </w:tr>
      <w:tr w:rsidR="00652F84" w:rsidRPr="007C4E8E" w:rsidTr="00AE00C2">
        <w:trPr>
          <w:gridAfter w:val="1"/>
          <w:wAfter w:w="14" w:type="dxa"/>
          <w:jc w:val="center"/>
        </w:trPr>
        <w:tc>
          <w:tcPr>
            <w:tcW w:w="9308" w:type="dxa"/>
            <w:gridSpan w:val="3"/>
            <w:tcBorders>
              <w:top w:val="single" w:sz="4" w:space="0" w:color="auto"/>
              <w:left w:val="single" w:sz="4" w:space="0" w:color="auto"/>
              <w:bottom w:val="single" w:sz="4" w:space="0" w:color="auto"/>
              <w:right w:val="single" w:sz="4" w:space="0" w:color="auto"/>
            </w:tcBorders>
          </w:tcPr>
          <w:p w:rsidR="00652F84" w:rsidRDefault="00652F84" w:rsidP="00652F84">
            <w:pPr>
              <w:ind w:right="175"/>
              <w:jc w:val="both"/>
              <w:rPr>
                <w:sz w:val="22"/>
                <w:szCs w:val="22"/>
                <w:lang w:val="de-DE"/>
              </w:rPr>
            </w:pPr>
          </w:p>
          <w:p w:rsidR="00652F84" w:rsidRDefault="00652F84" w:rsidP="00652F84">
            <w:pPr>
              <w:ind w:left="439" w:right="175"/>
              <w:jc w:val="both"/>
              <w:rPr>
                <w:sz w:val="22"/>
                <w:szCs w:val="22"/>
                <w:lang w:val="de-DE"/>
              </w:rPr>
            </w:pPr>
            <w:r w:rsidRPr="00527871">
              <w:rPr>
                <w:sz w:val="22"/>
                <w:szCs w:val="22"/>
                <w:lang w:val="de-DE"/>
              </w:rPr>
              <w:t xml:space="preserve">Abordnungen fallen unter den </w:t>
            </w:r>
            <w:r w:rsidRPr="00527871">
              <w:rPr>
                <w:b/>
                <w:sz w:val="22"/>
                <w:szCs w:val="22"/>
                <w:lang w:val="de-DE"/>
              </w:rPr>
              <w:t>Beschluss C(2008) 6866 der Kommission vom 12.11.2008</w:t>
            </w:r>
            <w:r w:rsidRPr="00527871">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DC259B">
                <w:rPr>
                  <w:rStyle w:val="Hyperlink"/>
                  <w:sz w:val="22"/>
                  <w:szCs w:val="22"/>
                  <w:lang w:val="de-DE"/>
                </w:rPr>
                <w:t>http://ec.europa.eu/civil_</w:t>
              </w:r>
              <w:r w:rsidRPr="009D5781">
                <w:rPr>
                  <w:rStyle w:val="Hyperlink"/>
                  <w:sz w:val="22"/>
                  <w:szCs w:val="22"/>
                  <w:lang w:val="de-DE"/>
                </w:rPr>
                <w:t>service</w:t>
              </w:r>
              <w:r w:rsidRPr="00DC259B">
                <w:rPr>
                  <w:rStyle w:val="Hyperlink"/>
                  <w:sz w:val="22"/>
                  <w:szCs w:val="22"/>
                  <w:lang w:val="de-DE"/>
                </w:rPr>
                <w:t>/job/sne/index_de.htm</w:t>
              </w:r>
            </w:hyperlink>
            <w:r w:rsidRPr="00527871">
              <w:rPr>
                <w:sz w:val="22"/>
                <w:szCs w:val="22"/>
                <w:lang w:val="de-DE"/>
              </w:rPr>
              <w:t>.</w:t>
            </w:r>
          </w:p>
          <w:p w:rsidR="00652F84" w:rsidRPr="00527871" w:rsidRDefault="00652F84" w:rsidP="00652F84">
            <w:pPr>
              <w:ind w:left="439" w:right="175"/>
              <w:jc w:val="both"/>
              <w:rPr>
                <w:sz w:val="22"/>
                <w:szCs w:val="22"/>
                <w:lang w:val="de-DE"/>
              </w:rPr>
            </w:pPr>
            <w:r w:rsidRPr="00527871">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52F84" w:rsidRPr="00527871" w:rsidRDefault="00652F84" w:rsidP="00652F84">
            <w:pPr>
              <w:ind w:left="439" w:right="175"/>
              <w:jc w:val="both"/>
              <w:rPr>
                <w:sz w:val="22"/>
                <w:szCs w:val="22"/>
                <w:lang w:val="de-DE"/>
              </w:rPr>
            </w:pPr>
            <w:r w:rsidRPr="00527871">
              <w:rPr>
                <w:sz w:val="22"/>
                <w:szCs w:val="22"/>
                <w:lang w:val="de-DE"/>
              </w:rPr>
              <w:t>Mit Ausnahme der unentgeltlich abgeordneten Sachverständigen können den ANS, die die Bedingungen nach Artikel 17 des ANS-Beschlusses erfüllen, Tagegelder gezahlt werden.</w:t>
            </w:r>
          </w:p>
          <w:p w:rsidR="00652F84" w:rsidRPr="00527871" w:rsidRDefault="00652F84" w:rsidP="00652F84">
            <w:pPr>
              <w:ind w:left="439" w:right="175"/>
              <w:jc w:val="both"/>
              <w:rPr>
                <w:sz w:val="22"/>
                <w:szCs w:val="22"/>
                <w:lang w:val="de-DE"/>
              </w:rPr>
            </w:pPr>
            <w:r w:rsidRPr="00527871">
              <w:rPr>
                <w:sz w:val="22"/>
                <w:szCs w:val="22"/>
                <w:lang w:val="de-DE"/>
              </w:rPr>
              <w:t>Während der Abordnung unterliegen die ANS den in den Artikeln 6 und 7 des ANS-Beschlusses vorgesehenen Verpflichtungen zur Vertraulichkeit, zur Loyalität und zum Nichtbestehen von Interessenkonflikten.</w:t>
            </w:r>
          </w:p>
          <w:p w:rsidR="00652F84" w:rsidRDefault="00652F84" w:rsidP="00652F84">
            <w:pPr>
              <w:pStyle w:val="ListBullet"/>
              <w:numPr>
                <w:ilvl w:val="0"/>
                <w:numId w:val="0"/>
              </w:numPr>
              <w:ind w:left="439" w:right="161"/>
              <w:rPr>
                <w:sz w:val="22"/>
                <w:szCs w:val="22"/>
                <w:lang w:val="de-DE"/>
              </w:rPr>
            </w:pPr>
            <w:r w:rsidRPr="00527871">
              <w:rPr>
                <w:sz w:val="22"/>
                <w:szCs w:val="22"/>
                <w:lang w:val="de-DE"/>
              </w:rPr>
              <w:t>Bei unvollständigen oder falschen Angaben kann die Bewerbung abgelehnt werden.</w:t>
            </w:r>
          </w:p>
          <w:p w:rsidR="00652F84" w:rsidRPr="00054396" w:rsidRDefault="00652F84" w:rsidP="00652F84">
            <w:pPr>
              <w:pStyle w:val="ListBullet"/>
              <w:numPr>
                <w:ilvl w:val="0"/>
                <w:numId w:val="0"/>
              </w:numPr>
              <w:spacing w:after="0"/>
              <w:ind w:left="439" w:right="159"/>
              <w:rPr>
                <w:sz w:val="22"/>
                <w:szCs w:val="22"/>
                <w:lang w:val="de-DE"/>
              </w:rPr>
            </w:pPr>
            <w:r w:rsidRPr="00054396">
              <w:rPr>
                <w:sz w:val="22"/>
                <w:szCs w:val="22"/>
                <w:lang w:val="de-DE"/>
              </w:rPr>
              <w:t xml:space="preserve">Mitarbeiter, die in eine </w:t>
            </w:r>
            <w:r w:rsidRPr="00DF1D3A">
              <w:rPr>
                <w:b/>
                <w:sz w:val="22"/>
                <w:szCs w:val="22"/>
                <w:lang w:val="de-DE"/>
              </w:rPr>
              <w:t>Delegation der Europäischen Union</w:t>
            </w:r>
            <w:r w:rsidRPr="00054396">
              <w:rPr>
                <w:sz w:val="22"/>
                <w:szCs w:val="22"/>
                <w:lang w:val="de-DE"/>
              </w:rPr>
              <w:t xml:space="preserve"> entsandt werden, benötigen eine Sicherheitsüberprüfung (nach SECRET UE </w:t>
            </w:r>
            <w:r>
              <w:rPr>
                <w:sz w:val="22"/>
                <w:szCs w:val="22"/>
                <w:lang w:val="de-DE"/>
              </w:rPr>
              <w:t>N</w:t>
            </w:r>
            <w:r w:rsidRPr="00054396">
              <w:rPr>
                <w:sz w:val="22"/>
                <w:szCs w:val="22"/>
                <w:lang w:val="de-DE"/>
              </w:rPr>
              <w:t xml:space="preserve">iveau gemäß der Entscheidung der Kommission 2001/844/EC, ECSC, Euratom – O.J. E.U n° L 317 </w:t>
            </w:r>
            <w:r>
              <w:rPr>
                <w:sz w:val="22"/>
                <w:szCs w:val="22"/>
                <w:lang w:val="de-DE"/>
              </w:rPr>
              <w:t>vom</w:t>
            </w:r>
            <w:r w:rsidRPr="00054396">
              <w:rPr>
                <w:sz w:val="22"/>
                <w:szCs w:val="22"/>
                <w:lang w:val="de-DE"/>
              </w:rPr>
              <w:t xml:space="preserve"> 03.12.2001).</w:t>
            </w:r>
          </w:p>
          <w:p w:rsidR="00652F84" w:rsidRPr="00527871" w:rsidRDefault="00652F84" w:rsidP="00652F84">
            <w:pPr>
              <w:ind w:left="439" w:right="175"/>
              <w:jc w:val="both"/>
              <w:rPr>
                <w:b/>
                <w:sz w:val="22"/>
                <w:szCs w:val="22"/>
                <w:lang w:val="de-DE"/>
              </w:rPr>
            </w:pPr>
            <w:r w:rsidRPr="00054396">
              <w:rPr>
                <w:sz w:val="22"/>
                <w:szCs w:val="22"/>
                <w:lang w:val="de-DE"/>
              </w:rPr>
              <w:t>Der ausgewählte Bewerber ist verpflichtet, das Überprüfungsverfahren vor der Abordnung einzuleiten.</w:t>
            </w:r>
          </w:p>
        </w:tc>
      </w:tr>
      <w:tr w:rsidR="006643E5" w:rsidRPr="007C4E8E" w:rsidTr="00527871">
        <w:trPr>
          <w:jc w:val="center"/>
        </w:trPr>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527871" w:rsidRDefault="006643E5" w:rsidP="0069244E">
            <w:pPr>
              <w:ind w:left="473"/>
              <w:jc w:val="both"/>
              <w:rPr>
                <w:sz w:val="22"/>
                <w:szCs w:val="22"/>
                <w:lang w:val="de-DE"/>
              </w:rPr>
            </w:pPr>
          </w:p>
        </w:tc>
      </w:tr>
      <w:tr w:rsidR="006643E5" w:rsidRPr="009222CC" w:rsidTr="009D5781">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lastRenderedPageBreak/>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527871" w:rsidRDefault="006643E5" w:rsidP="0069244E">
            <w:pPr>
              <w:pStyle w:val="Footer"/>
              <w:rPr>
                <w:sz w:val="22"/>
                <w:szCs w:val="22"/>
                <w:lang w:val="de-DE"/>
              </w:rPr>
            </w:pPr>
            <w:r w:rsidRPr="00527871">
              <w:rPr>
                <w:b/>
                <w:sz w:val="22"/>
                <w:szCs w:val="22"/>
                <w:lang w:val="de-DE"/>
              </w:rPr>
              <w:t>Verarbeitung personenbezogener Daten:</w:t>
            </w:r>
          </w:p>
        </w:tc>
      </w:tr>
      <w:tr w:rsidR="006643E5" w:rsidRPr="007C4E8E" w:rsidTr="009D5781">
        <w:trPr>
          <w:trHeight w:val="473"/>
          <w:jc w:val="center"/>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bottom w:val="single" w:sz="4" w:space="0" w:color="auto"/>
              <w:right w:val="single" w:sz="4" w:space="0" w:color="auto"/>
            </w:tcBorders>
          </w:tcPr>
          <w:p w:rsidR="009D5781" w:rsidRDefault="009D5781" w:rsidP="00DC2968">
            <w:pPr>
              <w:ind w:right="175"/>
              <w:jc w:val="both"/>
              <w:rPr>
                <w:sz w:val="22"/>
                <w:szCs w:val="22"/>
                <w:lang w:val="de-DE"/>
              </w:rPr>
            </w:pPr>
          </w:p>
          <w:p w:rsidR="00054396" w:rsidRPr="00054396" w:rsidRDefault="00054396" w:rsidP="00054396">
            <w:pPr>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054396" w:rsidRPr="00054396" w:rsidRDefault="00054396" w:rsidP="00054396">
            <w:pPr>
              <w:ind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054396" w:rsidRPr="00054396" w:rsidRDefault="00054396" w:rsidP="00054396">
            <w:pPr>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054396" w:rsidRPr="00054396" w:rsidRDefault="00054396" w:rsidP="00054396">
            <w:pPr>
              <w:jc w:val="both"/>
              <w:rPr>
                <w:sz w:val="22"/>
                <w:szCs w:val="22"/>
                <w:lang w:val="de-DE"/>
              </w:rPr>
            </w:pPr>
            <w:r w:rsidRPr="00054396">
              <w:rPr>
                <w:sz w:val="22"/>
                <w:szCs w:val="22"/>
                <w:lang w:val="de-DE"/>
              </w:rPr>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054396" w:rsidRPr="00054396" w:rsidRDefault="00054396" w:rsidP="00054396">
            <w:pPr>
              <w:rPr>
                <w:b/>
                <w:sz w:val="22"/>
                <w:szCs w:val="22"/>
                <w:u w:val="single"/>
                <w:lang w:val="de-DE"/>
              </w:rPr>
            </w:pPr>
            <w:r w:rsidRPr="00054396">
              <w:rPr>
                <w:b/>
                <w:sz w:val="22"/>
                <w:szCs w:val="22"/>
                <w:u w:val="single"/>
                <w:lang w:val="de-DE"/>
              </w:rPr>
              <w:t>Kontaktinformationen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054396" w:rsidRPr="00054396" w:rsidRDefault="00054396" w:rsidP="00054396">
            <w:pPr>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054396" w:rsidRPr="00054396" w:rsidRDefault="00054396" w:rsidP="00054396">
            <w:pPr>
              <w:pStyle w:val="ListParagraph"/>
              <w:ind w:left="335" w:hanging="335"/>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054396" w:rsidRPr="00054396" w:rsidRDefault="00054396" w:rsidP="00054396">
            <w:pPr>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054396" w:rsidRDefault="00054396" w:rsidP="00054396">
            <w:pPr>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0408EE" w:rsidRPr="00054396" w:rsidRDefault="000408EE" w:rsidP="00054396">
            <w:pPr>
              <w:rPr>
                <w:sz w:val="22"/>
                <w:szCs w:val="22"/>
                <w:lang w:val="de-DE"/>
              </w:rPr>
            </w:pPr>
          </w:p>
          <w:p w:rsidR="006643E5" w:rsidRPr="00527871" w:rsidRDefault="00054396" w:rsidP="00054396">
            <w:pPr>
              <w:ind w:right="175"/>
              <w:jc w:val="both"/>
              <w:rPr>
                <w:sz w:val="22"/>
                <w:szCs w:val="22"/>
                <w:lang w:val="de-DE"/>
              </w:rPr>
            </w:pPr>
            <w:r w:rsidRPr="00054396">
              <w:rPr>
                <w:sz w:val="22"/>
                <w:szCs w:val="22"/>
                <w:lang w:val="de-DE"/>
              </w:rPr>
              <w:t>Hinweis für Bewerber aus Drittländern: Ihre personenbezogenen Daten können für erforderliche Überprüfungen herangezogen werden.</w:t>
            </w: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EF2A46">
      <w:headerReference w:type="default" r:id="rId15"/>
      <w:footerReference w:type="default" r:id="rId16"/>
      <w:type w:val="continuous"/>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DCC" w:rsidRDefault="00465DCC">
      <w:r>
        <w:separator/>
      </w:r>
    </w:p>
  </w:endnote>
  <w:endnote w:type="continuationSeparator" w:id="0">
    <w:p w:rsidR="00465DCC" w:rsidRDefault="0046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EE" w:rsidRDefault="00F67BFE" w:rsidP="00F67BFE">
    <w:pPr>
      <w:pStyle w:val="Footer"/>
      <w:jc w:val="right"/>
      <w:rPr>
        <w:sz w:val="20"/>
      </w:rPr>
    </w:pPr>
    <w:r w:rsidRPr="00F67BFE">
      <w:rPr>
        <w:sz w:val="20"/>
      </w:rPr>
      <w:t>Version 201</w:t>
    </w:r>
    <w:r w:rsidR="00527871">
      <w:rPr>
        <w:sz w:val="20"/>
      </w:rPr>
      <w:t>9</w:t>
    </w:r>
    <w:r w:rsidRPr="00F67BFE">
      <w:rPr>
        <w:sz w:val="20"/>
      </w:rPr>
      <w:t>-</w:t>
    </w:r>
    <w:r>
      <w:rPr>
        <w:sz w:val="20"/>
      </w:rPr>
      <w:t>0</w:t>
    </w:r>
    <w:r w:rsidR="000408EE">
      <w:rPr>
        <w:sz w:val="2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DCC" w:rsidRDefault="00465DCC">
      <w:r>
        <w:separator/>
      </w:r>
    </w:p>
  </w:footnote>
  <w:footnote w:type="continuationSeparator" w:id="0">
    <w:p w:rsidR="00465DCC" w:rsidRDefault="00465DCC">
      <w:r>
        <w:continuationSeparator/>
      </w:r>
    </w:p>
  </w:footnote>
  <w:footnote w:id="1">
    <w:p w:rsidR="00DF1D3A" w:rsidRPr="008C30A2" w:rsidRDefault="00DF1D3A"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527871" w:rsidRDefault="006643E5" w:rsidP="00844D7B">
    <w:pPr>
      <w:pStyle w:val="Header"/>
      <w:ind w:right="325"/>
      <w:jc w:val="right"/>
      <w:rPr>
        <w:rFonts w:ascii="Arial" w:hAnsi="Arial"/>
        <w:b/>
        <w:sz w:val="20"/>
      </w:rPr>
    </w:pPr>
    <w:r w:rsidRPr="00527871">
      <w:rPr>
        <w:b/>
        <w:sz w:val="20"/>
      </w:rPr>
      <w:t>Formulaire DG.1 (DE)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009D3387"/>
    <w:multiLevelType w:val="hybridMultilevel"/>
    <w:tmpl w:val="A7E2190E"/>
    <w:lvl w:ilvl="0" w:tplc="388A5692">
      <w:numFmt w:val="bullet"/>
      <w:lvlText w:val="-"/>
      <w:lvlJc w:val="left"/>
      <w:pPr>
        <w:ind w:left="1440" w:hanging="72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16072DE2"/>
    <w:multiLevelType w:val="singleLevel"/>
    <w:tmpl w:val="C2A602F4"/>
    <w:lvl w:ilvl="0">
      <w:start w:val="2"/>
      <w:numFmt w:val="decimal"/>
      <w:lvlText w:val="%1."/>
      <w:legacy w:legacy="1" w:legacySpace="0" w:legacyIndent="360"/>
      <w:lvlJc w:val="left"/>
      <w:pPr>
        <w:ind w:left="360" w:hanging="360"/>
      </w:pPr>
    </w:lvl>
  </w:abstractNum>
  <w:abstractNum w:abstractNumId="7">
    <w:nsid w:val="1C3A223A"/>
    <w:multiLevelType w:val="singleLevel"/>
    <w:tmpl w:val="E4F2BD84"/>
    <w:lvl w:ilvl="0">
      <w:start w:val="1"/>
      <w:numFmt w:val="decimal"/>
      <w:lvlText w:val="%1."/>
      <w:legacy w:legacy="1" w:legacySpace="0" w:legacyIndent="360"/>
      <w:lvlJc w:val="left"/>
      <w:pPr>
        <w:ind w:left="360" w:hanging="360"/>
      </w:pPr>
    </w:lvl>
  </w:abstractNum>
  <w:abstractNum w:abstractNumId="8">
    <w:nsid w:val="5453375A"/>
    <w:multiLevelType w:val="singleLevel"/>
    <w:tmpl w:val="929CF12C"/>
    <w:lvl w:ilvl="0">
      <w:start w:val="3"/>
      <w:numFmt w:val="decimal"/>
      <w:lvlText w:val="%1."/>
      <w:legacy w:legacy="1" w:legacySpace="0" w:legacyIndent="360"/>
      <w:lvlJc w:val="left"/>
      <w:pPr>
        <w:ind w:left="360" w:hanging="360"/>
      </w:pPr>
    </w:lvl>
  </w:abstractNum>
  <w:abstractNum w:abstractNumId="9">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nsid w:val="5D0D7DE8"/>
    <w:multiLevelType w:val="singleLevel"/>
    <w:tmpl w:val="E4F2BD84"/>
    <w:lvl w:ilvl="0">
      <w:start w:val="1"/>
      <w:numFmt w:val="decimal"/>
      <w:lvlText w:val="%1."/>
      <w:legacy w:legacy="1" w:legacySpace="0" w:legacyIndent="360"/>
      <w:lvlJc w:val="left"/>
      <w:pPr>
        <w:ind w:left="360" w:hanging="360"/>
      </w:pPr>
    </w:lvl>
  </w:abstractNum>
  <w:abstractNum w:abstractNumId="11">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6"/>
  </w:num>
  <w:num w:numId="3">
    <w:abstractNumId w:val="8"/>
  </w:num>
  <w:num w:numId="4">
    <w:abstractNumId w:val="11"/>
  </w:num>
  <w:num w:numId="5">
    <w:abstractNumId w:val="10"/>
  </w:num>
  <w:num w:numId="6">
    <w:abstractNumId w:val="7"/>
  </w:num>
  <w:num w:numId="7">
    <w:abstractNumId w:val="1"/>
    <w:lvlOverride w:ilvl="0">
      <w:lvl w:ilvl="0">
        <w:numFmt w:val="bullet"/>
        <w:lvlText w:val=""/>
        <w:legacy w:legacy="1" w:legacySpace="0" w:legacyIndent="0"/>
        <w:lvlJc w:val="left"/>
        <w:rPr>
          <w:rFonts w:ascii="Symbol" w:hAnsi="Symbol" w:hint="default"/>
        </w:rPr>
      </w:lvl>
    </w:lvlOverride>
  </w:num>
  <w:num w:numId="8">
    <w:abstractNumId w:val="9"/>
  </w:num>
  <w:num w:numId="9">
    <w:abstractNumId w:val="0"/>
  </w:num>
  <w:num w:numId="10">
    <w:abstractNumId w:val="9"/>
  </w:num>
  <w:num w:numId="11">
    <w:abstractNumId w:val="2"/>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08EE"/>
    <w:rsid w:val="00046778"/>
    <w:rsid w:val="00054396"/>
    <w:rsid w:val="000548FD"/>
    <w:rsid w:val="000B160F"/>
    <w:rsid w:val="000B389B"/>
    <w:rsid w:val="000D13C7"/>
    <w:rsid w:val="000E6B9E"/>
    <w:rsid w:val="00112D65"/>
    <w:rsid w:val="001212A2"/>
    <w:rsid w:val="00146FE7"/>
    <w:rsid w:val="0016470B"/>
    <w:rsid w:val="0017416F"/>
    <w:rsid w:val="00184229"/>
    <w:rsid w:val="00184D0D"/>
    <w:rsid w:val="00184FC0"/>
    <w:rsid w:val="00185847"/>
    <w:rsid w:val="00185A6E"/>
    <w:rsid w:val="001C4192"/>
    <w:rsid w:val="001E620D"/>
    <w:rsid w:val="001F3C83"/>
    <w:rsid w:val="001F4EBA"/>
    <w:rsid w:val="00207EB1"/>
    <w:rsid w:val="00225615"/>
    <w:rsid w:val="00233CBE"/>
    <w:rsid w:val="0024100B"/>
    <w:rsid w:val="00242830"/>
    <w:rsid w:val="00243FA8"/>
    <w:rsid w:val="0024531E"/>
    <w:rsid w:val="002557DF"/>
    <w:rsid w:val="00262B84"/>
    <w:rsid w:val="002642A0"/>
    <w:rsid w:val="0026462F"/>
    <w:rsid w:val="0026508A"/>
    <w:rsid w:val="00271801"/>
    <w:rsid w:val="002747E6"/>
    <w:rsid w:val="00277C82"/>
    <w:rsid w:val="002A0412"/>
    <w:rsid w:val="002A063F"/>
    <w:rsid w:val="002A4308"/>
    <w:rsid w:val="002A6772"/>
    <w:rsid w:val="002B1D82"/>
    <w:rsid w:val="002B20A4"/>
    <w:rsid w:val="002B5738"/>
    <w:rsid w:val="002C7E0A"/>
    <w:rsid w:val="002D11AE"/>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7309"/>
    <w:rsid w:val="003F7676"/>
    <w:rsid w:val="00410120"/>
    <w:rsid w:val="00427BE2"/>
    <w:rsid w:val="004324AA"/>
    <w:rsid w:val="00435DA0"/>
    <w:rsid w:val="00451932"/>
    <w:rsid w:val="0045400E"/>
    <w:rsid w:val="00465DCC"/>
    <w:rsid w:val="00467742"/>
    <w:rsid w:val="00491FE7"/>
    <w:rsid w:val="004B33C2"/>
    <w:rsid w:val="004B7487"/>
    <w:rsid w:val="004C1CF4"/>
    <w:rsid w:val="004E09F0"/>
    <w:rsid w:val="004E6DBB"/>
    <w:rsid w:val="004F2F80"/>
    <w:rsid w:val="0050188B"/>
    <w:rsid w:val="00506CDC"/>
    <w:rsid w:val="00520353"/>
    <w:rsid w:val="00525AB3"/>
    <w:rsid w:val="00527871"/>
    <w:rsid w:val="0053797D"/>
    <w:rsid w:val="005459ED"/>
    <w:rsid w:val="0055386D"/>
    <w:rsid w:val="0056395F"/>
    <w:rsid w:val="005762AD"/>
    <w:rsid w:val="00577BDC"/>
    <w:rsid w:val="00587D6A"/>
    <w:rsid w:val="00594DAE"/>
    <w:rsid w:val="005974DA"/>
    <w:rsid w:val="00597574"/>
    <w:rsid w:val="0059779D"/>
    <w:rsid w:val="005B2A8B"/>
    <w:rsid w:val="005C6F4B"/>
    <w:rsid w:val="005D3035"/>
    <w:rsid w:val="005D4B86"/>
    <w:rsid w:val="005E24C5"/>
    <w:rsid w:val="005E4918"/>
    <w:rsid w:val="005E6E65"/>
    <w:rsid w:val="00611D55"/>
    <w:rsid w:val="00616EED"/>
    <w:rsid w:val="00625DED"/>
    <w:rsid w:val="00630D64"/>
    <w:rsid w:val="00652F84"/>
    <w:rsid w:val="00661E6E"/>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C4E8E"/>
    <w:rsid w:val="007F2068"/>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0B15"/>
    <w:rsid w:val="009049EA"/>
    <w:rsid w:val="00904A6F"/>
    <w:rsid w:val="009222CC"/>
    <w:rsid w:val="00951939"/>
    <w:rsid w:val="00952714"/>
    <w:rsid w:val="009555C7"/>
    <w:rsid w:val="009660B5"/>
    <w:rsid w:val="00980819"/>
    <w:rsid w:val="009B1D54"/>
    <w:rsid w:val="009D5781"/>
    <w:rsid w:val="009E0D7B"/>
    <w:rsid w:val="009E1B29"/>
    <w:rsid w:val="009F27F5"/>
    <w:rsid w:val="00A05297"/>
    <w:rsid w:val="00A12B5B"/>
    <w:rsid w:val="00A45D46"/>
    <w:rsid w:val="00A462B8"/>
    <w:rsid w:val="00A5232F"/>
    <w:rsid w:val="00AA6F9C"/>
    <w:rsid w:val="00AA7C72"/>
    <w:rsid w:val="00AB04D7"/>
    <w:rsid w:val="00B07C01"/>
    <w:rsid w:val="00B24C07"/>
    <w:rsid w:val="00B3363A"/>
    <w:rsid w:val="00B51D63"/>
    <w:rsid w:val="00B57F47"/>
    <w:rsid w:val="00B70174"/>
    <w:rsid w:val="00B82E62"/>
    <w:rsid w:val="00B90296"/>
    <w:rsid w:val="00B921A3"/>
    <w:rsid w:val="00BA1CA5"/>
    <w:rsid w:val="00BC732B"/>
    <w:rsid w:val="00BD6207"/>
    <w:rsid w:val="00BF5ED6"/>
    <w:rsid w:val="00C0285B"/>
    <w:rsid w:val="00C07359"/>
    <w:rsid w:val="00C31CDD"/>
    <w:rsid w:val="00C41FD8"/>
    <w:rsid w:val="00C44237"/>
    <w:rsid w:val="00C44E7E"/>
    <w:rsid w:val="00C47260"/>
    <w:rsid w:val="00C61F5D"/>
    <w:rsid w:val="00C6355A"/>
    <w:rsid w:val="00C66CCE"/>
    <w:rsid w:val="00C67062"/>
    <w:rsid w:val="00C72A05"/>
    <w:rsid w:val="00C96848"/>
    <w:rsid w:val="00CA2B78"/>
    <w:rsid w:val="00CA477A"/>
    <w:rsid w:val="00CA54D9"/>
    <w:rsid w:val="00CA6E5F"/>
    <w:rsid w:val="00CA7D91"/>
    <w:rsid w:val="00CB525C"/>
    <w:rsid w:val="00CC0DBE"/>
    <w:rsid w:val="00CC152B"/>
    <w:rsid w:val="00CC78EA"/>
    <w:rsid w:val="00CD0164"/>
    <w:rsid w:val="00CD3F1B"/>
    <w:rsid w:val="00CD6C77"/>
    <w:rsid w:val="00CF55F6"/>
    <w:rsid w:val="00CF75BB"/>
    <w:rsid w:val="00CF7A7C"/>
    <w:rsid w:val="00D17D0C"/>
    <w:rsid w:val="00D338E2"/>
    <w:rsid w:val="00D411C5"/>
    <w:rsid w:val="00D74235"/>
    <w:rsid w:val="00D743B0"/>
    <w:rsid w:val="00D80B04"/>
    <w:rsid w:val="00D847F9"/>
    <w:rsid w:val="00DA0196"/>
    <w:rsid w:val="00DB2B95"/>
    <w:rsid w:val="00DB7CF2"/>
    <w:rsid w:val="00DB7D07"/>
    <w:rsid w:val="00DC2968"/>
    <w:rsid w:val="00DF1D3A"/>
    <w:rsid w:val="00DF479D"/>
    <w:rsid w:val="00E14E5A"/>
    <w:rsid w:val="00E2059C"/>
    <w:rsid w:val="00E210AE"/>
    <w:rsid w:val="00E3586A"/>
    <w:rsid w:val="00E419BC"/>
    <w:rsid w:val="00E45131"/>
    <w:rsid w:val="00E50AC1"/>
    <w:rsid w:val="00E57961"/>
    <w:rsid w:val="00E6158B"/>
    <w:rsid w:val="00E63EEB"/>
    <w:rsid w:val="00E67CD7"/>
    <w:rsid w:val="00E71C56"/>
    <w:rsid w:val="00E7240B"/>
    <w:rsid w:val="00E85B5A"/>
    <w:rsid w:val="00EA222B"/>
    <w:rsid w:val="00EB2A8F"/>
    <w:rsid w:val="00EB347A"/>
    <w:rsid w:val="00EE2303"/>
    <w:rsid w:val="00EF2A46"/>
    <w:rsid w:val="00EF57C4"/>
    <w:rsid w:val="00EF61D4"/>
    <w:rsid w:val="00EF6B69"/>
    <w:rsid w:val="00F172FC"/>
    <w:rsid w:val="00F173B7"/>
    <w:rsid w:val="00F25489"/>
    <w:rsid w:val="00F53205"/>
    <w:rsid w:val="00F603CF"/>
    <w:rsid w:val="00F621E1"/>
    <w:rsid w:val="00F63A9B"/>
    <w:rsid w:val="00F63CF0"/>
    <w:rsid w:val="00F67BFE"/>
    <w:rsid w:val="00FA6607"/>
    <w:rsid w:val="00FA6FD6"/>
    <w:rsid w:val="00FB237A"/>
    <w:rsid w:val="00FB7F4B"/>
    <w:rsid w:val="00FC77FD"/>
    <w:rsid w:val="00FD0532"/>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18287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Andrea.Gavinelli@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1696</Words>
  <Characters>9333</Characters>
  <Application>Microsoft Office Word</Application>
  <DocSecurity>4</DocSecurity>
  <Lines>77</Lines>
  <Paragraphs>22</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11007</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6553719</vt:i4>
      </vt:variant>
      <vt:variant>
        <vt:i4>3</vt:i4>
      </vt:variant>
      <vt:variant>
        <vt:i4>0</vt:i4>
      </vt:variant>
      <vt:variant>
        <vt:i4>5</vt:i4>
      </vt:variant>
      <vt:variant>
        <vt:lpwstr>http://ec.europa.eu/civil_service/job/sne/index_de.htm</vt:lpwstr>
      </vt:variant>
      <vt:variant>
        <vt:lpwstr/>
      </vt:variant>
      <vt:variant>
        <vt:i4>3014692</vt:i4>
      </vt:variant>
      <vt:variant>
        <vt:i4>0</vt:i4>
      </vt:variant>
      <vt:variant>
        <vt:i4>0</vt:i4>
      </vt:variant>
      <vt:variant>
        <vt:i4>5</vt:i4>
      </vt:variant>
      <vt:variant>
        <vt:lpwstr>http://europass.cedefop.europa.eu/de/documents/curriculum-vitae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HENROTTE Corinne (HR)</cp:lastModifiedBy>
  <cp:revision>2</cp:revision>
  <cp:lastPrinted>2012-11-13T07:59:00Z</cp:lastPrinted>
  <dcterms:created xsi:type="dcterms:W3CDTF">2019-06-11T10:47:00Z</dcterms:created>
  <dcterms:modified xsi:type="dcterms:W3CDTF">2019-06-11T10:47:00Z</dcterms:modified>
</cp:coreProperties>
</file>